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sz w:val="36"/>
          <w:szCs w:val="36"/>
        </w:rPr>
      </w:pPr>
      <w:bookmarkStart w:id="38" w:name="_GoBack"/>
      <w:bookmarkEnd w:id="38"/>
    </w:p>
    <w:p>
      <w:pPr>
        <w:rPr>
          <w:rFonts w:eastAsia="仿宋_GB2312"/>
          <w:sz w:val="36"/>
          <w:szCs w:val="36"/>
        </w:rPr>
      </w:pPr>
    </w:p>
    <w:p>
      <w:pPr>
        <w:pStyle w:val="49"/>
        <w:ind w:firstLine="744"/>
        <w:rPr>
          <w:rFonts w:eastAsia="仿宋_GB2312"/>
          <w:sz w:val="36"/>
          <w:szCs w:val="36"/>
        </w:rPr>
      </w:pPr>
    </w:p>
    <w:p>
      <w:pPr>
        <w:pStyle w:val="49"/>
        <w:ind w:firstLine="744"/>
        <w:rPr>
          <w:rFonts w:eastAsia="仿宋_GB2312"/>
          <w:sz w:val="36"/>
          <w:szCs w:val="36"/>
        </w:rPr>
      </w:pPr>
    </w:p>
    <w:p>
      <w:pPr>
        <w:adjustRightInd w:val="0"/>
        <w:snapToGrid w:val="0"/>
        <w:jc w:val="center"/>
        <w:outlineLvl w:val="0"/>
        <w:rPr>
          <w:rFonts w:eastAsia="方正小标宋_GBK"/>
          <w:bCs/>
          <w:sz w:val="72"/>
          <w:szCs w:val="72"/>
        </w:rPr>
      </w:pPr>
      <w:bookmarkStart w:id="0" w:name="_Toc4432"/>
      <w:bookmarkStart w:id="1" w:name="_Toc20886"/>
      <w:bookmarkStart w:id="2" w:name="_Toc586"/>
      <w:r>
        <w:rPr>
          <w:rFonts w:eastAsia="方正小标宋_GBK"/>
          <w:bCs/>
          <w:sz w:val="72"/>
          <w:szCs w:val="72"/>
        </w:rPr>
        <w:t>建设项目环境影响报告表</w:t>
      </w:r>
      <w:bookmarkEnd w:id="0"/>
      <w:bookmarkEnd w:id="1"/>
      <w:bookmarkEnd w:id="2"/>
    </w:p>
    <w:p>
      <w:pPr>
        <w:adjustRightInd w:val="0"/>
        <w:snapToGrid w:val="0"/>
        <w:spacing w:before="192" w:beforeLines="80"/>
        <w:jc w:val="center"/>
        <w:rPr>
          <w:rFonts w:eastAsia="楷体_GB2312"/>
          <w:bCs/>
          <w:sz w:val="48"/>
          <w:szCs w:val="48"/>
        </w:rPr>
      </w:pPr>
      <w:r>
        <w:rPr>
          <w:rFonts w:eastAsia="楷体_GB2312"/>
          <w:bCs/>
          <w:sz w:val="48"/>
          <w:szCs w:val="48"/>
        </w:rPr>
        <w:t>（污染影响类）</w:t>
      </w:r>
    </w:p>
    <w:p>
      <w:pPr>
        <w:ind w:firstLine="1040"/>
        <w:rPr>
          <w:rFonts w:eastAsia="仿宋"/>
          <w:sz w:val="44"/>
          <w:szCs w:val="44"/>
        </w:rPr>
      </w:pPr>
    </w:p>
    <w:p>
      <w:pPr>
        <w:ind w:firstLine="1040"/>
        <w:rPr>
          <w:rFonts w:eastAsia="仿宋"/>
          <w:sz w:val="44"/>
          <w:szCs w:val="44"/>
        </w:rPr>
      </w:pPr>
    </w:p>
    <w:p>
      <w:pPr>
        <w:pStyle w:val="49"/>
        <w:ind w:firstLine="904"/>
        <w:rPr>
          <w:rFonts w:eastAsia="仿宋"/>
          <w:sz w:val="44"/>
          <w:szCs w:val="44"/>
        </w:rPr>
      </w:pPr>
    </w:p>
    <w:p>
      <w:pPr>
        <w:pStyle w:val="49"/>
        <w:ind w:firstLine="904"/>
        <w:rPr>
          <w:rFonts w:eastAsia="仿宋"/>
          <w:sz w:val="44"/>
          <w:szCs w:val="44"/>
        </w:rPr>
      </w:pPr>
    </w:p>
    <w:p>
      <w:pPr>
        <w:ind w:firstLine="1040"/>
        <w:rPr>
          <w:rFonts w:eastAsia="仿宋"/>
          <w:sz w:val="44"/>
          <w:szCs w:val="44"/>
        </w:rPr>
      </w:pPr>
    </w:p>
    <w:p>
      <w:pPr>
        <w:adjustRightInd w:val="0"/>
        <w:snapToGrid w:val="0"/>
        <w:spacing w:line="360" w:lineRule="auto"/>
        <w:ind w:left="2115" w:leftChars="150" w:hanging="1800" w:hangingChars="500"/>
        <w:rPr>
          <w:rFonts w:hint="default" w:eastAsia="仿宋_GB2312"/>
          <w:color w:val="0000FF"/>
          <w:sz w:val="36"/>
          <w:szCs w:val="36"/>
          <w:u w:val="single"/>
          <w:lang w:val="en-US" w:eastAsia="zh-CN"/>
        </w:rPr>
      </w:pPr>
      <w:r>
        <w:rPr>
          <w:rFonts w:eastAsia="仿宋_GB2312"/>
          <w:sz w:val="36"/>
          <w:szCs w:val="36"/>
        </w:rPr>
        <w:t>项目名称：</w:t>
      </w:r>
      <w:r>
        <w:rPr>
          <w:rFonts w:hint="eastAsia" w:eastAsia="仿宋_GB2312"/>
          <w:color w:val="auto"/>
          <w:sz w:val="36"/>
          <w:szCs w:val="36"/>
          <w:u w:val="single"/>
          <w:lang w:val="en-US" w:eastAsia="zh-CN"/>
        </w:rPr>
        <w:t xml:space="preserve">砚泽智能（宁德）年产7000万套新能源动力电池铝壳项目                          </w:t>
      </w:r>
    </w:p>
    <w:p>
      <w:pPr>
        <w:adjustRightInd w:val="0"/>
        <w:snapToGrid w:val="0"/>
        <w:spacing w:line="360" w:lineRule="auto"/>
        <w:ind w:left="3555" w:leftChars="150" w:hanging="3240" w:hangingChars="900"/>
        <w:rPr>
          <w:rFonts w:eastAsia="仿宋_GB2312"/>
          <w:sz w:val="36"/>
          <w:szCs w:val="36"/>
          <w:u w:val="single"/>
        </w:rPr>
      </w:pPr>
      <w:r>
        <w:rPr>
          <w:rFonts w:eastAsia="仿宋_GB2312"/>
          <w:sz w:val="36"/>
          <w:szCs w:val="36"/>
        </w:rPr>
        <w:t>建设单位（盖章）：</w:t>
      </w:r>
      <w:r>
        <w:rPr>
          <w:rFonts w:hint="eastAsia" w:eastAsia="仿宋_GB2312"/>
          <w:sz w:val="36"/>
          <w:szCs w:val="36"/>
          <w:u w:val="single"/>
          <w:lang w:eastAsia="zh-CN"/>
        </w:rPr>
        <w:t>砚</w:t>
      </w:r>
      <w:r>
        <w:rPr>
          <w:rFonts w:hint="eastAsia" w:eastAsia="仿宋_GB2312"/>
          <w:sz w:val="36"/>
          <w:szCs w:val="36"/>
          <w:u w:val="single"/>
        </w:rPr>
        <w:t xml:space="preserve">泽智能（宁德）制造有限公司  </w:t>
      </w:r>
    </w:p>
    <w:p>
      <w:pPr>
        <w:adjustRightInd w:val="0"/>
        <w:snapToGrid w:val="0"/>
        <w:spacing w:line="360" w:lineRule="auto"/>
        <w:ind w:firstLine="360" w:firstLineChars="100"/>
        <w:rPr>
          <w:rFonts w:hint="eastAsia" w:eastAsia="仿宋_GB2312"/>
          <w:sz w:val="36"/>
          <w:szCs w:val="36"/>
          <w:u w:val="single"/>
          <w:lang w:val="en-US" w:eastAsia="zh-CN"/>
        </w:rPr>
      </w:pPr>
      <w:r>
        <w:rPr>
          <w:rFonts w:eastAsia="仿宋_GB2312"/>
          <w:sz w:val="36"/>
          <w:szCs w:val="36"/>
        </w:rPr>
        <w:t>编制日期：</w:t>
      </w:r>
      <w:r>
        <w:rPr>
          <w:rFonts w:hint="eastAsia" w:eastAsia="仿宋_GB2312"/>
          <w:sz w:val="36"/>
          <w:szCs w:val="36"/>
          <w:u w:val="single"/>
        </w:rPr>
        <w:t xml:space="preserve">            </w:t>
      </w:r>
      <w:r>
        <w:rPr>
          <w:rFonts w:eastAsia="仿宋_GB2312"/>
          <w:sz w:val="36"/>
          <w:szCs w:val="36"/>
          <w:u w:val="single"/>
        </w:rPr>
        <w:t>202</w:t>
      </w:r>
      <w:r>
        <w:rPr>
          <w:rFonts w:hint="eastAsia" w:eastAsia="仿宋_GB2312"/>
          <w:sz w:val="36"/>
          <w:szCs w:val="36"/>
          <w:u w:val="single"/>
          <w:lang w:val="en-US" w:eastAsia="zh-CN"/>
        </w:rPr>
        <w:t>4</w:t>
      </w:r>
      <w:r>
        <w:rPr>
          <w:rFonts w:eastAsia="仿宋_GB2312"/>
          <w:sz w:val="36"/>
          <w:szCs w:val="36"/>
          <w:u w:val="single"/>
        </w:rPr>
        <w:t>年</w:t>
      </w:r>
      <w:r>
        <w:rPr>
          <w:rFonts w:hint="eastAsia" w:eastAsia="仿宋_GB2312"/>
          <w:sz w:val="36"/>
          <w:szCs w:val="36"/>
          <w:u w:val="single"/>
          <w:lang w:val="en-US" w:eastAsia="zh-CN"/>
        </w:rPr>
        <w:t>4</w:t>
      </w:r>
      <w:r>
        <w:rPr>
          <w:rFonts w:eastAsia="仿宋_GB2312"/>
          <w:sz w:val="36"/>
          <w:szCs w:val="36"/>
          <w:u w:val="single"/>
        </w:rPr>
        <w:t>月</w:t>
      </w:r>
      <w:r>
        <w:rPr>
          <w:rFonts w:hint="eastAsia" w:eastAsia="仿宋_GB2312"/>
          <w:sz w:val="36"/>
          <w:szCs w:val="36"/>
          <w:u w:val="single"/>
        </w:rPr>
        <w:t xml:space="preserve">           </w:t>
      </w:r>
      <w:r>
        <w:rPr>
          <w:rFonts w:hint="eastAsia" w:eastAsia="仿宋_GB2312"/>
          <w:sz w:val="36"/>
          <w:szCs w:val="36"/>
          <w:u w:val="single"/>
          <w:lang w:val="en-US" w:eastAsia="zh-CN"/>
        </w:rPr>
        <w:t xml:space="preserve"> </w:t>
      </w:r>
      <w:r>
        <w:rPr>
          <w:rFonts w:hint="eastAsia" w:eastAsia="仿宋_GB2312"/>
          <w:sz w:val="36"/>
          <w:szCs w:val="36"/>
          <w:u w:val="single"/>
        </w:rPr>
        <w:t xml:space="preserve">  </w:t>
      </w:r>
      <w:r>
        <w:rPr>
          <w:rFonts w:hint="eastAsia" w:eastAsia="仿宋_GB2312"/>
          <w:sz w:val="36"/>
          <w:szCs w:val="36"/>
          <w:u w:val="single"/>
          <w:lang w:val="en-US" w:eastAsia="zh-CN"/>
        </w:rPr>
        <w:t xml:space="preserve"> </w:t>
      </w:r>
    </w:p>
    <w:p>
      <w:pPr>
        <w:adjustRightInd w:val="0"/>
        <w:snapToGrid w:val="0"/>
        <w:spacing w:line="288" w:lineRule="auto"/>
        <w:ind w:firstLine="1040"/>
        <w:rPr>
          <w:rFonts w:eastAsia="仿宋_GB2312"/>
          <w:sz w:val="36"/>
          <w:szCs w:val="36"/>
          <w:u w:val="single"/>
        </w:rPr>
      </w:pPr>
    </w:p>
    <w:p>
      <w:pPr>
        <w:adjustRightInd w:val="0"/>
        <w:snapToGrid w:val="0"/>
        <w:spacing w:line="288" w:lineRule="auto"/>
        <w:ind w:firstLine="1040"/>
        <w:rPr>
          <w:rFonts w:eastAsia="仿宋_GB2312"/>
          <w:sz w:val="36"/>
          <w:szCs w:val="36"/>
        </w:rPr>
      </w:pPr>
    </w:p>
    <w:p>
      <w:pPr>
        <w:adjustRightInd w:val="0"/>
        <w:snapToGrid w:val="0"/>
        <w:spacing w:line="288" w:lineRule="auto"/>
        <w:ind w:firstLine="1040"/>
        <w:rPr>
          <w:rFonts w:eastAsia="仿宋_GB2312"/>
          <w:sz w:val="36"/>
          <w:szCs w:val="36"/>
        </w:rPr>
      </w:pPr>
    </w:p>
    <w:p>
      <w:pPr>
        <w:adjustRightInd w:val="0"/>
        <w:snapToGrid w:val="0"/>
        <w:spacing w:line="288" w:lineRule="auto"/>
        <w:ind w:firstLine="1040"/>
        <w:rPr>
          <w:rFonts w:eastAsia="仿宋_GB2312"/>
          <w:sz w:val="36"/>
          <w:szCs w:val="36"/>
        </w:rPr>
      </w:pPr>
    </w:p>
    <w:p>
      <w:pPr>
        <w:adjustRightInd w:val="0"/>
        <w:snapToGrid w:val="0"/>
        <w:spacing w:line="288" w:lineRule="auto"/>
        <w:ind w:firstLine="1040"/>
        <w:rPr>
          <w:rFonts w:eastAsia="仿宋_GB2312"/>
          <w:sz w:val="36"/>
          <w:szCs w:val="36"/>
        </w:rPr>
      </w:pPr>
    </w:p>
    <w:p>
      <w:pPr>
        <w:bidi w:val="0"/>
      </w:pPr>
    </w:p>
    <w:p>
      <w:pPr>
        <w:bidi w:val="0"/>
      </w:pPr>
    </w:p>
    <w:p/>
    <w:p>
      <w:pPr>
        <w:bidi w:val="0"/>
      </w:pPr>
    </w:p>
    <w:p>
      <w:pPr>
        <w:adjustRightInd w:val="0"/>
        <w:snapToGrid w:val="0"/>
        <w:spacing w:line="288" w:lineRule="auto"/>
        <w:jc w:val="center"/>
        <w:rPr>
          <w:rFonts w:eastAsia="楷体_GB2312"/>
          <w:sz w:val="36"/>
          <w:szCs w:val="36"/>
        </w:rPr>
        <w:sectPr>
          <w:footerReference r:id="rId5" w:type="default"/>
          <w:pgSz w:w="11906" w:h="16838"/>
          <w:pgMar w:top="1701" w:right="1417" w:bottom="1701" w:left="1531" w:header="851" w:footer="1077" w:gutter="0"/>
          <w:pgBorders>
            <w:top w:val="none" w:sz="0" w:space="0"/>
            <w:left w:val="none" w:sz="0" w:space="0"/>
            <w:bottom w:val="none" w:sz="0" w:space="0"/>
            <w:right w:val="none" w:sz="0" w:space="0"/>
          </w:pgBorders>
          <w:pgNumType w:start="3"/>
          <w:cols w:space="720" w:num="1"/>
          <w:docGrid w:linePitch="312" w:charSpace="0"/>
        </w:sectPr>
      </w:pPr>
      <w:r>
        <w:rPr>
          <w:rFonts w:eastAsia="楷体_GB2312"/>
          <w:sz w:val="36"/>
          <w:szCs w:val="36"/>
        </w:rPr>
        <w:t>中华人民共和国生态环境部制</w:t>
      </w:r>
    </w:p>
    <w:p>
      <w:pPr>
        <w:pStyle w:val="25"/>
        <w:numPr>
          <w:ilvl w:val="0"/>
          <w:numId w:val="4"/>
        </w:numPr>
        <w:jc w:val="center"/>
        <w:outlineLvl w:val="0"/>
        <w:rPr>
          <w:rFonts w:ascii="黑体" w:hAnsi="黑体" w:eastAsia="黑体"/>
          <w:snapToGrid w:val="0"/>
          <w:sz w:val="30"/>
          <w:szCs w:val="30"/>
        </w:rPr>
      </w:pPr>
      <w:r>
        <w:rPr>
          <w:rFonts w:hint="eastAsia" w:ascii="黑体" w:hAnsi="黑体" w:eastAsia="黑体"/>
          <w:snapToGrid w:val="0"/>
          <w:sz w:val="30"/>
          <w:szCs w:val="30"/>
        </w:rPr>
        <w:t>建设项目基本情况</w:t>
      </w:r>
    </w:p>
    <w:tbl>
      <w:tblPr>
        <w:tblStyle w:val="27"/>
        <w:tblW w:w="88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809"/>
        <w:gridCol w:w="1267"/>
        <w:gridCol w:w="1186"/>
        <w:gridCol w:w="1888"/>
        <w:gridCol w:w="27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09" w:type="dxa"/>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项目名称</w:t>
            </w:r>
          </w:p>
        </w:tc>
        <w:tc>
          <w:tcPr>
            <w:tcW w:w="7061" w:type="dxa"/>
            <w:gridSpan w:val="4"/>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砚</w:t>
            </w:r>
            <w:r>
              <w:rPr>
                <w:rFonts w:hint="default" w:ascii="Times New Roman" w:hAnsi="Times New Roman" w:eastAsia="宋体" w:cs="Times New Roman"/>
                <w:sz w:val="21"/>
                <w:szCs w:val="21"/>
              </w:rPr>
              <w:t>泽智能（宁德）年产7000万套新能源动力电池铝壳项目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09" w:type="dxa"/>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项目代码</w:t>
            </w:r>
          </w:p>
        </w:tc>
        <w:tc>
          <w:tcPr>
            <w:tcW w:w="7061" w:type="dxa"/>
            <w:gridSpan w:val="4"/>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2403-350921-04-05-619121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09" w:type="dxa"/>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建设单位联系人</w:t>
            </w:r>
          </w:p>
        </w:tc>
        <w:tc>
          <w:tcPr>
            <w:tcW w:w="2453"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88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联系方式</w:t>
            </w:r>
          </w:p>
        </w:tc>
        <w:tc>
          <w:tcPr>
            <w:tcW w:w="272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09" w:type="dxa"/>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建设地点</w:t>
            </w:r>
          </w:p>
        </w:tc>
        <w:tc>
          <w:tcPr>
            <w:tcW w:w="7061" w:type="dxa"/>
            <w:gridSpan w:val="4"/>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u w:val="single"/>
              </w:rPr>
              <w:t>福建</w:t>
            </w:r>
            <w:r>
              <w:rPr>
                <w:rFonts w:hint="default" w:ascii="Times New Roman" w:hAnsi="Times New Roman" w:eastAsia="宋体" w:cs="Times New Roman"/>
                <w:sz w:val="21"/>
                <w:szCs w:val="21"/>
              </w:rPr>
              <w:t>省（自治区）</w:t>
            </w:r>
            <w:r>
              <w:rPr>
                <w:rFonts w:hint="default" w:ascii="Times New Roman" w:hAnsi="Times New Roman" w:eastAsia="宋体" w:cs="Times New Roman"/>
                <w:sz w:val="21"/>
                <w:szCs w:val="21"/>
                <w:u w:val="single"/>
              </w:rPr>
              <w:t>宁德</w:t>
            </w:r>
            <w:r>
              <w:rPr>
                <w:rFonts w:hint="default" w:ascii="Times New Roman" w:hAnsi="Times New Roman" w:eastAsia="宋体" w:cs="Times New Roman"/>
                <w:sz w:val="21"/>
                <w:szCs w:val="21"/>
              </w:rPr>
              <w:t>市</w:t>
            </w:r>
            <w:r>
              <w:rPr>
                <w:rFonts w:hint="default" w:ascii="Times New Roman" w:hAnsi="Times New Roman" w:eastAsia="宋体" w:cs="Times New Roman"/>
                <w:sz w:val="21"/>
                <w:szCs w:val="21"/>
                <w:u w:val="single"/>
              </w:rPr>
              <w:t>霞浦</w:t>
            </w:r>
            <w:r>
              <w:rPr>
                <w:rFonts w:hint="default" w:ascii="Times New Roman" w:hAnsi="Times New Roman" w:eastAsia="宋体" w:cs="Times New Roman"/>
                <w:sz w:val="21"/>
                <w:szCs w:val="21"/>
              </w:rPr>
              <w:t>县（区）</w:t>
            </w:r>
            <w:r>
              <w:rPr>
                <w:rFonts w:hint="default" w:ascii="Times New Roman" w:hAnsi="Times New Roman" w:eastAsia="宋体" w:cs="Times New Roman"/>
                <w:sz w:val="21"/>
                <w:szCs w:val="21"/>
                <w:u w:val="single"/>
              </w:rPr>
              <w:t>经济开发区工业北路45号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4" w:hRule="atLeast"/>
          <w:jc w:val="center"/>
        </w:trPr>
        <w:tc>
          <w:tcPr>
            <w:tcW w:w="1809" w:type="dxa"/>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地理坐标</w:t>
            </w:r>
          </w:p>
        </w:tc>
        <w:tc>
          <w:tcPr>
            <w:tcW w:w="7061" w:type="dxa"/>
            <w:gridSpan w:val="4"/>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u w:val="single"/>
              </w:rPr>
              <w:t>120</w:t>
            </w:r>
            <w:r>
              <w:rPr>
                <w:rFonts w:hint="default" w:ascii="Times New Roman" w:hAnsi="Times New Roman" w:eastAsia="宋体" w:cs="Times New Roman"/>
                <w:sz w:val="21"/>
                <w:szCs w:val="21"/>
              </w:rPr>
              <w:t>度</w:t>
            </w:r>
            <w:r>
              <w:rPr>
                <w:rFonts w:hint="default" w:ascii="Times New Roman" w:hAnsi="Times New Roman" w:eastAsia="宋体" w:cs="Times New Roman"/>
                <w:sz w:val="21"/>
                <w:szCs w:val="21"/>
                <w:u w:val="single"/>
              </w:rPr>
              <w:t>01</w:t>
            </w:r>
            <w:r>
              <w:rPr>
                <w:rFonts w:hint="default" w:ascii="Times New Roman" w:hAnsi="Times New Roman" w:eastAsia="宋体" w:cs="Times New Roman"/>
                <w:sz w:val="21"/>
                <w:szCs w:val="21"/>
              </w:rPr>
              <w:t>分</w:t>
            </w:r>
            <w:r>
              <w:rPr>
                <w:rFonts w:hint="default" w:ascii="Times New Roman" w:hAnsi="Times New Roman" w:eastAsia="宋体" w:cs="Times New Roman"/>
                <w:sz w:val="21"/>
                <w:szCs w:val="21"/>
                <w:u w:val="single"/>
              </w:rPr>
              <w:t>10.308</w:t>
            </w:r>
            <w:r>
              <w:rPr>
                <w:rFonts w:hint="default" w:ascii="Times New Roman" w:hAnsi="Times New Roman" w:eastAsia="宋体" w:cs="Times New Roman"/>
                <w:sz w:val="21"/>
                <w:szCs w:val="21"/>
              </w:rPr>
              <w:t>秒，</w:t>
            </w:r>
            <w:r>
              <w:rPr>
                <w:rFonts w:hint="default" w:ascii="Times New Roman" w:hAnsi="Times New Roman" w:eastAsia="宋体" w:cs="Times New Roman"/>
                <w:sz w:val="21"/>
                <w:szCs w:val="21"/>
                <w:u w:val="single"/>
              </w:rPr>
              <w:t>26</w:t>
            </w:r>
            <w:r>
              <w:rPr>
                <w:rFonts w:hint="default" w:ascii="Times New Roman" w:hAnsi="Times New Roman" w:eastAsia="宋体" w:cs="Times New Roman"/>
                <w:sz w:val="21"/>
                <w:szCs w:val="21"/>
              </w:rPr>
              <w:t>度</w:t>
            </w:r>
            <w:r>
              <w:rPr>
                <w:rFonts w:hint="default" w:ascii="Times New Roman" w:hAnsi="Times New Roman" w:eastAsia="宋体" w:cs="Times New Roman"/>
                <w:sz w:val="21"/>
                <w:szCs w:val="21"/>
                <w:u w:val="single"/>
              </w:rPr>
              <w:t>51</w:t>
            </w:r>
            <w:r>
              <w:rPr>
                <w:rFonts w:hint="default" w:ascii="Times New Roman" w:hAnsi="Times New Roman" w:eastAsia="宋体" w:cs="Times New Roman"/>
                <w:sz w:val="21"/>
                <w:szCs w:val="21"/>
              </w:rPr>
              <w:t>分</w:t>
            </w:r>
            <w:r>
              <w:rPr>
                <w:rFonts w:hint="default" w:ascii="Times New Roman" w:hAnsi="Times New Roman" w:eastAsia="宋体" w:cs="Times New Roman"/>
                <w:sz w:val="21"/>
                <w:szCs w:val="21"/>
                <w:u w:val="single"/>
              </w:rPr>
              <w:t>14.527</w:t>
            </w:r>
            <w:r>
              <w:rPr>
                <w:rFonts w:hint="default" w:ascii="Times New Roman" w:hAnsi="Times New Roman" w:eastAsia="宋体" w:cs="Times New Roman"/>
                <w:sz w:val="21"/>
                <w:szCs w:val="21"/>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809" w:type="dxa"/>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国民经济</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行业类别</w:t>
            </w:r>
          </w:p>
        </w:tc>
        <w:tc>
          <w:tcPr>
            <w:tcW w:w="2453" w:type="dxa"/>
            <w:gridSpan w:val="2"/>
            <w:vAlign w:val="center"/>
          </w:tcPr>
          <w:p>
            <w:pPr>
              <w:pStyle w:val="42"/>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C3399其他未列明金属制品制造</w:t>
            </w:r>
          </w:p>
        </w:tc>
        <w:tc>
          <w:tcPr>
            <w:tcW w:w="188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建设项目</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行业类别</w:t>
            </w:r>
          </w:p>
        </w:tc>
        <w:tc>
          <w:tcPr>
            <w:tcW w:w="2720" w:type="dxa"/>
            <w:vAlign w:val="center"/>
          </w:tcPr>
          <w:p>
            <w:pPr>
              <w:pStyle w:val="42"/>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三十、金属制品业33—铸造及其</w:t>
            </w:r>
            <w:r>
              <w:rPr>
                <w:rFonts w:hint="default" w:ascii="Times New Roman" w:hAnsi="Times New Roman" w:eastAsia="宋体" w:cs="Times New Roman"/>
                <w:sz w:val="21"/>
                <w:szCs w:val="21"/>
                <w:highlight w:val="none"/>
                <w:lang w:val="en-US" w:eastAsia="zh-CN"/>
              </w:rPr>
              <w:t>他</w:t>
            </w:r>
            <w:r>
              <w:rPr>
                <w:rFonts w:hint="default" w:ascii="Times New Roman" w:hAnsi="Times New Roman" w:eastAsia="宋体" w:cs="Times New Roman"/>
                <w:sz w:val="21"/>
                <w:szCs w:val="21"/>
                <w:highlight w:val="none"/>
              </w:rPr>
              <w:t>金属制品制造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809" w:type="dxa"/>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建设性质</w:t>
            </w:r>
          </w:p>
        </w:tc>
        <w:tc>
          <w:tcPr>
            <w:tcW w:w="2453" w:type="dxa"/>
            <w:gridSpan w:val="2"/>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sym w:font="Wingdings 2" w:char="0052"/>
            </w:r>
            <w:r>
              <w:rPr>
                <w:rFonts w:hint="default" w:ascii="Times New Roman" w:hAnsi="Times New Roman" w:eastAsia="宋体" w:cs="Times New Roman"/>
                <w:sz w:val="21"/>
                <w:szCs w:val="21"/>
              </w:rPr>
              <w:t>新建（迁建）</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sym w:font="Wingdings 2" w:char="00A3"/>
            </w:r>
            <w:r>
              <w:rPr>
                <w:rFonts w:hint="default" w:ascii="Times New Roman" w:hAnsi="Times New Roman" w:eastAsia="宋体" w:cs="Times New Roman"/>
                <w:sz w:val="21"/>
                <w:szCs w:val="21"/>
              </w:rPr>
              <w:t>改建</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sym w:font="Wingdings 2" w:char="00A3"/>
            </w:r>
            <w:r>
              <w:rPr>
                <w:rFonts w:hint="default" w:ascii="Times New Roman" w:hAnsi="Times New Roman" w:eastAsia="宋体" w:cs="Times New Roman"/>
                <w:sz w:val="21"/>
                <w:szCs w:val="21"/>
              </w:rPr>
              <w:t>扩建</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sym w:font="Wingdings 2" w:char="00A3"/>
            </w:r>
            <w:r>
              <w:rPr>
                <w:rFonts w:hint="default" w:ascii="Times New Roman" w:hAnsi="Times New Roman" w:eastAsia="宋体" w:cs="Times New Roman"/>
                <w:sz w:val="21"/>
                <w:szCs w:val="21"/>
              </w:rPr>
              <w:t>技术改造</w:t>
            </w:r>
          </w:p>
        </w:tc>
        <w:tc>
          <w:tcPr>
            <w:tcW w:w="188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建设项目</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申报情形</w:t>
            </w:r>
          </w:p>
        </w:tc>
        <w:tc>
          <w:tcPr>
            <w:tcW w:w="2720" w:type="dxa"/>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sym w:font="Wingdings 2" w:char="0052"/>
            </w:r>
            <w:r>
              <w:rPr>
                <w:rFonts w:hint="default" w:ascii="Times New Roman" w:hAnsi="Times New Roman" w:eastAsia="宋体" w:cs="Times New Roman"/>
                <w:sz w:val="21"/>
                <w:szCs w:val="21"/>
              </w:rPr>
              <w:t>首次申报项目</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sym w:font="Wingdings 2" w:char="00A3"/>
            </w:r>
            <w:r>
              <w:rPr>
                <w:rFonts w:hint="default" w:ascii="Times New Roman" w:hAnsi="Times New Roman" w:eastAsia="宋体" w:cs="Times New Roman"/>
                <w:sz w:val="21"/>
                <w:szCs w:val="21"/>
              </w:rPr>
              <w:t>不予批准后再次申报项目</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sym w:font="Wingdings 2" w:char="00A3"/>
            </w:r>
            <w:r>
              <w:rPr>
                <w:rFonts w:hint="default" w:ascii="Times New Roman" w:hAnsi="Times New Roman" w:eastAsia="宋体" w:cs="Times New Roman"/>
                <w:sz w:val="21"/>
                <w:szCs w:val="21"/>
              </w:rPr>
              <w:t>超五年重新审核项目</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sym w:font="Wingdings 2" w:char="00A3"/>
            </w:r>
            <w:r>
              <w:rPr>
                <w:rFonts w:hint="default" w:ascii="Times New Roman" w:hAnsi="Times New Roman" w:eastAsia="宋体" w:cs="Times New Roman"/>
                <w:sz w:val="21"/>
                <w:szCs w:val="21"/>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809" w:type="dxa"/>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项目审批（核准/</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备案）部门（选填）</w:t>
            </w:r>
          </w:p>
        </w:tc>
        <w:tc>
          <w:tcPr>
            <w:tcW w:w="2453" w:type="dxa"/>
            <w:gridSpan w:val="2"/>
            <w:vAlign w:val="center"/>
          </w:tcPr>
          <w:p>
            <w:pPr>
              <w:pStyle w:val="42"/>
              <w:keepNext w:val="0"/>
              <w:keepLines w:val="0"/>
              <w:suppressLineNumbers w:val="0"/>
              <w:spacing w:before="0" w:beforeAutospacing="0" w:after="0" w:afterAutospacing="0"/>
              <w:ind w:left="0" w:right="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rPr>
              <w:t>霞浦县</w:t>
            </w:r>
            <w:r>
              <w:rPr>
                <w:rFonts w:hint="default" w:ascii="Times New Roman" w:hAnsi="Times New Roman" w:eastAsia="宋体" w:cs="Times New Roman"/>
                <w:color w:val="auto"/>
                <w:sz w:val="21"/>
                <w:szCs w:val="21"/>
                <w:lang w:val="en-US" w:eastAsia="zh-CN"/>
              </w:rPr>
              <w:t>发展和改革局</w:t>
            </w:r>
          </w:p>
        </w:tc>
        <w:tc>
          <w:tcPr>
            <w:tcW w:w="188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项目审批（核准/</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备案）文号（选填）</w:t>
            </w:r>
          </w:p>
        </w:tc>
        <w:tc>
          <w:tcPr>
            <w:tcW w:w="272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rPr>
              <w:t>闽</w:t>
            </w:r>
            <w:r>
              <w:rPr>
                <w:rFonts w:hint="default" w:ascii="Times New Roman" w:hAnsi="Times New Roman" w:eastAsia="宋体" w:cs="Times New Roman"/>
                <w:color w:val="auto"/>
                <w:sz w:val="21"/>
                <w:szCs w:val="21"/>
                <w:lang w:val="en-US" w:eastAsia="zh-CN"/>
              </w:rPr>
              <w:t>发改备[2024]J040140号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09" w:type="dxa"/>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总投资（万元）</w:t>
            </w:r>
          </w:p>
        </w:tc>
        <w:tc>
          <w:tcPr>
            <w:tcW w:w="2453"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3800</w:t>
            </w:r>
          </w:p>
        </w:tc>
        <w:tc>
          <w:tcPr>
            <w:tcW w:w="1888" w:type="dxa"/>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环保投资（万元）</w:t>
            </w:r>
          </w:p>
        </w:tc>
        <w:tc>
          <w:tcPr>
            <w:tcW w:w="272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09" w:type="dxa"/>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环保投资占比（%）</w:t>
            </w:r>
          </w:p>
        </w:tc>
        <w:tc>
          <w:tcPr>
            <w:tcW w:w="2453"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6.58</w:t>
            </w:r>
          </w:p>
        </w:tc>
        <w:tc>
          <w:tcPr>
            <w:tcW w:w="1888" w:type="dxa"/>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施工工期</w:t>
            </w:r>
          </w:p>
        </w:tc>
        <w:tc>
          <w:tcPr>
            <w:tcW w:w="272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15</w:t>
            </w:r>
            <w:r>
              <w:rPr>
                <w:rFonts w:hint="default" w:ascii="Times New Roman" w:hAnsi="Times New Roman" w:eastAsia="宋体" w:cs="Times New Roman"/>
                <w:sz w:val="21"/>
                <w:szCs w:val="21"/>
                <w:highlight w:val="none"/>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09" w:type="dxa"/>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是否开工建设</w:t>
            </w:r>
          </w:p>
        </w:tc>
        <w:tc>
          <w:tcPr>
            <w:tcW w:w="2453" w:type="dxa"/>
            <w:gridSpan w:val="2"/>
            <w:vAlign w:val="center"/>
          </w:tcPr>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sym w:font="Wingdings 2" w:char="0052"/>
            </w:r>
            <w:r>
              <w:rPr>
                <w:rFonts w:hint="default" w:ascii="Times New Roman" w:hAnsi="Times New Roman" w:eastAsia="宋体" w:cs="Times New Roman"/>
                <w:sz w:val="21"/>
                <w:szCs w:val="21"/>
              </w:rPr>
              <w:t>否</w:t>
            </w: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sym w:font="Wingdings 2" w:char="00A3"/>
            </w:r>
            <w:r>
              <w:rPr>
                <w:rFonts w:hint="default" w:ascii="Times New Roman" w:hAnsi="Times New Roman" w:eastAsia="宋体" w:cs="Times New Roman"/>
                <w:sz w:val="21"/>
                <w:szCs w:val="21"/>
              </w:rPr>
              <w:t>是：</w:t>
            </w:r>
            <w:r>
              <w:rPr>
                <w:rFonts w:hint="default" w:ascii="Times New Roman" w:hAnsi="Times New Roman" w:eastAsia="宋体" w:cs="Times New Roman"/>
                <w:sz w:val="21"/>
                <w:szCs w:val="21"/>
                <w:u w:val="single"/>
              </w:rPr>
              <w:t xml:space="preserve">               </w:t>
            </w:r>
          </w:p>
        </w:tc>
        <w:tc>
          <w:tcPr>
            <w:tcW w:w="1888" w:type="dxa"/>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pacing w:val="-6"/>
                <w:sz w:val="21"/>
                <w:szCs w:val="21"/>
              </w:rPr>
            </w:pPr>
            <w:r>
              <w:rPr>
                <w:rFonts w:hint="default" w:ascii="Times New Roman" w:hAnsi="Times New Roman" w:eastAsia="宋体" w:cs="Times New Roman"/>
                <w:spacing w:val="-6"/>
                <w:sz w:val="21"/>
                <w:szCs w:val="21"/>
              </w:rPr>
              <w:t>用地（用海）</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pacing w:val="-6"/>
                <w:sz w:val="21"/>
                <w:szCs w:val="21"/>
              </w:rPr>
              <w:t>面积（m</w:t>
            </w:r>
            <w:r>
              <w:rPr>
                <w:rFonts w:hint="default" w:ascii="Times New Roman" w:hAnsi="Times New Roman" w:eastAsia="宋体" w:cs="Times New Roman"/>
                <w:spacing w:val="-6"/>
                <w:sz w:val="21"/>
                <w:szCs w:val="21"/>
                <w:vertAlign w:val="superscript"/>
              </w:rPr>
              <w:t>2</w:t>
            </w:r>
            <w:r>
              <w:rPr>
                <w:rFonts w:hint="default" w:ascii="Times New Roman" w:hAnsi="Times New Roman" w:eastAsia="宋体" w:cs="Times New Roman"/>
                <w:spacing w:val="-6"/>
                <w:sz w:val="21"/>
                <w:szCs w:val="21"/>
              </w:rPr>
              <w:t>）</w:t>
            </w:r>
          </w:p>
        </w:tc>
        <w:tc>
          <w:tcPr>
            <w:tcW w:w="272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lang w:val="en-US" w:eastAsia="zh-CN"/>
              </w:rPr>
              <w:t>16000</w:t>
            </w:r>
            <w:r>
              <w:rPr>
                <w:rFonts w:hint="default" w:ascii="Times New Roman" w:hAnsi="Times New Roman" w:eastAsia="宋体" w:cs="Times New Roman"/>
                <w:color w:val="auto"/>
                <w:sz w:val="21"/>
                <w:szCs w:val="21"/>
              </w:rPr>
              <w:t>（</w:t>
            </w:r>
            <w:r>
              <w:rPr>
                <w:rFonts w:hint="eastAsia" w:cs="Times New Roman"/>
                <w:color w:val="auto"/>
                <w:sz w:val="21"/>
                <w:szCs w:val="21"/>
                <w:lang w:val="en-US" w:eastAsia="zh-CN"/>
              </w:rPr>
              <w:t>租赁</w:t>
            </w:r>
            <w:r>
              <w:rPr>
                <w:rFonts w:hint="default" w:ascii="Times New Roman" w:hAnsi="Times New Roman" w:eastAsia="宋体" w:cs="Times New Roman"/>
                <w:color w:val="auto"/>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09" w:type="dxa"/>
            <w:vMerge w:val="restart"/>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专项评价设置情况</w:t>
            </w:r>
          </w:p>
        </w:tc>
        <w:tc>
          <w:tcPr>
            <w:tcW w:w="126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专项类别</w:t>
            </w:r>
          </w:p>
        </w:tc>
        <w:tc>
          <w:tcPr>
            <w:tcW w:w="118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开展情况</w:t>
            </w:r>
          </w:p>
        </w:tc>
        <w:tc>
          <w:tcPr>
            <w:tcW w:w="4608"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设置说明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809" w:type="dxa"/>
            <w:vMerge w:val="continue"/>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126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大气</w:t>
            </w:r>
          </w:p>
        </w:tc>
        <w:tc>
          <w:tcPr>
            <w:tcW w:w="118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w:t>
            </w:r>
          </w:p>
        </w:tc>
        <w:tc>
          <w:tcPr>
            <w:tcW w:w="4608"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themeColor="text1"/>
                <w:kern w:val="0"/>
                <w:sz w:val="21"/>
                <w:szCs w:val="21"/>
                <w14:textFill>
                  <w14:solidFill>
                    <w14:schemeClr w14:val="tx1"/>
                  </w14:solidFill>
                </w14:textFill>
              </w:rPr>
              <w:t>本项目排放的废气不涉及有毒有害污染物、二噁英、苯并[a]芘、氰化物、氯气。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809" w:type="dxa"/>
            <w:vMerge w:val="continue"/>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color w:val="000000"/>
                <w:kern w:val="0"/>
                <w:sz w:val="21"/>
                <w:szCs w:val="21"/>
              </w:rPr>
            </w:pPr>
          </w:p>
        </w:tc>
        <w:tc>
          <w:tcPr>
            <w:tcW w:w="126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地表水</w:t>
            </w:r>
          </w:p>
        </w:tc>
        <w:tc>
          <w:tcPr>
            <w:tcW w:w="118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无</w:t>
            </w:r>
          </w:p>
        </w:tc>
        <w:tc>
          <w:tcPr>
            <w:tcW w:w="4608"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themeColor="text1"/>
                <w:kern w:val="0"/>
                <w:sz w:val="21"/>
                <w:szCs w:val="21"/>
                <w14:textFill>
                  <w14:solidFill>
                    <w14:schemeClr w14:val="tx1"/>
                  </w14:solidFill>
                </w14:textFill>
              </w:rPr>
              <w:t>本项目产生的废水经预处理达标后排入</w:t>
            </w:r>
            <w:r>
              <w:rPr>
                <w:rFonts w:hint="default" w:ascii="Times New Roman" w:hAnsi="Times New Roman" w:eastAsia="宋体" w:cs="Times New Roman"/>
                <w:kern w:val="0"/>
                <w:sz w:val="21"/>
                <w:szCs w:val="21"/>
              </w:rPr>
              <w:t>霞浦县污水处理厂</w:t>
            </w:r>
            <w:r>
              <w:rPr>
                <w:rFonts w:hint="default" w:ascii="Times New Roman" w:hAnsi="Times New Roman" w:eastAsia="宋体" w:cs="Times New Roman"/>
                <w:color w:val="000000" w:themeColor="text1"/>
                <w:kern w:val="0"/>
                <w:sz w:val="21"/>
                <w:szCs w:val="21"/>
                <w14:textFill>
                  <w14:solidFill>
                    <w14:schemeClr w14:val="tx1"/>
                  </w14:solidFill>
                </w14:textFill>
              </w:rPr>
              <w:t>处理，不直接外排生产废水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809" w:type="dxa"/>
            <w:vMerge w:val="continue"/>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color w:val="000000"/>
                <w:kern w:val="0"/>
                <w:sz w:val="21"/>
                <w:szCs w:val="21"/>
              </w:rPr>
            </w:pPr>
          </w:p>
        </w:tc>
        <w:tc>
          <w:tcPr>
            <w:tcW w:w="126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环境风险</w:t>
            </w:r>
          </w:p>
        </w:tc>
        <w:tc>
          <w:tcPr>
            <w:tcW w:w="118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sz w:val="21"/>
                <w:szCs w:val="21"/>
              </w:rPr>
              <w:t>无</w:t>
            </w:r>
          </w:p>
        </w:tc>
        <w:tc>
          <w:tcPr>
            <w:tcW w:w="4608"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本项目</w:t>
            </w:r>
            <w:r>
              <w:rPr>
                <w:rFonts w:hint="default" w:ascii="Times New Roman" w:hAnsi="Times New Roman" w:eastAsia="宋体" w:cs="Times New Roman"/>
                <w:color w:val="auto"/>
                <w:kern w:val="0"/>
                <w:sz w:val="21"/>
                <w:szCs w:val="21"/>
                <w:lang w:val="en-US" w:eastAsia="zh-CN"/>
              </w:rPr>
              <w:t>拉伸油等</w:t>
            </w:r>
            <w:r>
              <w:rPr>
                <w:rFonts w:hint="default" w:ascii="Times New Roman" w:hAnsi="Times New Roman" w:eastAsia="宋体" w:cs="Times New Roman"/>
                <w:color w:val="auto"/>
                <w:kern w:val="0"/>
                <w:sz w:val="21"/>
                <w:szCs w:val="21"/>
              </w:rPr>
              <w:t>风险物质存储量未超过其临界量。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809" w:type="dxa"/>
            <w:vMerge w:val="continue"/>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color w:val="000000"/>
                <w:kern w:val="0"/>
                <w:sz w:val="21"/>
                <w:szCs w:val="21"/>
              </w:rPr>
            </w:pPr>
          </w:p>
        </w:tc>
        <w:tc>
          <w:tcPr>
            <w:tcW w:w="126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生态</w:t>
            </w:r>
          </w:p>
        </w:tc>
        <w:tc>
          <w:tcPr>
            <w:tcW w:w="118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无</w:t>
            </w:r>
          </w:p>
        </w:tc>
        <w:tc>
          <w:tcPr>
            <w:tcW w:w="4608"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本项目用水来自市政自来水管网供水，不属于新增河道取水的项目。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809" w:type="dxa"/>
            <w:vMerge w:val="continue"/>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color w:val="000000"/>
                <w:kern w:val="0"/>
                <w:sz w:val="21"/>
                <w:szCs w:val="21"/>
              </w:rPr>
            </w:pPr>
          </w:p>
        </w:tc>
        <w:tc>
          <w:tcPr>
            <w:tcW w:w="126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海洋</w:t>
            </w:r>
          </w:p>
        </w:tc>
        <w:tc>
          <w:tcPr>
            <w:tcW w:w="118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无</w:t>
            </w:r>
          </w:p>
        </w:tc>
        <w:tc>
          <w:tcPr>
            <w:tcW w:w="4608"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本项目不属于海洋工程建设项目，不涉及直接向海排放污染物。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809"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规划情况</w:t>
            </w:r>
          </w:p>
        </w:tc>
        <w:tc>
          <w:tcPr>
            <w:tcW w:w="7061" w:type="dxa"/>
            <w:gridSpan w:val="4"/>
            <w:vAlign w:val="center"/>
          </w:tcPr>
          <w:p>
            <w:pPr>
              <w:pStyle w:val="42"/>
              <w:keepNext w:val="0"/>
              <w:keepLines w:val="0"/>
              <w:suppressLineNumbers w:val="0"/>
              <w:spacing w:before="0" w:beforeAutospacing="0" w:after="0" w:afterAutospacing="0"/>
              <w:ind w:left="0" w:right="0" w:firstLine="0"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规划名称：《福建省霞浦经济开发区总体规划》</w:t>
            </w:r>
          </w:p>
          <w:p>
            <w:pPr>
              <w:pStyle w:val="42"/>
              <w:keepNext w:val="0"/>
              <w:keepLines w:val="0"/>
              <w:suppressLineNumbers w:val="0"/>
              <w:spacing w:before="0" w:beforeAutospacing="0" w:after="0" w:afterAutospacing="0"/>
              <w:ind w:left="0" w:right="0" w:firstLine="0"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审批机关：福建省人民政府；</w:t>
            </w:r>
          </w:p>
          <w:p>
            <w:pPr>
              <w:pStyle w:val="42"/>
              <w:keepNext w:val="0"/>
              <w:keepLines w:val="0"/>
              <w:suppressLineNumbers w:val="0"/>
              <w:spacing w:before="0" w:beforeAutospacing="0" w:after="0" w:afterAutospacing="0"/>
              <w:ind w:left="0" w:right="0" w:firstLine="0" w:firstLineChars="0"/>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审批文件名称及文号：福建省人民政府关于设立霞浦经济开发区的批复（闽政文﹝2014﹞9号）。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809"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规划环境影响</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评价情况</w:t>
            </w:r>
          </w:p>
        </w:tc>
        <w:tc>
          <w:tcPr>
            <w:tcW w:w="7061" w:type="dxa"/>
            <w:gridSpan w:val="4"/>
            <w:vAlign w:val="center"/>
          </w:tcPr>
          <w:p>
            <w:pPr>
              <w:pStyle w:val="42"/>
              <w:keepNext w:val="0"/>
              <w:keepLines w:val="0"/>
              <w:suppressLineNumbers w:val="0"/>
              <w:spacing w:before="0" w:beforeAutospacing="0" w:after="0" w:afterAutospacing="0" w:line="360" w:lineRule="auto"/>
              <w:ind w:left="0" w:right="0" w:firstLine="0" w:firstLineChars="0"/>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规划环评文件名称：</w:t>
            </w:r>
            <w:r>
              <w:rPr>
                <w:rFonts w:hint="default" w:ascii="Times New Roman" w:hAnsi="Times New Roman" w:eastAsia="宋体" w:cs="Times New Roman"/>
                <w:kern w:val="0"/>
                <w:sz w:val="24"/>
                <w:szCs w:val="24"/>
              </w:rPr>
              <w:t>《福建省霞浦经济开发区总体规划环境影响报告书》；</w:t>
            </w:r>
          </w:p>
          <w:p>
            <w:pPr>
              <w:pStyle w:val="42"/>
              <w:keepNext w:val="0"/>
              <w:keepLines w:val="0"/>
              <w:suppressLineNumbers w:val="0"/>
              <w:spacing w:before="0" w:beforeAutospacing="0" w:after="0" w:afterAutospacing="0" w:line="360" w:lineRule="auto"/>
              <w:ind w:left="0" w:right="0" w:firstLine="0"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审批机关：原</w:t>
            </w:r>
            <w:r>
              <w:rPr>
                <w:rFonts w:hint="default" w:ascii="Times New Roman" w:hAnsi="Times New Roman" w:eastAsia="宋体" w:cs="Times New Roman"/>
                <w:kern w:val="0"/>
                <w:sz w:val="24"/>
                <w:szCs w:val="24"/>
              </w:rPr>
              <w:t>福建省环境保护厅；</w:t>
            </w:r>
          </w:p>
          <w:p>
            <w:pPr>
              <w:pStyle w:val="42"/>
              <w:keepNext w:val="0"/>
              <w:keepLines w:val="0"/>
              <w:suppressLineNumbers w:val="0"/>
              <w:spacing w:before="0" w:beforeAutospacing="0" w:after="0" w:afterAutospacing="0" w:line="360" w:lineRule="auto"/>
              <w:ind w:left="0" w:right="0" w:firstLine="0" w:firstLineChars="0"/>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审查文件名称及文号：</w:t>
            </w:r>
            <w:r>
              <w:rPr>
                <w:rFonts w:hint="default" w:ascii="Times New Roman" w:hAnsi="Times New Roman" w:eastAsia="宋体" w:cs="Times New Roman"/>
                <w:kern w:val="0"/>
                <w:sz w:val="24"/>
                <w:szCs w:val="24"/>
              </w:rPr>
              <w:t>福建省环保厅关于《福建省霞浦经济开发区总体规划环境影响报告书》的审查意见（闽环保评﹝2012﹞94号）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87" w:hRule="atLeast"/>
          <w:jc w:val="center"/>
        </w:trPr>
        <w:tc>
          <w:tcPr>
            <w:tcW w:w="1809"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规划及规划环境影响评价符合性分析</w:t>
            </w:r>
          </w:p>
        </w:tc>
        <w:tc>
          <w:tcPr>
            <w:tcW w:w="7061" w:type="dxa"/>
            <w:gridSpan w:val="4"/>
            <w:vAlign w:val="center"/>
          </w:tcPr>
          <w:p>
            <w:pPr>
              <w:pStyle w:val="4"/>
              <w:keepNext w:val="0"/>
              <w:keepLines w:val="0"/>
              <w:suppressLineNumbers w:val="0"/>
              <w:tabs>
                <w:tab w:val="clear" w:pos="420"/>
              </w:tabs>
              <w:spacing w:before="0" w:beforeAutospacing="0" w:after="0" w:afterAutospacing="0"/>
              <w:ind w:left="0" w:right="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与福建省霞浦经济开发区总体规划符合性分析</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福建省霞浦经济开发区总体规划中规划产业定位为：发展纺织服装、金属制品、电子电气等产业。小沙片区重点发展纺织服装、电子电气等产业；大沙片区重点发展电子电气、金属制品。禁止入区产业为纺织服装行业中的印染、毛皮鞣制、羽毛（绒）加工项目；金属制品业中的铸铁金属件制造企业、电镀企业；电子电气中的印制电路板制造。</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本项目位于霞浦经济开发区大沙片区，生产新能源锂</w:t>
            </w:r>
            <w:r>
              <w:rPr>
                <w:rFonts w:hint="eastAsia" w:cs="Times New Roman"/>
                <w:sz w:val="24"/>
                <w:szCs w:val="24"/>
                <w:highlight w:val="none"/>
                <w:lang w:val="en-US" w:eastAsia="zh-CN"/>
              </w:rPr>
              <w:t>动力</w:t>
            </w:r>
            <w:r>
              <w:rPr>
                <w:rFonts w:hint="default" w:ascii="Times New Roman" w:hAnsi="Times New Roman" w:eastAsia="宋体" w:cs="Times New Roman"/>
                <w:sz w:val="24"/>
                <w:szCs w:val="24"/>
                <w:highlight w:val="none"/>
              </w:rPr>
              <w:t>电池铝壳，属于金属制品，不属于铸铁金属件制造，不涉及电镀工序，为大沙片区重点发展产业，符合霞浦经济开发区总体规划产业定位。根据霞浦经济开发区土地利用规划图（见附图2）可知，本项目用地性质为二类工业用地，符合开发区土地利用规划要求。</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综上所述，本项目建设与福建省霞浦经济开发区总体规划相符合。</w:t>
            </w:r>
          </w:p>
          <w:p>
            <w:pPr>
              <w:pStyle w:val="4"/>
              <w:keepNext w:val="0"/>
              <w:keepLines w:val="0"/>
              <w:suppressLineNumbers w:val="0"/>
              <w:spacing w:before="0" w:beforeAutospacing="0" w:after="0" w:afterAutospacing="0"/>
              <w:ind w:left="0" w:right="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与规划环境影响评价结论及审查意见的符合性分析</w:t>
            </w:r>
          </w:p>
          <w:p>
            <w:pPr>
              <w:pStyle w:val="71"/>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本项目与《福建省霞浦经济开发区总体规划环境影响报告书》评价结论及其审查意见符合性分析如下表所示，本项目属于铝金属制品制造，不属于规划环评及其审查意见中禁止准入的铸铁金属件制造企业、电镀企业。项目采用智能自动化生产线，使用电能</w:t>
            </w:r>
            <w:r>
              <w:rPr>
                <w:rFonts w:hint="default" w:ascii="Times New Roman" w:hAnsi="Times New Roman" w:eastAsia="宋体" w:cs="Times New Roman"/>
                <w:sz w:val="24"/>
                <w:szCs w:val="24"/>
                <w:highlight w:val="none"/>
                <w:lang w:val="en-US" w:eastAsia="zh-CN"/>
              </w:rPr>
              <w:t>等</w:t>
            </w:r>
            <w:r>
              <w:rPr>
                <w:rFonts w:hint="default" w:ascii="Times New Roman" w:hAnsi="Times New Roman" w:eastAsia="宋体" w:cs="Times New Roman"/>
                <w:sz w:val="24"/>
                <w:szCs w:val="24"/>
                <w:highlight w:val="none"/>
              </w:rPr>
              <w:t>清洁能源，</w:t>
            </w:r>
            <w:r>
              <w:rPr>
                <w:rFonts w:hint="default" w:ascii="Times New Roman" w:hAnsi="Times New Roman" w:eastAsia="宋体" w:cs="Times New Roman"/>
                <w:sz w:val="24"/>
                <w:szCs w:val="24"/>
                <w:highlight w:val="none"/>
                <w:lang w:val="en-US" w:eastAsia="zh-CN"/>
              </w:rPr>
              <w:t>拉伸油经过滤循环使用，生产过程中废气产生量极少，废水经厂内污水处理设施处理后可达标排放，纳入污水处理厂统一处理。</w:t>
            </w:r>
            <w:r>
              <w:rPr>
                <w:rFonts w:hint="default" w:ascii="Times New Roman" w:hAnsi="Times New Roman" w:eastAsia="宋体" w:cs="Times New Roman"/>
                <w:sz w:val="24"/>
                <w:szCs w:val="24"/>
                <w:highlight w:val="none"/>
              </w:rPr>
              <w:t>清洁生产水平可达到国内先进水平。同时，项目产生的各类污染物经有效治理后均可以实现达标排放，项目建设对厂址所在区域的环境质量影响不大，可满足所在区域的环境功能区划要求。因此项目的建设与《福建省霞浦经济开发区总体规划环境影响报告书》及其审查意见相符。</w:t>
            </w:r>
          </w:p>
          <w:p>
            <w:pPr>
              <w:pStyle w:val="36"/>
              <w:keepNext w:val="0"/>
              <w:keepLines w:val="0"/>
              <w:suppressLineNumbers w:val="0"/>
              <w:bidi w:val="0"/>
              <w:spacing w:before="0" w:beforeAutospacing="0" w:after="0" w:afterAutospacing="0"/>
              <w:ind w:right="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与规划环境影响评价结论及审查意见的符合性分析一览表</w:t>
            </w:r>
          </w:p>
          <w:tbl>
            <w:tblPr>
              <w:tblStyle w:val="27"/>
              <w:tblW w:w="6845"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372"/>
              <w:gridCol w:w="437"/>
              <w:gridCol w:w="2989"/>
              <w:gridCol w:w="2185"/>
              <w:gridCol w:w="86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372"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文件</w:t>
                  </w:r>
                </w:p>
              </w:tc>
              <w:tc>
                <w:tcPr>
                  <w:tcW w:w="437"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序号</w:t>
                  </w:r>
                </w:p>
              </w:tc>
              <w:tc>
                <w:tcPr>
                  <w:tcW w:w="2989"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相关内容</w:t>
                  </w:r>
                </w:p>
              </w:tc>
              <w:tc>
                <w:tcPr>
                  <w:tcW w:w="2185"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本项目情况</w:t>
                  </w:r>
                </w:p>
              </w:tc>
              <w:tc>
                <w:tcPr>
                  <w:tcW w:w="862"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符合性分析</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372"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报告书</w:t>
                  </w:r>
                </w:p>
              </w:tc>
              <w:tc>
                <w:tcPr>
                  <w:tcW w:w="437"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w:t>
                  </w:r>
                </w:p>
              </w:tc>
              <w:tc>
                <w:tcPr>
                  <w:tcW w:w="2989" w:type="dxa"/>
                  <w:tcBorders>
                    <w:tl2br w:val="nil"/>
                    <w:tr2bl w:val="nil"/>
                  </w:tcBorders>
                  <w:vAlign w:val="center"/>
                </w:tcPr>
                <w:p>
                  <w:pPr>
                    <w:pStyle w:val="37"/>
                    <w:keepNext w:val="0"/>
                    <w:keepLines w:val="0"/>
                    <w:suppressLineNumbers w:val="0"/>
                    <w:spacing w:before="0" w:beforeAutospacing="0" w:after="0" w:afterAutospacing="0"/>
                    <w:ind w:right="0"/>
                    <w:jc w:val="both"/>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金属制品</w:t>
                  </w:r>
                </w:p>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rPr>
                  </w:pPr>
                  <w:r>
                    <w:rPr>
                      <w:rFonts w:hint="default" w:ascii="Times New Roman" w:hAnsi="Times New Roman" w:eastAsia="宋体" w:cs="Times New Roman"/>
                      <w:b/>
                      <w:bCs/>
                      <w:sz w:val="21"/>
                      <w:szCs w:val="21"/>
                      <w:highlight w:val="none"/>
                    </w:rPr>
                    <w:t>推荐项目：</w:t>
                  </w:r>
                </w:p>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结构性金属制品制造、金属工具制造、集装箱及金属包装容器制造、金属丝绳及其制品制造、搪瓷制品制造、金属制日用品制造、其他金属制品制造。</w:t>
                  </w:r>
                </w:p>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rPr>
                  </w:pPr>
                  <w:r>
                    <w:rPr>
                      <w:rFonts w:hint="default" w:ascii="Times New Roman" w:hAnsi="Times New Roman" w:eastAsia="宋体" w:cs="Times New Roman"/>
                      <w:b/>
                      <w:bCs/>
                      <w:sz w:val="21"/>
                      <w:szCs w:val="21"/>
                      <w:highlight w:val="none"/>
                    </w:rPr>
                    <w:t>禁止项目：</w:t>
                  </w:r>
                  <w:r>
                    <w:rPr>
                      <w:rFonts w:hint="default" w:ascii="Times New Roman" w:hAnsi="Times New Roman" w:eastAsia="宋体" w:cs="Times New Roman"/>
                      <w:sz w:val="21"/>
                      <w:szCs w:val="21"/>
                      <w:highlight w:val="none"/>
                    </w:rPr>
                    <w:t>《产业结构调整指导目录》中关于信息产业、机械的限制类项目；禁止引进电镀企业、铸铁金属件制造。</w:t>
                  </w:r>
                </w:p>
              </w:tc>
              <w:tc>
                <w:tcPr>
                  <w:tcW w:w="2185" w:type="dxa"/>
                  <w:tcBorders>
                    <w:tl2br w:val="nil"/>
                    <w:tr2bl w:val="nil"/>
                  </w:tcBorders>
                  <w:vAlign w:val="center"/>
                </w:tcPr>
                <w:p>
                  <w:pPr>
                    <w:pStyle w:val="37"/>
                    <w:keepNext w:val="0"/>
                    <w:keepLines w:val="0"/>
                    <w:suppressLineNumbers w:val="0"/>
                    <w:spacing w:before="0" w:beforeAutospacing="0" w:after="0" w:afterAutospacing="0"/>
                    <w:ind w:right="0"/>
                    <w:jc w:val="both"/>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本项目生产新能源</w:t>
                  </w:r>
                  <w:r>
                    <w:rPr>
                      <w:rFonts w:hint="eastAsia" w:cs="Times New Roman"/>
                      <w:sz w:val="21"/>
                      <w:szCs w:val="21"/>
                      <w:highlight w:val="none"/>
                      <w:lang w:val="en-US" w:eastAsia="zh-CN"/>
                    </w:rPr>
                    <w:t>动力</w:t>
                  </w:r>
                  <w:r>
                    <w:rPr>
                      <w:rFonts w:hint="default" w:ascii="Times New Roman" w:hAnsi="Times New Roman" w:eastAsia="宋体" w:cs="Times New Roman"/>
                      <w:sz w:val="21"/>
                      <w:szCs w:val="21"/>
                      <w:highlight w:val="none"/>
                    </w:rPr>
                    <w:t>电池铝壳</w:t>
                  </w:r>
                  <w:r>
                    <w:rPr>
                      <w:rFonts w:hint="eastAsia" w:cs="Times New Roman"/>
                      <w:sz w:val="21"/>
                      <w:szCs w:val="21"/>
                      <w:highlight w:val="none"/>
                      <w:lang w:eastAsia="zh-CN"/>
                    </w:rPr>
                    <w:t>，</w:t>
                  </w:r>
                  <w:r>
                    <w:rPr>
                      <w:rFonts w:hint="eastAsia" w:cs="Times New Roman"/>
                      <w:sz w:val="21"/>
                      <w:szCs w:val="21"/>
                      <w:highlight w:val="none"/>
                      <w:lang w:val="en-US" w:eastAsia="zh-CN"/>
                    </w:rPr>
                    <w:t>属于</w:t>
                  </w:r>
                  <w:r>
                    <w:rPr>
                      <w:rFonts w:hint="default" w:ascii="Times New Roman" w:hAnsi="Times New Roman" w:eastAsia="宋体" w:cs="Times New Roman"/>
                      <w:sz w:val="21"/>
                      <w:szCs w:val="21"/>
                      <w:highlight w:val="none"/>
                    </w:rPr>
                    <w:t>为金属制品制造，为开发区推荐项目，不涉及电镀、不涉及铸铁金属件制造，不属于禁止类项目。</w:t>
                  </w:r>
                </w:p>
              </w:tc>
              <w:tc>
                <w:tcPr>
                  <w:tcW w:w="862"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2" w:type="dxa"/>
                  <w:vMerge w:val="restart"/>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审查意见</w:t>
                  </w:r>
                </w:p>
              </w:tc>
              <w:tc>
                <w:tcPr>
                  <w:tcW w:w="437"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w:t>
                  </w:r>
                </w:p>
              </w:tc>
              <w:tc>
                <w:tcPr>
                  <w:tcW w:w="2989" w:type="dxa"/>
                  <w:tcBorders>
                    <w:tl2br w:val="nil"/>
                    <w:tr2bl w:val="nil"/>
                  </w:tcBorders>
                  <w:vAlign w:val="center"/>
                </w:tcPr>
                <w:p>
                  <w:pPr>
                    <w:pStyle w:val="37"/>
                    <w:keepNext w:val="0"/>
                    <w:keepLines w:val="0"/>
                    <w:suppressLineNumbers w:val="0"/>
                    <w:spacing w:before="0" w:beforeAutospacing="0" w:after="0" w:afterAutospacing="0"/>
                    <w:ind w:right="0"/>
                    <w:jc w:val="both"/>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园区规划的金属制品行业禁止引入电镀、铸铁金属件制造，现有的不锈钢制品制造业规模不应扩大。</w:t>
                  </w:r>
                </w:p>
              </w:tc>
              <w:tc>
                <w:tcPr>
                  <w:tcW w:w="2185" w:type="dxa"/>
                  <w:tcBorders>
                    <w:tl2br w:val="nil"/>
                    <w:tr2bl w:val="nil"/>
                  </w:tcBorders>
                  <w:vAlign w:val="center"/>
                </w:tcPr>
                <w:p>
                  <w:pPr>
                    <w:pStyle w:val="37"/>
                    <w:keepNext w:val="0"/>
                    <w:keepLines w:val="0"/>
                    <w:suppressLineNumbers w:val="0"/>
                    <w:spacing w:before="0" w:beforeAutospacing="0" w:after="0" w:afterAutospacing="0"/>
                    <w:ind w:right="0"/>
                    <w:jc w:val="both"/>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本项目为金属制品制造，生产新能源</w:t>
                  </w:r>
                  <w:r>
                    <w:rPr>
                      <w:rFonts w:hint="eastAsia" w:cs="Times New Roman"/>
                      <w:sz w:val="21"/>
                      <w:szCs w:val="21"/>
                      <w:highlight w:val="none"/>
                      <w:lang w:val="en-US" w:eastAsia="zh-CN"/>
                    </w:rPr>
                    <w:t>动力</w:t>
                  </w:r>
                  <w:r>
                    <w:rPr>
                      <w:rFonts w:hint="default" w:ascii="Times New Roman" w:hAnsi="Times New Roman" w:eastAsia="宋体" w:cs="Times New Roman"/>
                      <w:sz w:val="21"/>
                      <w:szCs w:val="21"/>
                      <w:highlight w:val="none"/>
                    </w:rPr>
                    <w:t>电池铝壳，为开发区推荐项目，不涉及电镀、不涉及铸铁金属件制造，不属于禁止类项目。</w:t>
                  </w:r>
                </w:p>
              </w:tc>
              <w:tc>
                <w:tcPr>
                  <w:tcW w:w="862"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457" w:hRule="atLeast"/>
                <w:jc w:val="center"/>
              </w:trPr>
              <w:tc>
                <w:tcPr>
                  <w:tcW w:w="372" w:type="dxa"/>
                  <w:vMerge w:val="continue"/>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p>
              </w:tc>
              <w:tc>
                <w:tcPr>
                  <w:tcW w:w="437"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2</w:t>
                  </w:r>
                </w:p>
              </w:tc>
              <w:tc>
                <w:tcPr>
                  <w:tcW w:w="2989"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入区项目的清洁生产应达到国内先进水平，鼓励使用清洁能源。积极开展水资源综合利用，提高企业工业用水循环利用率。</w:t>
                  </w:r>
                </w:p>
              </w:tc>
              <w:tc>
                <w:tcPr>
                  <w:tcW w:w="2185" w:type="dxa"/>
                  <w:tcBorders>
                    <w:tl2br w:val="nil"/>
                    <w:tr2bl w:val="nil"/>
                  </w:tcBorders>
                  <w:vAlign w:val="center"/>
                </w:tcPr>
                <w:p>
                  <w:pPr>
                    <w:pStyle w:val="37"/>
                    <w:keepNext w:val="0"/>
                    <w:keepLines w:val="0"/>
                    <w:suppressLineNumbers w:val="0"/>
                    <w:spacing w:before="0" w:beforeAutospacing="0" w:after="0" w:afterAutospacing="0"/>
                    <w:ind w:right="0"/>
                    <w:jc w:val="both"/>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项目采用自动化生产线，使用电能清洁能源，清洁生产水平可达到国内先进水平。</w:t>
                  </w:r>
                </w:p>
              </w:tc>
              <w:tc>
                <w:tcPr>
                  <w:tcW w:w="862"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符合</w:t>
                  </w:r>
                </w:p>
              </w:tc>
            </w:tr>
          </w:tbl>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09"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其他符合性分析</w:t>
            </w:r>
          </w:p>
        </w:tc>
        <w:tc>
          <w:tcPr>
            <w:tcW w:w="7061" w:type="dxa"/>
            <w:gridSpan w:val="4"/>
            <w:vAlign w:val="center"/>
          </w:tcPr>
          <w:p>
            <w:pPr>
              <w:pStyle w:val="4"/>
              <w:keepNext w:val="0"/>
              <w:keepLines w:val="0"/>
              <w:suppressLineNumbers w:val="0"/>
              <w:spacing w:before="0" w:beforeAutospacing="0" w:after="0" w:afterAutospacing="0"/>
              <w:ind w:left="0" w:right="0"/>
              <w:rPr>
                <w:rFonts w:hint="default" w:ascii="Times New Roman" w:hAnsi="Times New Roman" w:eastAsia="宋体" w:cs="Times New Roman"/>
                <w:color w:val="000000"/>
                <w:sz w:val="28"/>
                <w:szCs w:val="28"/>
                <w:highlight w:val="none"/>
              </w:rPr>
            </w:pPr>
            <w:r>
              <w:rPr>
                <w:rFonts w:hint="default" w:ascii="Times New Roman" w:hAnsi="Times New Roman" w:eastAsia="宋体" w:cs="Times New Roman"/>
                <w:sz w:val="28"/>
                <w:szCs w:val="28"/>
                <w:highlight w:val="none"/>
              </w:rPr>
              <w:t>“三线一单”控制要求符合性分析</w:t>
            </w:r>
          </w:p>
          <w:p>
            <w:pPr>
              <w:pStyle w:val="5"/>
              <w:suppressLineNumbers w:val="0"/>
              <w:spacing w:before="0" w:beforeAutospacing="0" w:after="0" w:afterAutospacing="0" w:line="360" w:lineRule="auto"/>
              <w:ind w:right="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生态保护红线</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r>
              <w:rPr>
                <w:rFonts w:hint="default" w:ascii="Times New Roman" w:hAnsi="Times New Roman" w:eastAsia="宋体" w:cs="Times New Roman"/>
                <w:color w:val="000000" w:themeColor="text1"/>
                <w:sz w:val="24"/>
                <w:szCs w:val="24"/>
                <w:highlight w:val="none"/>
                <w14:textFill>
                  <w14:solidFill>
                    <w14:schemeClr w14:val="tx1"/>
                  </w14:solidFill>
                </w14:textFill>
              </w:rPr>
              <w:t>建设单位租赁福建德恩家具有限公司</w:t>
            </w:r>
            <w:r>
              <w:rPr>
                <w:rFonts w:hint="default" w:ascii="Times New Roman" w:hAnsi="Times New Roman" w:eastAsia="宋体" w:cs="Times New Roman"/>
                <w:sz w:val="24"/>
                <w:szCs w:val="24"/>
                <w:highlight w:val="none"/>
              </w:rPr>
              <w:t>已建标准厂房进行生产，不涉及新增用地，</w:t>
            </w:r>
            <w:r>
              <w:rPr>
                <w:rFonts w:hint="default" w:ascii="Times New Roman" w:hAnsi="Times New Roman" w:eastAsia="宋体" w:cs="Times New Roman"/>
                <w:color w:val="000000" w:themeColor="text1"/>
                <w:sz w:val="24"/>
                <w:szCs w:val="24"/>
                <w:highlight w:val="none"/>
                <w14:textFill>
                  <w14:solidFill>
                    <w14:schemeClr w14:val="tx1"/>
                  </w14:solidFill>
                </w14:textFill>
              </w:rPr>
              <w:t>用地性质为工业用地，</w:t>
            </w:r>
            <w:r>
              <w:rPr>
                <w:rFonts w:hint="default" w:ascii="Times New Roman" w:hAnsi="Times New Roman" w:eastAsia="宋体" w:cs="Times New Roman"/>
                <w:color w:val="000000" w:themeColor="text1"/>
                <w:sz w:val="24"/>
                <w:szCs w:val="24"/>
                <w:highlight w:val="none"/>
                <w:lang w:bidi="ar"/>
                <w14:textFill>
                  <w14:solidFill>
                    <w14:schemeClr w14:val="tx1"/>
                  </w14:solidFill>
                </w14:textFill>
              </w:rPr>
              <w:t>项目不在当地饮用水源保护区、自然保护区、风景名胜区、重要湿地、生态公益林、重要自然与人文景观、文物古迹及其他需要特别保护的区域范围内，</w:t>
            </w:r>
            <w:r>
              <w:rPr>
                <w:rFonts w:hint="default" w:ascii="Times New Roman" w:hAnsi="Times New Roman" w:eastAsia="宋体" w:cs="Times New Roman"/>
                <w:color w:val="000000" w:themeColor="text1"/>
                <w:sz w:val="24"/>
                <w:szCs w:val="24"/>
                <w:highlight w:val="none"/>
                <w14:textFill>
                  <w14:solidFill>
                    <w14:schemeClr w14:val="tx1"/>
                  </w14:solidFill>
                </w14:textFill>
              </w:rPr>
              <w:t>因此项目建设符合生态保护红线管控要求</w:t>
            </w:r>
            <w:r>
              <w:rPr>
                <w:rFonts w:hint="default" w:ascii="Times New Roman" w:hAnsi="Times New Roman" w:eastAsia="宋体" w:cs="Times New Roman"/>
                <w:sz w:val="24"/>
                <w:szCs w:val="24"/>
                <w:highlight w:val="none"/>
              </w:rPr>
              <w:t>。</w:t>
            </w:r>
          </w:p>
          <w:p>
            <w:pPr>
              <w:pStyle w:val="5"/>
              <w:suppressLineNumbers w:val="0"/>
              <w:spacing w:before="0" w:beforeAutospacing="0" w:after="0" w:afterAutospacing="0" w:line="360" w:lineRule="auto"/>
              <w:ind w:right="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环境质量底线</w:t>
            </w:r>
          </w:p>
          <w:p>
            <w:pPr>
              <w:pStyle w:val="25"/>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sz w:val="24"/>
                <w:szCs w:val="24"/>
                <w:highlight w:val="none"/>
              </w:rPr>
            </w:pPr>
            <w:r>
              <w:rPr>
                <w:rFonts w:hint="default" w:ascii="Times New Roman" w:hAnsi="Times New Roman" w:eastAsia="宋体" w:cs="Times New Roman"/>
                <w:kern w:val="2"/>
                <w:sz w:val="24"/>
                <w:szCs w:val="24"/>
                <w:highlight w:val="none"/>
                <w:lang w:bidi="ar"/>
              </w:rPr>
              <w:t>项目所在区域的环境质量底线为：大气环境空气质量目标为《环境空气质量标准》</w:t>
            </w:r>
            <w:r>
              <w:rPr>
                <w:rFonts w:hint="eastAsia" w:ascii="Times New Roman" w:hAnsi="Times New Roman" w:cs="Times New Roman"/>
                <w:kern w:val="2"/>
                <w:sz w:val="24"/>
                <w:szCs w:val="24"/>
                <w:highlight w:val="none"/>
                <w:lang w:eastAsia="zh-CN" w:bidi="ar"/>
              </w:rPr>
              <w:t>（</w:t>
            </w:r>
            <w:r>
              <w:rPr>
                <w:rFonts w:hint="default" w:ascii="Times New Roman" w:hAnsi="Times New Roman" w:eastAsia="宋体" w:cs="Times New Roman"/>
                <w:kern w:val="2"/>
                <w:sz w:val="24"/>
                <w:szCs w:val="24"/>
                <w:highlight w:val="none"/>
                <w:lang w:bidi="ar"/>
              </w:rPr>
              <w:t>GB3095-2012</w:t>
            </w:r>
            <w:r>
              <w:rPr>
                <w:rFonts w:hint="eastAsia" w:ascii="Times New Roman" w:hAnsi="Times New Roman" w:cs="Times New Roman"/>
                <w:kern w:val="2"/>
                <w:sz w:val="24"/>
                <w:szCs w:val="24"/>
                <w:highlight w:val="none"/>
                <w:lang w:eastAsia="zh-CN" w:bidi="ar"/>
              </w:rPr>
              <w:t>）</w:t>
            </w:r>
            <w:r>
              <w:rPr>
                <w:rFonts w:hint="default" w:ascii="Times New Roman" w:hAnsi="Times New Roman" w:eastAsia="宋体" w:cs="Times New Roman"/>
                <w:kern w:val="2"/>
                <w:sz w:val="24"/>
                <w:szCs w:val="24"/>
                <w:highlight w:val="none"/>
                <w:lang w:bidi="ar"/>
              </w:rPr>
              <w:t>中的二级标准；大沙溪、罗汉溪水环境质量目标为《地表水环境质量标准》（GB3838-2002）中的</w:t>
            </w:r>
            <w:r>
              <w:rPr>
                <w:rFonts w:hint="default" w:ascii="Times New Roman" w:hAnsi="Times New Roman" w:eastAsia="宋体" w:cs="Times New Roman"/>
                <w:kern w:val="2"/>
                <w:sz w:val="24"/>
                <w:szCs w:val="24"/>
                <w:highlight w:val="none"/>
                <w:lang w:bidi="ar"/>
              </w:rPr>
              <w:fldChar w:fldCharType="begin"/>
            </w:r>
            <w:r>
              <w:rPr>
                <w:rFonts w:hint="default" w:ascii="Times New Roman" w:hAnsi="Times New Roman" w:eastAsia="宋体" w:cs="Times New Roman"/>
                <w:kern w:val="2"/>
                <w:sz w:val="24"/>
                <w:szCs w:val="24"/>
                <w:highlight w:val="none"/>
                <w:lang w:bidi="ar"/>
              </w:rPr>
              <w:instrText xml:space="preserve"> = 3 \* ROMAN \* MERGEFORMAT </w:instrText>
            </w:r>
            <w:r>
              <w:rPr>
                <w:rFonts w:hint="default" w:ascii="Times New Roman" w:hAnsi="Times New Roman" w:eastAsia="宋体" w:cs="Times New Roman"/>
                <w:kern w:val="2"/>
                <w:sz w:val="24"/>
                <w:szCs w:val="24"/>
                <w:highlight w:val="none"/>
                <w:lang w:bidi="ar"/>
              </w:rPr>
              <w:fldChar w:fldCharType="separate"/>
            </w:r>
            <w:r>
              <w:rPr>
                <w:rFonts w:hint="default" w:ascii="Times New Roman" w:hAnsi="Times New Roman" w:eastAsia="宋体" w:cs="Times New Roman"/>
                <w:kern w:val="2"/>
                <w:sz w:val="24"/>
                <w:szCs w:val="24"/>
                <w:highlight w:val="none"/>
                <w:lang w:bidi="ar"/>
              </w:rPr>
              <w:t>III</w:t>
            </w:r>
            <w:r>
              <w:rPr>
                <w:rFonts w:hint="default" w:ascii="Times New Roman" w:hAnsi="Times New Roman" w:eastAsia="宋体" w:cs="Times New Roman"/>
                <w:kern w:val="2"/>
                <w:sz w:val="24"/>
                <w:szCs w:val="24"/>
                <w:highlight w:val="none"/>
                <w:lang w:bidi="ar"/>
              </w:rPr>
              <w:fldChar w:fldCharType="end"/>
            </w:r>
            <w:r>
              <w:rPr>
                <w:rFonts w:hint="default" w:ascii="Times New Roman" w:hAnsi="Times New Roman" w:eastAsia="宋体" w:cs="Times New Roman"/>
                <w:kern w:val="2"/>
                <w:sz w:val="24"/>
                <w:szCs w:val="24"/>
                <w:highlight w:val="none"/>
                <w:lang w:bidi="ar"/>
              </w:rPr>
              <w:t>类水标准限值；声环境质量目标为《声环境质量标准》（GB3096-2008）中的3类标准。项目所在区域环境质量现状均可满足相应功能区划要求。本项目采取环评提出的各项污染防治措施后，项目排放的污染物不会对区域环境质量底线造成冲击。</w:t>
            </w:r>
          </w:p>
          <w:p>
            <w:pPr>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（1）地表水环境质量底线</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宁德市地表水环境质量底线为：到2025年，全市主要流域国、省控断面水质优良（达到或优于Ⅲ类）比例总体达100%，县级以上集中式饮用水水源水质达标率达100%。到2030年，全市主要流域国、省控断面水质优良（达到或优于Ⅲ类）比例总体达100%，县级以上城市建成区黑臭水体总体得到消除，县级以上集中式饮用水水源水质稳定达标。到2035年，全市主要流域国、省控断面水质优良（达到或优于Ⅲ类）比例总体达100%，水生态系统实现良性循环。本项目生产废水和生活污水经预处理达标后纳入霞浦县污水处理厂统一处理，达标排放，因此符合地表水环境质量底线的管控要求。</w:t>
            </w:r>
          </w:p>
          <w:p>
            <w:pPr>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（2）大气环境质量底线</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0000FF"/>
                <w:sz w:val="24"/>
                <w:szCs w:val="24"/>
                <w:highlight w:val="none"/>
              </w:rPr>
            </w:pPr>
            <w:r>
              <w:rPr>
                <w:rFonts w:hint="default" w:ascii="Times New Roman" w:hAnsi="Times New Roman" w:eastAsia="宋体" w:cs="Times New Roman"/>
                <w:color w:val="auto"/>
                <w:sz w:val="24"/>
                <w:szCs w:val="24"/>
                <w:highlight w:val="none"/>
              </w:rPr>
              <w:t>宁德市大气环境质量底线为：到2025年，中心城区PM</w:t>
            </w:r>
            <w:r>
              <w:rPr>
                <w:rFonts w:hint="default" w:ascii="Times New Roman" w:hAnsi="Times New Roman" w:eastAsia="宋体" w:cs="Times New Roman"/>
                <w:color w:val="auto"/>
                <w:sz w:val="24"/>
                <w:szCs w:val="24"/>
                <w:highlight w:val="none"/>
                <w:vertAlign w:val="subscript"/>
              </w:rPr>
              <w:t>2.5</w:t>
            </w:r>
            <w:r>
              <w:rPr>
                <w:rFonts w:hint="default" w:ascii="Times New Roman" w:hAnsi="Times New Roman" w:eastAsia="宋体" w:cs="Times New Roman"/>
                <w:color w:val="auto"/>
                <w:sz w:val="24"/>
                <w:szCs w:val="24"/>
                <w:highlight w:val="none"/>
              </w:rPr>
              <w:t>年平均浓度不高于23μg/m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，到2025年县级以上地区空气质量PM</w:t>
            </w:r>
            <w:r>
              <w:rPr>
                <w:rFonts w:hint="default" w:ascii="Times New Roman" w:hAnsi="Times New Roman" w:eastAsia="宋体" w:cs="Times New Roman"/>
                <w:color w:val="auto"/>
                <w:sz w:val="24"/>
                <w:szCs w:val="24"/>
                <w:highlight w:val="none"/>
                <w:vertAlign w:val="subscript"/>
              </w:rPr>
              <w:t>2.5</w:t>
            </w:r>
            <w:r>
              <w:rPr>
                <w:rFonts w:hint="default" w:ascii="Times New Roman" w:hAnsi="Times New Roman" w:eastAsia="宋体" w:cs="Times New Roman"/>
                <w:color w:val="auto"/>
                <w:sz w:val="24"/>
                <w:szCs w:val="24"/>
                <w:highlight w:val="none"/>
              </w:rPr>
              <w:t>年平均浓度不高于18μg/m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。本项目运营期金属颗粒物</w:t>
            </w:r>
            <w:r>
              <w:rPr>
                <w:rFonts w:hint="default" w:ascii="Times New Roman" w:hAnsi="Times New Roman" w:eastAsia="宋体" w:cs="Times New Roman"/>
                <w:color w:val="auto"/>
                <w:sz w:val="24"/>
                <w:szCs w:val="24"/>
                <w:highlight w:val="none"/>
                <w:lang w:val="en-US" w:eastAsia="zh-CN"/>
              </w:rPr>
              <w:t>产生量很少，</w:t>
            </w:r>
            <w:r>
              <w:rPr>
                <w:rFonts w:hint="default" w:ascii="Times New Roman" w:hAnsi="Times New Roman" w:eastAsia="宋体" w:cs="Times New Roman"/>
                <w:color w:val="auto"/>
                <w:sz w:val="24"/>
                <w:szCs w:val="24"/>
                <w:highlight w:val="none"/>
              </w:rPr>
              <w:t>基本在车间内沉降，废气排放量少，可满足相应排放标准限值要求，对周边环境影响很小，因此符合大气环境质量底线的管控要求。</w:t>
            </w:r>
          </w:p>
          <w:p>
            <w:pPr>
              <w:pStyle w:val="42"/>
              <w:keepNext w:val="0"/>
              <w:keepLines w:val="0"/>
              <w:numPr>
                <w:ilvl w:val="0"/>
                <w:numId w:val="5"/>
              </w:numPr>
              <w:suppressLineNumbers w:val="0"/>
              <w:spacing w:before="0" w:beforeAutospacing="0" w:after="0" w:afterAutospacing="0" w:line="360" w:lineRule="auto"/>
              <w:ind w:left="0" w:right="0" w:firstLine="48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土壤环境质量底线</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宁德市土壤环境质量的底线为：到2025年，全市土壤环境质量保持稳定，土壤环境风险得到管控，受污染耕地和污染地块安全利用率达93%以上。到2035年，全市土壤环境质量稳中向好，土壤环境风险得到全面管控，受污染耕地和污染地块安全利用率达95%以上。宁德市环境质量底线分阶段最终控制目标以国家和省下达的目标为准。</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本项目厂区采用分区防渗措施后，对土壤环境几乎不产生影响，符合土壤环境质量底线的管控要求。</w:t>
            </w:r>
          </w:p>
          <w:p>
            <w:pPr>
              <w:pStyle w:val="5"/>
              <w:suppressLineNumbers w:val="0"/>
              <w:spacing w:before="0" w:beforeAutospacing="0" w:after="0" w:afterAutospacing="0" w:line="360" w:lineRule="auto"/>
              <w:ind w:right="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资源利用上线</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项目用水、用电为区域集中供应，以电为能源，未涉及高污染燃料，因此</w:t>
            </w:r>
            <w:r>
              <w:rPr>
                <w:rFonts w:hint="eastAsia" w:cs="Times New Roman"/>
                <w:color w:val="auto"/>
                <w:sz w:val="24"/>
                <w:szCs w:val="24"/>
                <w:highlight w:val="none"/>
                <w:lang w:eastAsia="zh-CN"/>
              </w:rPr>
              <w:t>本项目</w:t>
            </w:r>
            <w:r>
              <w:rPr>
                <w:rFonts w:hint="default" w:ascii="Times New Roman" w:hAnsi="Times New Roman" w:eastAsia="宋体" w:cs="Times New Roman"/>
                <w:color w:val="auto"/>
                <w:sz w:val="24"/>
                <w:szCs w:val="24"/>
                <w:highlight w:val="none"/>
              </w:rPr>
              <w:t>的建设不会突破区域的资源利用上线。</w:t>
            </w:r>
          </w:p>
          <w:p>
            <w:pPr>
              <w:pStyle w:val="5"/>
              <w:suppressLineNumbers w:val="0"/>
              <w:spacing w:before="0" w:beforeAutospacing="0" w:after="0" w:afterAutospacing="0" w:line="360" w:lineRule="auto"/>
              <w:ind w:right="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生态环境准入清单</w:t>
            </w:r>
          </w:p>
          <w:p>
            <w:pPr>
              <w:pStyle w:val="71"/>
              <w:keepNext w:val="0"/>
              <w:keepLines w:val="0"/>
              <w:suppressLineNumbers w:val="0"/>
              <w:spacing w:before="0" w:beforeAutospacing="0" w:after="0" w:afterAutospacing="0"/>
              <w:ind w:left="0" w:right="0" w:firstLine="480"/>
              <w:rPr>
                <w:rFonts w:hint="default" w:ascii="Times New Roman" w:hAnsi="Times New Roman" w:eastAsia="宋体" w:cs="Times New Roman"/>
                <w:kern w:val="0"/>
                <w:sz w:val="24"/>
                <w:szCs w:val="24"/>
                <w:highlight w:val="none"/>
              </w:rPr>
            </w:pPr>
            <w:r>
              <w:rPr>
                <w:rFonts w:hint="eastAsia" w:ascii="Times New Roman" w:hAnsi="Times New Roman" w:eastAsia="宋体" w:cs="Times New Roman"/>
                <w:color w:val="auto"/>
              </w:rPr>
              <w:t>根据《宁德市生态环境准入清单（报批稿）》（2023年9月）及福建省三线一单数据应用系统查询结果，</w:t>
            </w:r>
            <w:r>
              <w:rPr>
                <w:rFonts w:hint="default" w:ascii="Times New Roman" w:hAnsi="Times New Roman" w:eastAsia="宋体" w:cs="Times New Roman"/>
                <w:color w:val="auto"/>
              </w:rPr>
              <w:t>项目</w:t>
            </w:r>
            <w:r>
              <w:rPr>
                <w:rFonts w:hint="eastAsia" w:ascii="Times New Roman" w:hAnsi="Times New Roman" w:eastAsia="宋体" w:cs="Times New Roman"/>
                <w:color w:val="auto"/>
                <w:lang w:val="en-US" w:eastAsia="zh-CN"/>
              </w:rPr>
              <w:t>所在地块涉及1个生态环境管控单元，其中重点管控单元1个，为福建省霞浦经济开发区</w:t>
            </w:r>
            <w:r>
              <w:rPr>
                <w:rFonts w:hint="default" w:ascii="Times New Roman" w:hAnsi="Times New Roman" w:eastAsia="宋体" w:cs="Times New Roman"/>
                <w:kern w:val="0"/>
                <w:sz w:val="24"/>
                <w:szCs w:val="24"/>
                <w:highlight w:val="none"/>
                <w:lang w:eastAsia="zh-CN"/>
              </w:rPr>
              <w:t>（</w:t>
            </w:r>
            <w:r>
              <w:rPr>
                <w:rFonts w:hint="default" w:ascii="Times New Roman" w:hAnsi="Times New Roman" w:eastAsia="宋体" w:cs="Times New Roman"/>
                <w:kern w:val="0"/>
                <w:sz w:val="24"/>
                <w:szCs w:val="24"/>
                <w:highlight w:val="none"/>
              </w:rPr>
              <w:t>环境管控单元编码：ZH35092120001</w:t>
            </w:r>
            <w:r>
              <w:rPr>
                <w:rFonts w:hint="eastAsia" w:cs="Times New Roman"/>
                <w:kern w:val="0"/>
                <w:sz w:val="24"/>
                <w:szCs w:val="24"/>
                <w:highlight w:val="none"/>
                <w:lang w:eastAsia="zh-CN"/>
              </w:rPr>
              <w:t>；</w:t>
            </w:r>
            <w:r>
              <w:rPr>
                <w:rFonts w:hint="eastAsia" w:cs="Times New Roman"/>
                <w:kern w:val="0"/>
                <w:sz w:val="24"/>
                <w:szCs w:val="24"/>
                <w:highlight w:val="none"/>
                <w:lang w:val="en-US" w:eastAsia="zh-CN"/>
              </w:rPr>
              <w:t>详见附件10</w:t>
            </w:r>
            <w:r>
              <w:rPr>
                <w:rFonts w:hint="default" w:ascii="Times New Roman" w:hAnsi="Times New Roman" w:eastAsia="宋体" w:cs="Times New Roman"/>
                <w:kern w:val="0"/>
                <w:sz w:val="24"/>
                <w:szCs w:val="24"/>
                <w:highlight w:val="none"/>
                <w:lang w:eastAsia="zh-CN"/>
              </w:rPr>
              <w:t>）</w:t>
            </w:r>
            <w:r>
              <w:rPr>
                <w:rFonts w:hint="eastAsia" w:ascii="Times New Roman" w:hAnsi="Times New Roman" w:eastAsia="宋体" w:cs="Times New Roman"/>
                <w:kern w:val="0"/>
                <w:sz w:val="24"/>
                <w:szCs w:val="24"/>
                <w:highlight w:val="none"/>
                <w:lang w:eastAsia="zh-CN"/>
              </w:rPr>
              <w:t>。</w:t>
            </w:r>
            <w:r>
              <w:rPr>
                <w:rFonts w:hint="default" w:ascii="Times New Roman" w:hAnsi="Times New Roman" w:eastAsia="宋体" w:cs="Times New Roman"/>
                <w:kern w:val="0"/>
                <w:sz w:val="24"/>
                <w:szCs w:val="24"/>
                <w:highlight w:val="none"/>
              </w:rPr>
              <w:t>本项目位于霞浦经济开发区，</w:t>
            </w:r>
            <w:r>
              <w:rPr>
                <w:rFonts w:hint="default" w:ascii="Times New Roman" w:hAnsi="Times New Roman" w:eastAsia="宋体" w:cs="Times New Roman"/>
                <w:sz w:val="24"/>
                <w:szCs w:val="24"/>
                <w:highlight w:val="none"/>
              </w:rPr>
              <w:t>从事金属制品制造，属于开发区推荐项目，不属于禁止引入的电镀、铸铁金属件制造。</w:t>
            </w:r>
            <w:r>
              <w:rPr>
                <w:rFonts w:hint="default" w:ascii="Times New Roman" w:hAnsi="Times New Roman" w:eastAsia="宋体" w:cs="Times New Roman"/>
                <w:kern w:val="0"/>
                <w:sz w:val="24"/>
                <w:szCs w:val="24"/>
                <w:highlight w:val="none"/>
              </w:rPr>
              <w:t>项目的建设符合国家及地方产业政策，</w:t>
            </w:r>
            <w:r>
              <w:rPr>
                <w:rFonts w:hint="default" w:ascii="Times New Roman" w:hAnsi="Times New Roman" w:eastAsia="宋体" w:cs="Times New Roman"/>
                <w:sz w:val="24"/>
                <w:szCs w:val="24"/>
                <w:highlight w:val="none"/>
              </w:rPr>
              <w:t>属于</w:t>
            </w:r>
            <w:r>
              <w:rPr>
                <w:rFonts w:hint="default" w:ascii="Times New Roman" w:hAnsi="Times New Roman" w:eastAsia="宋体" w:cs="Times New Roman"/>
                <w:kern w:val="0"/>
                <w:sz w:val="24"/>
                <w:szCs w:val="24"/>
                <w:highlight w:val="none"/>
              </w:rPr>
              <w:t>霞浦经济开发区</w:t>
            </w:r>
            <w:r>
              <w:rPr>
                <w:rFonts w:hint="default" w:ascii="Times New Roman" w:hAnsi="Times New Roman" w:eastAsia="宋体" w:cs="Times New Roman"/>
                <w:sz w:val="24"/>
                <w:szCs w:val="24"/>
                <w:highlight w:val="none"/>
              </w:rPr>
              <w:t>的准入行业</w:t>
            </w:r>
            <w:r>
              <w:rPr>
                <w:rFonts w:hint="default" w:ascii="Times New Roman" w:hAnsi="Times New Roman" w:eastAsia="宋体" w:cs="Times New Roman"/>
                <w:kern w:val="0"/>
                <w:sz w:val="24"/>
                <w:szCs w:val="24"/>
                <w:highlight w:val="none"/>
              </w:rPr>
              <w:t>。因此，本项目符合生态环境准入要求，具体见下表。</w:t>
            </w:r>
          </w:p>
          <w:p>
            <w:pPr>
              <w:pStyle w:val="36"/>
              <w:keepNext w:val="0"/>
              <w:keepLines w:val="0"/>
              <w:suppressLineNumbers w:val="0"/>
              <w:bidi w:val="0"/>
              <w:spacing w:before="0" w:beforeAutospacing="0" w:after="0" w:afterAutospacing="0"/>
              <w:ind w:right="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项目与《宁德市生态环境总体准入要求》符合性分析</w:t>
            </w:r>
          </w:p>
          <w:tbl>
            <w:tblPr>
              <w:tblStyle w:val="27"/>
              <w:tblW w:w="684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43"/>
              <w:gridCol w:w="4583"/>
              <w:gridCol w:w="1095"/>
              <w:gridCol w:w="62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26" w:type="dxa"/>
                  <w:gridSpan w:val="2"/>
                  <w:noWrap w:val="0"/>
                  <w:vAlign w:val="center"/>
                </w:tcPr>
                <w:p>
                  <w:pPr>
                    <w:pStyle w:val="37"/>
                    <w:keepNext w:val="0"/>
                    <w:keepLines w:val="0"/>
                    <w:suppressLineNumbers w:val="0"/>
                    <w:spacing w:before="0" w:beforeAutospacing="0" w:after="0" w:afterAutospacing="0"/>
                    <w:ind w:right="0"/>
                    <w:rPr>
                      <w:rFonts w:hint="default"/>
                    </w:rPr>
                  </w:pPr>
                  <w:r>
                    <w:rPr>
                      <w:rFonts w:hint="default"/>
                    </w:rPr>
                    <w:t>准入要求</w:t>
                  </w:r>
                </w:p>
              </w:tc>
              <w:tc>
                <w:tcPr>
                  <w:tcW w:w="1095" w:type="dxa"/>
                  <w:noWrap w:val="0"/>
                  <w:vAlign w:val="center"/>
                </w:tcPr>
                <w:p>
                  <w:pPr>
                    <w:pStyle w:val="37"/>
                    <w:keepNext w:val="0"/>
                    <w:keepLines w:val="0"/>
                    <w:suppressLineNumbers w:val="0"/>
                    <w:spacing w:before="0" w:beforeAutospacing="0" w:after="0" w:afterAutospacing="0"/>
                    <w:ind w:right="0"/>
                    <w:rPr>
                      <w:rFonts w:hint="default"/>
                    </w:rPr>
                  </w:pPr>
                  <w:r>
                    <w:rPr>
                      <w:rFonts w:hint="default"/>
                    </w:rPr>
                    <w:t>本项目</w:t>
                  </w:r>
                </w:p>
              </w:tc>
              <w:tc>
                <w:tcPr>
                  <w:tcW w:w="624" w:type="dxa"/>
                  <w:noWrap w:val="0"/>
                  <w:vAlign w:val="center"/>
                </w:tcPr>
                <w:p>
                  <w:pPr>
                    <w:pStyle w:val="37"/>
                    <w:keepNext w:val="0"/>
                    <w:keepLines w:val="0"/>
                    <w:suppressLineNumbers w:val="0"/>
                    <w:spacing w:before="0" w:beforeAutospacing="0" w:after="0" w:afterAutospacing="0"/>
                    <w:ind w:right="0"/>
                    <w:rPr>
                      <w:rFonts w:hint="eastAsia"/>
                    </w:rPr>
                  </w:pPr>
                  <w:r>
                    <w:rPr>
                      <w:rFonts w:hint="eastAsia"/>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3" w:type="dxa"/>
                  <w:noWrap w:val="0"/>
                  <w:vAlign w:val="center"/>
                </w:tcPr>
                <w:p>
                  <w:pPr>
                    <w:pStyle w:val="37"/>
                    <w:keepNext w:val="0"/>
                    <w:keepLines w:val="0"/>
                    <w:suppressLineNumbers w:val="0"/>
                    <w:spacing w:before="0" w:beforeAutospacing="0" w:after="0" w:afterAutospacing="0"/>
                    <w:ind w:right="0"/>
                    <w:rPr>
                      <w:rFonts w:hint="default"/>
                    </w:rPr>
                  </w:pPr>
                  <w:r>
                    <w:rPr>
                      <w:rFonts w:hint="default"/>
                    </w:rPr>
                    <w:t>空间布局</w:t>
                  </w:r>
                </w:p>
              </w:tc>
              <w:tc>
                <w:tcPr>
                  <w:tcW w:w="4583" w:type="dxa"/>
                  <w:noWrap w:val="0"/>
                  <w:vAlign w:val="center"/>
                </w:tcPr>
                <w:p>
                  <w:pPr>
                    <w:pStyle w:val="37"/>
                    <w:keepNext w:val="0"/>
                    <w:keepLines w:val="0"/>
                    <w:suppressLineNumbers w:val="0"/>
                    <w:spacing w:before="0" w:beforeAutospacing="0" w:after="0" w:afterAutospacing="0"/>
                    <w:ind w:right="0"/>
                    <w:jc w:val="left"/>
                    <w:rPr>
                      <w:rFonts w:hint="default"/>
                    </w:rPr>
                  </w:pPr>
                  <w:r>
                    <w:rPr>
                      <w:rFonts w:hint="default"/>
                    </w:rPr>
                    <w:t>1.新建、扩建的涉及重点重金属污染物的有色金属冶炼、电镀、制革、石化、铅蓄电池制造企业应优先选择布设在依法合规设立并经规划环评、环境基础设施和环境风险防范措施齐全的产业园区。禁止低端落后产能向闽江中上游地区转移。禁止新建用汞的电石法（聚）氯乙烯生产工艺。加快推进专业电镀企业入园，到2025年底专业电镀企业入园率达到90%以上。</w:t>
                  </w:r>
                </w:p>
                <w:p>
                  <w:pPr>
                    <w:pStyle w:val="37"/>
                    <w:keepNext w:val="0"/>
                    <w:keepLines w:val="0"/>
                    <w:suppressLineNumbers w:val="0"/>
                    <w:spacing w:before="0" w:beforeAutospacing="0" w:after="0" w:afterAutospacing="0"/>
                    <w:ind w:right="0"/>
                    <w:jc w:val="left"/>
                    <w:rPr>
                      <w:rFonts w:hint="default"/>
                    </w:rPr>
                  </w:pPr>
                  <w:r>
                    <w:rPr>
                      <w:rFonts w:hint="default"/>
                    </w:rPr>
                    <w:t>2.禁止在流域上游新建、扩建重污染企业和项目。</w:t>
                  </w:r>
                </w:p>
                <w:p>
                  <w:pPr>
                    <w:pStyle w:val="37"/>
                    <w:keepNext w:val="0"/>
                    <w:keepLines w:val="0"/>
                    <w:suppressLineNumbers w:val="0"/>
                    <w:spacing w:before="0" w:beforeAutospacing="0" w:after="0" w:afterAutospacing="0"/>
                    <w:ind w:right="0"/>
                    <w:jc w:val="left"/>
                    <w:rPr>
                      <w:rFonts w:hint="default"/>
                    </w:rPr>
                  </w:pPr>
                  <w:r>
                    <w:rPr>
                      <w:rFonts w:hint="default"/>
                    </w:rPr>
                    <w:t>3.禁止在流域水环境质量不能稳定达标的区域内，建设新增相应不达标污染物指标排放量的工业项目；禁止新建、扩建以发电为主的水电站。</w:t>
                  </w:r>
                </w:p>
                <w:p>
                  <w:pPr>
                    <w:pStyle w:val="37"/>
                    <w:keepNext w:val="0"/>
                    <w:keepLines w:val="0"/>
                    <w:suppressLineNumbers w:val="0"/>
                    <w:spacing w:before="0" w:beforeAutospacing="0" w:after="0" w:afterAutospacing="0"/>
                    <w:ind w:right="0"/>
                    <w:jc w:val="left"/>
                    <w:rPr>
                      <w:rFonts w:hint="default"/>
                    </w:rPr>
                  </w:pPr>
                  <w:r>
                    <w:rPr>
                      <w:rFonts w:hint="default"/>
                    </w:rPr>
                    <w:t>4.禁止在通风廊道和主导风向的上风向布局大气重污染企业，推进建成区大气重污染企业搬迁或升级改造、环境风险企业搬迁或关闭退出。</w:t>
                  </w:r>
                </w:p>
                <w:p>
                  <w:pPr>
                    <w:pStyle w:val="37"/>
                    <w:keepNext w:val="0"/>
                    <w:keepLines w:val="0"/>
                    <w:suppressLineNumbers w:val="0"/>
                    <w:spacing w:before="0" w:beforeAutospacing="0" w:after="0" w:afterAutospacing="0"/>
                    <w:ind w:right="0"/>
                    <w:jc w:val="left"/>
                    <w:rPr>
                      <w:rFonts w:hint="default"/>
                    </w:rPr>
                  </w:pPr>
                  <w:r>
                    <w:rPr>
                      <w:rFonts w:hint="default"/>
                    </w:rPr>
                    <w:t>5.一般建设项目不得占用永久基本农田，重大建设项目选址确实难以避让永久基本农田的，必须依法依规办理。严禁通过擅自调整县乡国土空间规划，规避占用永久基本农田的审批。禁止随意砍伐防风固沙林和农田保护林。严格按照自然资源部、农业农村部、国家林业和草原局《关于严格耕地用途管制有关问题的通知》（自然资发〔2021〕166号）要求全面落实耕地用途管制。</w:t>
                  </w:r>
                </w:p>
              </w:tc>
              <w:tc>
                <w:tcPr>
                  <w:tcW w:w="1095" w:type="dxa"/>
                  <w:noWrap w:val="0"/>
                  <w:vAlign w:val="center"/>
                </w:tcPr>
                <w:p>
                  <w:pPr>
                    <w:pStyle w:val="37"/>
                    <w:keepNext w:val="0"/>
                    <w:keepLines w:val="0"/>
                    <w:suppressLineNumbers w:val="0"/>
                    <w:spacing w:before="0" w:beforeAutospacing="0" w:after="0" w:afterAutospacing="0"/>
                    <w:ind w:right="0"/>
                    <w:jc w:val="left"/>
                    <w:rPr>
                      <w:rFonts w:hint="default" w:eastAsia="宋体"/>
                      <w:lang w:val="en-US" w:eastAsia="zh-CN"/>
                    </w:rPr>
                  </w:pPr>
                  <w:r>
                    <w:rPr>
                      <w:rFonts w:hint="default"/>
                    </w:rPr>
                    <w:t>本项目属于</w:t>
                  </w:r>
                  <w:r>
                    <w:rPr>
                      <w:rFonts w:hint="eastAsia"/>
                      <w:lang w:eastAsia="zh-CN"/>
                    </w:rPr>
                    <w:t>新能源动力电池铝壳</w:t>
                  </w:r>
                  <w:r>
                    <w:rPr>
                      <w:rFonts w:hint="default"/>
                    </w:rPr>
                    <w:t>生产项目，</w:t>
                  </w:r>
                  <w:r>
                    <w:rPr>
                      <w:rFonts w:hint="eastAsia"/>
                      <w:lang w:val="en-US" w:eastAsia="zh-CN"/>
                    </w:rPr>
                    <w:t>不涉及</w:t>
                  </w:r>
                  <w:r>
                    <w:rPr>
                      <w:rFonts w:hint="default"/>
                    </w:rPr>
                    <w:t>重点重金属污染物的有色金属冶炼、电镀、制革、石化、铅蓄电池制造</w:t>
                  </w:r>
                  <w:r>
                    <w:rPr>
                      <w:rFonts w:hint="eastAsia"/>
                      <w:lang w:eastAsia="zh-CN"/>
                    </w:rPr>
                    <w:t>；</w:t>
                  </w:r>
                  <w:r>
                    <w:rPr>
                      <w:rFonts w:hint="eastAsia"/>
                      <w:lang w:val="en-US" w:eastAsia="zh-CN"/>
                    </w:rPr>
                    <w:t>项目</w:t>
                  </w:r>
                  <w:r>
                    <w:rPr>
                      <w:rFonts w:hint="default"/>
                    </w:rPr>
                    <w:t>选址于霞浦经济开发区，</w:t>
                  </w:r>
                  <w:r>
                    <w:rPr>
                      <w:rFonts w:hint="eastAsia"/>
                      <w:lang w:val="en-US" w:eastAsia="zh-CN"/>
                    </w:rPr>
                    <w:t>不在流域范围内，不占用</w:t>
                  </w:r>
                  <w:r>
                    <w:rPr>
                      <w:rFonts w:hint="default"/>
                    </w:rPr>
                    <w:t>永久基本农田</w:t>
                  </w:r>
                  <w:r>
                    <w:rPr>
                      <w:rFonts w:hint="eastAsia"/>
                      <w:lang w:val="en-US" w:eastAsia="zh-CN"/>
                    </w:rPr>
                    <w:t>和耕地</w:t>
                  </w:r>
                  <w:r>
                    <w:rPr>
                      <w:rFonts w:hint="eastAsia"/>
                      <w:lang w:eastAsia="zh-CN"/>
                    </w:rPr>
                    <w:t>，</w:t>
                  </w:r>
                  <w:r>
                    <w:rPr>
                      <w:rFonts w:hint="eastAsia"/>
                      <w:lang w:val="en-US" w:eastAsia="zh-CN"/>
                    </w:rPr>
                    <w:t>不</w:t>
                  </w:r>
                  <w:r>
                    <w:rPr>
                      <w:rFonts w:hint="default"/>
                    </w:rPr>
                    <w:t>砍伐防风固沙林和农田保护林</w:t>
                  </w:r>
                </w:p>
              </w:tc>
              <w:tc>
                <w:tcPr>
                  <w:tcW w:w="624" w:type="dxa"/>
                  <w:noWrap w:val="0"/>
                  <w:vAlign w:val="center"/>
                </w:tcPr>
                <w:p>
                  <w:pPr>
                    <w:pStyle w:val="37"/>
                    <w:keepNext w:val="0"/>
                    <w:keepLines w:val="0"/>
                    <w:suppressLineNumbers w:val="0"/>
                    <w:spacing w:before="0" w:beforeAutospacing="0" w:after="0" w:afterAutospacing="0"/>
                    <w:ind w:right="0"/>
                    <w:rPr>
                      <w:rFonts w:hint="default"/>
                    </w:rPr>
                  </w:pPr>
                  <w:r>
                    <w:rPr>
                      <w:rFonts w:hint="default"/>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3" w:type="dxa"/>
                  <w:noWrap w:val="0"/>
                  <w:vAlign w:val="center"/>
                </w:tcPr>
                <w:p>
                  <w:pPr>
                    <w:pStyle w:val="37"/>
                    <w:keepNext w:val="0"/>
                    <w:keepLines w:val="0"/>
                    <w:suppressLineNumbers w:val="0"/>
                    <w:spacing w:before="0" w:beforeAutospacing="0" w:after="0" w:afterAutospacing="0"/>
                    <w:ind w:right="0"/>
                    <w:rPr>
                      <w:rFonts w:hint="default"/>
                    </w:rPr>
                  </w:pPr>
                  <w:r>
                    <w:rPr>
                      <w:rFonts w:hint="default"/>
                    </w:rPr>
                    <w:t>污染物排放管控</w:t>
                  </w:r>
                </w:p>
              </w:tc>
              <w:tc>
                <w:tcPr>
                  <w:tcW w:w="4583" w:type="dxa"/>
                  <w:noWrap w:val="0"/>
                  <w:vAlign w:val="center"/>
                </w:tcPr>
                <w:p>
                  <w:pPr>
                    <w:pStyle w:val="37"/>
                    <w:keepNext w:val="0"/>
                    <w:keepLines w:val="0"/>
                    <w:suppressLineNumbers w:val="0"/>
                    <w:spacing w:before="0" w:beforeAutospacing="0" w:after="0" w:afterAutospacing="0"/>
                    <w:ind w:right="0"/>
                    <w:jc w:val="left"/>
                    <w:rPr>
                      <w:rFonts w:hint="default"/>
                    </w:rPr>
                  </w:pPr>
                  <w:r>
                    <w:rPr>
                      <w:rFonts w:hint="default"/>
                    </w:rPr>
                    <w:t>1.新建有色项目应执行大气污染物特别排放限值。</w:t>
                  </w:r>
                </w:p>
                <w:p>
                  <w:pPr>
                    <w:pStyle w:val="37"/>
                    <w:keepNext w:val="0"/>
                    <w:keepLines w:val="0"/>
                    <w:suppressLineNumbers w:val="0"/>
                    <w:spacing w:before="0" w:beforeAutospacing="0" w:after="0" w:afterAutospacing="0"/>
                    <w:ind w:right="0"/>
                    <w:jc w:val="left"/>
                    <w:rPr>
                      <w:rFonts w:hint="default"/>
                    </w:rPr>
                  </w:pPr>
                  <w:r>
                    <w:rPr>
                      <w:rFonts w:hint="default"/>
                    </w:rPr>
                    <w:t>2.新建（含搬迁）钢铁项目应达到超低排放水平，大气污染物有组织排放、无组织排放以及运输过程应满足“环大气〔2019〕35号”有关指标和措施要求。现有钢铁企业应按照“闽环保大气〔2019〕7号”进度要求分步推进超低排放改造。</w:t>
                  </w:r>
                </w:p>
                <w:p>
                  <w:pPr>
                    <w:pStyle w:val="37"/>
                    <w:keepNext w:val="0"/>
                    <w:keepLines w:val="0"/>
                    <w:suppressLineNumbers w:val="0"/>
                    <w:spacing w:before="0" w:beforeAutospacing="0" w:after="0" w:afterAutospacing="0"/>
                    <w:ind w:right="0"/>
                    <w:jc w:val="left"/>
                    <w:rPr>
                      <w:rFonts w:hint="default"/>
                    </w:rPr>
                  </w:pPr>
                  <w:r>
                    <w:rPr>
                      <w:rFonts w:hint="default"/>
                    </w:rPr>
                    <w:t>3.新、改、扩建重点行业建设项目要遵循重点重金属污染物排放“等量替代”原则，总量来源原则上应是同一重点行业内的削减量，当同一重点行业无法满足时可从其他重点行业调剂。</w:t>
                  </w:r>
                </w:p>
                <w:p>
                  <w:pPr>
                    <w:pStyle w:val="37"/>
                    <w:keepNext w:val="0"/>
                    <w:keepLines w:val="0"/>
                    <w:suppressLineNumbers w:val="0"/>
                    <w:spacing w:before="0" w:beforeAutospacing="0" w:after="0" w:afterAutospacing="0"/>
                    <w:ind w:right="0"/>
                    <w:jc w:val="left"/>
                    <w:rPr>
                      <w:rFonts w:hint="default"/>
                    </w:rPr>
                  </w:pPr>
                  <w:r>
                    <w:rPr>
                      <w:rFonts w:hint="default"/>
                    </w:rPr>
                    <w:t>4.水泥行业新改扩建项目严格对照超低排放、能效标杆水平建设实施；现有项目超低排放改造应按文件（闽环规〔2023〕2号）的时限要求分步推进，2025年底前全面完成。</w:t>
                  </w:r>
                </w:p>
              </w:tc>
              <w:tc>
                <w:tcPr>
                  <w:tcW w:w="1095" w:type="dxa"/>
                  <w:noWrap w:val="0"/>
                  <w:vAlign w:val="center"/>
                </w:tcPr>
                <w:p>
                  <w:pPr>
                    <w:pStyle w:val="37"/>
                    <w:keepNext w:val="0"/>
                    <w:keepLines w:val="0"/>
                    <w:suppressLineNumbers w:val="0"/>
                    <w:spacing w:before="0" w:beforeAutospacing="0" w:after="0" w:afterAutospacing="0"/>
                    <w:ind w:right="0"/>
                    <w:rPr>
                      <w:rFonts w:hint="default" w:eastAsia="宋体"/>
                      <w:lang w:val="en-US" w:eastAsia="zh-CN"/>
                    </w:rPr>
                  </w:pPr>
                  <w:r>
                    <w:rPr>
                      <w:rFonts w:hint="eastAsia"/>
                      <w:lang w:val="en-US" w:eastAsia="zh-CN"/>
                    </w:rPr>
                    <w:t>本项目</w:t>
                  </w:r>
                  <w:r>
                    <w:rPr>
                      <w:rFonts w:hint="default"/>
                    </w:rPr>
                    <w:t>属于</w:t>
                  </w:r>
                  <w:r>
                    <w:rPr>
                      <w:rFonts w:hint="eastAsia"/>
                      <w:lang w:val="en-US" w:eastAsia="zh-CN"/>
                    </w:rPr>
                    <w:t>新能源动力电池铝壳</w:t>
                  </w:r>
                  <w:r>
                    <w:rPr>
                      <w:rFonts w:hint="default"/>
                    </w:rPr>
                    <w:t>项目，</w:t>
                  </w:r>
                  <w:r>
                    <w:rPr>
                      <w:rFonts w:hint="eastAsia"/>
                      <w:lang w:val="en-US" w:eastAsia="zh-CN"/>
                    </w:rPr>
                    <w:t>不属于</w:t>
                  </w:r>
                  <w:r>
                    <w:rPr>
                      <w:rFonts w:hint="default"/>
                    </w:rPr>
                    <w:t>有色项目</w:t>
                  </w:r>
                  <w:r>
                    <w:rPr>
                      <w:rFonts w:hint="eastAsia"/>
                      <w:lang w:eastAsia="zh-CN"/>
                    </w:rPr>
                    <w:t>、</w:t>
                  </w:r>
                  <w:r>
                    <w:rPr>
                      <w:rFonts w:hint="default"/>
                    </w:rPr>
                    <w:t>钢铁项目</w:t>
                  </w:r>
                  <w:r>
                    <w:rPr>
                      <w:rFonts w:hint="eastAsia"/>
                      <w:lang w:eastAsia="zh-CN"/>
                    </w:rPr>
                    <w:t>，</w:t>
                  </w:r>
                  <w:r>
                    <w:rPr>
                      <w:rFonts w:hint="eastAsia"/>
                      <w:lang w:val="en-US" w:eastAsia="zh-CN"/>
                    </w:rPr>
                    <w:t>不涉及重金属污染及水泥行业</w:t>
                  </w:r>
                </w:p>
              </w:tc>
              <w:tc>
                <w:tcPr>
                  <w:tcW w:w="624" w:type="dxa"/>
                  <w:noWrap w:val="0"/>
                  <w:vAlign w:val="center"/>
                </w:tcPr>
                <w:p>
                  <w:pPr>
                    <w:pStyle w:val="37"/>
                    <w:keepNext w:val="0"/>
                    <w:keepLines w:val="0"/>
                    <w:suppressLineNumbers w:val="0"/>
                    <w:spacing w:before="0" w:beforeAutospacing="0" w:after="0" w:afterAutospacing="0"/>
                    <w:ind w:right="0"/>
                    <w:rPr>
                      <w:rFonts w:hint="default"/>
                    </w:rPr>
                  </w:pPr>
                  <w:r>
                    <w:rPr>
                      <w:rFonts w:hint="default"/>
                    </w:rPr>
                    <w:t>符合</w:t>
                  </w:r>
                </w:p>
              </w:tc>
            </w:tr>
          </w:tbl>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rPr>
            </w:pPr>
          </w:p>
          <w:p>
            <w:pPr>
              <w:pStyle w:val="36"/>
              <w:keepNext w:val="0"/>
              <w:keepLines w:val="0"/>
              <w:suppressLineNumbers w:val="0"/>
              <w:bidi w:val="0"/>
              <w:spacing w:before="0" w:beforeAutospacing="0" w:after="0" w:afterAutospacing="0"/>
              <w:ind w:right="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项目与《宁德市</w:t>
            </w:r>
            <w:r>
              <w:rPr>
                <w:rFonts w:hint="eastAsia" w:cs="Times New Roman"/>
                <w:sz w:val="24"/>
                <w:szCs w:val="24"/>
                <w:highlight w:val="none"/>
                <w:lang w:val="en-US" w:eastAsia="zh-CN"/>
              </w:rPr>
              <w:t>霞浦县生态环境</w:t>
            </w:r>
            <w:r>
              <w:rPr>
                <w:rFonts w:hint="default" w:ascii="Times New Roman" w:hAnsi="Times New Roman" w:eastAsia="宋体" w:cs="Times New Roman"/>
                <w:sz w:val="24"/>
                <w:szCs w:val="24"/>
                <w:highlight w:val="none"/>
              </w:rPr>
              <w:t>准入</w:t>
            </w:r>
            <w:r>
              <w:rPr>
                <w:rFonts w:hint="eastAsia" w:cs="Times New Roman"/>
                <w:sz w:val="24"/>
                <w:szCs w:val="24"/>
                <w:highlight w:val="none"/>
                <w:lang w:val="en-US" w:eastAsia="zh-CN"/>
              </w:rPr>
              <w:t>清单</w:t>
            </w:r>
            <w:r>
              <w:rPr>
                <w:rFonts w:hint="default" w:ascii="Times New Roman" w:hAnsi="Times New Roman" w:eastAsia="宋体" w:cs="Times New Roman"/>
                <w:sz w:val="24"/>
                <w:szCs w:val="24"/>
                <w:highlight w:val="none"/>
              </w:rPr>
              <w:t>》符合性分析</w:t>
            </w:r>
          </w:p>
          <w:tbl>
            <w:tblPr>
              <w:tblStyle w:val="27"/>
              <w:tblW w:w="684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4"/>
              <w:gridCol w:w="3060"/>
              <w:gridCol w:w="1966"/>
              <w:gridCol w:w="9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3964" w:type="dxa"/>
                  <w:gridSpan w:val="2"/>
                  <w:tcBorders>
                    <w:tl2br w:val="nil"/>
                    <w:tr2bl w:val="nil"/>
                  </w:tcBorders>
                  <w:shd w:val="clear" w:color="auto" w:fill="auto"/>
                  <w:vAlign w:val="center"/>
                </w:tcPr>
                <w:p>
                  <w:pPr>
                    <w:pStyle w:val="37"/>
                    <w:keepNext w:val="0"/>
                    <w:keepLines w:val="0"/>
                    <w:suppressLineNumbers w:val="0"/>
                    <w:spacing w:before="0" w:beforeAutospacing="0" w:after="0" w:afterAutospacing="0"/>
                    <w:ind w:right="0"/>
                    <w:rPr>
                      <w:rFonts w:hint="default"/>
                    </w:rPr>
                  </w:pPr>
                  <w:r>
                    <w:rPr>
                      <w:rFonts w:hint="default"/>
                    </w:rPr>
                    <w:t>准入要求</w:t>
                  </w:r>
                </w:p>
              </w:tc>
              <w:tc>
                <w:tcPr>
                  <w:tcW w:w="1966" w:type="dxa"/>
                  <w:tcBorders>
                    <w:tl2br w:val="nil"/>
                    <w:tr2bl w:val="nil"/>
                  </w:tcBorders>
                  <w:shd w:val="clear" w:color="auto" w:fill="auto"/>
                  <w:vAlign w:val="center"/>
                </w:tcPr>
                <w:p>
                  <w:pPr>
                    <w:pStyle w:val="37"/>
                    <w:keepNext w:val="0"/>
                    <w:keepLines w:val="0"/>
                    <w:suppressLineNumbers w:val="0"/>
                    <w:spacing w:before="0" w:beforeAutospacing="0" w:after="0" w:afterAutospacing="0"/>
                    <w:ind w:right="0"/>
                    <w:rPr>
                      <w:rFonts w:hint="default"/>
                    </w:rPr>
                  </w:pPr>
                  <w:r>
                    <w:rPr>
                      <w:rFonts w:hint="default"/>
                    </w:rPr>
                    <w:t>本项目</w:t>
                  </w:r>
                </w:p>
              </w:tc>
              <w:tc>
                <w:tcPr>
                  <w:tcW w:w="915" w:type="dxa"/>
                  <w:tcBorders>
                    <w:tl2br w:val="nil"/>
                    <w:tr2bl w:val="nil"/>
                  </w:tcBorders>
                  <w:shd w:val="clear" w:color="auto" w:fill="auto"/>
                  <w:vAlign w:val="center"/>
                </w:tcPr>
                <w:p>
                  <w:pPr>
                    <w:pStyle w:val="37"/>
                    <w:keepNext w:val="0"/>
                    <w:keepLines w:val="0"/>
                    <w:suppressLineNumbers w:val="0"/>
                    <w:spacing w:before="0" w:beforeAutospacing="0" w:after="0" w:afterAutospacing="0"/>
                    <w:ind w:right="0"/>
                    <w:rPr>
                      <w:rFonts w:hint="default"/>
                    </w:rPr>
                  </w:pPr>
                  <w:r>
                    <w:rPr>
                      <w:rFonts w:hint="default"/>
                    </w:rPr>
                    <w:t>是否符合准入要求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tcBorders>
                    <w:tl2br w:val="nil"/>
                    <w:tr2bl w:val="nil"/>
                  </w:tcBorders>
                  <w:shd w:val="clear" w:color="auto" w:fill="auto"/>
                  <w:vAlign w:val="center"/>
                </w:tcPr>
                <w:p>
                  <w:pPr>
                    <w:pStyle w:val="37"/>
                    <w:keepNext w:val="0"/>
                    <w:keepLines w:val="0"/>
                    <w:suppressLineNumbers w:val="0"/>
                    <w:spacing w:before="0" w:beforeAutospacing="0" w:after="0" w:afterAutospacing="0"/>
                    <w:ind w:right="0"/>
                    <w:rPr>
                      <w:rFonts w:hint="default"/>
                    </w:rPr>
                  </w:pPr>
                  <w:r>
                    <w:rPr>
                      <w:rFonts w:hint="default"/>
                    </w:rPr>
                    <w:t>空间布局</w:t>
                  </w:r>
                </w:p>
              </w:tc>
              <w:tc>
                <w:tcPr>
                  <w:tcW w:w="3060" w:type="dxa"/>
                  <w:tcBorders>
                    <w:tl2br w:val="nil"/>
                    <w:tr2bl w:val="nil"/>
                  </w:tcBorders>
                  <w:shd w:val="clear" w:color="auto" w:fill="auto"/>
                  <w:vAlign w:val="center"/>
                </w:tcPr>
                <w:p>
                  <w:pPr>
                    <w:pStyle w:val="37"/>
                    <w:keepNext w:val="0"/>
                    <w:keepLines w:val="0"/>
                    <w:suppressLineNumbers w:val="0"/>
                    <w:spacing w:before="0" w:beforeAutospacing="0" w:after="0" w:afterAutospacing="0"/>
                    <w:ind w:right="0"/>
                    <w:jc w:val="left"/>
                    <w:rPr>
                      <w:rFonts w:hint="default"/>
                    </w:rPr>
                  </w:pPr>
                  <w:r>
                    <w:rPr>
                      <w:rFonts w:hint="default"/>
                    </w:rPr>
                    <w:t>1.服装纺织行业禁止引进印染工序项目。</w:t>
                  </w:r>
                </w:p>
                <w:p>
                  <w:pPr>
                    <w:pStyle w:val="37"/>
                    <w:keepNext w:val="0"/>
                    <w:keepLines w:val="0"/>
                    <w:suppressLineNumbers w:val="0"/>
                    <w:spacing w:before="0" w:beforeAutospacing="0" w:after="0" w:afterAutospacing="0"/>
                    <w:ind w:right="0"/>
                    <w:jc w:val="left"/>
                    <w:rPr>
                      <w:rFonts w:hint="default"/>
                    </w:rPr>
                  </w:pPr>
                  <w:r>
                    <w:rPr>
                      <w:rFonts w:hint="default"/>
                    </w:rPr>
                    <w:t>2.电子电气行业禁止引入印刷电路板项目。</w:t>
                  </w:r>
                </w:p>
                <w:p>
                  <w:pPr>
                    <w:pStyle w:val="37"/>
                    <w:keepNext w:val="0"/>
                    <w:keepLines w:val="0"/>
                    <w:suppressLineNumbers w:val="0"/>
                    <w:spacing w:before="0" w:beforeAutospacing="0" w:after="0" w:afterAutospacing="0"/>
                    <w:ind w:right="0"/>
                    <w:jc w:val="left"/>
                    <w:rPr>
                      <w:rFonts w:hint="default"/>
                    </w:rPr>
                  </w:pPr>
                  <w:r>
                    <w:rPr>
                      <w:rFonts w:hint="default"/>
                    </w:rPr>
                    <w:t>3.金属制品行业禁止引入电镀、铸铁金属件制造。</w:t>
                  </w:r>
                </w:p>
                <w:p>
                  <w:pPr>
                    <w:pStyle w:val="37"/>
                    <w:keepNext w:val="0"/>
                    <w:keepLines w:val="0"/>
                    <w:suppressLineNumbers w:val="0"/>
                    <w:spacing w:before="0" w:beforeAutospacing="0" w:after="0" w:afterAutospacing="0"/>
                    <w:ind w:right="0"/>
                    <w:jc w:val="left"/>
                    <w:rPr>
                      <w:rFonts w:hint="eastAsia"/>
                      <w:lang w:eastAsia="zh-CN"/>
                    </w:rPr>
                  </w:pPr>
                  <w:r>
                    <w:rPr>
                      <w:rFonts w:hint="default"/>
                    </w:rPr>
                    <w:t>4.机械制造行业禁止引入电镀、铸铁金属件制造，锂电新能源隔膜材料产业禁止引入电镀工序</w:t>
                  </w:r>
                  <w:r>
                    <w:rPr>
                      <w:rFonts w:hint="eastAsia"/>
                      <w:lang w:eastAsia="zh-CN"/>
                    </w:rPr>
                    <w:t>。</w:t>
                  </w:r>
                </w:p>
              </w:tc>
              <w:tc>
                <w:tcPr>
                  <w:tcW w:w="1966" w:type="dxa"/>
                  <w:tcBorders>
                    <w:tl2br w:val="nil"/>
                    <w:tr2bl w:val="nil"/>
                  </w:tcBorders>
                  <w:shd w:val="clear" w:color="auto" w:fill="auto"/>
                  <w:vAlign w:val="center"/>
                </w:tcPr>
                <w:p>
                  <w:pPr>
                    <w:pStyle w:val="37"/>
                    <w:keepNext w:val="0"/>
                    <w:keepLines w:val="0"/>
                    <w:suppressLineNumbers w:val="0"/>
                    <w:spacing w:before="0" w:beforeAutospacing="0" w:after="0" w:afterAutospacing="0"/>
                    <w:ind w:right="0"/>
                    <w:rPr>
                      <w:rFonts w:hint="default"/>
                    </w:rPr>
                  </w:pPr>
                  <w:r>
                    <w:rPr>
                      <w:rFonts w:hint="default"/>
                    </w:rPr>
                    <w:t>本项目选址于霞浦经济开发区，</w:t>
                  </w:r>
                  <w:r>
                    <w:rPr>
                      <w:rFonts w:hint="eastAsia"/>
                      <w:lang w:val="en-US" w:eastAsia="zh-CN"/>
                    </w:rPr>
                    <w:t>为新能源动力电池铝壳</w:t>
                  </w:r>
                  <w:r>
                    <w:rPr>
                      <w:rFonts w:hint="default"/>
                    </w:rPr>
                    <w:t>项目，不涉及宁德市全市布局约束的相关行业。</w:t>
                  </w:r>
                </w:p>
              </w:tc>
              <w:tc>
                <w:tcPr>
                  <w:tcW w:w="915" w:type="dxa"/>
                  <w:tcBorders>
                    <w:tl2br w:val="nil"/>
                    <w:tr2bl w:val="nil"/>
                  </w:tcBorders>
                  <w:shd w:val="clear" w:color="auto" w:fill="auto"/>
                  <w:vAlign w:val="center"/>
                </w:tcPr>
                <w:p>
                  <w:pPr>
                    <w:pStyle w:val="37"/>
                    <w:keepNext w:val="0"/>
                    <w:keepLines w:val="0"/>
                    <w:suppressLineNumbers w:val="0"/>
                    <w:spacing w:before="0" w:beforeAutospacing="0" w:after="0" w:afterAutospacing="0"/>
                    <w:ind w:right="0"/>
                    <w:rPr>
                      <w:rFonts w:hint="default"/>
                    </w:rPr>
                  </w:pPr>
                  <w:r>
                    <w:rPr>
                      <w:rFonts w:hint="default"/>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tcBorders>
                    <w:tl2br w:val="nil"/>
                    <w:tr2bl w:val="nil"/>
                  </w:tcBorders>
                  <w:shd w:val="clear" w:color="auto" w:fill="auto"/>
                  <w:vAlign w:val="center"/>
                </w:tcPr>
                <w:p>
                  <w:pPr>
                    <w:pStyle w:val="37"/>
                    <w:keepNext w:val="0"/>
                    <w:keepLines w:val="0"/>
                    <w:suppressLineNumbers w:val="0"/>
                    <w:spacing w:before="0" w:beforeAutospacing="0" w:after="0" w:afterAutospacing="0"/>
                    <w:ind w:right="0"/>
                    <w:rPr>
                      <w:rFonts w:hint="default"/>
                    </w:rPr>
                  </w:pPr>
                  <w:r>
                    <w:rPr>
                      <w:rFonts w:hint="default"/>
                    </w:rPr>
                    <w:t>污染物排放管控</w:t>
                  </w:r>
                </w:p>
              </w:tc>
              <w:tc>
                <w:tcPr>
                  <w:tcW w:w="3060" w:type="dxa"/>
                  <w:tcBorders>
                    <w:tl2br w:val="nil"/>
                    <w:tr2bl w:val="nil"/>
                  </w:tcBorders>
                  <w:shd w:val="clear" w:color="auto" w:fill="auto"/>
                  <w:vAlign w:val="center"/>
                </w:tcPr>
                <w:p>
                  <w:pPr>
                    <w:pStyle w:val="37"/>
                    <w:keepNext w:val="0"/>
                    <w:keepLines w:val="0"/>
                    <w:suppressLineNumbers w:val="0"/>
                    <w:spacing w:before="0" w:beforeAutospacing="0" w:after="0" w:afterAutospacing="0"/>
                    <w:ind w:right="0"/>
                    <w:jc w:val="left"/>
                    <w:rPr>
                      <w:rFonts w:hint="default"/>
                    </w:rPr>
                  </w:pPr>
                  <w:r>
                    <w:rPr>
                      <w:rFonts w:hint="default"/>
                    </w:rPr>
                    <w:t>新建涉VOCs项目，VOCs排放按照福建省相关政策要求落实。</w:t>
                  </w:r>
                </w:p>
              </w:tc>
              <w:tc>
                <w:tcPr>
                  <w:tcW w:w="1966" w:type="dxa"/>
                  <w:tcBorders>
                    <w:tl2br w:val="nil"/>
                    <w:tr2bl w:val="nil"/>
                  </w:tcBorders>
                  <w:shd w:val="clear" w:color="auto" w:fill="auto"/>
                  <w:vAlign w:val="center"/>
                </w:tcPr>
                <w:p>
                  <w:pPr>
                    <w:pStyle w:val="37"/>
                    <w:keepNext w:val="0"/>
                    <w:keepLines w:val="0"/>
                    <w:suppressLineNumbers w:val="0"/>
                    <w:spacing w:before="0" w:beforeAutospacing="0" w:after="0" w:afterAutospacing="0"/>
                    <w:ind w:right="0"/>
                    <w:rPr>
                      <w:rFonts w:hint="default"/>
                    </w:rPr>
                  </w:pPr>
                  <w:r>
                    <w:rPr>
                      <w:rFonts w:hint="default"/>
                    </w:rPr>
                    <w:t>本项目不属于新建VOCs项目。</w:t>
                  </w:r>
                </w:p>
              </w:tc>
              <w:tc>
                <w:tcPr>
                  <w:tcW w:w="915" w:type="dxa"/>
                  <w:tcBorders>
                    <w:tl2br w:val="nil"/>
                    <w:tr2bl w:val="nil"/>
                  </w:tcBorders>
                  <w:shd w:val="clear" w:color="auto" w:fill="auto"/>
                  <w:vAlign w:val="center"/>
                </w:tcPr>
                <w:p>
                  <w:pPr>
                    <w:pStyle w:val="37"/>
                    <w:keepNext w:val="0"/>
                    <w:keepLines w:val="0"/>
                    <w:suppressLineNumbers w:val="0"/>
                    <w:spacing w:before="0" w:beforeAutospacing="0" w:after="0" w:afterAutospacing="0"/>
                    <w:ind w:right="0"/>
                    <w:rPr>
                      <w:rFonts w:hint="default"/>
                    </w:rPr>
                  </w:pPr>
                  <w:r>
                    <w:rPr>
                      <w:rFonts w:hint="default"/>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tcBorders>
                    <w:tl2br w:val="nil"/>
                    <w:tr2bl w:val="nil"/>
                  </w:tcBorders>
                  <w:shd w:val="clear" w:color="auto" w:fill="auto"/>
                  <w:vAlign w:val="center"/>
                </w:tcPr>
                <w:p>
                  <w:pPr>
                    <w:pStyle w:val="37"/>
                    <w:keepNext w:val="0"/>
                    <w:keepLines w:val="0"/>
                    <w:suppressLineNumbers w:val="0"/>
                    <w:spacing w:before="0" w:beforeAutospacing="0" w:after="0" w:afterAutospacing="0"/>
                    <w:ind w:right="0"/>
                    <w:rPr>
                      <w:rFonts w:hint="default"/>
                    </w:rPr>
                  </w:pPr>
                  <w:r>
                    <w:rPr>
                      <w:rFonts w:hint="default"/>
                      <w:lang w:val="en-US" w:eastAsia="zh-CN"/>
                    </w:rPr>
                    <w:t xml:space="preserve">环境 </w:t>
                  </w:r>
                </w:p>
                <w:p>
                  <w:pPr>
                    <w:pStyle w:val="37"/>
                    <w:keepNext w:val="0"/>
                    <w:keepLines w:val="0"/>
                    <w:suppressLineNumbers w:val="0"/>
                    <w:spacing w:before="0" w:beforeAutospacing="0" w:after="0" w:afterAutospacing="0"/>
                    <w:ind w:right="0"/>
                    <w:rPr>
                      <w:rFonts w:hint="default"/>
                    </w:rPr>
                  </w:pPr>
                  <w:r>
                    <w:rPr>
                      <w:rFonts w:hint="default"/>
                      <w:lang w:val="en-US" w:eastAsia="zh-CN"/>
                    </w:rPr>
                    <w:t xml:space="preserve">风险 </w:t>
                  </w:r>
                </w:p>
                <w:p>
                  <w:pPr>
                    <w:pStyle w:val="37"/>
                    <w:keepNext w:val="0"/>
                    <w:keepLines w:val="0"/>
                    <w:suppressLineNumbers w:val="0"/>
                    <w:spacing w:before="0" w:beforeAutospacing="0" w:after="0" w:afterAutospacing="0"/>
                    <w:ind w:right="0"/>
                    <w:rPr>
                      <w:rFonts w:hint="default"/>
                    </w:rPr>
                  </w:pPr>
                  <w:r>
                    <w:rPr>
                      <w:rFonts w:hint="default"/>
                      <w:lang w:val="en-US" w:eastAsia="zh-CN"/>
                    </w:rPr>
                    <w:t>防控</w:t>
                  </w:r>
                </w:p>
              </w:tc>
              <w:tc>
                <w:tcPr>
                  <w:tcW w:w="3060" w:type="dxa"/>
                  <w:tcBorders>
                    <w:tl2br w:val="nil"/>
                    <w:tr2bl w:val="nil"/>
                  </w:tcBorders>
                  <w:shd w:val="clear" w:color="auto" w:fill="auto"/>
                  <w:vAlign w:val="center"/>
                </w:tcPr>
                <w:p>
                  <w:pPr>
                    <w:pStyle w:val="37"/>
                    <w:keepNext w:val="0"/>
                    <w:keepLines w:val="0"/>
                    <w:suppressLineNumbers w:val="0"/>
                    <w:spacing w:before="0" w:beforeAutospacing="0" w:after="0" w:afterAutospacing="0"/>
                    <w:ind w:right="0"/>
                    <w:jc w:val="left"/>
                    <w:rPr>
                      <w:rFonts w:hint="default"/>
                    </w:rPr>
                  </w:pPr>
                  <w:r>
                    <w:rPr>
                      <w:rFonts w:hint="default"/>
                    </w:rPr>
                    <w:t>建立健全环境风险防控体系，制定环境风险应急预案，建立完善有效的环境风险防控设施和有效的拦截、降污、导流等措施，防止泄漏物和事故废水污染地表水、地下水和土壤环境。</w:t>
                  </w:r>
                </w:p>
              </w:tc>
              <w:tc>
                <w:tcPr>
                  <w:tcW w:w="1966" w:type="dxa"/>
                  <w:tcBorders>
                    <w:tl2br w:val="nil"/>
                    <w:tr2bl w:val="nil"/>
                  </w:tcBorders>
                  <w:shd w:val="clear" w:color="auto" w:fill="auto"/>
                  <w:vAlign w:val="center"/>
                </w:tcPr>
                <w:p>
                  <w:pPr>
                    <w:pStyle w:val="37"/>
                    <w:keepNext w:val="0"/>
                    <w:keepLines w:val="0"/>
                    <w:suppressLineNumbers w:val="0"/>
                    <w:spacing w:before="0" w:beforeAutospacing="0" w:after="0" w:afterAutospacing="0"/>
                    <w:ind w:right="0"/>
                    <w:rPr>
                      <w:rFonts w:hint="default"/>
                      <w:lang w:val="en-US" w:eastAsia="zh-CN"/>
                    </w:rPr>
                  </w:pPr>
                  <w:r>
                    <w:rPr>
                      <w:rFonts w:hint="eastAsia"/>
                      <w:lang w:val="en-US" w:eastAsia="zh-CN"/>
                    </w:rPr>
                    <w:t>本项目设置有完整应急系统配套防渗措施。</w:t>
                  </w:r>
                </w:p>
              </w:tc>
              <w:tc>
                <w:tcPr>
                  <w:tcW w:w="915" w:type="dxa"/>
                  <w:tcBorders>
                    <w:tl2br w:val="nil"/>
                    <w:tr2bl w:val="nil"/>
                  </w:tcBorders>
                  <w:shd w:val="clear" w:color="auto" w:fill="auto"/>
                  <w:vAlign w:val="center"/>
                </w:tcPr>
                <w:p>
                  <w:pPr>
                    <w:pStyle w:val="37"/>
                    <w:keepNext w:val="0"/>
                    <w:keepLines w:val="0"/>
                    <w:suppressLineNumbers w:val="0"/>
                    <w:spacing w:before="0" w:beforeAutospacing="0" w:after="0" w:afterAutospacing="0"/>
                    <w:ind w:right="0"/>
                    <w:rPr>
                      <w:rFonts w:hint="eastAsia"/>
                      <w:lang w:val="en-US" w:eastAsia="zh-CN"/>
                    </w:rPr>
                  </w:pPr>
                  <w:r>
                    <w:rPr>
                      <w:rFonts w:hint="eastAsia"/>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tcBorders>
                    <w:tl2br w:val="nil"/>
                    <w:tr2bl w:val="nil"/>
                  </w:tcBorders>
                  <w:shd w:val="clear" w:color="auto" w:fill="auto"/>
                  <w:vAlign w:val="center"/>
                </w:tcPr>
                <w:p>
                  <w:pPr>
                    <w:pStyle w:val="37"/>
                    <w:keepNext w:val="0"/>
                    <w:keepLines w:val="0"/>
                    <w:suppressLineNumbers w:val="0"/>
                    <w:spacing w:before="0" w:beforeAutospacing="0" w:after="0" w:afterAutospacing="0"/>
                    <w:ind w:right="0"/>
                    <w:rPr>
                      <w:rFonts w:hint="default"/>
                    </w:rPr>
                  </w:pPr>
                  <w:r>
                    <w:rPr>
                      <w:rFonts w:hint="default"/>
                    </w:rPr>
                    <w:t>资源</w:t>
                  </w:r>
                </w:p>
                <w:p>
                  <w:pPr>
                    <w:pStyle w:val="37"/>
                    <w:keepNext w:val="0"/>
                    <w:keepLines w:val="0"/>
                    <w:suppressLineNumbers w:val="0"/>
                    <w:spacing w:before="0" w:beforeAutospacing="0" w:after="0" w:afterAutospacing="0"/>
                    <w:ind w:right="0"/>
                    <w:rPr>
                      <w:rFonts w:hint="default"/>
                    </w:rPr>
                  </w:pPr>
                  <w:r>
                    <w:rPr>
                      <w:rFonts w:hint="default"/>
                    </w:rPr>
                    <w:t>开发</w:t>
                  </w:r>
                </w:p>
                <w:p>
                  <w:pPr>
                    <w:pStyle w:val="37"/>
                    <w:keepNext w:val="0"/>
                    <w:keepLines w:val="0"/>
                    <w:suppressLineNumbers w:val="0"/>
                    <w:spacing w:before="0" w:beforeAutospacing="0" w:after="0" w:afterAutospacing="0"/>
                    <w:ind w:right="0"/>
                    <w:rPr>
                      <w:rFonts w:hint="default"/>
                    </w:rPr>
                  </w:pPr>
                  <w:r>
                    <w:rPr>
                      <w:rFonts w:hint="default"/>
                    </w:rPr>
                    <w:t>效率</w:t>
                  </w:r>
                </w:p>
                <w:p>
                  <w:pPr>
                    <w:pStyle w:val="37"/>
                    <w:keepNext w:val="0"/>
                    <w:keepLines w:val="0"/>
                    <w:suppressLineNumbers w:val="0"/>
                    <w:spacing w:before="0" w:beforeAutospacing="0" w:after="0" w:afterAutospacing="0"/>
                    <w:ind w:right="0"/>
                    <w:rPr>
                      <w:rFonts w:hint="default"/>
                    </w:rPr>
                  </w:pPr>
                  <w:r>
                    <w:rPr>
                      <w:rFonts w:hint="default"/>
                    </w:rPr>
                    <w:t>要求</w:t>
                  </w:r>
                </w:p>
              </w:tc>
              <w:tc>
                <w:tcPr>
                  <w:tcW w:w="3060" w:type="dxa"/>
                  <w:tcBorders>
                    <w:tl2br w:val="nil"/>
                    <w:tr2bl w:val="nil"/>
                  </w:tcBorders>
                  <w:shd w:val="clear" w:color="auto" w:fill="auto"/>
                  <w:vAlign w:val="center"/>
                </w:tcPr>
                <w:p>
                  <w:pPr>
                    <w:pStyle w:val="37"/>
                    <w:keepNext w:val="0"/>
                    <w:keepLines w:val="0"/>
                    <w:suppressLineNumbers w:val="0"/>
                    <w:spacing w:before="0" w:beforeAutospacing="0" w:after="0" w:afterAutospacing="0"/>
                    <w:ind w:right="0"/>
                    <w:rPr>
                      <w:rFonts w:hint="default"/>
                    </w:rPr>
                  </w:pPr>
                  <w:r>
                    <w:rPr>
                      <w:rFonts w:hint="default"/>
                    </w:rPr>
                    <w:t>禁燃区内，禁止销售、燃用高污染燃料，禁止新建、改建、扩建燃用高污染燃料的设施。</w:t>
                  </w:r>
                </w:p>
              </w:tc>
              <w:tc>
                <w:tcPr>
                  <w:tcW w:w="1966" w:type="dxa"/>
                  <w:tcBorders>
                    <w:tl2br w:val="nil"/>
                    <w:tr2bl w:val="nil"/>
                  </w:tcBorders>
                  <w:shd w:val="clear" w:color="auto" w:fill="auto"/>
                  <w:vAlign w:val="center"/>
                </w:tcPr>
                <w:p>
                  <w:pPr>
                    <w:pStyle w:val="37"/>
                    <w:keepNext w:val="0"/>
                    <w:keepLines w:val="0"/>
                    <w:suppressLineNumbers w:val="0"/>
                    <w:spacing w:before="0" w:beforeAutospacing="0" w:after="0" w:afterAutospacing="0"/>
                    <w:ind w:right="0"/>
                    <w:rPr>
                      <w:rFonts w:hint="default"/>
                      <w:lang w:val="en-US" w:eastAsia="zh-CN"/>
                    </w:rPr>
                  </w:pPr>
                  <w:r>
                    <w:rPr>
                      <w:rFonts w:hint="eastAsia"/>
                      <w:lang w:val="en-US" w:eastAsia="zh-CN"/>
                    </w:rPr>
                    <w:t>本项目不涉及高污染燃料及设备。</w:t>
                  </w:r>
                </w:p>
              </w:tc>
              <w:tc>
                <w:tcPr>
                  <w:tcW w:w="915" w:type="dxa"/>
                  <w:tcBorders>
                    <w:tl2br w:val="nil"/>
                    <w:tr2bl w:val="nil"/>
                  </w:tcBorders>
                  <w:shd w:val="clear" w:color="auto" w:fill="auto"/>
                  <w:vAlign w:val="center"/>
                </w:tcPr>
                <w:p>
                  <w:pPr>
                    <w:pStyle w:val="37"/>
                    <w:keepNext w:val="0"/>
                    <w:keepLines w:val="0"/>
                    <w:suppressLineNumbers w:val="0"/>
                    <w:spacing w:before="0" w:beforeAutospacing="0" w:after="0" w:afterAutospacing="0"/>
                    <w:ind w:right="0"/>
                    <w:rPr>
                      <w:rFonts w:hint="eastAsia"/>
                      <w:lang w:val="en-US" w:eastAsia="zh-CN"/>
                    </w:rPr>
                  </w:pPr>
                  <w:r>
                    <w:rPr>
                      <w:rFonts w:hint="eastAsia"/>
                      <w:lang w:val="en-US" w:eastAsia="zh-CN"/>
                    </w:rPr>
                    <w:t>符合</w:t>
                  </w:r>
                </w:p>
              </w:tc>
            </w:tr>
          </w:tbl>
          <w:p>
            <w:pPr>
              <w:pStyle w:val="42"/>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line="360" w:lineRule="auto"/>
              <w:ind w:left="0" w:right="0" w:firstLine="480"/>
              <w:textAlignment w:val="auto"/>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综上所述，本项目的建设符合“三线一单”的管控要求。</w:t>
            </w:r>
          </w:p>
          <w:p>
            <w:pPr>
              <w:pStyle w:val="4"/>
              <w:keepNext w:val="0"/>
              <w:keepLines w:val="0"/>
              <w:suppressLineNumbers w:val="0"/>
              <w:tabs>
                <w:tab w:val="clear" w:pos="420"/>
              </w:tabs>
              <w:spacing w:before="0" w:beforeAutospacing="0" w:after="0" w:afterAutospacing="0" w:line="360" w:lineRule="auto"/>
              <w:ind w:left="0" w:right="0"/>
              <w:rPr>
                <w:rFonts w:hint="default" w:ascii="Times New Roman" w:hAnsi="Times New Roman" w:eastAsia="宋体" w:cs="Times New Roman"/>
                <w:kern w:val="0"/>
                <w:sz w:val="28"/>
                <w:szCs w:val="28"/>
                <w:highlight w:val="none"/>
              </w:rPr>
            </w:pPr>
            <w:r>
              <w:rPr>
                <w:rFonts w:hint="default" w:ascii="Times New Roman" w:hAnsi="Times New Roman" w:eastAsia="宋体" w:cs="Times New Roman"/>
                <w:kern w:val="0"/>
                <w:sz w:val="28"/>
                <w:szCs w:val="28"/>
                <w:highlight w:val="none"/>
              </w:rPr>
              <w:t>产业政策符合性分析</w:t>
            </w:r>
          </w:p>
          <w:p>
            <w:pPr>
              <w:pStyle w:val="89"/>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sz w:val="24"/>
                <w:szCs w:val="24"/>
                <w:highlight w:val="none"/>
              </w:rPr>
            </w:pPr>
            <w:r>
              <w:rPr>
                <w:rStyle w:val="43"/>
                <w:rFonts w:hint="default" w:ascii="Times New Roman" w:hAnsi="Times New Roman" w:eastAsia="宋体" w:cs="Times New Roman"/>
                <w:sz w:val="24"/>
                <w:szCs w:val="24"/>
                <w:highlight w:val="none"/>
                <w:lang w:val="en-US"/>
              </w:rPr>
              <w:t>项目主要从事</w:t>
            </w:r>
            <w:r>
              <w:rPr>
                <w:rStyle w:val="43"/>
                <w:rFonts w:hint="eastAsia" w:ascii="Times New Roman" w:hAnsi="Times New Roman" w:cs="Times New Roman"/>
                <w:sz w:val="24"/>
                <w:szCs w:val="24"/>
                <w:highlight w:val="none"/>
                <w:lang w:val="en-US" w:eastAsia="zh-CN"/>
              </w:rPr>
              <w:t>新能源动力电池铝壳</w:t>
            </w:r>
            <w:r>
              <w:rPr>
                <w:rStyle w:val="43"/>
                <w:rFonts w:hint="default" w:ascii="Times New Roman" w:hAnsi="Times New Roman" w:eastAsia="宋体" w:cs="Times New Roman"/>
                <w:sz w:val="24"/>
                <w:szCs w:val="24"/>
                <w:highlight w:val="none"/>
                <w:lang w:val="en-US"/>
              </w:rPr>
              <w:t>的生产加工，对照</w:t>
            </w:r>
            <w:r>
              <w:rPr>
                <w:rStyle w:val="43"/>
                <w:rFonts w:hint="default" w:ascii="Times New Roman" w:hAnsi="Times New Roman" w:eastAsia="宋体" w:cs="Times New Roman"/>
                <w:sz w:val="24"/>
                <w:szCs w:val="24"/>
                <w:highlight w:val="none"/>
              </w:rPr>
              <w:t>《产业结构调整指导目录（20</w:t>
            </w:r>
            <w:r>
              <w:rPr>
                <w:rStyle w:val="43"/>
                <w:rFonts w:hint="eastAsia" w:ascii="Times New Roman" w:hAnsi="Times New Roman" w:cs="Times New Roman"/>
                <w:sz w:val="24"/>
                <w:szCs w:val="24"/>
                <w:highlight w:val="none"/>
                <w:lang w:val="en-US" w:eastAsia="zh-CN"/>
              </w:rPr>
              <w:t>24</w:t>
            </w:r>
            <w:r>
              <w:rPr>
                <w:rStyle w:val="43"/>
                <w:rFonts w:hint="default" w:ascii="Times New Roman" w:hAnsi="Times New Roman" w:eastAsia="宋体" w:cs="Times New Roman"/>
                <w:sz w:val="24"/>
                <w:szCs w:val="24"/>
                <w:highlight w:val="none"/>
              </w:rPr>
              <w:t>年本）》，</w:t>
            </w:r>
            <w:r>
              <w:rPr>
                <w:rStyle w:val="43"/>
                <w:rFonts w:hint="default" w:ascii="Times New Roman" w:hAnsi="Times New Roman" w:eastAsia="宋体" w:cs="Times New Roman"/>
                <w:sz w:val="24"/>
                <w:szCs w:val="24"/>
                <w:highlight w:val="none"/>
                <w:lang w:val="en-US"/>
              </w:rPr>
              <w:t>所采用的工艺、设备及产品不属于</w:t>
            </w:r>
            <w:r>
              <w:rPr>
                <w:rStyle w:val="43"/>
                <w:rFonts w:hint="default" w:ascii="Times New Roman" w:hAnsi="Times New Roman" w:eastAsia="宋体" w:cs="Times New Roman"/>
                <w:sz w:val="24"/>
                <w:szCs w:val="24"/>
                <w:highlight w:val="none"/>
              </w:rPr>
              <w:t>《产业结构调整指导目录（20</w:t>
            </w:r>
            <w:r>
              <w:rPr>
                <w:rStyle w:val="43"/>
                <w:rFonts w:hint="eastAsia" w:ascii="Times New Roman" w:hAnsi="Times New Roman" w:cs="Times New Roman"/>
                <w:sz w:val="24"/>
                <w:szCs w:val="24"/>
                <w:highlight w:val="none"/>
                <w:lang w:val="en-US" w:eastAsia="zh-CN"/>
              </w:rPr>
              <w:t>24</w:t>
            </w:r>
            <w:r>
              <w:rPr>
                <w:rStyle w:val="43"/>
                <w:rFonts w:hint="default" w:ascii="Times New Roman" w:hAnsi="Times New Roman" w:eastAsia="宋体" w:cs="Times New Roman"/>
                <w:sz w:val="24"/>
                <w:szCs w:val="24"/>
                <w:highlight w:val="none"/>
              </w:rPr>
              <w:t>年本）》</w:t>
            </w:r>
            <w:r>
              <w:rPr>
                <w:rStyle w:val="43"/>
                <w:rFonts w:hint="default" w:ascii="Times New Roman" w:hAnsi="Times New Roman" w:eastAsia="宋体" w:cs="Times New Roman"/>
                <w:sz w:val="24"/>
                <w:szCs w:val="24"/>
                <w:highlight w:val="none"/>
                <w:lang w:val="en-US"/>
              </w:rPr>
              <w:t>中的限制类、淘汰类之列</w:t>
            </w:r>
            <w:r>
              <w:rPr>
                <w:rStyle w:val="43"/>
                <w:rFonts w:hint="default" w:ascii="Times New Roman" w:hAnsi="Times New Roman" w:eastAsia="宋体" w:cs="Times New Roman"/>
                <w:sz w:val="24"/>
                <w:szCs w:val="24"/>
                <w:highlight w:val="none"/>
                <w:lang w:val="en-US" w:eastAsia="zh-CN"/>
              </w:rPr>
              <w:t>。</w:t>
            </w:r>
            <w:r>
              <w:rPr>
                <w:rStyle w:val="43"/>
                <w:rFonts w:hint="default" w:ascii="Times New Roman" w:hAnsi="Times New Roman" w:eastAsia="宋体" w:cs="Times New Roman"/>
                <w:color w:val="auto"/>
                <w:sz w:val="24"/>
                <w:szCs w:val="24"/>
                <w:highlight w:val="none"/>
                <w:lang w:val="en-US"/>
              </w:rPr>
              <w:t>另外，</w:t>
            </w:r>
            <w:r>
              <w:rPr>
                <w:rFonts w:hint="default" w:ascii="Times New Roman" w:hAnsi="Times New Roman" w:eastAsia="宋体" w:cs="Times New Roman"/>
                <w:color w:val="auto"/>
                <w:sz w:val="24"/>
                <w:szCs w:val="24"/>
                <w:highlight w:val="none"/>
              </w:rPr>
              <w:t>建设单位于202</w:t>
            </w:r>
            <w:r>
              <w:rPr>
                <w:rFonts w:hint="eastAsia" w:ascii="Times New Roman" w:hAnsi="Times New Roman"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rPr>
              <w:t>年</w:t>
            </w:r>
            <w:r>
              <w:rPr>
                <w:rFonts w:hint="eastAsia" w:ascii="Times New Roman" w:hAnsi="Times New Roman"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rPr>
              <w:t>月</w:t>
            </w:r>
            <w:r>
              <w:rPr>
                <w:rFonts w:hint="eastAsia" w:ascii="Times New Roman" w:hAnsi="Times New Roman" w:cs="Times New Roman"/>
                <w:color w:val="auto"/>
                <w:sz w:val="24"/>
                <w:szCs w:val="24"/>
                <w:highlight w:val="none"/>
                <w:lang w:val="en-US" w:eastAsia="zh-CN"/>
              </w:rPr>
              <w:t>8</w:t>
            </w:r>
            <w:r>
              <w:rPr>
                <w:rFonts w:hint="default" w:ascii="Times New Roman" w:hAnsi="Times New Roman" w:eastAsia="宋体" w:cs="Times New Roman"/>
                <w:color w:val="auto"/>
                <w:sz w:val="24"/>
                <w:szCs w:val="24"/>
                <w:highlight w:val="none"/>
              </w:rPr>
              <w:t>日取得了</w:t>
            </w:r>
            <w:r>
              <w:rPr>
                <w:rFonts w:hint="default" w:ascii="Times New Roman" w:hAnsi="Times New Roman" w:eastAsia="宋体" w:cs="Times New Roman"/>
                <w:color w:val="auto"/>
                <w:sz w:val="24"/>
                <w:szCs w:val="24"/>
                <w:highlight w:val="none"/>
                <w:lang w:val="en-US"/>
              </w:rPr>
              <w:t>霞浦县</w:t>
            </w:r>
            <w:r>
              <w:rPr>
                <w:rFonts w:hint="default" w:ascii="Times New Roman" w:hAnsi="Times New Roman" w:eastAsia="宋体" w:cs="Times New Roman"/>
                <w:color w:val="auto"/>
                <w:sz w:val="24"/>
                <w:szCs w:val="24"/>
                <w:highlight w:val="none"/>
              </w:rPr>
              <w:t>工业和信息化局出具的《福建省投资项目备案证明（内资）》（闽发改备[2024]J040140号，附件2），</w:t>
            </w:r>
            <w:r>
              <w:rPr>
                <w:rFonts w:hint="eastAsia" w:ascii="Times New Roman" w:hAnsi="Times New Roman" w:cs="Times New Roman"/>
                <w:color w:val="auto"/>
                <w:sz w:val="24"/>
                <w:szCs w:val="24"/>
                <w:highlight w:val="none"/>
                <w:lang w:val="en-US" w:eastAsia="zh-CN"/>
              </w:rPr>
              <w:t>项目的建设能够完善宁德锂电新能源产业链。</w:t>
            </w:r>
            <w:r>
              <w:rPr>
                <w:rFonts w:hint="default" w:ascii="Times New Roman" w:hAnsi="Times New Roman" w:eastAsia="宋体" w:cs="Times New Roman"/>
                <w:color w:val="auto"/>
                <w:sz w:val="24"/>
                <w:szCs w:val="24"/>
                <w:highlight w:val="none"/>
              </w:rPr>
              <w:t>因此项目的建设符合国家和地方的产业政策要求。</w:t>
            </w:r>
          </w:p>
          <w:p>
            <w:pPr>
              <w:pStyle w:val="4"/>
              <w:keepNext w:val="0"/>
              <w:keepLines w:val="0"/>
              <w:suppressLineNumbers w:val="0"/>
              <w:tabs>
                <w:tab w:val="clear" w:pos="420"/>
              </w:tabs>
              <w:spacing w:before="0" w:beforeAutospacing="0" w:after="0" w:afterAutospacing="0" w:line="360" w:lineRule="auto"/>
              <w:ind w:left="0" w:right="0"/>
              <w:rPr>
                <w:rFonts w:hint="default" w:ascii="Times New Roman" w:hAnsi="Times New Roman" w:eastAsia="宋体" w:cs="Times New Roman"/>
                <w:kern w:val="0"/>
                <w:sz w:val="28"/>
                <w:szCs w:val="28"/>
                <w:highlight w:val="none"/>
              </w:rPr>
            </w:pPr>
            <w:r>
              <w:rPr>
                <w:rFonts w:hint="default" w:ascii="Times New Roman" w:hAnsi="Times New Roman" w:eastAsia="宋体" w:cs="Times New Roman"/>
                <w:kern w:val="0"/>
                <w:sz w:val="28"/>
                <w:szCs w:val="28"/>
                <w:highlight w:val="none"/>
              </w:rPr>
              <w:t>选址合理性分析</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本项目位于霞浦经济开发区，</w:t>
            </w:r>
            <w:r>
              <w:rPr>
                <w:rFonts w:hint="eastAsia" w:cs="Times New Roman"/>
                <w:sz w:val="24"/>
                <w:szCs w:val="24"/>
                <w:highlight w:val="none"/>
                <w:lang w:val="en-US" w:eastAsia="zh-CN"/>
              </w:rPr>
              <w:t>租赁</w:t>
            </w:r>
            <w:r>
              <w:rPr>
                <w:rFonts w:hint="eastAsia"/>
                <w:highlight w:val="none"/>
              </w:rPr>
              <w:t>福建德恩家具有限公司已建厂房进行生产</w:t>
            </w:r>
            <w:r>
              <w:rPr>
                <w:rFonts w:hint="default" w:ascii="Times New Roman" w:hAnsi="Times New Roman" w:eastAsia="宋体" w:cs="Times New Roman"/>
                <w:sz w:val="24"/>
                <w:szCs w:val="24"/>
                <w:highlight w:val="none"/>
              </w:rPr>
              <w:t>，</w:t>
            </w:r>
            <w:r>
              <w:rPr>
                <w:rFonts w:hint="default" w:ascii="Times New Roman" w:hAnsi="Times New Roman" w:eastAsia="宋体" w:cs="Times New Roman"/>
                <w:sz w:val="24"/>
                <w:szCs w:val="24"/>
                <w:highlight w:val="none"/>
                <w:lang w:val="en-US" w:eastAsia="zh-CN"/>
              </w:rPr>
              <w:t>租赁建筑面积约5842</w:t>
            </w:r>
            <w:r>
              <w:rPr>
                <w:rFonts w:hint="default" w:ascii="Times New Roman" w:hAnsi="Times New Roman" w:eastAsia="宋体" w:cs="Times New Roman"/>
                <w:sz w:val="24"/>
                <w:szCs w:val="24"/>
                <w:highlight w:val="none"/>
              </w:rPr>
              <w:t>m²</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rPr>
              <w:t>项目的建设符合霞浦经济开发区产业定位，符合其规划环评及审查意见要求。同时，根据不动产权证书（闽[2021]霞浦县不动产权第0009915号），项目用地性质为工业用地，符合当地土地利用规划。因此，本项目选址合理。</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p>
        </w:tc>
      </w:tr>
    </w:tbl>
    <w:p>
      <w:pPr>
        <w:spacing w:line="360" w:lineRule="auto"/>
        <w:outlineLvl w:val="0"/>
        <w:rPr>
          <w:rFonts w:eastAsia="黑体"/>
          <w:sz w:val="30"/>
        </w:rPr>
        <w:sectPr>
          <w:headerReference r:id="rId6" w:type="default"/>
          <w:footerReference r:id="rId7" w:type="default"/>
          <w:pgSz w:w="11906" w:h="16838"/>
          <w:pgMar w:top="1417" w:right="1531" w:bottom="1417" w:left="1417" w:header="851" w:footer="1077" w:gutter="0"/>
          <w:pgBorders>
            <w:top w:val="none" w:sz="0" w:space="0"/>
            <w:left w:val="none" w:sz="0" w:space="0"/>
            <w:bottom w:val="none" w:sz="0" w:space="0"/>
            <w:right w:val="none" w:sz="0" w:space="0"/>
          </w:pgBorders>
          <w:pgNumType w:fmt="numberInDash" w:start="1"/>
          <w:cols w:space="720" w:num="1"/>
          <w:docGrid w:linePitch="312" w:charSpace="0"/>
        </w:sectPr>
      </w:pPr>
    </w:p>
    <w:p>
      <w:pPr>
        <w:pStyle w:val="3"/>
      </w:pPr>
      <w:r>
        <w:rPr>
          <w:rFonts w:hint="eastAsia"/>
        </w:rPr>
        <w:t>建设项目工程分析</w:t>
      </w:r>
    </w:p>
    <w:tbl>
      <w:tblPr>
        <w:tblStyle w:val="27"/>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84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7" w:type="dxa"/>
            <w:vAlign w:val="center"/>
          </w:tcPr>
          <w:p>
            <w:pPr>
              <w:pStyle w:val="25"/>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建设内容</w:t>
            </w:r>
          </w:p>
        </w:tc>
        <w:tc>
          <w:tcPr>
            <w:tcW w:w="8333" w:type="dxa"/>
          </w:tcPr>
          <w:p>
            <w:pPr>
              <w:pStyle w:val="4"/>
              <w:keepNext w:val="0"/>
              <w:keepLines w:val="0"/>
              <w:suppressLineNumbers w:val="0"/>
              <w:spacing w:before="0" w:beforeAutospacing="0" w:after="0" w:afterAutospacing="0"/>
              <w:ind w:left="0" w:right="0"/>
              <w:rPr>
                <w:rFonts w:hint="default" w:ascii="Times New Roman" w:hAnsi="Times New Roman" w:eastAsia="宋体" w:cs="Times New Roman"/>
                <w:sz w:val="28"/>
                <w:szCs w:val="28"/>
              </w:rPr>
            </w:pPr>
            <w:bookmarkStart w:id="3" w:name="_Toc28977"/>
            <w:bookmarkStart w:id="4" w:name="_Toc31896"/>
            <w:bookmarkStart w:id="5" w:name="_Toc1503"/>
            <w:bookmarkStart w:id="6" w:name="_Toc22117"/>
            <w:r>
              <w:rPr>
                <w:rFonts w:hint="default" w:ascii="Times New Roman" w:hAnsi="Times New Roman" w:eastAsia="宋体" w:cs="Times New Roman"/>
                <w:sz w:val="28"/>
                <w:szCs w:val="28"/>
              </w:rPr>
              <w:t>项目由来</w:t>
            </w:r>
          </w:p>
          <w:p>
            <w:pPr>
              <w:pStyle w:val="71"/>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砚</w:t>
            </w:r>
            <w:r>
              <w:rPr>
                <w:rFonts w:hint="default" w:ascii="Times New Roman" w:hAnsi="Times New Roman" w:eastAsia="宋体" w:cs="Times New Roman"/>
                <w:sz w:val="24"/>
                <w:szCs w:val="24"/>
              </w:rPr>
              <w:t>泽智能（宁德）制造有限公司</w:t>
            </w:r>
            <w:r>
              <w:rPr>
                <w:rFonts w:hint="eastAsia"/>
                <w:color w:val="auto"/>
                <w:lang w:val="en-US" w:eastAsia="zh-CN"/>
              </w:rPr>
              <w:t>（本报告简称“建设单位”）于2024年2月注册成立，现拟</w:t>
            </w:r>
            <w:r>
              <w:rPr>
                <w:rFonts w:hint="eastAsia" w:cs="Times New Roman"/>
                <w:sz w:val="24"/>
                <w:szCs w:val="24"/>
                <w:lang w:val="en-US" w:eastAsia="zh-CN"/>
              </w:rPr>
              <w:t>收购</w:t>
            </w:r>
            <w:r>
              <w:rPr>
                <w:rFonts w:hint="default" w:ascii="Times New Roman" w:hAnsi="Times New Roman" w:eastAsia="宋体" w:cs="Times New Roman"/>
                <w:sz w:val="24"/>
                <w:szCs w:val="24"/>
              </w:rPr>
              <w:t>宁德信质新能源科技有限公司</w:t>
            </w:r>
            <w:r>
              <w:rPr>
                <w:rFonts w:hint="eastAsia" w:ascii="Times New Roman" w:hAnsi="Times New Roman" w:eastAsia="宋体" w:cs="Times New Roman"/>
                <w:sz w:val="24"/>
                <w:szCs w:val="24"/>
                <w:lang w:val="en-US" w:eastAsia="zh-CN"/>
              </w:rPr>
              <w:t>位于</w:t>
            </w:r>
            <w:r>
              <w:rPr>
                <w:rFonts w:hint="default" w:ascii="Times New Roman" w:hAnsi="Times New Roman" w:eastAsia="宋体" w:cs="Times New Roman"/>
                <w:sz w:val="24"/>
                <w:szCs w:val="24"/>
              </w:rPr>
              <w:t>福建德恩家居有限公司</w:t>
            </w:r>
            <w:r>
              <w:rPr>
                <w:rFonts w:hint="eastAsia" w:ascii="Times New Roman" w:hAnsi="Times New Roman" w:eastAsia="宋体" w:cs="Times New Roman"/>
                <w:sz w:val="24"/>
                <w:szCs w:val="24"/>
                <w:lang w:val="en-US" w:eastAsia="zh-CN"/>
              </w:rPr>
              <w:t>厂区内已建的5条新能源动力电池铝壳生产线及其配套环保设施等（见附件1</w:t>
            </w:r>
            <w:r>
              <w:rPr>
                <w:rFonts w:hint="eastAsia" w:cs="Times New Roman"/>
                <w:sz w:val="24"/>
                <w:szCs w:val="24"/>
                <w:lang w:val="en-US" w:eastAsia="zh-CN"/>
              </w:rPr>
              <w:t>1</w:t>
            </w:r>
            <w:r>
              <w:rPr>
                <w:rFonts w:hint="eastAsia" w:ascii="Times New Roman" w:hAnsi="Times New Roman" w:eastAsia="宋体" w:cs="Times New Roman"/>
                <w:sz w:val="24"/>
                <w:szCs w:val="24"/>
                <w:lang w:val="en-US" w:eastAsia="zh-CN"/>
              </w:rPr>
              <w:t>购销合同）用于生产。建设单位拟在此基础上，新增3条新能源动力电池铝壳生产线，建设“</w:t>
            </w:r>
            <w:r>
              <w:rPr>
                <w:rFonts w:hint="default" w:ascii="Times New Roman" w:hAnsi="Times New Roman" w:eastAsia="宋体" w:cs="Times New Roman"/>
                <w:sz w:val="24"/>
                <w:szCs w:val="24"/>
                <w:lang w:eastAsia="zh-CN"/>
              </w:rPr>
              <w:t>砚</w:t>
            </w:r>
            <w:r>
              <w:rPr>
                <w:rFonts w:hint="default" w:ascii="Times New Roman" w:hAnsi="Times New Roman" w:eastAsia="宋体" w:cs="Times New Roman"/>
                <w:sz w:val="24"/>
                <w:szCs w:val="24"/>
              </w:rPr>
              <w:t>泽智能（宁德）年产7000万套新能源动力电池铝壳项目</w:t>
            </w:r>
            <w:r>
              <w:rPr>
                <w:rFonts w:hint="eastAsia" w:ascii="Times New Roman" w:hAnsi="Times New Roman" w:eastAsia="宋体" w:cs="Times New Roman"/>
                <w:sz w:val="24"/>
                <w:szCs w:val="24"/>
                <w:lang w:val="en-US" w:eastAsia="zh-CN"/>
              </w:rPr>
              <w:t>”。该项目共设8条新能源动力电池铝壳生产线，形成</w:t>
            </w:r>
            <w:r>
              <w:rPr>
                <w:rFonts w:hint="default" w:ascii="Times New Roman" w:hAnsi="Times New Roman" w:eastAsia="宋体" w:cs="Times New Roman"/>
                <w:color w:val="auto"/>
                <w:sz w:val="24"/>
                <w:szCs w:val="24"/>
              </w:rPr>
              <w:t>年产</w:t>
            </w:r>
            <w:r>
              <w:rPr>
                <w:rFonts w:hint="default" w:ascii="Times New Roman" w:hAnsi="Times New Roman" w:eastAsia="宋体" w:cs="Times New Roman"/>
                <w:color w:val="auto"/>
                <w:sz w:val="24"/>
                <w:szCs w:val="24"/>
                <w:lang w:val="en-US" w:eastAsia="zh-CN"/>
              </w:rPr>
              <w:t>7000</w:t>
            </w:r>
            <w:r>
              <w:rPr>
                <w:rFonts w:hint="default" w:ascii="Times New Roman" w:hAnsi="Times New Roman" w:eastAsia="宋体" w:cs="Times New Roman"/>
                <w:color w:val="auto"/>
                <w:sz w:val="24"/>
                <w:szCs w:val="24"/>
              </w:rPr>
              <w:t>万套新能</w:t>
            </w:r>
            <w:r>
              <w:rPr>
                <w:rFonts w:hint="default" w:ascii="Times New Roman" w:hAnsi="Times New Roman" w:eastAsia="宋体" w:cs="Times New Roman"/>
                <w:sz w:val="24"/>
                <w:szCs w:val="24"/>
              </w:rPr>
              <w:t>源</w:t>
            </w:r>
            <w:r>
              <w:rPr>
                <w:rFonts w:hint="eastAsia" w:cs="Times New Roman"/>
                <w:sz w:val="24"/>
                <w:szCs w:val="24"/>
                <w:lang w:eastAsia="zh-CN"/>
              </w:rPr>
              <w:t>新能源动力电池铝壳</w:t>
            </w:r>
            <w:r>
              <w:rPr>
                <w:rFonts w:hint="eastAsia" w:ascii="Times New Roman" w:hAnsi="Times New Roman" w:eastAsia="宋体" w:cs="Times New Roman"/>
                <w:sz w:val="24"/>
                <w:szCs w:val="24"/>
                <w:lang w:val="en-US" w:eastAsia="zh-CN"/>
              </w:rPr>
              <w:t>产能</w:t>
            </w:r>
            <w:r>
              <w:rPr>
                <w:rFonts w:hint="eastAsia" w:cs="Times New Roman"/>
                <w:sz w:val="24"/>
                <w:szCs w:val="24"/>
                <w:lang w:val="en-US" w:eastAsia="zh-CN"/>
              </w:rPr>
              <w:t>，</w:t>
            </w:r>
            <w:r>
              <w:rPr>
                <w:rFonts w:hint="default" w:ascii="Times New Roman" w:hAnsi="Times New Roman" w:eastAsia="宋体" w:cs="Times New Roman"/>
                <w:sz w:val="24"/>
                <w:szCs w:val="24"/>
              </w:rPr>
              <w:t>项目总投资</w:t>
            </w:r>
            <w:r>
              <w:rPr>
                <w:rFonts w:hint="default" w:ascii="Times New Roman" w:hAnsi="Times New Roman" w:eastAsia="宋体" w:cs="Times New Roman"/>
                <w:color w:val="auto"/>
                <w:sz w:val="24"/>
                <w:szCs w:val="24"/>
                <w:lang w:val="en-US" w:eastAsia="zh-CN"/>
              </w:rPr>
              <w:t>3800</w:t>
            </w:r>
            <w:r>
              <w:rPr>
                <w:rFonts w:hint="default" w:ascii="Times New Roman" w:hAnsi="Times New Roman" w:eastAsia="宋体" w:cs="Times New Roman"/>
                <w:sz w:val="24"/>
                <w:szCs w:val="24"/>
              </w:rPr>
              <w:t>万元。</w:t>
            </w:r>
          </w:p>
          <w:p>
            <w:pPr>
              <w:pStyle w:val="71"/>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根据《中华人民共和国环境影响评价法</w:t>
            </w:r>
            <w:r>
              <w:rPr>
                <w:rFonts w:hint="eastAsia" w:cs="Times New Roman"/>
                <w:sz w:val="24"/>
                <w:szCs w:val="24"/>
                <w:lang w:eastAsia="zh-CN"/>
              </w:rPr>
              <w:t>》《</w:t>
            </w:r>
            <w:r>
              <w:rPr>
                <w:rFonts w:hint="default" w:ascii="Times New Roman" w:hAnsi="Times New Roman" w:eastAsia="宋体" w:cs="Times New Roman"/>
                <w:sz w:val="24"/>
                <w:szCs w:val="24"/>
              </w:rPr>
              <w:t>建设项目环境保护管理条例</w:t>
            </w:r>
            <w:r>
              <w:rPr>
                <w:rFonts w:hint="eastAsia" w:cs="Times New Roman"/>
                <w:sz w:val="24"/>
                <w:szCs w:val="24"/>
                <w:lang w:eastAsia="zh-CN"/>
              </w:rPr>
              <w:t>》《</w:t>
            </w:r>
            <w:r>
              <w:rPr>
                <w:rFonts w:hint="default" w:ascii="Times New Roman" w:hAnsi="Times New Roman" w:eastAsia="宋体" w:cs="Times New Roman"/>
                <w:sz w:val="24"/>
                <w:szCs w:val="24"/>
              </w:rPr>
              <w:t>建设项目环境影响评价分类管理名录》</w:t>
            </w:r>
            <w:r>
              <w:rPr>
                <w:rFonts w:hint="eastAsia" w:cs="Times New Roman"/>
                <w:sz w:val="24"/>
                <w:szCs w:val="24"/>
                <w:lang w:eastAsia="zh-CN"/>
              </w:rPr>
              <w:t>（</w:t>
            </w:r>
            <w:r>
              <w:rPr>
                <w:rFonts w:hint="default" w:ascii="Times New Roman" w:hAnsi="Times New Roman" w:eastAsia="宋体" w:cs="Times New Roman"/>
                <w:sz w:val="24"/>
                <w:szCs w:val="24"/>
              </w:rPr>
              <w:t>2021</w:t>
            </w:r>
            <w:r>
              <w:rPr>
                <w:rFonts w:hint="eastAsia" w:cs="Times New Roman"/>
                <w:sz w:val="24"/>
                <w:szCs w:val="24"/>
                <w:lang w:eastAsia="zh-CN"/>
              </w:rPr>
              <w:t>）</w:t>
            </w:r>
            <w:r>
              <w:rPr>
                <w:rFonts w:hint="default" w:ascii="Times New Roman" w:hAnsi="Times New Roman" w:eastAsia="宋体" w:cs="Times New Roman"/>
                <w:sz w:val="24"/>
                <w:szCs w:val="24"/>
              </w:rPr>
              <w:t>的有关规定，该建设项目属于</w:t>
            </w:r>
            <w:r>
              <w:rPr>
                <w:rFonts w:hint="eastAsia" w:cs="Times New Roman"/>
                <w:sz w:val="24"/>
                <w:szCs w:val="24"/>
                <w:lang w:eastAsia="zh-CN"/>
              </w:rPr>
              <w:t>“</w:t>
            </w:r>
            <w:r>
              <w:rPr>
                <w:rFonts w:hint="default" w:ascii="Times New Roman" w:hAnsi="Times New Roman" w:eastAsia="宋体" w:cs="Times New Roman"/>
                <w:sz w:val="24"/>
                <w:szCs w:val="24"/>
              </w:rPr>
              <w:t>三十、金属制品业33—68、铸造及其他金属制品制造339：其他（仅分割、焊接、组装的除外）</w:t>
            </w:r>
            <w:r>
              <w:rPr>
                <w:rFonts w:hint="eastAsia" w:cs="Times New Roman"/>
                <w:sz w:val="24"/>
                <w:szCs w:val="24"/>
                <w:lang w:eastAsia="zh-CN"/>
              </w:rPr>
              <w:t>”</w:t>
            </w:r>
            <w:r>
              <w:rPr>
                <w:rFonts w:hint="default" w:ascii="Times New Roman" w:hAnsi="Times New Roman" w:eastAsia="宋体" w:cs="Times New Roman"/>
                <w:sz w:val="24"/>
                <w:szCs w:val="24"/>
              </w:rPr>
              <w:t>，应编制环境影响报告表。建设单位于202</w:t>
            </w:r>
            <w:r>
              <w:rPr>
                <w:rFonts w:hint="eastAsia" w:cs="Times New Roman"/>
                <w:sz w:val="24"/>
                <w:szCs w:val="24"/>
                <w:lang w:val="en-US" w:eastAsia="zh-CN"/>
              </w:rPr>
              <w:t>4</w:t>
            </w:r>
            <w:r>
              <w:rPr>
                <w:rFonts w:hint="default" w:ascii="Times New Roman" w:hAnsi="Times New Roman" w:eastAsia="宋体" w:cs="Times New Roman"/>
                <w:sz w:val="24"/>
                <w:szCs w:val="24"/>
              </w:rPr>
              <w:t>年</w:t>
            </w:r>
            <w:r>
              <w:rPr>
                <w:rFonts w:hint="eastAsia" w:cs="Times New Roman"/>
                <w:sz w:val="24"/>
                <w:szCs w:val="24"/>
                <w:lang w:val="en-US" w:eastAsia="zh-CN"/>
              </w:rPr>
              <w:t>4</w:t>
            </w:r>
            <w:r>
              <w:rPr>
                <w:rFonts w:hint="default" w:ascii="Times New Roman" w:hAnsi="Times New Roman" w:eastAsia="宋体" w:cs="Times New Roman"/>
                <w:sz w:val="24"/>
                <w:szCs w:val="24"/>
              </w:rPr>
              <w:t>月委托我单位编制该项目的环境影响报告表（委托书详见附件1），我单位接受委托后，组织有关人员进行现场踏勘，在对项目开展环境现状调查、资料收集等和</w:t>
            </w:r>
            <w:r>
              <w:rPr>
                <w:rFonts w:hint="eastAsia" w:cs="Times New Roman"/>
                <w:sz w:val="24"/>
                <w:szCs w:val="24"/>
                <w:lang w:eastAsia="zh-CN"/>
              </w:rPr>
              <w:t>调研</w:t>
            </w:r>
            <w:r>
              <w:rPr>
                <w:rFonts w:hint="default" w:ascii="Times New Roman" w:hAnsi="Times New Roman" w:eastAsia="宋体" w:cs="Times New Roman"/>
                <w:sz w:val="24"/>
                <w:szCs w:val="24"/>
              </w:rPr>
              <w:t>的基础上，按照环境影响评价有关技术规范和要求，编制了本项目环境影响报告表，供建设单位报生态环境主管部门审批。</w:t>
            </w:r>
          </w:p>
          <w:p>
            <w:pPr>
              <w:pStyle w:val="4"/>
              <w:keepNext w:val="0"/>
              <w:keepLines w:val="0"/>
              <w:suppressLineNumbers w:val="0"/>
              <w:spacing w:before="0" w:beforeAutospacing="0" w:after="0" w:afterAutospacing="0"/>
              <w:ind w:left="0" w:right="0"/>
              <w:rPr>
                <w:rFonts w:hint="default" w:ascii="Times New Roman" w:hAnsi="Times New Roman" w:eastAsia="宋体" w:cs="Times New Roman"/>
                <w:sz w:val="28"/>
                <w:szCs w:val="28"/>
                <w:lang w:val="en-US" w:eastAsia="zh-CN"/>
              </w:rPr>
            </w:pPr>
            <w:bookmarkStart w:id="7" w:name="_Toc4381"/>
            <w:bookmarkStart w:id="8" w:name="_Toc22115"/>
            <w:bookmarkStart w:id="9" w:name="_Toc217"/>
            <w:bookmarkStart w:id="10" w:name="_Toc6121"/>
            <w:bookmarkStart w:id="11" w:name="_Toc495406266"/>
            <w:r>
              <w:rPr>
                <w:rFonts w:hint="default" w:ascii="Times New Roman" w:hAnsi="Times New Roman" w:eastAsia="宋体" w:cs="Times New Roman"/>
                <w:sz w:val="28"/>
                <w:szCs w:val="28"/>
                <w:lang w:val="en-US" w:eastAsia="zh-CN"/>
              </w:rPr>
              <w:t>原有</w:t>
            </w:r>
            <w:r>
              <w:rPr>
                <w:rFonts w:hint="default" w:ascii="Times New Roman" w:hAnsi="Times New Roman" w:eastAsia="宋体" w:cs="Times New Roman"/>
                <w:sz w:val="28"/>
                <w:szCs w:val="28"/>
              </w:rPr>
              <w:t>宁德信质新能源科技有限公司</w:t>
            </w:r>
            <w:r>
              <w:rPr>
                <w:rFonts w:hint="default" w:ascii="Times New Roman" w:hAnsi="Times New Roman" w:eastAsia="宋体" w:cs="Times New Roman"/>
                <w:sz w:val="28"/>
                <w:szCs w:val="28"/>
                <w:lang w:val="en-US" w:eastAsia="zh-CN"/>
              </w:rPr>
              <w:t>（设备</w:t>
            </w:r>
            <w:r>
              <w:rPr>
                <w:rFonts w:hint="default"/>
              </w:rPr>
              <w:commentReference w:id="0"/>
            </w:r>
            <w:r>
              <w:rPr>
                <w:rFonts w:hint="eastAsia" w:cs="Times New Roman"/>
                <w:sz w:val="28"/>
                <w:szCs w:val="28"/>
                <w:lang w:val="en-US" w:eastAsia="zh-CN"/>
              </w:rPr>
              <w:t>转让</w:t>
            </w:r>
            <w:r>
              <w:rPr>
                <w:rFonts w:hint="default" w:ascii="Times New Roman" w:hAnsi="Times New Roman" w:eastAsia="宋体" w:cs="Times New Roman"/>
                <w:sz w:val="28"/>
                <w:szCs w:val="28"/>
                <w:lang w:val="en-US" w:eastAsia="zh-CN"/>
              </w:rPr>
              <w:t>方）概况</w:t>
            </w:r>
          </w:p>
          <w:p>
            <w:pPr>
              <w:pStyle w:val="42"/>
              <w:keepNext w:val="0"/>
              <w:keepLines w:val="0"/>
              <w:suppressLineNumbers w:val="0"/>
              <w:bidi w:val="0"/>
              <w:spacing w:before="0" w:beforeAutospacing="0" w:after="0" w:afterAutospacing="0" w:line="360" w:lineRule="auto"/>
              <w:ind w:left="0" w:right="0" w:firstLine="480" w:firstLineChars="200"/>
              <w:rPr>
                <w:rFonts w:hint="default"/>
                <w:color w:val="auto"/>
                <w:highlight w:val="none"/>
                <w:lang w:val="en-US" w:eastAsia="zh-CN"/>
              </w:rPr>
            </w:pPr>
            <w:r>
              <w:rPr>
                <w:rFonts w:hint="default" w:ascii="Times New Roman" w:hAnsi="Times New Roman" w:eastAsia="宋体" w:cs="Times New Roman"/>
                <w:sz w:val="24"/>
                <w:szCs w:val="24"/>
              </w:rPr>
              <w:t>宁德信质新能源科技有限公司租赁福建德恩家居有限公司位于宁德市霞浦县</w:t>
            </w:r>
            <w:r>
              <w:rPr>
                <w:rFonts w:hint="eastAsia" w:cs="Times New Roman"/>
                <w:sz w:val="24"/>
                <w:szCs w:val="24"/>
                <w:lang w:val="en-US" w:eastAsia="zh-CN"/>
              </w:rPr>
              <w:t>经济开发区</w:t>
            </w:r>
            <w:r>
              <w:rPr>
                <w:rFonts w:hint="eastAsia" w:cs="Times New Roman"/>
                <w:sz w:val="24"/>
                <w:szCs w:val="24"/>
                <w:highlight w:val="none"/>
                <w:lang w:val="en-US" w:eastAsia="zh-CN"/>
              </w:rPr>
              <w:t>工业北路45号</w:t>
            </w:r>
            <w:r>
              <w:rPr>
                <w:rFonts w:hint="default" w:ascii="Times New Roman" w:hAnsi="Times New Roman" w:eastAsia="宋体" w:cs="Times New Roman"/>
                <w:sz w:val="24"/>
                <w:szCs w:val="24"/>
                <w:highlight w:val="none"/>
              </w:rPr>
              <w:t>2栋闲置厂房进行改造，建设宁德信质新能源年产9000万套新能源</w:t>
            </w:r>
            <w:r>
              <w:rPr>
                <w:rFonts w:hint="eastAsia" w:cs="Times New Roman"/>
                <w:sz w:val="24"/>
                <w:szCs w:val="24"/>
                <w:highlight w:val="none"/>
                <w:lang w:eastAsia="zh-CN"/>
              </w:rPr>
              <w:t>新能源动力电池铝壳</w:t>
            </w:r>
            <w:r>
              <w:rPr>
                <w:rFonts w:hint="default" w:ascii="Times New Roman" w:hAnsi="Times New Roman" w:eastAsia="宋体" w:cs="Times New Roman"/>
                <w:sz w:val="24"/>
                <w:szCs w:val="24"/>
                <w:highlight w:val="none"/>
              </w:rPr>
              <w:t>项目</w:t>
            </w:r>
            <w:r>
              <w:rPr>
                <w:rFonts w:hint="eastAsia" w:cs="Times New Roman"/>
                <w:sz w:val="24"/>
                <w:szCs w:val="24"/>
                <w:highlight w:val="none"/>
                <w:lang w:eastAsia="zh-CN"/>
              </w:rPr>
              <w:t>，</w:t>
            </w:r>
            <w:r>
              <w:rPr>
                <w:rFonts w:hint="eastAsia" w:cs="Times New Roman"/>
                <w:sz w:val="24"/>
                <w:szCs w:val="24"/>
                <w:highlight w:val="none"/>
                <w:lang w:val="en-US" w:eastAsia="zh-CN"/>
              </w:rPr>
              <w:t>设计建设</w:t>
            </w:r>
            <w:r>
              <w:rPr>
                <w:rFonts w:hint="eastAsia"/>
                <w:highlight w:val="none"/>
              </w:rPr>
              <w:t>9条新能源汽车</w:t>
            </w:r>
            <w:r>
              <w:rPr>
                <w:rFonts w:hint="eastAsia"/>
                <w:highlight w:val="none"/>
                <w:lang w:eastAsia="zh-CN"/>
              </w:rPr>
              <w:t>新能源动力电池铝壳</w:t>
            </w:r>
            <w:r>
              <w:rPr>
                <w:rFonts w:hint="eastAsia"/>
                <w:highlight w:val="none"/>
              </w:rPr>
              <w:t>智能生产线</w:t>
            </w:r>
            <w:r>
              <w:rPr>
                <w:rFonts w:hint="default" w:ascii="Times New Roman" w:hAnsi="Times New Roman" w:eastAsia="宋体" w:cs="Times New Roman"/>
                <w:sz w:val="24"/>
                <w:szCs w:val="24"/>
                <w:highlight w:val="none"/>
              </w:rPr>
              <w:t>。</w:t>
            </w:r>
            <w:r>
              <w:rPr>
                <w:rFonts w:hint="eastAsia" w:cs="Times New Roman"/>
                <w:sz w:val="24"/>
                <w:szCs w:val="24"/>
                <w:highlight w:val="none"/>
                <w:lang w:val="en-US" w:eastAsia="zh-CN"/>
              </w:rPr>
              <w:t>该项目</w:t>
            </w:r>
            <w:r>
              <w:rPr>
                <w:rFonts w:hint="default" w:ascii="Times New Roman" w:hAnsi="Times New Roman" w:eastAsia="宋体" w:cs="Times New Roman"/>
                <w:sz w:val="24"/>
                <w:szCs w:val="24"/>
                <w:highlight w:val="none"/>
                <w:lang w:val="en-US" w:eastAsia="zh-CN"/>
              </w:rPr>
              <w:t>于2022年9月委托福建省闽创环保有限公司编制《宁德信质新能源年产9000万套新能源</w:t>
            </w:r>
            <w:r>
              <w:rPr>
                <w:rFonts w:hint="eastAsia" w:cs="Times New Roman"/>
                <w:sz w:val="24"/>
                <w:szCs w:val="24"/>
                <w:highlight w:val="none"/>
                <w:lang w:val="en-US" w:eastAsia="zh-CN"/>
              </w:rPr>
              <w:t>新能源动力电池铝壳</w:t>
            </w:r>
            <w:r>
              <w:rPr>
                <w:rFonts w:hint="default" w:ascii="Times New Roman" w:hAnsi="Times New Roman" w:eastAsia="宋体" w:cs="Times New Roman"/>
                <w:sz w:val="24"/>
                <w:szCs w:val="24"/>
                <w:highlight w:val="none"/>
                <w:lang w:val="en-US" w:eastAsia="zh-CN"/>
              </w:rPr>
              <w:t>项目环境影响报告表》，</w:t>
            </w:r>
            <w:r>
              <w:rPr>
                <w:rFonts w:hint="eastAsia" w:cs="Times New Roman"/>
                <w:sz w:val="24"/>
                <w:szCs w:val="24"/>
                <w:highlight w:val="none"/>
                <w:lang w:val="en-US" w:eastAsia="zh-CN"/>
              </w:rPr>
              <w:t>同年12月21日</w:t>
            </w:r>
            <w:r>
              <w:rPr>
                <w:rFonts w:hint="default"/>
                <w:color w:val="auto"/>
                <w:highlight w:val="none"/>
                <w:lang w:val="en-US" w:eastAsia="zh-CN"/>
              </w:rPr>
              <w:t>通过宁德市</w:t>
            </w:r>
            <w:r>
              <w:rPr>
                <w:rFonts w:hint="eastAsia"/>
                <w:color w:val="auto"/>
                <w:highlight w:val="none"/>
                <w:lang w:val="en-US" w:eastAsia="zh-CN"/>
              </w:rPr>
              <w:t>霞浦</w:t>
            </w:r>
            <w:r>
              <w:rPr>
                <w:rFonts w:hint="default"/>
                <w:color w:val="auto"/>
                <w:highlight w:val="none"/>
                <w:lang w:val="en-US" w:eastAsia="zh-CN"/>
              </w:rPr>
              <w:t>生态环境局审批</w:t>
            </w:r>
            <w:r>
              <w:rPr>
                <w:rFonts w:hint="eastAsia"/>
                <w:color w:val="auto"/>
                <w:highlight w:val="none"/>
                <w:lang w:val="en-US" w:eastAsia="zh-CN"/>
              </w:rPr>
              <w:t>，批复文号宁霞环评（2022）22号，并于2023年2月24日进行排污许可登记，登记编号：91350921MABTF1DHX3001W，未进行验收。</w:t>
            </w:r>
          </w:p>
          <w:p>
            <w:pPr>
              <w:pStyle w:val="42"/>
              <w:keepNext w:val="0"/>
              <w:keepLines w:val="0"/>
              <w:suppressLineNumbers w:val="0"/>
              <w:bidi w:val="0"/>
              <w:spacing w:before="0" w:beforeAutospacing="0" w:after="0" w:afterAutospacing="0" w:line="360" w:lineRule="auto"/>
              <w:ind w:left="0" w:right="0" w:firstLine="480" w:firstLineChars="200"/>
              <w:rPr>
                <w:rFonts w:hint="eastAsia"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rPr>
              <w:t>宁德信质新能源科技有限公司</w:t>
            </w:r>
            <w:r>
              <w:rPr>
                <w:rFonts w:hint="default" w:ascii="Times New Roman" w:hAnsi="Times New Roman" w:eastAsia="宋体" w:cs="Times New Roman"/>
                <w:sz w:val="24"/>
                <w:szCs w:val="24"/>
                <w:highlight w:val="none"/>
                <w:lang w:val="en-US" w:eastAsia="zh-CN"/>
              </w:rPr>
              <w:t>于2023年</w:t>
            </w:r>
            <w:r>
              <w:rPr>
                <w:rFonts w:hint="eastAsia" w:cs="Times New Roman"/>
                <w:sz w:val="24"/>
                <w:szCs w:val="24"/>
                <w:highlight w:val="none"/>
                <w:lang w:val="en-US" w:eastAsia="zh-CN"/>
              </w:rPr>
              <w:t>5</w:t>
            </w:r>
            <w:r>
              <w:rPr>
                <w:rFonts w:hint="default" w:ascii="Times New Roman" w:hAnsi="Times New Roman" w:eastAsia="宋体" w:cs="Times New Roman"/>
                <w:sz w:val="24"/>
                <w:szCs w:val="24"/>
                <w:highlight w:val="none"/>
                <w:lang w:val="en-US" w:eastAsia="zh-CN"/>
              </w:rPr>
              <w:t>月建成</w:t>
            </w:r>
            <w:r>
              <w:rPr>
                <w:rFonts w:hint="eastAsia" w:cs="Times New Roman"/>
                <w:sz w:val="24"/>
                <w:szCs w:val="24"/>
                <w:highlight w:val="none"/>
                <w:lang w:val="en-US" w:eastAsia="zh-CN"/>
              </w:rPr>
              <w:t>5条新能源汽车新能源动力电池铝壳智能生产线及环保设备等配套设施，进行小规模试生产，后</w:t>
            </w:r>
            <w:r>
              <w:rPr>
                <w:rFonts w:hint="eastAsia"/>
                <w:highlight w:val="none"/>
                <w:lang w:val="en-US" w:eastAsia="zh-CN"/>
              </w:rPr>
              <w:t>因内部经营问题及外部市场销售渠道拓展不力等原因，于2023年底退出市场，并将现有已建的生产线及配套设施全数转让给</w:t>
            </w:r>
            <w:r>
              <w:rPr>
                <w:rFonts w:hint="default" w:ascii="Times New Roman" w:hAnsi="Times New Roman" w:eastAsia="宋体" w:cs="Times New Roman"/>
                <w:sz w:val="24"/>
                <w:szCs w:val="24"/>
                <w:highlight w:val="none"/>
                <w:lang w:eastAsia="zh-CN"/>
              </w:rPr>
              <w:t>砚</w:t>
            </w:r>
            <w:r>
              <w:rPr>
                <w:rFonts w:hint="default" w:ascii="Times New Roman" w:hAnsi="Times New Roman" w:eastAsia="宋体" w:cs="Times New Roman"/>
                <w:sz w:val="24"/>
                <w:szCs w:val="24"/>
                <w:highlight w:val="none"/>
              </w:rPr>
              <w:t>泽智能（宁德）制造有限公司</w:t>
            </w:r>
            <w:r>
              <w:rPr>
                <w:rFonts w:hint="eastAsia" w:cs="Times New Roman"/>
                <w:sz w:val="24"/>
                <w:szCs w:val="24"/>
                <w:highlight w:val="none"/>
                <w:lang w:val="en-US" w:eastAsia="zh-CN"/>
              </w:rPr>
              <w:t>继续建设（协议详见附件11）</w:t>
            </w:r>
            <w:r>
              <w:rPr>
                <w:rFonts w:hint="default"/>
                <w:highlight w:val="none"/>
              </w:rPr>
              <w:commentReference w:id="1"/>
            </w:r>
            <w:r>
              <w:rPr>
                <w:rFonts w:hint="eastAsia" w:ascii="Times New Roman" w:hAnsi="Times New Roman" w:eastAsia="宋体" w:cs="Times New Roman"/>
                <w:sz w:val="24"/>
                <w:szCs w:val="24"/>
                <w:highlight w:val="none"/>
                <w:lang w:val="en-US" w:eastAsia="zh-CN"/>
              </w:rPr>
              <w:t>。</w:t>
            </w:r>
          </w:p>
          <w:p>
            <w:pPr>
              <w:pStyle w:val="4"/>
              <w:keepNext w:val="0"/>
              <w:keepLines w:val="0"/>
              <w:suppressLineNumbers w:val="0"/>
              <w:spacing w:before="0" w:beforeAutospacing="0" w:after="0" w:afterAutospacing="0"/>
              <w:ind w:left="0" w:right="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项目概况</w:t>
            </w:r>
            <w:bookmarkEnd w:id="7"/>
            <w:bookmarkEnd w:id="8"/>
            <w:bookmarkEnd w:id="9"/>
            <w:bookmarkEnd w:id="10"/>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项目名称：</w:t>
            </w:r>
            <w:r>
              <w:rPr>
                <w:rFonts w:hint="default" w:ascii="Times New Roman" w:hAnsi="Times New Roman" w:eastAsia="宋体" w:cs="Times New Roman"/>
                <w:sz w:val="24"/>
                <w:szCs w:val="24"/>
                <w:lang w:eastAsia="zh-CN"/>
              </w:rPr>
              <w:t>砚</w:t>
            </w:r>
            <w:r>
              <w:rPr>
                <w:rFonts w:hint="default" w:ascii="Times New Roman" w:hAnsi="Times New Roman" w:eastAsia="宋体" w:cs="Times New Roman"/>
                <w:sz w:val="24"/>
                <w:szCs w:val="24"/>
              </w:rPr>
              <w:t>泽智能（宁德）年产7000万套新能源动力电池铝壳项目</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建设单位：</w:t>
            </w:r>
            <w:r>
              <w:rPr>
                <w:rFonts w:hint="default" w:ascii="Times New Roman" w:hAnsi="Times New Roman" w:eastAsia="宋体" w:cs="Times New Roman"/>
                <w:sz w:val="24"/>
                <w:szCs w:val="24"/>
                <w:lang w:eastAsia="zh-CN"/>
              </w:rPr>
              <w:t>砚</w:t>
            </w:r>
            <w:r>
              <w:rPr>
                <w:rFonts w:hint="default" w:ascii="Times New Roman" w:hAnsi="Times New Roman" w:eastAsia="宋体" w:cs="Times New Roman"/>
                <w:sz w:val="24"/>
                <w:szCs w:val="24"/>
              </w:rPr>
              <w:t>泽智能（宁德）制造有限公司</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建设地点：福建省霞浦县经济开发区工业北路45号</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auto"/>
                <w:sz w:val="24"/>
                <w:szCs w:val="24"/>
              </w:rPr>
            </w:pPr>
            <w:r>
              <w:rPr>
                <w:rFonts w:hint="default" w:ascii="Times New Roman" w:hAnsi="Times New Roman" w:eastAsia="宋体" w:cs="Times New Roman"/>
                <w:sz w:val="24"/>
                <w:szCs w:val="24"/>
              </w:rPr>
              <w:t>建设性质：</w:t>
            </w:r>
            <w:r>
              <w:rPr>
                <w:rFonts w:hint="default" w:ascii="Times New Roman" w:hAnsi="Times New Roman" w:eastAsia="宋体" w:cs="Times New Roman"/>
                <w:color w:val="auto"/>
                <w:sz w:val="24"/>
                <w:szCs w:val="24"/>
              </w:rPr>
              <w:t>新建</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项目投资：总投资</w:t>
            </w:r>
            <w:r>
              <w:rPr>
                <w:rFonts w:hint="default" w:ascii="Times New Roman" w:hAnsi="Times New Roman" w:eastAsia="宋体" w:cs="Times New Roman"/>
                <w:color w:val="auto"/>
                <w:sz w:val="24"/>
                <w:szCs w:val="24"/>
                <w:lang w:val="en-US" w:eastAsia="zh-CN"/>
              </w:rPr>
              <w:t>3800</w:t>
            </w:r>
            <w:r>
              <w:rPr>
                <w:rFonts w:hint="default" w:ascii="Times New Roman" w:hAnsi="Times New Roman" w:eastAsia="宋体" w:cs="Times New Roman"/>
                <w:color w:val="auto"/>
                <w:sz w:val="24"/>
                <w:szCs w:val="24"/>
              </w:rPr>
              <w:t>万元；</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职工人数：职工人数共200人，均不在厂内食宿；</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工作制度：年生产</w:t>
            </w:r>
            <w:r>
              <w:rPr>
                <w:rFonts w:hint="default" w:ascii="Times New Roman" w:hAnsi="Times New Roman" w:eastAsia="宋体" w:cs="Times New Roman"/>
                <w:sz w:val="24"/>
                <w:szCs w:val="24"/>
                <w:lang w:val="en-US" w:eastAsia="zh-CN"/>
              </w:rPr>
              <w:t>300</w:t>
            </w:r>
            <w:r>
              <w:rPr>
                <w:rFonts w:hint="default" w:ascii="Times New Roman" w:hAnsi="Times New Roman" w:eastAsia="宋体" w:cs="Times New Roman"/>
                <w:sz w:val="24"/>
                <w:szCs w:val="24"/>
              </w:rPr>
              <w:t>天，两班制，每天生产2</w:t>
            </w:r>
            <w:r>
              <w:rPr>
                <w:rFonts w:hint="default" w:ascii="Times New Roman" w:hAnsi="Times New Roman" w:eastAsia="宋体" w:cs="Times New Roman"/>
                <w:sz w:val="24"/>
                <w:szCs w:val="24"/>
                <w:lang w:val="en-US" w:eastAsia="zh-CN"/>
              </w:rPr>
              <w:t>0</w:t>
            </w:r>
            <w:r>
              <w:rPr>
                <w:rFonts w:hint="default" w:ascii="Times New Roman" w:hAnsi="Times New Roman" w:eastAsia="宋体" w:cs="Times New Roman"/>
                <w:sz w:val="24"/>
                <w:szCs w:val="24"/>
              </w:rPr>
              <w:t>h；</w:t>
            </w:r>
          </w:p>
          <w:p>
            <w:pPr>
              <w:pStyle w:val="42"/>
              <w:keepNext w:val="0"/>
              <w:keepLines w:val="0"/>
              <w:suppressLineNumbers w:val="0"/>
              <w:spacing w:before="0" w:beforeAutospacing="0" w:after="0" w:afterAutospacing="0"/>
              <w:ind w:left="0" w:right="0" w:firstLine="480"/>
              <w:rPr>
                <w:rFonts w:hint="default"/>
              </w:rPr>
            </w:pPr>
            <w:r>
              <w:rPr>
                <w:rFonts w:hint="default" w:ascii="Times New Roman" w:hAnsi="Times New Roman" w:eastAsia="宋体" w:cs="Times New Roman"/>
                <w:sz w:val="24"/>
                <w:szCs w:val="24"/>
              </w:rPr>
              <w:t>建设内容及规模：</w:t>
            </w:r>
            <w:r>
              <w:rPr>
                <w:rFonts w:hint="default" w:ascii="Times New Roman" w:hAnsi="Times New Roman" w:eastAsia="宋体" w:cs="Times New Roman"/>
                <w:color w:val="auto"/>
                <w:sz w:val="24"/>
                <w:szCs w:val="24"/>
                <w:lang w:val="en-US" w:eastAsia="zh-CN"/>
              </w:rPr>
              <w:t>项目租用福建德恩家居有限公司厂房，占地面积约16000平方，</w:t>
            </w:r>
            <w:r>
              <w:rPr>
                <w:rFonts w:hint="eastAsia" w:cs="Times New Roman"/>
                <w:color w:val="auto"/>
                <w:sz w:val="24"/>
                <w:szCs w:val="24"/>
                <w:lang w:val="en-US" w:eastAsia="zh-CN"/>
              </w:rPr>
              <w:t>购</w:t>
            </w:r>
            <w:r>
              <w:rPr>
                <w:rFonts w:hint="eastAsia"/>
              </w:rPr>
              <w:t>置闭式双点多连杆压力机、</w:t>
            </w:r>
            <w:r>
              <w:rPr>
                <w:rFonts w:hint="eastAsia"/>
                <w:lang w:val="en-US" w:eastAsia="zh-CN"/>
              </w:rPr>
              <w:t>高速落料生产线、机械手、投料机等生产</w:t>
            </w:r>
            <w:r>
              <w:rPr>
                <w:rFonts w:hint="eastAsia"/>
              </w:rPr>
              <w:t>设备，建</w:t>
            </w:r>
            <w:r>
              <w:rPr>
                <w:rFonts w:hint="eastAsia"/>
                <w:lang w:val="en-US" w:eastAsia="zh-CN"/>
              </w:rPr>
              <w:t>设</w:t>
            </w:r>
            <w:r>
              <w:rPr>
                <w:rFonts w:hint="eastAsia"/>
              </w:rPr>
              <w:t>新能源汽车</w:t>
            </w:r>
            <w:r>
              <w:rPr>
                <w:rFonts w:hint="eastAsia"/>
                <w:lang w:eastAsia="zh-CN"/>
              </w:rPr>
              <w:t>新能源动力电池铝壳</w:t>
            </w:r>
            <w:r>
              <w:rPr>
                <w:rFonts w:hint="eastAsia"/>
              </w:rPr>
              <w:t>智能生产线</w:t>
            </w:r>
            <w:r>
              <w:rPr>
                <w:rFonts w:hint="eastAsia"/>
                <w:lang w:val="en-US" w:eastAsia="zh-CN"/>
              </w:rPr>
              <w:t>8</w:t>
            </w:r>
            <w:r>
              <w:rPr>
                <w:rFonts w:hint="eastAsia"/>
              </w:rPr>
              <w:t>条</w:t>
            </w:r>
            <w:r>
              <w:rPr>
                <w:rFonts w:hint="eastAsia"/>
                <w:lang w:eastAsia="zh-CN"/>
              </w:rPr>
              <w:t>，</w:t>
            </w:r>
            <w:r>
              <w:rPr>
                <w:rFonts w:hint="eastAsia"/>
              </w:rPr>
              <w:t>设计年产</w:t>
            </w:r>
            <w:r>
              <w:rPr>
                <w:rFonts w:hint="eastAsia"/>
                <w:lang w:val="en-US" w:eastAsia="zh-CN"/>
              </w:rPr>
              <w:t>7</w:t>
            </w:r>
            <w:r>
              <w:rPr>
                <w:rFonts w:hint="eastAsia"/>
              </w:rPr>
              <w:t>000万套</w:t>
            </w:r>
            <w:r>
              <w:rPr>
                <w:rFonts w:hint="default" w:ascii="Times New Roman" w:hAnsi="Times New Roman" w:eastAsia="宋体" w:cs="Times New Roman"/>
                <w:color w:val="auto"/>
                <w:sz w:val="24"/>
                <w:szCs w:val="24"/>
                <w:lang w:val="en-US" w:eastAsia="zh-CN"/>
              </w:rPr>
              <w:t>新能源动力电池铝壳</w:t>
            </w:r>
            <w:r>
              <w:rPr>
                <w:rFonts w:hint="eastAsia" w:ascii="Times New Roman" w:hAnsi="Times New Roman" w:eastAsia="宋体" w:cs="Times New Roman"/>
                <w:color w:val="auto"/>
                <w:sz w:val="24"/>
                <w:szCs w:val="24"/>
                <w:lang w:val="en-US" w:eastAsia="zh-CN"/>
              </w:rPr>
              <w:t>。</w:t>
            </w:r>
          </w:p>
          <w:bookmarkEnd w:id="11"/>
          <w:p>
            <w:pPr>
              <w:pStyle w:val="4"/>
              <w:keepNext w:val="0"/>
              <w:keepLines w:val="0"/>
              <w:suppressLineNumbers w:val="0"/>
              <w:spacing w:before="0" w:beforeAutospacing="0" w:after="0" w:afterAutospacing="0"/>
              <w:ind w:left="0" w:right="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项目建设内容</w:t>
            </w:r>
            <w:bookmarkEnd w:id="3"/>
            <w:r>
              <w:rPr>
                <w:rFonts w:hint="default" w:ascii="Times New Roman" w:hAnsi="Times New Roman" w:eastAsia="宋体" w:cs="Times New Roman"/>
                <w:sz w:val="28"/>
                <w:szCs w:val="28"/>
              </w:rPr>
              <w:drawing>
                <wp:inline distT="0" distB="0" distL="114300" distR="114300">
                  <wp:extent cx="635" cy="0"/>
                  <wp:effectExtent l="0" t="0" r="0" b="0"/>
                  <wp:docPr id="43" name="图片 15" descr="5d4d756192e6f7dcc479903b567c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5" descr="5d4d756192e6f7dcc479903b567cde9"/>
                          <pic:cNvPicPr>
                            <a:picLocks noChangeAspect="1"/>
                          </pic:cNvPicPr>
                        </pic:nvPicPr>
                        <pic:blipFill>
                          <a:blip r:embed="rId10"/>
                          <a:stretch>
                            <a:fillRect/>
                          </a:stretch>
                        </pic:blipFill>
                        <pic:spPr>
                          <a:xfrm>
                            <a:off x="0" y="0"/>
                            <a:ext cx="635" cy="0"/>
                          </a:xfrm>
                          <a:prstGeom prst="rect">
                            <a:avLst/>
                          </a:prstGeom>
                          <a:noFill/>
                          <a:ln>
                            <a:noFill/>
                          </a:ln>
                        </pic:spPr>
                      </pic:pic>
                    </a:graphicData>
                  </a:graphic>
                </wp:inline>
              </w:drawing>
            </w:r>
            <w:bookmarkEnd w:id="4"/>
            <w:bookmarkEnd w:id="5"/>
            <w:bookmarkEnd w:id="6"/>
          </w:p>
          <w:p>
            <w:pPr>
              <w:pStyle w:val="5"/>
              <w:suppressLineNumbers w:val="0"/>
              <w:spacing w:before="0" w:beforeAutospacing="0" w:after="0" w:afterAutospacing="0" w:line="360" w:lineRule="auto"/>
              <w:ind w:right="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主要建设内容</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4F81BD" w:themeColor="accent1"/>
                <w:sz w:val="24"/>
                <w:szCs w:val="24"/>
                <w14:textFill>
                  <w14:solidFill>
                    <w14:schemeClr w14:val="accent1"/>
                  </w14:solidFill>
                </w14:textFill>
              </w:rPr>
            </w:pPr>
            <w:r>
              <w:rPr>
                <w:rFonts w:hint="default" w:ascii="Times New Roman" w:hAnsi="Times New Roman" w:eastAsia="宋体" w:cs="Times New Roman"/>
                <w:sz w:val="24"/>
                <w:szCs w:val="24"/>
              </w:rPr>
              <w:t>本项目建设内容主要</w:t>
            </w:r>
            <w:r>
              <w:rPr>
                <w:rFonts w:hint="eastAsia" w:cs="Times New Roman"/>
                <w:sz w:val="24"/>
                <w:szCs w:val="24"/>
                <w:lang w:val="en-US" w:eastAsia="zh-CN"/>
              </w:rPr>
              <w:t>为</w:t>
            </w:r>
            <w:r>
              <w:rPr>
                <w:rFonts w:hint="default" w:ascii="Times New Roman" w:hAnsi="Times New Roman" w:eastAsia="宋体" w:cs="Times New Roman"/>
                <w:sz w:val="24"/>
                <w:szCs w:val="24"/>
              </w:rPr>
              <w:t>车间内设备安装</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项目组成见</w:t>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REF _Ref14972 \n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表4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t>。</w:t>
            </w:r>
          </w:p>
          <w:p>
            <w:pPr>
              <w:pStyle w:val="36"/>
              <w:keepNext w:val="0"/>
              <w:keepLines w:val="0"/>
              <w:suppressLineNumbers w:val="0"/>
              <w:bidi w:val="0"/>
              <w:spacing w:before="0" w:beforeAutospacing="0" w:after="0" w:afterAutospacing="0" w:line="360" w:lineRule="auto"/>
              <w:ind w:right="0"/>
              <w:rPr>
                <w:rFonts w:hint="default" w:ascii="Times New Roman" w:hAnsi="Times New Roman" w:eastAsia="宋体" w:cs="Times New Roman"/>
                <w:color w:val="auto"/>
                <w:sz w:val="24"/>
                <w:szCs w:val="24"/>
                <w:highlight w:val="none"/>
              </w:rPr>
            </w:pPr>
            <w:bookmarkStart w:id="12" w:name="_Ref14972"/>
            <w:r>
              <w:rPr>
                <w:rFonts w:hint="default" w:ascii="Times New Roman" w:hAnsi="Times New Roman" w:eastAsia="宋体" w:cs="Times New Roman"/>
                <w:color w:val="auto"/>
                <w:sz w:val="24"/>
                <w:szCs w:val="24"/>
                <w:highlight w:val="none"/>
              </w:rPr>
              <w:t>项目主要建设内容情况一览表</w:t>
            </w:r>
            <w:bookmarkEnd w:id="12"/>
          </w:p>
          <w:tbl>
            <w:tblPr>
              <w:tblStyle w:val="27"/>
              <w:tblW w:w="818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70"/>
              <w:gridCol w:w="521"/>
              <w:gridCol w:w="142"/>
              <w:gridCol w:w="687"/>
              <w:gridCol w:w="4309"/>
              <w:gridCol w:w="17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0"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工程类别</w:t>
                  </w:r>
                </w:p>
              </w:tc>
              <w:tc>
                <w:tcPr>
                  <w:tcW w:w="1350" w:type="dxa"/>
                  <w:gridSpan w:val="3"/>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工程名称</w:t>
                  </w:r>
                </w:p>
              </w:tc>
              <w:tc>
                <w:tcPr>
                  <w:tcW w:w="4309"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建设内容</w:t>
                  </w:r>
                </w:p>
              </w:tc>
              <w:tc>
                <w:tcPr>
                  <w:tcW w:w="1760" w:type="dxa"/>
                  <w:vAlign w:val="center"/>
                </w:tcPr>
                <w:p>
                  <w:pPr>
                    <w:pStyle w:val="37"/>
                    <w:keepNext w:val="0"/>
                    <w:keepLines w:val="0"/>
                    <w:suppressLineNumbers w:val="0"/>
                    <w:spacing w:before="0" w:beforeAutospacing="0" w:after="0" w:afterAutospacing="0"/>
                    <w:ind w:right="0"/>
                    <w:rPr>
                      <w:rFonts w:hint="eastAsia"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0" w:type="dxa"/>
                  <w:vMerge w:val="restart"/>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主体</w:t>
                  </w:r>
                </w:p>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工程</w:t>
                  </w:r>
                </w:p>
              </w:tc>
              <w:tc>
                <w:tcPr>
                  <w:tcW w:w="1350" w:type="dxa"/>
                  <w:gridSpan w:val="3"/>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1#厂房</w:t>
                  </w:r>
                </w:p>
              </w:tc>
              <w:tc>
                <w:tcPr>
                  <w:tcW w:w="4309" w:type="dxa"/>
                  <w:vAlign w:val="center"/>
                </w:tcPr>
                <w:p>
                  <w:pPr>
                    <w:pStyle w:val="13"/>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rPr>
                    <w:t>1F，钢结构厂房，建筑面积约</w:t>
                  </w:r>
                  <w:r>
                    <w:rPr>
                      <w:rFonts w:hint="eastAsia" w:cs="Times New Roman"/>
                      <w:sz w:val="21"/>
                      <w:szCs w:val="21"/>
                      <w:highlight w:val="none"/>
                      <w:lang w:val="en-US" w:eastAsia="zh-CN"/>
                    </w:rPr>
                    <w:t>28</w:t>
                  </w:r>
                  <w:r>
                    <w:rPr>
                      <w:rFonts w:hint="default" w:ascii="Times New Roman" w:hAnsi="Times New Roman" w:eastAsia="宋体" w:cs="Times New Roman"/>
                      <w:sz w:val="21"/>
                      <w:szCs w:val="21"/>
                      <w:highlight w:val="none"/>
                    </w:rPr>
                    <w:t>00m</w:t>
                  </w:r>
                  <w:r>
                    <w:rPr>
                      <w:rFonts w:hint="default" w:ascii="Times New Roman" w:hAnsi="Times New Roman" w:eastAsia="宋体" w:cs="Times New Roman"/>
                      <w:sz w:val="21"/>
                      <w:szCs w:val="21"/>
                      <w:highlight w:val="none"/>
                      <w:vertAlign w:val="superscript"/>
                    </w:rPr>
                    <w:t>2</w:t>
                  </w:r>
                  <w:r>
                    <w:rPr>
                      <w:rFonts w:hint="default" w:ascii="Times New Roman" w:hAnsi="Times New Roman" w:eastAsia="宋体" w:cs="Times New Roman"/>
                      <w:sz w:val="21"/>
                      <w:szCs w:val="21"/>
                      <w:highlight w:val="none"/>
                    </w:rPr>
                    <w:t>，设置</w:t>
                  </w:r>
                  <w:r>
                    <w:rPr>
                      <w:rFonts w:hint="eastAsia" w:cs="Times New Roman"/>
                      <w:sz w:val="21"/>
                      <w:szCs w:val="21"/>
                      <w:highlight w:val="none"/>
                      <w:lang w:val="en-US" w:eastAsia="zh-CN"/>
                    </w:rPr>
                    <w:t>6</w:t>
                  </w:r>
                  <w:r>
                    <w:rPr>
                      <w:rFonts w:hint="default" w:ascii="Times New Roman" w:hAnsi="Times New Roman" w:eastAsia="宋体" w:cs="Times New Roman"/>
                      <w:sz w:val="21"/>
                      <w:szCs w:val="21"/>
                      <w:highlight w:val="none"/>
                    </w:rPr>
                    <w:t>条</w:t>
                  </w:r>
                  <w:r>
                    <w:rPr>
                      <w:rFonts w:hint="default" w:ascii="Times New Roman" w:hAnsi="Times New Roman" w:eastAsia="宋体" w:cs="Times New Roman"/>
                      <w:sz w:val="21"/>
                      <w:szCs w:val="21"/>
                      <w:highlight w:val="none"/>
                      <w:lang w:val="en-US" w:eastAsia="zh-CN"/>
                    </w:rPr>
                    <w:t>新能源动力电池铝壳生产线</w:t>
                  </w:r>
                  <w:r>
                    <w:rPr>
                      <w:rFonts w:hint="eastAsia" w:cs="Times New Roman"/>
                      <w:sz w:val="21"/>
                      <w:szCs w:val="21"/>
                      <w:highlight w:val="none"/>
                      <w:lang w:val="en-US" w:eastAsia="zh-CN"/>
                    </w:rPr>
                    <w:t>及</w:t>
                  </w:r>
                  <w:r>
                    <w:rPr>
                      <w:rFonts w:hint="default" w:ascii="Times New Roman" w:hAnsi="Times New Roman" w:eastAsia="宋体" w:cs="Times New Roman"/>
                      <w:sz w:val="21"/>
                      <w:szCs w:val="21"/>
                      <w:highlight w:val="none"/>
                    </w:rPr>
                    <w:t>成品</w:t>
                  </w:r>
                  <w:r>
                    <w:rPr>
                      <w:rFonts w:hint="eastAsia" w:cs="Times New Roman"/>
                      <w:sz w:val="21"/>
                      <w:szCs w:val="21"/>
                      <w:highlight w:val="none"/>
                      <w:lang w:val="en-US" w:eastAsia="zh-CN"/>
                    </w:rPr>
                    <w:t>库</w:t>
                  </w:r>
                </w:p>
              </w:tc>
              <w:tc>
                <w:tcPr>
                  <w:tcW w:w="1760" w:type="dxa"/>
                  <w:vAlign w:val="center"/>
                </w:tcPr>
                <w:p>
                  <w:pPr>
                    <w:pStyle w:val="13"/>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其中5条为收购的已建生产线，1条新建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0" w:type="dxa"/>
                  <w:vMerge w:val="continue"/>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p>
              </w:tc>
              <w:tc>
                <w:tcPr>
                  <w:tcW w:w="1350" w:type="dxa"/>
                  <w:gridSpan w:val="3"/>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2#厂房</w:t>
                  </w:r>
                </w:p>
              </w:tc>
              <w:tc>
                <w:tcPr>
                  <w:tcW w:w="4309"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1F，钢结构厂房，建筑面积约1400m</w:t>
                  </w:r>
                  <w:r>
                    <w:rPr>
                      <w:rFonts w:hint="default" w:ascii="Times New Roman" w:hAnsi="Times New Roman" w:eastAsia="宋体" w:cs="Times New Roman"/>
                      <w:sz w:val="21"/>
                      <w:szCs w:val="21"/>
                      <w:highlight w:val="none"/>
                      <w:vertAlign w:val="superscript"/>
                    </w:rPr>
                    <w:t>2</w:t>
                  </w:r>
                  <w:r>
                    <w:rPr>
                      <w:rFonts w:hint="default" w:ascii="Times New Roman" w:hAnsi="Times New Roman" w:eastAsia="宋体" w:cs="Times New Roman"/>
                      <w:sz w:val="21"/>
                      <w:szCs w:val="21"/>
                      <w:highlight w:val="none"/>
                    </w:rPr>
                    <w:t>，设置</w:t>
                  </w:r>
                  <w:r>
                    <w:rPr>
                      <w:rFonts w:hint="default" w:ascii="Times New Roman" w:hAnsi="Times New Roman" w:eastAsia="宋体" w:cs="Times New Roman"/>
                      <w:sz w:val="21"/>
                      <w:szCs w:val="21"/>
                      <w:highlight w:val="none"/>
                      <w:lang w:val="en-US" w:eastAsia="zh-CN"/>
                    </w:rPr>
                    <w:t>冲压区，2</w:t>
                  </w:r>
                  <w:r>
                    <w:rPr>
                      <w:rFonts w:hint="default" w:ascii="Times New Roman" w:hAnsi="Times New Roman" w:eastAsia="宋体" w:cs="Times New Roman"/>
                      <w:sz w:val="21"/>
                      <w:szCs w:val="21"/>
                      <w:highlight w:val="none"/>
                    </w:rPr>
                    <w:t>条</w:t>
                  </w:r>
                  <w:r>
                    <w:rPr>
                      <w:rFonts w:hint="default" w:ascii="Times New Roman" w:hAnsi="Times New Roman" w:eastAsia="宋体" w:cs="Times New Roman"/>
                      <w:sz w:val="21"/>
                      <w:szCs w:val="21"/>
                      <w:highlight w:val="none"/>
                      <w:lang w:val="en-US" w:eastAsia="zh-CN"/>
                    </w:rPr>
                    <w:t>新能源动力电池铝壳生产线</w:t>
                  </w: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val="en-US" w:eastAsia="zh-CN"/>
                    </w:rPr>
                    <w:t>不良品区和3个仓库区（</w:t>
                  </w:r>
                  <w:r>
                    <w:rPr>
                      <w:rFonts w:hint="eastAsia" w:cs="Times New Roman"/>
                      <w:sz w:val="21"/>
                      <w:szCs w:val="21"/>
                      <w:highlight w:val="none"/>
                      <w:lang w:val="en-US" w:eastAsia="zh-CN"/>
                    </w:rPr>
                    <w:t>存放冲压</w:t>
                  </w:r>
                  <w:r>
                    <w:rPr>
                      <w:rFonts w:hint="default" w:ascii="Times New Roman" w:hAnsi="Times New Roman" w:eastAsia="宋体" w:cs="Times New Roman"/>
                      <w:sz w:val="21"/>
                      <w:szCs w:val="21"/>
                      <w:highlight w:val="none"/>
                      <w:lang w:val="en-US" w:eastAsia="zh-CN"/>
                    </w:rPr>
                    <w:t>椭圆</w:t>
                  </w:r>
                  <w:r>
                    <w:rPr>
                      <w:rFonts w:hint="eastAsia" w:cs="Times New Roman"/>
                      <w:sz w:val="21"/>
                      <w:szCs w:val="21"/>
                      <w:highlight w:val="none"/>
                      <w:lang w:val="en-US" w:eastAsia="zh-CN"/>
                    </w:rPr>
                    <w:t>铝</w:t>
                  </w:r>
                  <w:r>
                    <w:rPr>
                      <w:rFonts w:hint="default" w:ascii="Times New Roman" w:hAnsi="Times New Roman" w:eastAsia="宋体" w:cs="Times New Roman"/>
                      <w:sz w:val="21"/>
                      <w:szCs w:val="21"/>
                      <w:highlight w:val="none"/>
                      <w:lang w:val="en-US" w:eastAsia="zh-CN"/>
                    </w:rPr>
                    <w:t>片）</w:t>
                  </w:r>
                </w:p>
              </w:tc>
              <w:tc>
                <w:tcPr>
                  <w:tcW w:w="1760"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冲压设备已有，</w:t>
                  </w:r>
                  <w:r>
                    <w:rPr>
                      <w:rFonts w:hint="eastAsia" w:ascii="Times New Roman" w:hAnsi="Times New Roman" w:eastAsia="宋体" w:cs="Times New Roman"/>
                      <w:sz w:val="21"/>
                      <w:szCs w:val="21"/>
                      <w:highlight w:val="none"/>
                      <w:lang w:val="en-US" w:eastAsia="zh-CN"/>
                    </w:rPr>
                    <w:t>新建</w:t>
                  </w:r>
                  <w:r>
                    <w:rPr>
                      <w:rFonts w:hint="default" w:ascii="Times New Roman" w:hAnsi="Times New Roman" w:eastAsia="宋体" w:cs="Times New Roman"/>
                      <w:sz w:val="21"/>
                      <w:szCs w:val="21"/>
                      <w:highlight w:val="none"/>
                      <w:lang w:val="en-US" w:eastAsia="zh-CN"/>
                    </w:rPr>
                    <w:t>2</w:t>
                  </w:r>
                  <w:r>
                    <w:rPr>
                      <w:rFonts w:hint="default" w:ascii="Times New Roman" w:hAnsi="Times New Roman" w:eastAsia="宋体" w:cs="Times New Roman"/>
                      <w:sz w:val="21"/>
                      <w:szCs w:val="21"/>
                      <w:highlight w:val="none"/>
                    </w:rPr>
                    <w:t>条</w:t>
                  </w:r>
                  <w:r>
                    <w:rPr>
                      <w:rFonts w:hint="default" w:ascii="Times New Roman" w:hAnsi="Times New Roman" w:eastAsia="宋体" w:cs="Times New Roman"/>
                      <w:sz w:val="21"/>
                      <w:szCs w:val="21"/>
                      <w:highlight w:val="none"/>
                      <w:lang w:val="en-US" w:eastAsia="zh-CN"/>
                    </w:rPr>
                    <w:t>新能源动力电池铝壳生产线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0" w:type="dxa"/>
                  <w:vMerge w:val="continue"/>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p>
              </w:tc>
              <w:tc>
                <w:tcPr>
                  <w:tcW w:w="1350" w:type="dxa"/>
                  <w:gridSpan w:val="3"/>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yellow"/>
                      <w:lang w:val="en-US" w:eastAsia="zh-CN"/>
                    </w:rPr>
                  </w:pPr>
                  <w:r>
                    <w:rPr>
                      <w:rFonts w:hint="eastAsia" w:cs="Times New Roman"/>
                      <w:sz w:val="21"/>
                      <w:szCs w:val="21"/>
                      <w:highlight w:val="none"/>
                      <w:lang w:val="en-US" w:eastAsia="zh-CN"/>
                    </w:rPr>
                    <w:t>铝壳废边</w:t>
                  </w:r>
                  <w:r>
                    <w:rPr>
                      <w:rFonts w:hint="default" w:ascii="Times New Roman" w:hAnsi="Times New Roman" w:eastAsia="宋体" w:cs="Times New Roman"/>
                      <w:sz w:val="21"/>
                      <w:szCs w:val="21"/>
                      <w:highlight w:val="none"/>
                      <w:lang w:val="en-US" w:eastAsia="zh-CN"/>
                    </w:rPr>
                    <w:t>清洗厂房</w:t>
                  </w:r>
                </w:p>
              </w:tc>
              <w:tc>
                <w:tcPr>
                  <w:tcW w:w="4309"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yellow"/>
                      <w:lang w:val="en-US" w:eastAsia="zh-CN"/>
                    </w:rPr>
                  </w:pPr>
                  <w:r>
                    <w:rPr>
                      <w:rFonts w:hint="default" w:ascii="Times New Roman" w:hAnsi="Times New Roman" w:eastAsia="宋体" w:cs="Times New Roman"/>
                      <w:sz w:val="21"/>
                      <w:szCs w:val="21"/>
                      <w:highlight w:val="none"/>
                    </w:rPr>
                    <w:t>1F，钢结构厂房，建筑面积约</w:t>
                  </w:r>
                  <w:r>
                    <w:rPr>
                      <w:rFonts w:hint="default" w:ascii="Times New Roman" w:hAnsi="Times New Roman" w:eastAsia="宋体" w:cs="Times New Roman"/>
                      <w:sz w:val="21"/>
                      <w:szCs w:val="21"/>
                      <w:highlight w:val="none"/>
                      <w:lang w:val="en-US" w:eastAsia="zh-CN"/>
                    </w:rPr>
                    <w:t>342</w:t>
                  </w:r>
                  <w:r>
                    <w:rPr>
                      <w:rFonts w:hint="default" w:ascii="Times New Roman" w:hAnsi="Times New Roman" w:eastAsia="宋体" w:cs="Times New Roman"/>
                      <w:sz w:val="21"/>
                      <w:szCs w:val="21"/>
                      <w:highlight w:val="none"/>
                    </w:rPr>
                    <w:t>m</w:t>
                  </w:r>
                  <w:r>
                    <w:rPr>
                      <w:rFonts w:hint="default" w:ascii="Times New Roman" w:hAnsi="Times New Roman" w:eastAsia="宋体" w:cs="Times New Roman"/>
                      <w:sz w:val="21"/>
                      <w:szCs w:val="21"/>
                      <w:highlight w:val="none"/>
                      <w:vertAlign w:val="superscript"/>
                    </w:rPr>
                    <w:t>2</w:t>
                  </w:r>
                  <w:r>
                    <w:rPr>
                      <w:rFonts w:hint="default" w:ascii="Times New Roman" w:hAnsi="Times New Roman" w:eastAsia="宋体" w:cs="Times New Roman"/>
                      <w:sz w:val="21"/>
                      <w:szCs w:val="21"/>
                      <w:highlight w:val="none"/>
                      <w:lang w:val="en-US" w:eastAsia="zh-CN"/>
                    </w:rPr>
                    <w:t>，设置一条</w:t>
                  </w:r>
                  <w:r>
                    <w:rPr>
                      <w:rFonts w:hint="eastAsia" w:cs="Times New Roman"/>
                      <w:sz w:val="21"/>
                      <w:szCs w:val="21"/>
                      <w:highlight w:val="none"/>
                      <w:lang w:val="en-US" w:eastAsia="zh-CN"/>
                    </w:rPr>
                    <w:t>铝壳废边</w:t>
                  </w:r>
                  <w:r>
                    <w:rPr>
                      <w:rFonts w:hint="default" w:ascii="Times New Roman" w:hAnsi="Times New Roman" w:eastAsia="宋体" w:cs="Times New Roman"/>
                      <w:sz w:val="21"/>
                      <w:szCs w:val="21"/>
                      <w:highlight w:val="none"/>
                      <w:lang w:val="en-US" w:eastAsia="zh-CN"/>
                    </w:rPr>
                    <w:t>清洗线，</w:t>
                  </w:r>
                  <w:r>
                    <w:rPr>
                      <w:rFonts w:hint="eastAsia" w:cs="Times New Roman"/>
                      <w:sz w:val="21"/>
                      <w:szCs w:val="21"/>
                      <w:highlight w:val="none"/>
                      <w:lang w:val="en-US" w:eastAsia="zh-CN"/>
                    </w:rPr>
                    <w:t>铝壳废边</w:t>
                  </w:r>
                  <w:r>
                    <w:rPr>
                      <w:rFonts w:hint="default" w:ascii="Times New Roman" w:hAnsi="Times New Roman" w:eastAsia="宋体" w:cs="Times New Roman"/>
                      <w:sz w:val="21"/>
                      <w:szCs w:val="21"/>
                      <w:highlight w:val="none"/>
                      <w:lang w:val="en-US" w:eastAsia="zh-CN"/>
                    </w:rPr>
                    <w:t>暂存区和清洗后</w:t>
                  </w:r>
                  <w:r>
                    <w:rPr>
                      <w:rFonts w:hint="eastAsia" w:cs="Times New Roman"/>
                      <w:sz w:val="21"/>
                      <w:szCs w:val="21"/>
                      <w:highlight w:val="none"/>
                      <w:lang w:val="en-US" w:eastAsia="zh-CN"/>
                    </w:rPr>
                    <w:t>铝壳废边</w:t>
                  </w:r>
                  <w:r>
                    <w:rPr>
                      <w:rFonts w:hint="default" w:ascii="Times New Roman" w:hAnsi="Times New Roman" w:eastAsia="宋体" w:cs="Times New Roman"/>
                      <w:sz w:val="21"/>
                      <w:szCs w:val="21"/>
                      <w:highlight w:val="none"/>
                      <w:lang w:val="en-US" w:eastAsia="zh-CN"/>
                    </w:rPr>
                    <w:t>暂存区</w:t>
                  </w:r>
                </w:p>
              </w:tc>
              <w:tc>
                <w:tcPr>
                  <w:tcW w:w="1760" w:type="dxa"/>
                  <w:vAlign w:val="center"/>
                </w:tcPr>
                <w:p>
                  <w:pPr>
                    <w:pStyle w:val="37"/>
                    <w:keepNext w:val="0"/>
                    <w:keepLines w:val="0"/>
                    <w:suppressLineNumbers w:val="0"/>
                    <w:spacing w:before="0" w:beforeAutospacing="0" w:after="0" w:afterAutospacing="0"/>
                    <w:ind w:right="0"/>
                    <w:rPr>
                      <w:rFonts w:hint="eastAsia"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0"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辅助工程</w:t>
                  </w:r>
                </w:p>
              </w:tc>
              <w:tc>
                <w:tcPr>
                  <w:tcW w:w="1350" w:type="dxa"/>
                  <w:gridSpan w:val="3"/>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办公区</w:t>
                  </w:r>
                </w:p>
              </w:tc>
              <w:tc>
                <w:tcPr>
                  <w:tcW w:w="4309"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4座2F移动板房，建筑面积约为1500m</w:t>
                  </w:r>
                  <w:r>
                    <w:rPr>
                      <w:rFonts w:hint="default" w:ascii="Times New Roman" w:hAnsi="Times New Roman" w:eastAsia="宋体" w:cs="Times New Roman"/>
                      <w:sz w:val="21"/>
                      <w:szCs w:val="21"/>
                      <w:highlight w:val="none"/>
                      <w:vertAlign w:val="superscript"/>
                    </w:rPr>
                    <w:t>2</w:t>
                  </w:r>
                  <w:r>
                    <w:rPr>
                      <w:rFonts w:hint="default" w:ascii="Times New Roman" w:hAnsi="Times New Roman" w:eastAsia="宋体" w:cs="Times New Roman"/>
                      <w:sz w:val="21"/>
                      <w:szCs w:val="21"/>
                      <w:highlight w:val="none"/>
                    </w:rPr>
                    <w:t>，用于办公</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不设置食堂、宿舍。</w:t>
                  </w:r>
                </w:p>
              </w:tc>
              <w:tc>
                <w:tcPr>
                  <w:tcW w:w="1760"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利旧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0"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储运工程</w:t>
                  </w:r>
                </w:p>
              </w:tc>
              <w:tc>
                <w:tcPr>
                  <w:tcW w:w="1350" w:type="dxa"/>
                  <w:gridSpan w:val="3"/>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危化品仓</w:t>
                  </w:r>
                </w:p>
              </w:tc>
              <w:tc>
                <w:tcPr>
                  <w:tcW w:w="4309"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1#厂房北侧设有1处化学品间，主要用于存放拉伸油、水基清洗剂等，面积约为30</w:t>
                  </w:r>
                  <w:r>
                    <w:rPr>
                      <w:rFonts w:hint="default" w:ascii="Times New Roman" w:hAnsi="Times New Roman" w:eastAsia="宋体" w:cs="Times New Roman"/>
                      <w:sz w:val="21"/>
                      <w:szCs w:val="21"/>
                      <w:highlight w:val="none"/>
                    </w:rPr>
                    <w:t>m</w:t>
                  </w:r>
                  <w:r>
                    <w:rPr>
                      <w:rFonts w:hint="default" w:ascii="Times New Roman" w:hAnsi="Times New Roman" w:eastAsia="宋体" w:cs="Times New Roman"/>
                      <w:sz w:val="21"/>
                      <w:szCs w:val="21"/>
                      <w:highlight w:val="none"/>
                      <w:vertAlign w:val="superscript"/>
                    </w:rPr>
                    <w:t>2</w:t>
                  </w:r>
                  <w:r>
                    <w:rPr>
                      <w:rFonts w:hint="default" w:ascii="Times New Roman" w:hAnsi="Times New Roman" w:eastAsia="宋体" w:cs="Times New Roman"/>
                      <w:sz w:val="21"/>
                      <w:szCs w:val="21"/>
                      <w:highlight w:val="none"/>
                      <w:lang w:val="en-US" w:eastAsia="zh-CN"/>
                    </w:rPr>
                    <w:t>。</w:t>
                  </w:r>
                </w:p>
              </w:tc>
              <w:tc>
                <w:tcPr>
                  <w:tcW w:w="1760"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利旧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0" w:type="dxa"/>
                  <w:vMerge w:val="restart"/>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公用</w:t>
                  </w:r>
                </w:p>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工程</w:t>
                  </w:r>
                </w:p>
              </w:tc>
              <w:tc>
                <w:tcPr>
                  <w:tcW w:w="1350" w:type="dxa"/>
                  <w:gridSpan w:val="3"/>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供水</w:t>
                  </w:r>
                </w:p>
              </w:tc>
              <w:tc>
                <w:tcPr>
                  <w:tcW w:w="4309"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val="0"/>
                      <w:bCs w:val="0"/>
                      <w:color w:val="auto"/>
                      <w:sz w:val="21"/>
                      <w:szCs w:val="21"/>
                      <w:highlight w:val="none"/>
                      <w:lang w:val="en-US" w:eastAsia="zh-CN"/>
                    </w:rPr>
                    <w:t>雨水收集及供水公司</w:t>
                  </w:r>
                </w:p>
              </w:tc>
              <w:tc>
                <w:tcPr>
                  <w:tcW w:w="1760"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0" w:type="dxa"/>
                  <w:vMerge w:val="continue"/>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p>
              </w:tc>
              <w:tc>
                <w:tcPr>
                  <w:tcW w:w="1350" w:type="dxa"/>
                  <w:gridSpan w:val="3"/>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供电</w:t>
                  </w:r>
                </w:p>
              </w:tc>
              <w:tc>
                <w:tcPr>
                  <w:tcW w:w="4309"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供电部门</w:t>
                  </w:r>
                </w:p>
              </w:tc>
              <w:tc>
                <w:tcPr>
                  <w:tcW w:w="1760"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0" w:type="dxa"/>
                  <w:vMerge w:val="continue"/>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p>
              </w:tc>
              <w:tc>
                <w:tcPr>
                  <w:tcW w:w="1350" w:type="dxa"/>
                  <w:gridSpan w:val="3"/>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排水</w:t>
                  </w:r>
                </w:p>
              </w:tc>
              <w:tc>
                <w:tcPr>
                  <w:tcW w:w="4309"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采用“雨污分流、清污分流”的排水方式</w:t>
                  </w:r>
                </w:p>
              </w:tc>
              <w:tc>
                <w:tcPr>
                  <w:tcW w:w="1760" w:type="dxa"/>
                  <w:vAlign w:val="center"/>
                </w:tcPr>
                <w:p>
                  <w:pPr>
                    <w:pStyle w:val="37"/>
                    <w:keepNext w:val="0"/>
                    <w:keepLines w:val="0"/>
                    <w:suppressLineNumbers w:val="0"/>
                    <w:spacing w:before="0" w:beforeAutospacing="0" w:after="0" w:afterAutospacing="0"/>
                    <w:ind w:right="0"/>
                    <w:rPr>
                      <w:rFonts w:hint="eastAsia"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0" w:type="dxa"/>
                  <w:vMerge w:val="restart"/>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环保工程</w:t>
                  </w:r>
                </w:p>
              </w:tc>
              <w:tc>
                <w:tcPr>
                  <w:tcW w:w="521" w:type="dxa"/>
                  <w:vMerge w:val="restart"/>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废水治理</w:t>
                  </w:r>
                </w:p>
              </w:tc>
              <w:tc>
                <w:tcPr>
                  <w:tcW w:w="829" w:type="dxa"/>
                  <w:gridSpan w:val="2"/>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生活污水</w:t>
                  </w:r>
                </w:p>
              </w:tc>
              <w:tc>
                <w:tcPr>
                  <w:tcW w:w="4309" w:type="dxa"/>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生活污水排放口DW001；</w:t>
                  </w:r>
                </w:p>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生活污水经厂区化粪池处理后</w:t>
                  </w:r>
                  <w:r>
                    <w:rPr>
                      <w:rFonts w:hint="default" w:ascii="Times New Roman" w:hAnsi="Times New Roman" w:eastAsia="宋体" w:cs="Times New Roman"/>
                      <w:b w:val="0"/>
                      <w:bCs w:val="0"/>
                      <w:sz w:val="21"/>
                      <w:szCs w:val="21"/>
                      <w:highlight w:val="none"/>
                      <w:lang w:val="en-US" w:eastAsia="zh-CN"/>
                    </w:rPr>
                    <w:t>进入园区污水管网，</w:t>
                  </w:r>
                  <w:r>
                    <w:rPr>
                      <w:rFonts w:hint="eastAsia" w:cs="Times New Roman"/>
                      <w:b w:val="0"/>
                      <w:bCs w:val="0"/>
                      <w:sz w:val="21"/>
                      <w:szCs w:val="21"/>
                      <w:highlight w:val="none"/>
                      <w:lang w:val="en-US" w:eastAsia="zh-CN"/>
                    </w:rPr>
                    <w:t>纳入</w:t>
                  </w:r>
                  <w:r>
                    <w:rPr>
                      <w:rFonts w:hint="default" w:ascii="Times New Roman" w:hAnsi="Times New Roman" w:eastAsia="宋体" w:cs="Times New Roman"/>
                      <w:b w:val="0"/>
                      <w:bCs w:val="0"/>
                      <w:sz w:val="21"/>
                      <w:szCs w:val="21"/>
                      <w:highlight w:val="none"/>
                      <w:lang w:val="en-US" w:eastAsia="zh-CN"/>
                    </w:rPr>
                    <w:t>霞浦县污水</w:t>
                  </w:r>
                  <w:r>
                    <w:rPr>
                      <w:rFonts w:hint="default" w:ascii="Times New Roman" w:hAnsi="Times New Roman" w:eastAsia="宋体" w:cs="Times New Roman"/>
                      <w:sz w:val="21"/>
                      <w:szCs w:val="21"/>
                      <w:highlight w:val="none"/>
                      <w:lang w:val="en-US" w:eastAsia="zh-CN"/>
                    </w:rPr>
                    <w:t>处理厂统一处理。</w:t>
                  </w:r>
                </w:p>
              </w:tc>
              <w:tc>
                <w:tcPr>
                  <w:tcW w:w="176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0" w:type="dxa"/>
                  <w:vMerge w:val="continue"/>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p>
              </w:tc>
              <w:tc>
                <w:tcPr>
                  <w:tcW w:w="521" w:type="dxa"/>
                  <w:vMerge w:val="continue"/>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p>
              </w:tc>
              <w:tc>
                <w:tcPr>
                  <w:tcW w:w="829" w:type="dxa"/>
                  <w:gridSpan w:val="2"/>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生产废水</w:t>
                  </w:r>
                </w:p>
              </w:tc>
              <w:tc>
                <w:tcPr>
                  <w:tcW w:w="4309" w:type="dxa"/>
                  <w:vAlign w:val="center"/>
                </w:tcPr>
                <w:p>
                  <w:pPr>
                    <w:pStyle w:val="37"/>
                    <w:keepNext w:val="0"/>
                    <w:keepLines w:val="0"/>
                    <w:suppressLineNumbers w:val="0"/>
                    <w:spacing w:before="0" w:beforeAutospacing="0" w:after="0" w:afterAutospacing="0"/>
                    <w:ind w:right="0"/>
                    <w:jc w:val="both"/>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生产废水排放口DW002；</w:t>
                  </w:r>
                </w:p>
                <w:p>
                  <w:pPr>
                    <w:pStyle w:val="37"/>
                    <w:keepNext w:val="0"/>
                    <w:keepLines w:val="0"/>
                    <w:suppressLineNumbers w:val="0"/>
                    <w:spacing w:before="0" w:beforeAutospacing="0" w:after="0" w:afterAutospacing="0"/>
                    <w:ind w:right="0"/>
                    <w:jc w:val="both"/>
                    <w:rPr>
                      <w:rFonts w:hint="default" w:ascii="Times New Roman" w:hAnsi="Times New Roman" w:eastAsia="宋体" w:cs="Times New Roman"/>
                      <w:sz w:val="21"/>
                      <w:szCs w:val="21"/>
                      <w:highlight w:val="none"/>
                    </w:rPr>
                  </w:pPr>
                  <w:r>
                    <w:rPr>
                      <w:rFonts w:hint="default" w:ascii="Times New Roman" w:hAnsi="Times New Roman" w:eastAsia="宋体" w:cs="Times New Roman"/>
                      <w:color w:val="auto"/>
                      <w:sz w:val="21"/>
                      <w:szCs w:val="21"/>
                      <w:highlight w:val="none"/>
                      <w:lang w:val="en-US" w:eastAsia="zh-CN"/>
                    </w:rPr>
                    <w:t>设有2套污水处理设施，1套用于处理清洗废水和膜反冲洗废水，处理能力为25t/d，采用“预处理（除油-除渣-pH调节）+NP膜过滤+NF膜过滤”工艺；1套用于处理漂洗废水、纯水制备浓水和地面拖洗废水，处理能力为140t/d。采用“</w:t>
                  </w:r>
                  <w:r>
                    <w:rPr>
                      <w:rFonts w:hint="default" w:ascii="Times New Roman" w:hAnsi="Times New Roman" w:eastAsia="宋体" w:cs="Times New Roman"/>
                      <w:b w:val="0"/>
                      <w:bCs w:val="0"/>
                      <w:color w:val="auto"/>
                      <w:sz w:val="21"/>
                      <w:szCs w:val="21"/>
                      <w:highlight w:val="none"/>
                      <w:lang w:val="en-US" w:eastAsia="zh-CN"/>
                    </w:rPr>
                    <w:t>预处理（除渣+保安过滤器）+UF</w:t>
                  </w:r>
                  <w:r>
                    <w:rPr>
                      <w:rFonts w:hint="default" w:ascii="Times New Roman" w:hAnsi="Times New Roman" w:eastAsia="宋体" w:cs="Times New Roman"/>
                      <w:color w:val="auto"/>
                      <w:sz w:val="21"/>
                      <w:szCs w:val="21"/>
                      <w:highlight w:val="none"/>
                      <w:lang w:val="en-US" w:eastAsia="zh-CN"/>
                    </w:rPr>
                    <w:t>膜过滤+NF膜过滤”。</w:t>
                  </w:r>
                  <w:r>
                    <w:rPr>
                      <w:rFonts w:hint="default" w:ascii="Times New Roman" w:hAnsi="Times New Roman" w:eastAsia="宋体" w:cs="Times New Roman"/>
                      <w:b w:val="0"/>
                      <w:bCs w:val="0"/>
                      <w:color w:val="auto"/>
                      <w:sz w:val="21"/>
                      <w:szCs w:val="21"/>
                      <w:highlight w:val="none"/>
                      <w:lang w:val="en-US" w:eastAsia="zh-CN"/>
                    </w:rPr>
                    <w:t>各类废水经厂区污水处理设施处理达标后，一并进入园区污水管网，纳入霞浦县污水</w:t>
                  </w:r>
                  <w:r>
                    <w:rPr>
                      <w:rFonts w:hint="default" w:ascii="Times New Roman" w:hAnsi="Times New Roman" w:eastAsia="宋体" w:cs="Times New Roman"/>
                      <w:color w:val="auto"/>
                      <w:sz w:val="21"/>
                      <w:szCs w:val="21"/>
                      <w:highlight w:val="none"/>
                      <w:lang w:val="en-US" w:eastAsia="zh-CN"/>
                    </w:rPr>
                    <w:t>处理厂统一处理。</w:t>
                  </w:r>
                </w:p>
              </w:tc>
              <w:tc>
                <w:tcPr>
                  <w:tcW w:w="1760"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color w:val="auto"/>
                      <w:sz w:val="21"/>
                      <w:szCs w:val="21"/>
                      <w:highlight w:val="none"/>
                      <w:lang w:val="en-US" w:eastAsia="zh-CN"/>
                    </w:rPr>
                  </w:pPr>
                  <w:r>
                    <w:rPr>
                      <w:rFonts w:hint="eastAsia" w:cs="Times New Roman"/>
                      <w:sz w:val="21"/>
                      <w:szCs w:val="21"/>
                      <w:highlight w:val="none"/>
                      <w:lang w:val="en-US" w:eastAsia="zh-CN"/>
                    </w:rPr>
                    <w:t>利旧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0" w:type="dxa"/>
                  <w:vMerge w:val="continue"/>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p>
              </w:tc>
              <w:tc>
                <w:tcPr>
                  <w:tcW w:w="1350" w:type="dxa"/>
                  <w:gridSpan w:val="3"/>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噪声控制</w:t>
                  </w:r>
                </w:p>
              </w:tc>
              <w:tc>
                <w:tcPr>
                  <w:tcW w:w="4309"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sz w:val="21"/>
                      <w:szCs w:val="21"/>
                      <w:highlight w:val="none"/>
                      <w:lang w:val="en-US" w:eastAsia="zh-CN"/>
                    </w:rPr>
                    <w:t>选用噪声值相对较低设备，基础减振，厂房隔声、消声等措施</w:t>
                  </w:r>
                </w:p>
              </w:tc>
              <w:tc>
                <w:tcPr>
                  <w:tcW w:w="1760"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0" w:type="dxa"/>
                  <w:vMerge w:val="continue"/>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p>
              </w:tc>
              <w:tc>
                <w:tcPr>
                  <w:tcW w:w="663" w:type="dxa"/>
                  <w:gridSpan w:val="2"/>
                  <w:vMerge w:val="restart"/>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固废处理处置</w:t>
                  </w:r>
                </w:p>
              </w:tc>
              <w:tc>
                <w:tcPr>
                  <w:tcW w:w="687"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一般工业固废</w:t>
                  </w:r>
                </w:p>
              </w:tc>
              <w:tc>
                <w:tcPr>
                  <w:tcW w:w="4309" w:type="dxa"/>
                  <w:vAlign w:val="center"/>
                </w:tcPr>
                <w:p>
                  <w:pPr>
                    <w:pStyle w:val="37"/>
                    <w:keepNext w:val="0"/>
                    <w:keepLines w:val="0"/>
                    <w:suppressLineNumbers w:val="0"/>
                    <w:spacing w:before="0" w:beforeAutospacing="0" w:after="0" w:afterAutospacing="0"/>
                    <w:ind w:right="0"/>
                    <w:jc w:val="left"/>
                    <w:rPr>
                      <w:rFonts w:hint="default" w:ascii="Times New Roman" w:hAnsi="Times New Roman" w:eastAsia="宋体" w:cs="Times New Roman"/>
                      <w:sz w:val="21"/>
                      <w:szCs w:val="21"/>
                      <w:highlight w:val="none"/>
                      <w:lang w:val="en-US" w:eastAsia="zh-CN"/>
                    </w:rPr>
                  </w:pPr>
                  <w:r>
                    <w:rPr>
                      <w:rFonts w:hint="default"/>
                    </w:rPr>
                    <w:t>在厂区东北侧</w:t>
                  </w:r>
                  <w:r>
                    <w:rPr>
                      <w:rFonts w:hint="eastAsia"/>
                      <w:lang w:val="en-US" w:eastAsia="zh-CN"/>
                    </w:rPr>
                    <w:t>污水处理设施南侧</w:t>
                  </w:r>
                  <w:r>
                    <w:rPr>
                      <w:rFonts w:hint="default"/>
                    </w:rPr>
                    <w:t>设置1处其他报废仓</w:t>
                  </w:r>
                  <w:r>
                    <w:rPr>
                      <w:rFonts w:hint="eastAsia"/>
                      <w:lang w:eastAsia="zh-CN"/>
                    </w:rPr>
                    <w:t>，</w:t>
                  </w:r>
                  <w:r>
                    <w:rPr>
                      <w:rFonts w:hint="default"/>
                    </w:rPr>
                    <w:t>面积为40m</w:t>
                  </w:r>
                  <w:r>
                    <w:rPr>
                      <w:rFonts w:hint="default"/>
                      <w:vertAlign w:val="superscript"/>
                    </w:rPr>
                    <w:t>2</w:t>
                  </w:r>
                  <w:r>
                    <w:rPr>
                      <w:rFonts w:hint="default"/>
                    </w:rPr>
                    <w:t>，用于存放残次品；在其南侧设置</w:t>
                  </w:r>
                  <w:r>
                    <w:rPr>
                      <w:rFonts w:hint="eastAsia"/>
                      <w:lang w:val="en-US" w:eastAsia="zh-CN"/>
                    </w:rPr>
                    <w:t>1处</w:t>
                  </w:r>
                  <w:r>
                    <w:rPr>
                      <w:rFonts w:hint="default"/>
                    </w:rPr>
                    <w:t>冲压料报废仓，面积约85m</w:t>
                  </w:r>
                  <w:r>
                    <w:rPr>
                      <w:rFonts w:hint="default"/>
                      <w:vertAlign w:val="superscript"/>
                    </w:rPr>
                    <w:t>2</w:t>
                  </w:r>
                  <w:r>
                    <w:rPr>
                      <w:rFonts w:hint="eastAsia"/>
                      <w:vertAlign w:val="baseline"/>
                      <w:lang w:eastAsia="zh-CN"/>
                    </w:rPr>
                    <w:t>，</w:t>
                  </w:r>
                  <w:r>
                    <w:rPr>
                      <w:rFonts w:hint="eastAsia"/>
                      <w:vertAlign w:val="baseline"/>
                      <w:lang w:val="en-US" w:eastAsia="zh-CN"/>
                    </w:rPr>
                    <w:t>用于暂存冲压料废边</w:t>
                  </w:r>
                  <w:r>
                    <w:rPr>
                      <w:rFonts w:hint="default"/>
                    </w:rPr>
                    <w:t>；并在</w:t>
                  </w:r>
                  <w:r>
                    <w:rPr>
                      <w:rFonts w:hint="eastAsia"/>
                      <w:lang w:val="en-US" w:eastAsia="zh-CN"/>
                    </w:rPr>
                    <w:t>铝壳废边</w:t>
                  </w:r>
                  <w:r>
                    <w:rPr>
                      <w:rFonts w:hint="default"/>
                    </w:rPr>
                    <w:t>清洗厂房中设置</w:t>
                  </w:r>
                  <w:r>
                    <w:rPr>
                      <w:rFonts w:hint="eastAsia"/>
                      <w:lang w:val="en-US" w:eastAsia="zh-CN"/>
                    </w:rPr>
                    <w:t>1处</w:t>
                  </w:r>
                  <w:r>
                    <w:rPr>
                      <w:rFonts w:hint="default"/>
                    </w:rPr>
                    <w:t>清洗后</w:t>
                  </w:r>
                  <w:r>
                    <w:rPr>
                      <w:rFonts w:hint="eastAsia"/>
                      <w:lang w:val="en-US" w:eastAsia="zh-CN"/>
                    </w:rPr>
                    <w:t>铝壳废边</w:t>
                  </w:r>
                  <w:r>
                    <w:rPr>
                      <w:rFonts w:hint="default"/>
                    </w:rPr>
                    <w:t>暂存区面积约为80m</w:t>
                  </w:r>
                  <w:r>
                    <w:rPr>
                      <w:rFonts w:hint="default"/>
                      <w:vertAlign w:val="superscript"/>
                    </w:rPr>
                    <w:t>2</w:t>
                  </w:r>
                </w:p>
              </w:tc>
              <w:tc>
                <w:tcPr>
                  <w:tcW w:w="1760" w:type="dxa"/>
                  <w:vAlign w:val="center"/>
                </w:tcPr>
                <w:p>
                  <w:pPr>
                    <w:pStyle w:val="37"/>
                    <w:keepNext w:val="0"/>
                    <w:keepLines w:val="0"/>
                    <w:suppressLineNumbers w:val="0"/>
                    <w:spacing w:before="0" w:beforeAutospacing="0" w:after="0" w:afterAutospacing="0"/>
                    <w:ind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其他报废仓</w:t>
                  </w:r>
                  <w:r>
                    <w:rPr>
                      <w:rFonts w:hint="eastAsia" w:cs="Times New Roman"/>
                      <w:sz w:val="21"/>
                      <w:szCs w:val="21"/>
                      <w:highlight w:val="none"/>
                      <w:lang w:val="en-US" w:eastAsia="zh-CN"/>
                    </w:rPr>
                    <w:t>和</w:t>
                  </w:r>
                  <w:r>
                    <w:rPr>
                      <w:rFonts w:hint="default" w:ascii="Times New Roman" w:hAnsi="Times New Roman" w:eastAsia="宋体" w:cs="Times New Roman"/>
                      <w:sz w:val="21"/>
                      <w:szCs w:val="21"/>
                      <w:highlight w:val="none"/>
                      <w:lang w:val="en-US" w:eastAsia="zh-CN"/>
                    </w:rPr>
                    <w:t>冲压料报废仓</w:t>
                  </w:r>
                  <w:r>
                    <w:rPr>
                      <w:rFonts w:hint="eastAsia" w:cs="Times New Roman"/>
                      <w:sz w:val="21"/>
                      <w:szCs w:val="21"/>
                      <w:highlight w:val="none"/>
                      <w:lang w:val="en-US" w:eastAsia="zh-CN"/>
                    </w:rPr>
                    <w:t>利旧；清洗后</w:t>
                  </w:r>
                  <w:r>
                    <w:rPr>
                      <w:rFonts w:hint="eastAsia"/>
                      <w:lang w:val="en-US" w:eastAsia="zh-CN"/>
                    </w:rPr>
                    <w:t>铝壳废边</w:t>
                  </w:r>
                  <w:r>
                    <w:rPr>
                      <w:rFonts w:hint="eastAsia" w:cs="Times New Roman"/>
                      <w:sz w:val="21"/>
                      <w:szCs w:val="21"/>
                      <w:highlight w:val="none"/>
                      <w:lang w:val="en-US" w:eastAsia="zh-CN"/>
                    </w:rPr>
                    <w:t>暂存区新建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0" w:type="dxa"/>
                  <w:vMerge w:val="continue"/>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p>
              </w:tc>
              <w:tc>
                <w:tcPr>
                  <w:tcW w:w="663" w:type="dxa"/>
                  <w:gridSpan w:val="2"/>
                  <w:vMerge w:val="continue"/>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p>
              </w:tc>
              <w:tc>
                <w:tcPr>
                  <w:tcW w:w="687"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危险</w:t>
                  </w:r>
                </w:p>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废物</w:t>
                  </w:r>
                </w:p>
              </w:tc>
              <w:tc>
                <w:tcPr>
                  <w:tcW w:w="4309" w:type="dxa"/>
                  <w:vAlign w:val="center"/>
                </w:tcPr>
                <w:p>
                  <w:pPr>
                    <w:pStyle w:val="37"/>
                    <w:keepNext w:val="0"/>
                    <w:keepLines w:val="0"/>
                    <w:suppressLineNumbers w:val="0"/>
                    <w:spacing w:before="0" w:beforeAutospacing="0" w:after="0" w:afterAutospacing="0"/>
                    <w:ind w:right="0"/>
                    <w:jc w:val="left"/>
                    <w:rPr>
                      <w:rFonts w:hint="default" w:ascii="Times New Roman" w:hAnsi="Times New Roman" w:eastAsia="宋体" w:cs="Times New Roman"/>
                      <w:sz w:val="21"/>
                      <w:szCs w:val="21"/>
                      <w:highlight w:val="none"/>
                      <w:lang w:val="en-US" w:eastAsia="zh-CN"/>
                    </w:rPr>
                  </w:pPr>
                  <w:r>
                    <w:rPr>
                      <w:rFonts w:hint="default"/>
                    </w:rPr>
                    <w:t>在1#厂房北侧紧邻厂房的危废仓，面积约25m</w:t>
                  </w:r>
                  <w:r>
                    <w:rPr>
                      <w:rFonts w:hint="default"/>
                      <w:vertAlign w:val="superscript"/>
                    </w:rPr>
                    <w:t>2</w:t>
                  </w:r>
                </w:p>
              </w:tc>
              <w:tc>
                <w:tcPr>
                  <w:tcW w:w="1760" w:type="dxa"/>
                  <w:vAlign w:val="center"/>
                </w:tcPr>
                <w:p>
                  <w:pPr>
                    <w:pStyle w:val="37"/>
                    <w:keepNext w:val="0"/>
                    <w:keepLines w:val="0"/>
                    <w:suppressLineNumbers w:val="0"/>
                    <w:spacing w:before="0" w:beforeAutospacing="0" w:after="0" w:afterAutospacing="0"/>
                    <w:ind w:right="0"/>
                    <w:jc w:val="center"/>
                    <w:rPr>
                      <w:rFonts w:hint="default" w:ascii="Times New Roman" w:hAnsi="Times New Roman" w:eastAsia="宋体" w:cs="Times New Roman"/>
                      <w:sz w:val="21"/>
                      <w:szCs w:val="21"/>
                      <w:highlight w:val="none"/>
                    </w:rPr>
                  </w:pPr>
                  <w:r>
                    <w:rPr>
                      <w:rFonts w:hint="eastAsia" w:cs="Times New Roman"/>
                      <w:sz w:val="21"/>
                      <w:szCs w:val="21"/>
                      <w:highlight w:val="none"/>
                      <w:lang w:val="en-US" w:eastAsia="zh-CN"/>
                    </w:rPr>
                    <w:t>危废仓利旧，已按重点防渗建设。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70" w:type="dxa"/>
                  <w:vMerge w:val="continue"/>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p>
              </w:tc>
              <w:tc>
                <w:tcPr>
                  <w:tcW w:w="1350" w:type="dxa"/>
                  <w:gridSpan w:val="3"/>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环境风险</w:t>
                  </w:r>
                </w:p>
              </w:tc>
              <w:tc>
                <w:tcPr>
                  <w:tcW w:w="4309" w:type="dxa"/>
                  <w:vAlign w:val="center"/>
                </w:tcPr>
                <w:p>
                  <w:pPr>
                    <w:pStyle w:val="37"/>
                    <w:keepNext w:val="0"/>
                    <w:keepLines w:val="0"/>
                    <w:suppressLineNumbers w:val="0"/>
                    <w:spacing w:before="0" w:beforeAutospacing="0" w:after="0" w:afterAutospacing="0"/>
                    <w:ind w:right="0"/>
                    <w:jc w:val="left"/>
                    <w:rPr>
                      <w:rFonts w:hint="default" w:ascii="Times New Roman" w:hAnsi="Times New Roman" w:eastAsia="宋体" w:cs="Times New Roman"/>
                      <w:sz w:val="21"/>
                      <w:szCs w:val="21"/>
                      <w:highlight w:val="none"/>
                    </w:rPr>
                  </w:pPr>
                  <w:r>
                    <w:rPr>
                      <w:rFonts w:hint="eastAsia" w:cs="Times New Roman"/>
                      <w:sz w:val="21"/>
                      <w:szCs w:val="21"/>
                      <w:highlight w:val="none"/>
                      <w:lang w:val="en-US" w:eastAsia="zh-CN"/>
                    </w:rPr>
                    <w:t>设有一个60m</w:t>
                  </w:r>
                  <w:r>
                    <w:rPr>
                      <w:rFonts w:hint="eastAsia"/>
                      <w:vertAlign w:val="superscript"/>
                      <w:lang w:val="en-US" w:eastAsia="zh-CN"/>
                    </w:rPr>
                    <w:t>3</w:t>
                  </w:r>
                  <w:r>
                    <w:rPr>
                      <w:rFonts w:hint="eastAsia" w:cs="Times New Roman"/>
                      <w:sz w:val="21"/>
                      <w:szCs w:val="21"/>
                      <w:highlight w:val="none"/>
                      <w:lang w:val="en-US" w:eastAsia="zh-CN"/>
                    </w:rPr>
                    <w:t>地下应急池，配套</w:t>
                  </w:r>
                  <w:r>
                    <w:rPr>
                      <w:rFonts w:hint="eastAsia"/>
                      <w:vertAlign w:val="baseline"/>
                      <w:lang w:val="en-US" w:eastAsia="zh-CN"/>
                    </w:rPr>
                    <w:t>6个</w:t>
                  </w:r>
                  <w:r>
                    <w:rPr>
                      <w:rFonts w:hint="eastAsia" w:cs="Times New Roman"/>
                      <w:sz w:val="21"/>
                      <w:szCs w:val="21"/>
                      <w:highlight w:val="none"/>
                      <w:lang w:val="en-US" w:eastAsia="zh-CN"/>
                    </w:rPr>
                    <w:t>15m</w:t>
                  </w:r>
                  <w:r>
                    <w:rPr>
                      <w:rFonts w:hint="eastAsia"/>
                      <w:vertAlign w:val="superscript"/>
                      <w:lang w:val="en-US" w:eastAsia="zh-CN"/>
                    </w:rPr>
                    <w:t>3</w:t>
                  </w:r>
                  <w:r>
                    <w:rPr>
                      <w:rFonts w:hint="eastAsia"/>
                      <w:vertAlign w:val="baseline"/>
                      <w:lang w:val="en-US" w:eastAsia="zh-CN"/>
                    </w:rPr>
                    <w:t>的应急桶。</w:t>
                  </w:r>
                </w:p>
              </w:tc>
              <w:tc>
                <w:tcPr>
                  <w:tcW w:w="1760" w:type="dxa"/>
                  <w:vAlign w:val="center"/>
                </w:tcPr>
                <w:p>
                  <w:pPr>
                    <w:pStyle w:val="37"/>
                    <w:keepNext w:val="0"/>
                    <w:keepLines w:val="0"/>
                    <w:suppressLineNumbers w:val="0"/>
                    <w:spacing w:before="0" w:beforeAutospacing="0" w:after="0" w:afterAutospacing="0"/>
                    <w:ind w:right="0"/>
                    <w:jc w:val="center"/>
                    <w:rPr>
                      <w:rFonts w:hint="default" w:ascii="Times New Roman" w:hAnsi="Times New Roman" w:eastAsia="宋体" w:cs="Times New Roman"/>
                      <w:sz w:val="21"/>
                      <w:szCs w:val="21"/>
                      <w:highlight w:val="none"/>
                    </w:rPr>
                  </w:pPr>
                  <w:r>
                    <w:rPr>
                      <w:rFonts w:hint="eastAsia" w:cs="Times New Roman"/>
                      <w:sz w:val="21"/>
                      <w:szCs w:val="21"/>
                      <w:highlight w:val="none"/>
                      <w:lang w:val="en-US" w:eastAsia="zh-CN"/>
                    </w:rPr>
                    <w:t>利旧</w:t>
                  </w:r>
                </w:p>
              </w:tc>
            </w:tr>
          </w:tbl>
          <w:p>
            <w:pPr>
              <w:pStyle w:val="5"/>
              <w:suppressLineNumbers w:val="0"/>
              <w:spacing w:before="120" w:beforeLines="50" w:beforeAutospacing="0" w:after="0" w:afterAutospacing="0" w:line="360" w:lineRule="auto"/>
              <w:ind w:right="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总平面布局</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本项目选址于福建省霞浦县经济开发区工业北路45号</w:t>
            </w:r>
            <w:r>
              <w:rPr>
                <w:rFonts w:hint="default" w:ascii="Times New Roman" w:hAnsi="Times New Roman" w:eastAsia="宋体" w:cs="Times New Roman"/>
                <w:sz w:val="24"/>
                <w:szCs w:val="24"/>
                <w:lang w:eastAsia="zh-CN"/>
              </w:rPr>
              <w:t>，</w:t>
            </w:r>
            <w:r>
              <w:rPr>
                <w:rFonts w:hint="eastAsia" w:cs="Times New Roman"/>
                <w:sz w:val="24"/>
                <w:szCs w:val="24"/>
                <w:lang w:val="en-US" w:eastAsia="zh-CN"/>
              </w:rPr>
              <w:t>租赁</w:t>
            </w:r>
            <w:r>
              <w:rPr>
                <w:rFonts w:hint="default" w:ascii="Times New Roman" w:hAnsi="Times New Roman" w:eastAsia="宋体" w:cs="Times New Roman"/>
                <w:sz w:val="24"/>
                <w:szCs w:val="24"/>
              </w:rPr>
              <w:t>福建德恩家居有限公司</w:t>
            </w:r>
            <w:r>
              <w:rPr>
                <w:rFonts w:hint="eastAsia" w:ascii="Times New Roman" w:hAnsi="Times New Roman" w:eastAsia="宋体" w:cs="Times New Roman"/>
                <w:sz w:val="24"/>
                <w:szCs w:val="24"/>
                <w:lang w:val="en-US" w:eastAsia="zh-CN"/>
              </w:rPr>
              <w:t>厂房用于生产</w:t>
            </w:r>
            <w:r>
              <w:rPr>
                <w:rFonts w:hint="eastAsia" w:cs="Times New Roman"/>
                <w:color w:val="auto"/>
                <w:sz w:val="24"/>
                <w:szCs w:val="24"/>
                <w:lang w:val="en-US" w:eastAsia="zh-CN"/>
              </w:rPr>
              <w:t>。</w:t>
            </w:r>
            <w:r>
              <w:rPr>
                <w:rFonts w:hint="default" w:ascii="Times New Roman" w:hAnsi="Times New Roman" w:eastAsia="宋体" w:cs="Times New Roman"/>
                <w:sz w:val="24"/>
                <w:szCs w:val="24"/>
                <w:lang w:val="en-US" w:eastAsia="zh-CN"/>
              </w:rPr>
              <w:t>办公区位于厂区西北侧，</w:t>
            </w:r>
            <w:r>
              <w:rPr>
                <w:rFonts w:hint="eastAsia" w:cs="Times New Roman"/>
                <w:sz w:val="24"/>
                <w:szCs w:val="24"/>
                <w:lang w:val="en-US" w:eastAsia="zh-CN"/>
              </w:rPr>
              <w:t>铝壳废边清洗车间</w:t>
            </w:r>
            <w:r>
              <w:rPr>
                <w:rFonts w:hint="default" w:ascii="Times New Roman" w:hAnsi="Times New Roman" w:eastAsia="宋体" w:cs="Times New Roman"/>
                <w:sz w:val="24"/>
                <w:szCs w:val="24"/>
                <w:lang w:val="en-US" w:eastAsia="zh-CN"/>
              </w:rPr>
              <w:t>位于厂区北侧，1#、2#厂房位于厂区南侧。1#厂房南北向分为上、中、下三个区域，其中上区域、下区域各设置3条生产线，西东向依次布置拉伸、切边、清洗、烘干工序；中间为成品立库区。</w:t>
            </w:r>
            <w:r>
              <w:rPr>
                <w:rFonts w:hint="eastAsia" w:cs="Times New Roman"/>
                <w:sz w:val="24"/>
                <w:szCs w:val="24"/>
                <w:lang w:val="en-US" w:eastAsia="zh-CN"/>
              </w:rPr>
              <w:t>2</w:t>
            </w:r>
            <w:r>
              <w:rPr>
                <w:rFonts w:hint="default" w:ascii="Times New Roman" w:hAnsi="Times New Roman" w:eastAsia="宋体" w:cs="Times New Roman"/>
                <w:sz w:val="24"/>
                <w:szCs w:val="24"/>
                <w:lang w:val="en-US" w:eastAsia="zh-CN"/>
              </w:rPr>
              <w:t>#厂房</w:t>
            </w:r>
            <w:r>
              <w:rPr>
                <w:rFonts w:hint="eastAsia" w:cs="Times New Roman"/>
                <w:sz w:val="24"/>
                <w:szCs w:val="24"/>
                <w:lang w:val="en-US" w:eastAsia="zh-CN"/>
              </w:rPr>
              <w:t>南北向分别布设有冲压区、2</w:t>
            </w:r>
            <w:r>
              <w:rPr>
                <w:rFonts w:hint="default" w:ascii="Times New Roman" w:hAnsi="Times New Roman" w:eastAsia="宋体" w:cs="Times New Roman"/>
                <w:sz w:val="24"/>
                <w:szCs w:val="24"/>
                <w:lang w:val="en-US" w:eastAsia="zh-CN"/>
              </w:rPr>
              <w:t>条生产线</w:t>
            </w:r>
            <w:r>
              <w:rPr>
                <w:rFonts w:hint="eastAsia" w:ascii="Times New Roman" w:hAnsi="Times New Roman" w:eastAsia="宋体" w:cs="Times New Roman"/>
                <w:sz w:val="24"/>
                <w:szCs w:val="24"/>
                <w:lang w:val="en-US" w:eastAsia="zh-CN"/>
              </w:rPr>
              <w:t>及仓库区。</w:t>
            </w:r>
            <w:r>
              <w:rPr>
                <w:rFonts w:hint="default" w:ascii="Times New Roman" w:hAnsi="Times New Roman" w:eastAsia="宋体" w:cs="Times New Roman"/>
                <w:sz w:val="24"/>
                <w:szCs w:val="24"/>
                <w:lang w:val="en-US" w:eastAsia="zh-CN"/>
              </w:rPr>
              <w:t>污水处理设施设置在厂区东北侧；</w:t>
            </w:r>
            <w:r>
              <w:rPr>
                <w:rFonts w:hint="default" w:ascii="Times New Roman" w:hAnsi="Times New Roman" w:eastAsia="宋体" w:cs="Times New Roman"/>
                <w:sz w:val="24"/>
                <w:szCs w:val="24"/>
                <w:highlight w:val="none"/>
              </w:rPr>
              <w:t>危废</w:t>
            </w:r>
            <w:r>
              <w:rPr>
                <w:rFonts w:hint="eastAsia" w:cs="Times New Roman"/>
                <w:sz w:val="24"/>
                <w:szCs w:val="24"/>
                <w:highlight w:val="none"/>
                <w:lang w:val="en-US" w:eastAsia="zh-CN"/>
              </w:rPr>
              <w:t>暂存间</w:t>
            </w:r>
            <w:r>
              <w:rPr>
                <w:rFonts w:hint="default" w:ascii="Times New Roman" w:hAnsi="Times New Roman" w:eastAsia="宋体" w:cs="Times New Roman"/>
                <w:sz w:val="24"/>
                <w:szCs w:val="24"/>
                <w:lang w:val="en-US" w:eastAsia="zh-CN"/>
              </w:rPr>
              <w:t>紧邻1#车间，</w:t>
            </w:r>
            <w:r>
              <w:rPr>
                <w:rFonts w:hint="default" w:ascii="Times New Roman" w:hAnsi="Times New Roman" w:eastAsia="宋体" w:cs="Times New Roman"/>
                <w:sz w:val="24"/>
                <w:szCs w:val="24"/>
                <w:highlight w:val="none"/>
                <w:lang w:val="en-US" w:eastAsia="zh-CN"/>
              </w:rPr>
              <w:t>其他报废仓</w:t>
            </w:r>
            <w:r>
              <w:rPr>
                <w:rFonts w:hint="default" w:ascii="Times New Roman" w:hAnsi="Times New Roman" w:eastAsia="宋体" w:cs="Times New Roman"/>
                <w:sz w:val="24"/>
                <w:szCs w:val="24"/>
                <w:lang w:val="en-US" w:eastAsia="zh-CN"/>
              </w:rPr>
              <w:t>、</w:t>
            </w:r>
            <w:r>
              <w:rPr>
                <w:rFonts w:hint="eastAsia" w:cs="Times New Roman"/>
                <w:sz w:val="24"/>
                <w:szCs w:val="24"/>
                <w:highlight w:val="none"/>
                <w:lang w:val="en-US" w:eastAsia="zh-CN"/>
              </w:rPr>
              <w:t>冲压料报废仓</w:t>
            </w:r>
            <w:r>
              <w:rPr>
                <w:rFonts w:hint="default" w:ascii="Times New Roman" w:hAnsi="Times New Roman" w:eastAsia="宋体" w:cs="Times New Roman"/>
                <w:sz w:val="24"/>
                <w:szCs w:val="24"/>
                <w:lang w:val="en-US" w:eastAsia="zh-CN"/>
              </w:rPr>
              <w:t>位于厂区东北角，与办公区相对独立。</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auto"/>
                <w:sz w:val="24"/>
                <w:szCs w:val="24"/>
              </w:rPr>
            </w:pPr>
            <w:r>
              <w:rPr>
                <w:rFonts w:hint="default" w:ascii="Times New Roman" w:hAnsi="Times New Roman" w:eastAsia="宋体" w:cs="Times New Roman"/>
                <w:sz w:val="24"/>
                <w:szCs w:val="24"/>
              </w:rPr>
              <w:t>项目生产车间平面布置根据生产工艺流程布置，各功能分区明确，各生产区相对独立，互不干扰，工艺流程顺畅，基本符合防火、安全、卫生等有关规范要求，因此，项目平面布置基本合理。车间平面布置见</w:t>
            </w:r>
            <w:r>
              <w:rPr>
                <w:rFonts w:hint="default" w:ascii="Times New Roman" w:hAnsi="Times New Roman" w:eastAsia="宋体" w:cs="Times New Roman"/>
                <w:color w:val="auto"/>
                <w:sz w:val="24"/>
                <w:szCs w:val="24"/>
              </w:rPr>
              <w:t>附图</w:t>
            </w:r>
            <w:bookmarkStart w:id="13" w:name="_Ref15455"/>
            <w:r>
              <w:rPr>
                <w:rFonts w:hint="default"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w:t>
            </w:r>
            <w:bookmarkEnd w:id="13"/>
          </w:p>
          <w:p>
            <w:pPr>
              <w:pStyle w:val="4"/>
              <w:keepNext w:val="0"/>
              <w:keepLines w:val="0"/>
              <w:suppressLineNumbers w:val="0"/>
              <w:spacing w:before="0" w:beforeAutospacing="0" w:after="0" w:afterAutospacing="0"/>
              <w:ind w:left="0" w:right="0"/>
              <w:rPr>
                <w:rFonts w:hint="default" w:ascii="Times New Roman" w:hAnsi="Times New Roman" w:eastAsia="宋体" w:cs="Times New Roman"/>
                <w:sz w:val="28"/>
                <w:szCs w:val="28"/>
              </w:rPr>
            </w:pPr>
            <w:bookmarkStart w:id="14" w:name="_Toc6646"/>
            <w:bookmarkStart w:id="15" w:name="_Toc9977"/>
            <w:bookmarkStart w:id="16" w:name="_Toc24506"/>
            <w:bookmarkStart w:id="17" w:name="_Toc10081"/>
            <w:r>
              <w:rPr>
                <w:rFonts w:hint="default" w:ascii="Times New Roman" w:hAnsi="Times New Roman" w:eastAsia="宋体" w:cs="Times New Roman"/>
                <w:sz w:val="28"/>
                <w:szCs w:val="28"/>
              </w:rPr>
              <w:t>产品方案</w:t>
            </w:r>
          </w:p>
          <w:p>
            <w:pPr>
              <w:pStyle w:val="42"/>
              <w:keepNext w:val="0"/>
              <w:keepLines w:val="0"/>
              <w:suppressLineNumbers w:val="0"/>
              <w:spacing w:before="0" w:beforeAutospacing="0" w:after="0" w:afterAutospacing="0"/>
              <w:ind w:left="0" w:right="0"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项目年产</w:t>
            </w:r>
            <w:r>
              <w:rPr>
                <w:rFonts w:hint="default" w:ascii="Times New Roman" w:hAnsi="Times New Roman" w:eastAsia="宋体" w:cs="Times New Roman"/>
                <w:color w:val="auto"/>
                <w:sz w:val="24"/>
                <w:szCs w:val="24"/>
                <w:lang w:val="en-US" w:eastAsia="zh-CN"/>
              </w:rPr>
              <w:t>7000</w:t>
            </w:r>
            <w:r>
              <w:rPr>
                <w:rFonts w:hint="default" w:ascii="Times New Roman" w:hAnsi="Times New Roman" w:eastAsia="宋体" w:cs="Times New Roman"/>
                <w:color w:val="auto"/>
                <w:sz w:val="24"/>
                <w:szCs w:val="24"/>
              </w:rPr>
              <w:t>万套</w:t>
            </w:r>
            <w:r>
              <w:rPr>
                <w:rFonts w:hint="default" w:ascii="Times New Roman" w:hAnsi="Times New Roman" w:eastAsia="宋体" w:cs="Times New Roman"/>
                <w:sz w:val="24"/>
                <w:szCs w:val="24"/>
              </w:rPr>
              <w:t>新能源动力电池铝壳</w:t>
            </w:r>
            <w:r>
              <w:rPr>
                <w:rFonts w:hint="default" w:ascii="Times New Roman" w:hAnsi="Times New Roman" w:eastAsia="宋体" w:cs="Times New Roman"/>
                <w:color w:val="auto"/>
                <w:sz w:val="24"/>
                <w:szCs w:val="24"/>
              </w:rPr>
              <w:t>，具体产品方案见下表。</w:t>
            </w:r>
          </w:p>
          <w:p>
            <w:pPr>
              <w:pStyle w:val="36"/>
              <w:keepNext w:val="0"/>
              <w:keepLines w:val="0"/>
              <w:suppressLineNumbers w:val="0"/>
              <w:bidi w:val="0"/>
              <w:spacing w:before="0" w:beforeAutospacing="0" w:after="0" w:afterAutospacing="0"/>
              <w:ind w:right="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项目产品方案一览表</w:t>
            </w:r>
          </w:p>
          <w:tbl>
            <w:tblPr>
              <w:tblStyle w:val="27"/>
              <w:tblW w:w="8117"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885"/>
              <w:gridCol w:w="2113"/>
              <w:gridCol w:w="1860"/>
              <w:gridCol w:w="1275"/>
              <w:gridCol w:w="1984"/>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85" w:type="dxa"/>
                  <w:tcBorders>
                    <w:tl2br w:val="nil"/>
                    <w:tr2bl w:val="nil"/>
                  </w:tcBorders>
                  <w:vAlign w:val="center"/>
                </w:tcPr>
                <w:p>
                  <w:pPr>
                    <w:pStyle w:val="87"/>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2113" w:type="dxa"/>
                  <w:tcBorders>
                    <w:tl2br w:val="nil"/>
                    <w:tr2bl w:val="nil"/>
                  </w:tcBorders>
                  <w:vAlign w:val="center"/>
                </w:tcPr>
                <w:p>
                  <w:pPr>
                    <w:pStyle w:val="87"/>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产品名称</w:t>
                  </w:r>
                </w:p>
              </w:tc>
              <w:tc>
                <w:tcPr>
                  <w:tcW w:w="1860" w:type="dxa"/>
                  <w:tcBorders>
                    <w:tl2br w:val="nil"/>
                    <w:tr2bl w:val="nil"/>
                  </w:tcBorders>
                  <w:vAlign w:val="center"/>
                </w:tcPr>
                <w:p>
                  <w:pPr>
                    <w:pStyle w:val="87"/>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年产量（套/a）</w:t>
                  </w:r>
                </w:p>
              </w:tc>
              <w:tc>
                <w:tcPr>
                  <w:tcW w:w="1275" w:type="dxa"/>
                  <w:tcBorders>
                    <w:tl2br w:val="nil"/>
                    <w:tr2bl w:val="nil"/>
                  </w:tcBorders>
                  <w:vAlign w:val="center"/>
                </w:tcPr>
                <w:p>
                  <w:pPr>
                    <w:pStyle w:val="87"/>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包装方式</w:t>
                  </w:r>
                </w:p>
              </w:tc>
              <w:tc>
                <w:tcPr>
                  <w:tcW w:w="1984" w:type="dxa"/>
                  <w:tcBorders>
                    <w:tl2br w:val="nil"/>
                    <w:tr2bl w:val="nil"/>
                  </w:tcBorders>
                  <w:vAlign w:val="center"/>
                </w:tcPr>
                <w:p>
                  <w:pPr>
                    <w:pStyle w:val="87"/>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规格</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885" w:type="dxa"/>
                  <w:tcBorders>
                    <w:tl2br w:val="nil"/>
                    <w:tr2bl w:val="nil"/>
                  </w:tcBorders>
                  <w:vAlign w:val="center"/>
                </w:tcPr>
                <w:p>
                  <w:pPr>
                    <w:pStyle w:val="87"/>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2113" w:type="dxa"/>
                  <w:tcBorders>
                    <w:tl2br w:val="nil"/>
                    <w:tr2bl w:val="nil"/>
                  </w:tcBorders>
                  <w:vAlign w:val="center"/>
                </w:tcPr>
                <w:p>
                  <w:pPr>
                    <w:pStyle w:val="87"/>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新能源动力电池铝壳</w:t>
                  </w:r>
                </w:p>
              </w:tc>
              <w:tc>
                <w:tcPr>
                  <w:tcW w:w="1860" w:type="dxa"/>
                  <w:tcBorders>
                    <w:tl2br w:val="nil"/>
                    <w:tr2bl w:val="nil"/>
                  </w:tcBorders>
                  <w:vAlign w:val="center"/>
                </w:tcPr>
                <w:p>
                  <w:pPr>
                    <w:pStyle w:val="87"/>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7000</w:t>
                  </w:r>
                  <w:r>
                    <w:rPr>
                      <w:rFonts w:hint="default" w:ascii="Times New Roman" w:hAnsi="Times New Roman" w:eastAsia="宋体" w:cs="Times New Roman"/>
                      <w:sz w:val="21"/>
                      <w:szCs w:val="21"/>
                    </w:rPr>
                    <w:t>万</w:t>
                  </w:r>
                </w:p>
              </w:tc>
              <w:tc>
                <w:tcPr>
                  <w:tcW w:w="1275" w:type="dxa"/>
                  <w:tcBorders>
                    <w:tl2br w:val="nil"/>
                    <w:tr2bl w:val="nil"/>
                  </w:tcBorders>
                  <w:vAlign w:val="center"/>
                </w:tcPr>
                <w:p>
                  <w:pPr>
                    <w:pStyle w:val="87"/>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箱装</w:t>
                  </w:r>
                </w:p>
              </w:tc>
              <w:tc>
                <w:tcPr>
                  <w:tcW w:w="1984" w:type="dxa"/>
                  <w:tcBorders>
                    <w:tl2br w:val="nil"/>
                    <w:tr2bl w:val="nil"/>
                  </w:tcBorders>
                  <w:vAlign w:val="center"/>
                </w:tcPr>
                <w:p>
                  <w:pPr>
                    <w:pStyle w:val="87"/>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1mmx1400x1070φ</w:t>
                  </w:r>
                </w:p>
              </w:tc>
            </w:tr>
          </w:tbl>
          <w:p>
            <w:pPr>
              <w:pStyle w:val="4"/>
              <w:keepNext w:val="0"/>
              <w:keepLines w:val="0"/>
              <w:suppressLineNumbers w:val="0"/>
              <w:spacing w:before="0" w:beforeAutospacing="0" w:after="0" w:afterAutospacing="0"/>
              <w:ind w:left="0" w:right="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主要生产设备</w:t>
            </w:r>
            <w:bookmarkEnd w:id="14"/>
            <w:bookmarkEnd w:id="15"/>
            <w:bookmarkEnd w:id="16"/>
            <w:bookmarkEnd w:id="17"/>
          </w:p>
          <w:p>
            <w:pPr>
              <w:pStyle w:val="42"/>
              <w:keepNext w:val="0"/>
              <w:keepLines w:val="0"/>
              <w:suppressLineNumbers w:val="0"/>
              <w:spacing w:before="0" w:beforeAutospacing="0" w:after="0" w:afterAutospacing="0"/>
              <w:ind w:left="0" w:right="0"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本项目主要生产设备如</w:t>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REF _Ref15628 \n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表6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t>所示。</w:t>
            </w:r>
          </w:p>
          <w:p>
            <w:pPr>
              <w:pStyle w:val="36"/>
              <w:keepNext w:val="0"/>
              <w:keepLines w:val="0"/>
              <w:suppressLineNumbers w:val="0"/>
              <w:bidi w:val="0"/>
              <w:spacing w:before="0" w:beforeAutospacing="0" w:after="0" w:afterAutospacing="0"/>
              <w:ind w:right="0"/>
              <w:rPr>
                <w:rFonts w:hint="default" w:ascii="Times New Roman" w:hAnsi="Times New Roman" w:eastAsia="宋体" w:cs="Times New Roman"/>
                <w:sz w:val="24"/>
                <w:szCs w:val="24"/>
                <w:highlight w:val="none"/>
              </w:rPr>
            </w:pPr>
            <w:bookmarkStart w:id="18" w:name="_Ref15628"/>
            <w:r>
              <w:rPr>
                <w:rFonts w:hint="default" w:ascii="Times New Roman" w:hAnsi="Times New Roman" w:eastAsia="宋体" w:cs="Times New Roman"/>
                <w:sz w:val="24"/>
                <w:szCs w:val="24"/>
                <w:highlight w:val="none"/>
              </w:rPr>
              <w:t>项目主要生产设备清单</w:t>
            </w:r>
            <w:bookmarkEnd w:id="18"/>
          </w:p>
          <w:tbl>
            <w:tblPr>
              <w:tblStyle w:val="27"/>
              <w:tblW w:w="4995"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28" w:type="dxa"/>
                <w:bottom w:w="0" w:type="dxa"/>
                <w:right w:w="28" w:type="dxa"/>
              </w:tblCellMar>
            </w:tblPr>
            <w:tblGrid>
              <w:gridCol w:w="586"/>
              <w:gridCol w:w="1845"/>
              <w:gridCol w:w="1891"/>
              <w:gridCol w:w="722"/>
              <w:gridCol w:w="745"/>
              <w:gridCol w:w="1061"/>
              <w:gridCol w:w="133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12" w:hRule="atLeast"/>
                <w:tblHeader/>
                <w:jc w:val="center"/>
              </w:trPr>
              <w:tc>
                <w:tcPr>
                  <w:tcW w:w="358" w:type="pct"/>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序号</w:t>
                  </w:r>
                </w:p>
              </w:tc>
              <w:tc>
                <w:tcPr>
                  <w:tcW w:w="1127" w:type="pct"/>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设备名称</w:t>
                  </w:r>
                </w:p>
              </w:tc>
              <w:tc>
                <w:tcPr>
                  <w:tcW w:w="1155" w:type="pct"/>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型号</w:t>
                  </w:r>
                </w:p>
              </w:tc>
              <w:tc>
                <w:tcPr>
                  <w:tcW w:w="441" w:type="pct"/>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数量</w:t>
                  </w:r>
                </w:p>
              </w:tc>
              <w:tc>
                <w:tcPr>
                  <w:tcW w:w="455" w:type="pct"/>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单位</w:t>
                  </w:r>
                </w:p>
              </w:tc>
              <w:tc>
                <w:tcPr>
                  <w:tcW w:w="648" w:type="pct"/>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相应工序</w:t>
                  </w:r>
                </w:p>
              </w:tc>
              <w:tc>
                <w:tcPr>
                  <w:tcW w:w="813" w:type="pct"/>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358"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w:t>
                  </w:r>
                </w:p>
              </w:tc>
              <w:tc>
                <w:tcPr>
                  <w:tcW w:w="1127" w:type="pct"/>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椭圆形料片落料机</w:t>
                  </w:r>
                </w:p>
              </w:tc>
              <w:tc>
                <w:tcPr>
                  <w:tcW w:w="1155"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澳玛特APM-250</w:t>
                  </w:r>
                </w:p>
              </w:tc>
              <w:tc>
                <w:tcPr>
                  <w:tcW w:w="441"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w:t>
                  </w:r>
                </w:p>
              </w:tc>
              <w:tc>
                <w:tcPr>
                  <w:tcW w:w="455" w:type="pct"/>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台</w:t>
                  </w:r>
                </w:p>
              </w:tc>
              <w:tc>
                <w:tcPr>
                  <w:tcW w:w="648" w:type="pct"/>
                  <w:vAlign w:val="center"/>
                </w:tcPr>
                <w:p>
                  <w:pPr>
                    <w:pStyle w:val="37"/>
                    <w:keepNext w:val="0"/>
                    <w:keepLines w:val="0"/>
                    <w:suppressLineNumbers w:val="0"/>
                    <w:spacing w:before="0" w:beforeAutospacing="0" w:after="0" w:afterAutospacing="0"/>
                    <w:ind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冲压</w:t>
                  </w:r>
                </w:p>
              </w:tc>
              <w:tc>
                <w:tcPr>
                  <w:tcW w:w="813" w:type="pct"/>
                  <w:vAlign w:val="center"/>
                </w:tcPr>
                <w:p>
                  <w:pPr>
                    <w:pStyle w:val="37"/>
                    <w:keepNext w:val="0"/>
                    <w:keepLines w:val="0"/>
                    <w:suppressLineNumbers w:val="0"/>
                    <w:spacing w:before="0" w:beforeAutospacing="0" w:after="0" w:afterAutospacing="0"/>
                    <w:ind w:right="0"/>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利旧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358"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2</w:t>
                  </w:r>
                </w:p>
              </w:tc>
              <w:tc>
                <w:tcPr>
                  <w:tcW w:w="112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送料机</w:t>
                  </w:r>
                </w:p>
              </w:tc>
              <w:tc>
                <w:tcPr>
                  <w:tcW w:w="1155"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永鑫YGL-1800</w:t>
                  </w:r>
                </w:p>
              </w:tc>
              <w:tc>
                <w:tcPr>
                  <w:tcW w:w="441"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w:t>
                  </w:r>
                </w:p>
              </w:tc>
              <w:tc>
                <w:tcPr>
                  <w:tcW w:w="455" w:type="pct"/>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台</w:t>
                  </w:r>
                </w:p>
              </w:tc>
              <w:tc>
                <w:tcPr>
                  <w:tcW w:w="648" w:type="pct"/>
                  <w:vAlign w:val="center"/>
                </w:tcPr>
                <w:p>
                  <w:pPr>
                    <w:pStyle w:val="37"/>
                    <w:keepNext w:val="0"/>
                    <w:keepLines w:val="0"/>
                    <w:suppressLineNumbers w:val="0"/>
                    <w:spacing w:before="0" w:beforeAutospacing="0" w:after="0" w:afterAutospacing="0"/>
                    <w:ind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w:t>
                  </w:r>
                </w:p>
              </w:tc>
              <w:tc>
                <w:tcPr>
                  <w:tcW w:w="813" w:type="pct"/>
                  <w:vAlign w:val="center"/>
                </w:tcPr>
                <w:p>
                  <w:pPr>
                    <w:pStyle w:val="37"/>
                    <w:keepNext w:val="0"/>
                    <w:keepLines w:val="0"/>
                    <w:suppressLineNumbers w:val="0"/>
                    <w:spacing w:before="0" w:beforeAutospacing="0" w:after="0" w:afterAutospacing="0"/>
                    <w:ind w:right="0"/>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利旧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358"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3</w:t>
                  </w:r>
                </w:p>
              </w:tc>
              <w:tc>
                <w:tcPr>
                  <w:tcW w:w="112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闭式双点多连杆压力机</w:t>
                  </w:r>
                </w:p>
              </w:tc>
              <w:tc>
                <w:tcPr>
                  <w:tcW w:w="1155"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金丰 GTX-300</w:t>
                  </w:r>
                </w:p>
              </w:tc>
              <w:tc>
                <w:tcPr>
                  <w:tcW w:w="441"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val="en-US" w:eastAsia="zh-CN"/>
                    </w:rPr>
                    <w:t>8</w:t>
                  </w:r>
                </w:p>
              </w:tc>
              <w:tc>
                <w:tcPr>
                  <w:tcW w:w="455" w:type="pct"/>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台</w:t>
                  </w:r>
                </w:p>
              </w:tc>
              <w:tc>
                <w:tcPr>
                  <w:tcW w:w="648" w:type="pct"/>
                  <w:vAlign w:val="center"/>
                </w:tcPr>
                <w:p>
                  <w:pPr>
                    <w:pStyle w:val="37"/>
                    <w:keepNext w:val="0"/>
                    <w:keepLines w:val="0"/>
                    <w:suppressLineNumbers w:val="0"/>
                    <w:spacing w:before="0" w:beforeAutospacing="0" w:after="0" w:afterAutospacing="0"/>
                    <w:ind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拉伸、切边</w:t>
                  </w:r>
                </w:p>
              </w:tc>
              <w:tc>
                <w:tcPr>
                  <w:tcW w:w="813" w:type="pct"/>
                  <w:vAlign w:val="center"/>
                </w:tcPr>
                <w:p>
                  <w:pPr>
                    <w:pStyle w:val="37"/>
                    <w:keepNext w:val="0"/>
                    <w:keepLines w:val="0"/>
                    <w:suppressLineNumbers w:val="0"/>
                    <w:spacing w:before="0" w:beforeAutospacing="0" w:after="0" w:afterAutospacing="0"/>
                    <w:ind w:right="0"/>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5台利旧，3台新增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358"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4</w:t>
                  </w:r>
                </w:p>
              </w:tc>
              <w:tc>
                <w:tcPr>
                  <w:tcW w:w="112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全自动清洗机</w:t>
                  </w:r>
                </w:p>
              </w:tc>
              <w:tc>
                <w:tcPr>
                  <w:tcW w:w="1155"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科宇信KYX2810D 超声波清洗</w:t>
                  </w:r>
                </w:p>
              </w:tc>
              <w:tc>
                <w:tcPr>
                  <w:tcW w:w="441"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val="en-US" w:eastAsia="zh-CN"/>
                    </w:rPr>
                    <w:t>9</w:t>
                  </w:r>
                </w:p>
              </w:tc>
              <w:tc>
                <w:tcPr>
                  <w:tcW w:w="455"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台</w:t>
                  </w:r>
                </w:p>
              </w:tc>
              <w:tc>
                <w:tcPr>
                  <w:tcW w:w="648" w:type="pct"/>
                  <w:vMerge w:val="restar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超声波清洗</w:t>
                  </w:r>
                </w:p>
              </w:tc>
              <w:tc>
                <w:tcPr>
                  <w:tcW w:w="813"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5台利旧，4台新增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358" w:type="pct"/>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5</w:t>
                  </w:r>
                </w:p>
              </w:tc>
              <w:tc>
                <w:tcPr>
                  <w:tcW w:w="112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超声波</w:t>
                  </w:r>
                  <w:r>
                    <w:rPr>
                      <w:rFonts w:hint="default" w:ascii="Times New Roman" w:hAnsi="Times New Roman" w:eastAsia="宋体" w:cs="Times New Roman"/>
                      <w:color w:val="auto"/>
                      <w:sz w:val="21"/>
                      <w:szCs w:val="21"/>
                      <w:highlight w:val="none"/>
                      <w:lang w:val="en-US" w:eastAsia="zh-CN"/>
                    </w:rPr>
                    <w:t>清</w:t>
                  </w:r>
                  <w:r>
                    <w:rPr>
                      <w:rFonts w:hint="default" w:ascii="Times New Roman" w:hAnsi="Times New Roman" w:eastAsia="宋体" w:cs="Times New Roman"/>
                      <w:color w:val="auto"/>
                      <w:sz w:val="21"/>
                      <w:szCs w:val="21"/>
                      <w:highlight w:val="none"/>
                    </w:rPr>
                    <w:t>洗槽</w:t>
                  </w:r>
                </w:p>
              </w:tc>
              <w:tc>
                <w:tcPr>
                  <w:tcW w:w="1155" w:type="pct"/>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750×900×700mm</w:t>
                  </w:r>
                </w:p>
              </w:tc>
              <w:tc>
                <w:tcPr>
                  <w:tcW w:w="441" w:type="pct"/>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45</w:t>
                  </w:r>
                </w:p>
              </w:tc>
              <w:tc>
                <w:tcPr>
                  <w:tcW w:w="455" w:type="pct"/>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个</w:t>
                  </w:r>
                </w:p>
              </w:tc>
              <w:tc>
                <w:tcPr>
                  <w:tcW w:w="648"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p>
              </w:tc>
              <w:tc>
                <w:tcPr>
                  <w:tcW w:w="813"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25个利旧，20个新增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358" w:type="pct"/>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6</w:t>
                  </w:r>
                </w:p>
              </w:tc>
              <w:tc>
                <w:tcPr>
                  <w:tcW w:w="112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拆垛上料机</w:t>
                  </w:r>
                </w:p>
              </w:tc>
              <w:tc>
                <w:tcPr>
                  <w:tcW w:w="1155"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佳锐普铝片上料机</w:t>
                  </w:r>
                </w:p>
              </w:tc>
              <w:tc>
                <w:tcPr>
                  <w:tcW w:w="441"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val="en-US" w:eastAsia="zh-CN"/>
                    </w:rPr>
                    <w:t>8</w:t>
                  </w:r>
                </w:p>
              </w:tc>
              <w:tc>
                <w:tcPr>
                  <w:tcW w:w="455"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台</w:t>
                  </w:r>
                </w:p>
              </w:tc>
              <w:tc>
                <w:tcPr>
                  <w:tcW w:w="648"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w:t>
                  </w:r>
                </w:p>
              </w:tc>
              <w:tc>
                <w:tcPr>
                  <w:tcW w:w="813"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5台利旧，3台新增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358" w:type="pct"/>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7</w:t>
                  </w:r>
                </w:p>
              </w:tc>
              <w:tc>
                <w:tcPr>
                  <w:tcW w:w="112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拉伸油制冷机</w:t>
                  </w:r>
                </w:p>
              </w:tc>
              <w:tc>
                <w:tcPr>
                  <w:tcW w:w="1155"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深创亿SCY-05A</w:t>
                  </w:r>
                </w:p>
              </w:tc>
              <w:tc>
                <w:tcPr>
                  <w:tcW w:w="441" w:type="pct"/>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val="en-US" w:eastAsia="zh-CN"/>
                    </w:rPr>
                    <w:t>8</w:t>
                  </w:r>
                </w:p>
              </w:tc>
              <w:tc>
                <w:tcPr>
                  <w:tcW w:w="455" w:type="pct"/>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台</w:t>
                  </w:r>
                </w:p>
              </w:tc>
              <w:tc>
                <w:tcPr>
                  <w:tcW w:w="648" w:type="pct"/>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w:t>
                  </w:r>
                </w:p>
              </w:tc>
              <w:tc>
                <w:tcPr>
                  <w:tcW w:w="813" w:type="pct"/>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5台利旧，3台新增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358" w:type="pct"/>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sz w:val="21"/>
                      <w:szCs w:val="21"/>
                      <w:highlight w:val="none"/>
                      <w:lang w:val="en-US" w:eastAsia="zh-CN" w:bidi="ar-SA"/>
                    </w:rPr>
                  </w:pPr>
                  <w:bookmarkStart w:id="19" w:name="_Toc20936"/>
                  <w:bookmarkStart w:id="20" w:name="_Toc4944"/>
                  <w:bookmarkStart w:id="21" w:name="_Toc12299"/>
                  <w:bookmarkStart w:id="22" w:name="_Toc25944"/>
                  <w:r>
                    <w:rPr>
                      <w:rFonts w:hint="default" w:ascii="Times New Roman" w:hAnsi="Times New Roman" w:eastAsia="宋体" w:cs="Times New Roman"/>
                      <w:sz w:val="21"/>
                      <w:szCs w:val="21"/>
                      <w:highlight w:val="none"/>
                      <w:lang w:val="en-US" w:eastAsia="zh-CN"/>
                    </w:rPr>
                    <w:t>8</w:t>
                  </w:r>
                </w:p>
              </w:tc>
              <w:tc>
                <w:tcPr>
                  <w:tcW w:w="112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纯水制备系统</w:t>
                  </w:r>
                </w:p>
              </w:tc>
              <w:tc>
                <w:tcPr>
                  <w:tcW w:w="1155"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w:t>
                  </w:r>
                </w:p>
              </w:tc>
              <w:tc>
                <w:tcPr>
                  <w:tcW w:w="441" w:type="pct"/>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w:t>
                  </w:r>
                </w:p>
              </w:tc>
              <w:tc>
                <w:tcPr>
                  <w:tcW w:w="455" w:type="pct"/>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套</w:t>
                  </w:r>
                </w:p>
              </w:tc>
              <w:tc>
                <w:tcPr>
                  <w:tcW w:w="648" w:type="pct"/>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w:t>
                  </w:r>
                </w:p>
              </w:tc>
              <w:tc>
                <w:tcPr>
                  <w:tcW w:w="813" w:type="pct"/>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利旧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358" w:type="pct"/>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9</w:t>
                  </w:r>
                </w:p>
              </w:tc>
              <w:tc>
                <w:tcPr>
                  <w:tcW w:w="112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甩油槽</w:t>
                  </w:r>
                </w:p>
              </w:tc>
              <w:tc>
                <w:tcPr>
                  <w:tcW w:w="1155"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750×900×700mm</w:t>
                  </w:r>
                </w:p>
              </w:tc>
              <w:tc>
                <w:tcPr>
                  <w:tcW w:w="441" w:type="pct"/>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val="en-US" w:eastAsia="zh-CN"/>
                    </w:rPr>
                    <w:t>9</w:t>
                  </w:r>
                </w:p>
              </w:tc>
              <w:tc>
                <w:tcPr>
                  <w:tcW w:w="455" w:type="pct"/>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个</w:t>
                  </w:r>
                </w:p>
              </w:tc>
              <w:tc>
                <w:tcPr>
                  <w:tcW w:w="648" w:type="pct"/>
                  <w:vAlign w:val="center"/>
                </w:tcPr>
                <w:p>
                  <w:pPr>
                    <w:pStyle w:val="37"/>
                    <w:keepNext w:val="0"/>
                    <w:keepLines w:val="0"/>
                    <w:suppressLineNumbers w:val="0"/>
                    <w:spacing w:before="0" w:beforeAutospacing="0" w:after="0" w:afterAutospacing="0"/>
                    <w:ind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甩油</w:t>
                  </w:r>
                </w:p>
              </w:tc>
              <w:tc>
                <w:tcPr>
                  <w:tcW w:w="813" w:type="pct"/>
                  <w:vAlign w:val="center"/>
                </w:tcPr>
                <w:p>
                  <w:pPr>
                    <w:pStyle w:val="37"/>
                    <w:keepNext w:val="0"/>
                    <w:keepLines w:val="0"/>
                    <w:suppressLineNumbers w:val="0"/>
                    <w:spacing w:before="0" w:beforeAutospacing="0" w:after="0" w:afterAutospacing="0"/>
                    <w:ind w:right="0"/>
                    <w:jc w:val="center"/>
                    <w:rPr>
                      <w:rFonts w:hint="default" w:ascii="Times New Roman" w:hAnsi="Times New Roman" w:eastAsia="宋体" w:cs="Times New Roman"/>
                      <w:sz w:val="21"/>
                      <w:szCs w:val="21"/>
                      <w:highlight w:val="none"/>
                    </w:rPr>
                  </w:pPr>
                  <w:r>
                    <w:rPr>
                      <w:rFonts w:hint="eastAsia" w:cs="Times New Roman"/>
                      <w:sz w:val="21"/>
                      <w:szCs w:val="21"/>
                      <w:highlight w:val="none"/>
                      <w:lang w:val="en-US" w:eastAsia="zh-CN"/>
                    </w:rPr>
                    <w:t>5个利旧，4个新增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358" w:type="pct"/>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10</w:t>
                  </w:r>
                </w:p>
              </w:tc>
              <w:tc>
                <w:tcPr>
                  <w:tcW w:w="112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漂洗槽</w:t>
                  </w:r>
                </w:p>
              </w:tc>
              <w:tc>
                <w:tcPr>
                  <w:tcW w:w="1155" w:type="pct"/>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750×900×700mm</w:t>
                  </w:r>
                </w:p>
              </w:tc>
              <w:tc>
                <w:tcPr>
                  <w:tcW w:w="441" w:type="pct"/>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27</w:t>
                  </w:r>
                </w:p>
              </w:tc>
              <w:tc>
                <w:tcPr>
                  <w:tcW w:w="455" w:type="pct"/>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个</w:t>
                  </w:r>
                </w:p>
              </w:tc>
              <w:tc>
                <w:tcPr>
                  <w:tcW w:w="648" w:type="pct"/>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漂洗</w:t>
                  </w:r>
                </w:p>
              </w:tc>
              <w:tc>
                <w:tcPr>
                  <w:tcW w:w="813" w:type="pct"/>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highlight w:val="none"/>
                      <w:lang w:val="en-US" w:eastAsia="zh-CN" w:bidi="ar-SA"/>
                    </w:rPr>
                  </w:pPr>
                  <w:r>
                    <w:rPr>
                      <w:rFonts w:hint="eastAsia" w:cs="Times New Roman"/>
                      <w:sz w:val="21"/>
                      <w:szCs w:val="21"/>
                      <w:highlight w:val="none"/>
                      <w:lang w:val="en-US" w:eastAsia="zh-CN"/>
                    </w:rPr>
                    <w:t>15个利旧，12个新增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358" w:type="pct"/>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11</w:t>
                  </w:r>
                </w:p>
              </w:tc>
              <w:tc>
                <w:tcPr>
                  <w:tcW w:w="1127" w:type="pct"/>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甩干槽</w:t>
                  </w:r>
                </w:p>
              </w:tc>
              <w:tc>
                <w:tcPr>
                  <w:tcW w:w="1155" w:type="pct"/>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750×900×700mm</w:t>
                  </w:r>
                </w:p>
              </w:tc>
              <w:tc>
                <w:tcPr>
                  <w:tcW w:w="441" w:type="pct"/>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9</w:t>
                  </w:r>
                </w:p>
              </w:tc>
              <w:tc>
                <w:tcPr>
                  <w:tcW w:w="455" w:type="pct"/>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个</w:t>
                  </w:r>
                </w:p>
              </w:tc>
              <w:tc>
                <w:tcPr>
                  <w:tcW w:w="648" w:type="pct"/>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甩干</w:t>
                  </w:r>
                </w:p>
              </w:tc>
              <w:tc>
                <w:tcPr>
                  <w:tcW w:w="813" w:type="pct"/>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highlight w:val="none"/>
                      <w:lang w:val="en-US" w:eastAsia="zh-CN" w:bidi="ar-SA"/>
                    </w:rPr>
                  </w:pPr>
                  <w:r>
                    <w:rPr>
                      <w:rFonts w:hint="eastAsia" w:cs="Times New Roman"/>
                      <w:sz w:val="21"/>
                      <w:szCs w:val="21"/>
                      <w:highlight w:val="none"/>
                      <w:lang w:val="en-US" w:eastAsia="zh-CN"/>
                    </w:rPr>
                    <w:t>5个利旧，4个新增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358" w:type="pct"/>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12</w:t>
                  </w:r>
                </w:p>
              </w:tc>
              <w:tc>
                <w:tcPr>
                  <w:tcW w:w="1127" w:type="pct"/>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烘干隧道</w:t>
                  </w:r>
                </w:p>
              </w:tc>
              <w:tc>
                <w:tcPr>
                  <w:tcW w:w="1155" w:type="pct"/>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6200×1050×700mm</w:t>
                  </w:r>
                </w:p>
              </w:tc>
              <w:tc>
                <w:tcPr>
                  <w:tcW w:w="441" w:type="pct"/>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9</w:t>
                  </w:r>
                </w:p>
              </w:tc>
              <w:tc>
                <w:tcPr>
                  <w:tcW w:w="455" w:type="pct"/>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个</w:t>
                  </w:r>
                </w:p>
              </w:tc>
              <w:tc>
                <w:tcPr>
                  <w:tcW w:w="648" w:type="pct"/>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烘干</w:t>
                  </w:r>
                </w:p>
              </w:tc>
              <w:tc>
                <w:tcPr>
                  <w:tcW w:w="813" w:type="pct"/>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5个利旧，4个新增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358"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13</w:t>
                  </w:r>
                </w:p>
              </w:tc>
              <w:tc>
                <w:tcPr>
                  <w:tcW w:w="1127" w:type="pct"/>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空压机</w:t>
                  </w:r>
                </w:p>
              </w:tc>
              <w:tc>
                <w:tcPr>
                  <w:tcW w:w="1155" w:type="pct"/>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w:t>
                  </w:r>
                </w:p>
              </w:tc>
              <w:tc>
                <w:tcPr>
                  <w:tcW w:w="441" w:type="pct"/>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2</w:t>
                  </w:r>
                </w:p>
              </w:tc>
              <w:tc>
                <w:tcPr>
                  <w:tcW w:w="455" w:type="pct"/>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台</w:t>
                  </w:r>
                </w:p>
              </w:tc>
              <w:tc>
                <w:tcPr>
                  <w:tcW w:w="648" w:type="pct"/>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w:t>
                  </w:r>
                </w:p>
              </w:tc>
              <w:tc>
                <w:tcPr>
                  <w:tcW w:w="813" w:type="pct"/>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highlight w:val="none"/>
                      <w:lang w:val="en-US" w:eastAsia="zh-CN" w:bidi="ar-SA"/>
                    </w:rPr>
                  </w:pPr>
                  <w:r>
                    <w:rPr>
                      <w:rFonts w:hint="eastAsia" w:cs="Times New Roman"/>
                      <w:sz w:val="21"/>
                      <w:szCs w:val="21"/>
                      <w:highlight w:val="none"/>
                      <w:lang w:val="en-US" w:eastAsia="zh-CN"/>
                    </w:rPr>
                    <w:t>利旧</w:t>
                  </w:r>
                </w:p>
              </w:tc>
            </w:tr>
          </w:tbl>
          <w:p>
            <w:pPr>
              <w:pStyle w:val="4"/>
              <w:keepNext w:val="0"/>
              <w:keepLines w:val="0"/>
              <w:suppressLineNumbers w:val="0"/>
              <w:spacing w:before="0" w:beforeAutospacing="0" w:after="0" w:afterAutospacing="0"/>
              <w:ind w:left="0" w:right="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主要原辅材料</w:t>
            </w:r>
            <w:bookmarkEnd w:id="19"/>
            <w:bookmarkEnd w:id="20"/>
            <w:bookmarkEnd w:id="21"/>
            <w:bookmarkEnd w:id="22"/>
          </w:p>
          <w:p>
            <w:pPr>
              <w:pStyle w:val="42"/>
              <w:keepNext w:val="0"/>
              <w:keepLines w:val="0"/>
              <w:suppressLineNumbers w:val="0"/>
              <w:spacing w:before="0" w:beforeAutospacing="0" w:after="0" w:afterAutospacing="0"/>
              <w:ind w:left="0" w:right="0" w:firstLine="480"/>
              <w:rPr>
                <w:rFonts w:hint="default" w:ascii="Times New Roman" w:hAnsi="Times New Roman" w:eastAsia="宋体" w:cs="Times New Roman"/>
                <w:sz w:val="24"/>
                <w:szCs w:val="24"/>
              </w:rPr>
            </w:pPr>
            <w:r>
              <w:rPr>
                <w:rFonts w:hint="default" w:ascii="Times New Roman" w:hAnsi="Times New Roman" w:eastAsia="宋体" w:cs="Times New Roman"/>
                <w:sz w:val="28"/>
                <w:szCs w:val="28"/>
              </w:rPr>
              <w:t>（1）</w:t>
            </w:r>
            <w:r>
              <w:rPr>
                <w:rFonts w:hint="default" w:ascii="Times New Roman" w:hAnsi="Times New Roman" w:eastAsia="宋体" w:cs="Times New Roman"/>
                <w:sz w:val="24"/>
                <w:szCs w:val="24"/>
              </w:rPr>
              <w:t>主要原辅材料</w:t>
            </w:r>
          </w:p>
          <w:p>
            <w:pPr>
              <w:pStyle w:val="42"/>
              <w:keepNext w:val="0"/>
              <w:keepLines w:val="0"/>
              <w:suppressLineNumbers w:val="0"/>
              <w:spacing w:before="0" w:beforeAutospacing="0" w:after="0" w:afterAutospacing="0"/>
              <w:ind w:left="0" w:right="0"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项目主要原辅材料用量情况见</w:t>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REF _Ref15667 \n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表7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t>。</w:t>
            </w:r>
          </w:p>
          <w:p>
            <w:pPr>
              <w:pStyle w:val="36"/>
              <w:keepNext w:val="0"/>
              <w:keepLines w:val="0"/>
              <w:suppressLineNumbers w:val="0"/>
              <w:bidi w:val="0"/>
              <w:spacing w:before="0" w:beforeAutospacing="0" w:after="0" w:afterAutospacing="0"/>
              <w:ind w:right="0"/>
              <w:rPr>
                <w:rFonts w:hint="default" w:ascii="Times New Roman" w:hAnsi="Times New Roman" w:eastAsia="宋体" w:cs="Times New Roman"/>
                <w:sz w:val="24"/>
                <w:szCs w:val="24"/>
              </w:rPr>
            </w:pPr>
            <w:bookmarkStart w:id="23" w:name="_Ref15667"/>
            <w:r>
              <w:rPr>
                <w:rFonts w:hint="default" w:ascii="Times New Roman" w:hAnsi="Times New Roman" w:eastAsia="宋体" w:cs="Times New Roman"/>
                <w:sz w:val="24"/>
                <w:szCs w:val="24"/>
              </w:rPr>
              <w:t>主要原辅材料预计消耗一览表</w:t>
            </w:r>
            <w:bookmarkEnd w:id="23"/>
          </w:p>
          <w:tbl>
            <w:tblPr>
              <w:tblStyle w:val="27"/>
              <w:tblW w:w="8117"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641"/>
              <w:gridCol w:w="1517"/>
              <w:gridCol w:w="1331"/>
              <w:gridCol w:w="1563"/>
              <w:gridCol w:w="1176"/>
              <w:gridCol w:w="944"/>
              <w:gridCol w:w="945"/>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41"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1517"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原辅料名称</w:t>
                  </w:r>
                </w:p>
              </w:tc>
              <w:tc>
                <w:tcPr>
                  <w:tcW w:w="1331"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年用量（t/a）</w:t>
                  </w:r>
                </w:p>
              </w:tc>
              <w:tc>
                <w:tcPr>
                  <w:tcW w:w="1563"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规格</w:t>
                  </w:r>
                </w:p>
              </w:tc>
              <w:tc>
                <w:tcPr>
                  <w:tcW w:w="1176"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存储方式</w:t>
                  </w:r>
                </w:p>
              </w:tc>
              <w:tc>
                <w:tcPr>
                  <w:tcW w:w="944"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最大储存量t</w:t>
                  </w:r>
                </w:p>
              </w:tc>
              <w:tc>
                <w:tcPr>
                  <w:tcW w:w="945" w:type="dxa"/>
                  <w:tcBorders>
                    <w:tl2br w:val="nil"/>
                    <w:tr2bl w:val="nil"/>
                  </w:tcBorders>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备注</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41"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517"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铝材AL3003 H14</w:t>
                  </w:r>
                </w:p>
              </w:tc>
              <w:tc>
                <w:tcPr>
                  <w:tcW w:w="1331"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16800</w:t>
                  </w:r>
                </w:p>
              </w:tc>
              <w:tc>
                <w:tcPr>
                  <w:tcW w:w="1563"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2640KG/卷</w:t>
                  </w:r>
                </w:p>
              </w:tc>
              <w:tc>
                <w:tcPr>
                  <w:tcW w:w="1176"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44"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1000</w:t>
                  </w:r>
                </w:p>
              </w:tc>
              <w:tc>
                <w:tcPr>
                  <w:tcW w:w="945" w:type="dxa"/>
                  <w:tcBorders>
                    <w:tl2br w:val="nil"/>
                    <w:tr2bl w:val="nil"/>
                  </w:tcBorders>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外购</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41"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517"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DD56拉伸油</w:t>
                  </w:r>
                </w:p>
              </w:tc>
              <w:tc>
                <w:tcPr>
                  <w:tcW w:w="1331"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cs="Times New Roman"/>
                      <w:sz w:val="21"/>
                      <w:szCs w:val="21"/>
                      <w:lang w:val="en-US" w:eastAsia="zh-CN"/>
                    </w:rPr>
                    <w:t>6.11</w:t>
                  </w:r>
                </w:p>
              </w:tc>
              <w:tc>
                <w:tcPr>
                  <w:tcW w:w="1563"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850KG/桶</w:t>
                  </w:r>
                </w:p>
              </w:tc>
              <w:tc>
                <w:tcPr>
                  <w:tcW w:w="1176"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桶装</w:t>
                  </w:r>
                </w:p>
              </w:tc>
              <w:tc>
                <w:tcPr>
                  <w:tcW w:w="944"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1.0</w:t>
                  </w:r>
                </w:p>
              </w:tc>
              <w:tc>
                <w:tcPr>
                  <w:tcW w:w="945" w:type="dxa"/>
                  <w:tcBorders>
                    <w:tl2br w:val="nil"/>
                    <w:tr2bl w:val="nil"/>
                  </w:tcBorders>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外购</w:t>
                  </w:r>
                  <w:r>
                    <w:rPr>
                      <w:rFonts w:hint="eastAsia" w:cs="Times New Roman"/>
                      <w:sz w:val="21"/>
                      <w:szCs w:val="21"/>
                      <w:lang w:eastAsia="zh-CN"/>
                    </w:rPr>
                    <w:t>，</w:t>
                  </w:r>
                  <w:r>
                    <w:rPr>
                      <w:rFonts w:hint="eastAsia" w:cs="Times New Roman"/>
                      <w:sz w:val="21"/>
                      <w:szCs w:val="21"/>
                      <w:lang w:val="en-US" w:eastAsia="zh-CN"/>
                    </w:rPr>
                    <w:t>其中64.8t循环使用</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41"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517"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水基清洗剂</w:t>
                  </w:r>
                </w:p>
              </w:tc>
              <w:tc>
                <w:tcPr>
                  <w:tcW w:w="1331"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245.39</w:t>
                  </w:r>
                </w:p>
              </w:tc>
              <w:tc>
                <w:tcPr>
                  <w:tcW w:w="1563"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25KG/桶</w:t>
                  </w:r>
                </w:p>
              </w:tc>
              <w:tc>
                <w:tcPr>
                  <w:tcW w:w="1176"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桶装</w:t>
                  </w:r>
                </w:p>
              </w:tc>
              <w:tc>
                <w:tcPr>
                  <w:tcW w:w="944"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12.5</w:t>
                  </w:r>
                </w:p>
              </w:tc>
              <w:tc>
                <w:tcPr>
                  <w:tcW w:w="945" w:type="dxa"/>
                  <w:tcBorders>
                    <w:tl2br w:val="nil"/>
                    <w:tr2bl w:val="nil"/>
                  </w:tcBorders>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外购</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41"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4</w:t>
                  </w:r>
                </w:p>
              </w:tc>
              <w:tc>
                <w:tcPr>
                  <w:tcW w:w="1517"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粉剂清洗剂</w:t>
                  </w:r>
                </w:p>
              </w:tc>
              <w:tc>
                <w:tcPr>
                  <w:tcW w:w="1331"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103.32</w:t>
                  </w:r>
                </w:p>
              </w:tc>
              <w:tc>
                <w:tcPr>
                  <w:tcW w:w="1563"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25KG/袋</w:t>
                  </w:r>
                </w:p>
              </w:tc>
              <w:tc>
                <w:tcPr>
                  <w:tcW w:w="1176"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袋装</w:t>
                  </w:r>
                </w:p>
              </w:tc>
              <w:tc>
                <w:tcPr>
                  <w:tcW w:w="944"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5.4</w:t>
                  </w:r>
                </w:p>
              </w:tc>
              <w:tc>
                <w:tcPr>
                  <w:tcW w:w="945" w:type="dxa"/>
                  <w:tcBorders>
                    <w:tl2br w:val="nil"/>
                    <w:tr2bl w:val="nil"/>
                  </w:tcBorders>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外购</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41"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1517"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塑料托盘</w:t>
                  </w:r>
                </w:p>
              </w:tc>
              <w:tc>
                <w:tcPr>
                  <w:tcW w:w="1331"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13.104</w:t>
                  </w:r>
                  <w:r>
                    <w:rPr>
                      <w:rFonts w:hint="default" w:ascii="Times New Roman" w:hAnsi="Times New Roman" w:eastAsia="宋体" w:cs="Times New Roman"/>
                      <w:sz w:val="21"/>
                      <w:szCs w:val="21"/>
                    </w:rPr>
                    <w:t>万个</w:t>
                  </w:r>
                </w:p>
              </w:tc>
              <w:tc>
                <w:tcPr>
                  <w:tcW w:w="1563"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1100x1100x170</w:t>
                  </w:r>
                </w:p>
              </w:tc>
              <w:tc>
                <w:tcPr>
                  <w:tcW w:w="1176"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箱装</w:t>
                  </w:r>
                </w:p>
              </w:tc>
              <w:tc>
                <w:tcPr>
                  <w:tcW w:w="94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0.5万个</w:t>
                  </w:r>
                </w:p>
              </w:tc>
              <w:tc>
                <w:tcPr>
                  <w:tcW w:w="945"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外购</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41" w:type="dxa"/>
                  <w:tcBorders>
                    <w:tl2br w:val="nil"/>
                    <w:tr2bl w:val="nil"/>
                  </w:tcBorders>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1517"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外箱</w:t>
                  </w:r>
                </w:p>
              </w:tc>
              <w:tc>
                <w:tcPr>
                  <w:tcW w:w="1331"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13.104</w:t>
                  </w:r>
                  <w:r>
                    <w:rPr>
                      <w:rFonts w:hint="default" w:ascii="Times New Roman" w:hAnsi="Times New Roman" w:eastAsia="宋体" w:cs="Times New Roman"/>
                      <w:sz w:val="21"/>
                      <w:szCs w:val="21"/>
                    </w:rPr>
                    <w:t>万个</w:t>
                  </w:r>
                </w:p>
              </w:tc>
              <w:tc>
                <w:tcPr>
                  <w:tcW w:w="1563"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1085x1085x1050</w:t>
                  </w:r>
                </w:p>
              </w:tc>
              <w:tc>
                <w:tcPr>
                  <w:tcW w:w="1176"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捆装</w:t>
                  </w:r>
                </w:p>
              </w:tc>
              <w:tc>
                <w:tcPr>
                  <w:tcW w:w="94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0.5万个</w:t>
                  </w:r>
                </w:p>
              </w:tc>
              <w:tc>
                <w:tcPr>
                  <w:tcW w:w="945"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外购</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41" w:type="dxa"/>
                  <w:tcBorders>
                    <w:tl2br w:val="nil"/>
                    <w:tr2bl w:val="nil"/>
                  </w:tcBorders>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1517"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离型纸</w:t>
                  </w:r>
                </w:p>
              </w:tc>
              <w:tc>
                <w:tcPr>
                  <w:tcW w:w="1331"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7560</w:t>
                  </w:r>
                  <w:r>
                    <w:rPr>
                      <w:rFonts w:hint="default" w:ascii="Times New Roman" w:hAnsi="Times New Roman" w:eastAsia="宋体" w:cs="Times New Roman"/>
                      <w:sz w:val="21"/>
                      <w:szCs w:val="21"/>
                    </w:rPr>
                    <w:t>万张</w:t>
                  </w:r>
                </w:p>
              </w:tc>
              <w:tc>
                <w:tcPr>
                  <w:tcW w:w="1563"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285x150</w:t>
                  </w:r>
                </w:p>
              </w:tc>
              <w:tc>
                <w:tcPr>
                  <w:tcW w:w="1176"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箱装</w:t>
                  </w:r>
                </w:p>
              </w:tc>
              <w:tc>
                <w:tcPr>
                  <w:tcW w:w="94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200万张</w:t>
                  </w:r>
                </w:p>
              </w:tc>
              <w:tc>
                <w:tcPr>
                  <w:tcW w:w="945"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外购</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41" w:type="dxa"/>
                  <w:tcBorders>
                    <w:tl2br w:val="nil"/>
                    <w:tr2bl w:val="nil"/>
                  </w:tcBorders>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1517"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内箱盖</w:t>
                  </w:r>
                </w:p>
              </w:tc>
              <w:tc>
                <w:tcPr>
                  <w:tcW w:w="1331"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1260</w:t>
                  </w:r>
                  <w:r>
                    <w:rPr>
                      <w:rFonts w:hint="default" w:ascii="Times New Roman" w:hAnsi="Times New Roman" w:eastAsia="宋体" w:cs="Times New Roman"/>
                      <w:sz w:val="21"/>
                      <w:szCs w:val="21"/>
                    </w:rPr>
                    <w:t>万个</w:t>
                  </w:r>
                </w:p>
              </w:tc>
              <w:tc>
                <w:tcPr>
                  <w:tcW w:w="1563"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380x280x50</w:t>
                  </w:r>
                </w:p>
              </w:tc>
              <w:tc>
                <w:tcPr>
                  <w:tcW w:w="1176"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箱装</w:t>
                  </w:r>
                </w:p>
              </w:tc>
              <w:tc>
                <w:tcPr>
                  <w:tcW w:w="94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67万个</w:t>
                  </w:r>
                </w:p>
              </w:tc>
              <w:tc>
                <w:tcPr>
                  <w:tcW w:w="945"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外购</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41" w:type="dxa"/>
                  <w:tcBorders>
                    <w:tl2br w:val="nil"/>
                    <w:tr2bl w:val="nil"/>
                  </w:tcBorders>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w:t>
                  </w:r>
                </w:p>
              </w:tc>
              <w:tc>
                <w:tcPr>
                  <w:tcW w:w="1517"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塑封膜</w:t>
                  </w:r>
                </w:p>
              </w:tc>
              <w:tc>
                <w:tcPr>
                  <w:tcW w:w="1331"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2520</w:t>
                  </w:r>
                  <w:r>
                    <w:rPr>
                      <w:rFonts w:hint="default" w:ascii="Times New Roman" w:hAnsi="Times New Roman" w:eastAsia="宋体" w:cs="Times New Roman"/>
                      <w:sz w:val="21"/>
                      <w:szCs w:val="21"/>
                    </w:rPr>
                    <w:t>卷</w:t>
                  </w:r>
                </w:p>
              </w:tc>
              <w:tc>
                <w:tcPr>
                  <w:tcW w:w="1563"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400x350ø</w:t>
                  </w:r>
                </w:p>
              </w:tc>
              <w:tc>
                <w:tcPr>
                  <w:tcW w:w="1176"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箱装</w:t>
                  </w:r>
                </w:p>
              </w:tc>
              <w:tc>
                <w:tcPr>
                  <w:tcW w:w="94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120卷</w:t>
                  </w:r>
                </w:p>
              </w:tc>
              <w:tc>
                <w:tcPr>
                  <w:tcW w:w="945"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外购</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41" w:type="dxa"/>
                  <w:tcBorders>
                    <w:tl2br w:val="nil"/>
                    <w:tr2bl w:val="nil"/>
                  </w:tcBorders>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w:t>
                  </w:r>
                </w:p>
              </w:tc>
              <w:tc>
                <w:tcPr>
                  <w:tcW w:w="1517"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PH中和药剂</w:t>
                  </w:r>
                </w:p>
              </w:tc>
              <w:tc>
                <w:tcPr>
                  <w:tcW w:w="1331"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1.87</w:t>
                  </w:r>
                </w:p>
              </w:tc>
              <w:tc>
                <w:tcPr>
                  <w:tcW w:w="1563"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76"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桶</w:t>
                  </w:r>
                  <w:r>
                    <w:rPr>
                      <w:rFonts w:hint="default" w:ascii="Times New Roman" w:hAnsi="Times New Roman" w:eastAsia="宋体" w:cs="Times New Roman"/>
                      <w:sz w:val="21"/>
                      <w:szCs w:val="21"/>
                    </w:rPr>
                    <w:t>装</w:t>
                  </w:r>
                </w:p>
              </w:tc>
              <w:tc>
                <w:tcPr>
                  <w:tcW w:w="944"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sz w:val="21"/>
                      <w:szCs w:val="21"/>
                      <w:highlight w:val="none"/>
                      <w:lang w:val="en-US" w:eastAsia="zh-CN"/>
                    </w:rPr>
                    <w:t>0.2</w:t>
                  </w:r>
                </w:p>
              </w:tc>
              <w:tc>
                <w:tcPr>
                  <w:tcW w:w="945" w:type="dxa"/>
                  <w:vMerge w:val="restart"/>
                  <w:tcBorders>
                    <w:tl2br w:val="nil"/>
                    <w:tr2bl w:val="nil"/>
                  </w:tcBorders>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用于污水处理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41" w:type="dxa"/>
                  <w:tcBorders>
                    <w:tl2br w:val="nil"/>
                    <w:tr2bl w:val="nil"/>
                  </w:tcBorders>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w:t>
                  </w:r>
                </w:p>
              </w:tc>
              <w:tc>
                <w:tcPr>
                  <w:tcW w:w="1517"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洗膜药剂</w:t>
                  </w:r>
                </w:p>
              </w:tc>
              <w:tc>
                <w:tcPr>
                  <w:tcW w:w="1331"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2.66</w:t>
                  </w:r>
                </w:p>
              </w:tc>
              <w:tc>
                <w:tcPr>
                  <w:tcW w:w="1563"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76"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桶</w:t>
                  </w:r>
                  <w:r>
                    <w:rPr>
                      <w:rFonts w:hint="default" w:ascii="Times New Roman" w:hAnsi="Times New Roman" w:eastAsia="宋体" w:cs="Times New Roman"/>
                      <w:sz w:val="21"/>
                      <w:szCs w:val="21"/>
                    </w:rPr>
                    <w:t>装</w:t>
                  </w:r>
                </w:p>
              </w:tc>
              <w:tc>
                <w:tcPr>
                  <w:tcW w:w="944"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0.3</w:t>
                  </w:r>
                </w:p>
              </w:tc>
              <w:tc>
                <w:tcPr>
                  <w:tcW w:w="945" w:type="dxa"/>
                  <w:vMerge w:val="continue"/>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p>
              </w:tc>
            </w:tr>
          </w:tbl>
          <w:p>
            <w:pPr>
              <w:pStyle w:val="42"/>
              <w:keepNext w:val="0"/>
              <w:keepLines w:val="0"/>
              <w:numPr>
                <w:ilvl w:val="0"/>
                <w:numId w:val="6"/>
              </w:numPr>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主要原辅材料理化性质</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项目主要原辅材料细化性质如下：</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拉伸油：项目使用的拉伸油产品代码为FF-DD56，闪点是240℃，成分为50~100%的氢化处理的轻质蜡族石油馏分，1~5%脂肪酸、植物油、甲酯</w:t>
            </w:r>
            <w:r>
              <w:rPr>
                <w:rFonts w:hint="default" w:ascii="Times New Roman" w:hAnsi="Times New Roman" w:eastAsia="宋体" w:cs="Times New Roman"/>
                <w:sz w:val="24"/>
                <w:szCs w:val="24"/>
                <w:lang w:val="en-US" w:eastAsia="zh-CN"/>
              </w:rPr>
              <w:t>等</w:t>
            </w:r>
            <w:r>
              <w:rPr>
                <w:rFonts w:hint="default" w:ascii="Times New Roman" w:hAnsi="Times New Roman" w:eastAsia="宋体" w:cs="Times New Roman"/>
                <w:sz w:val="24"/>
                <w:szCs w:val="24"/>
              </w:rPr>
              <w:t>。密度约为0.79~0.83g/cm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水基清洗剂：项目使用的清洗剂产品名称为XBT-103B，透明色或淡黄色液体，易溶于水，密度约为1.08g/cm</w:t>
            </w:r>
            <w:r>
              <w:rPr>
                <w:rFonts w:hint="default" w:ascii="Times New Roman" w:hAnsi="Times New Roman" w:eastAsia="宋体" w:cs="Times New Roman"/>
                <w:sz w:val="24"/>
                <w:szCs w:val="24"/>
                <w:highlight w:val="none"/>
                <w:vertAlign w:val="superscript"/>
              </w:rPr>
              <w:t>3</w:t>
            </w:r>
            <w:r>
              <w:rPr>
                <w:rFonts w:hint="default" w:ascii="Times New Roman" w:hAnsi="Times New Roman" w:eastAsia="宋体" w:cs="Times New Roman"/>
                <w:sz w:val="24"/>
                <w:szCs w:val="24"/>
                <w:highlight w:val="none"/>
              </w:rPr>
              <w:t>，LD50(大鼠、吞食)：5g/24H，是一种水基的以表面活性剂为主，辅以对金属有缓蚀效果的组分以及溶剂等的多功能清洗剂，具有对蜡质污垢的乳化能力以及对油污的清洗力。主要是由5~10%十二烷基硫酸钠、10~20%脂肪醇聚氧乙烯醚硫酸钠、10~20%脂肪醇聚氧乙烯醚、3~5%碳酸钠、5~10%葡萄糖酸钠、35~65%去离子水等</w:t>
            </w:r>
            <w:r>
              <w:rPr>
                <w:rFonts w:hint="eastAsia" w:cs="Times New Roman"/>
                <w:sz w:val="24"/>
                <w:szCs w:val="24"/>
                <w:highlight w:val="none"/>
                <w:lang w:eastAsia="zh-CN"/>
              </w:rPr>
              <w:t>混合</w:t>
            </w:r>
            <w:r>
              <w:rPr>
                <w:rFonts w:hint="default" w:ascii="Times New Roman" w:hAnsi="Times New Roman" w:eastAsia="宋体" w:cs="Times New Roman"/>
                <w:sz w:val="24"/>
                <w:szCs w:val="24"/>
                <w:highlight w:val="none"/>
              </w:rPr>
              <w:t>调配而成。</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根据企业提供的水基清洗剂VOC</w:t>
            </w:r>
            <w:r>
              <w:rPr>
                <w:rFonts w:hint="default" w:ascii="Times New Roman" w:hAnsi="Times New Roman" w:eastAsia="宋体" w:cs="Times New Roman"/>
                <w:sz w:val="24"/>
                <w:szCs w:val="24"/>
                <w:highlight w:val="none"/>
                <w:vertAlign w:val="subscript"/>
                <w:lang w:val="en-US" w:eastAsia="zh-CN"/>
              </w:rPr>
              <w:t>S</w:t>
            </w:r>
            <w:r>
              <w:rPr>
                <w:rFonts w:hint="default" w:ascii="Times New Roman" w:hAnsi="Times New Roman" w:eastAsia="宋体" w:cs="Times New Roman"/>
                <w:sz w:val="24"/>
                <w:szCs w:val="24"/>
                <w:highlight w:val="none"/>
                <w:lang w:val="en-US" w:eastAsia="zh-CN"/>
              </w:rPr>
              <w:t>含量检测报告，项目使用的</w:t>
            </w:r>
            <w:r>
              <w:rPr>
                <w:rFonts w:hint="default" w:ascii="Times New Roman" w:hAnsi="Times New Roman" w:eastAsia="宋体" w:cs="Times New Roman"/>
                <w:sz w:val="24"/>
                <w:szCs w:val="24"/>
                <w:highlight w:val="none"/>
              </w:rPr>
              <w:t>水基清洗剂</w:t>
            </w:r>
            <w:r>
              <w:rPr>
                <w:rFonts w:hint="default" w:ascii="Times New Roman" w:hAnsi="Times New Roman" w:eastAsia="宋体" w:cs="Times New Roman"/>
                <w:sz w:val="24"/>
                <w:szCs w:val="24"/>
                <w:highlight w:val="none"/>
                <w:lang w:val="en-US" w:eastAsia="zh-CN"/>
              </w:rPr>
              <w:t>挥发性有机化合物含量为26g/L，符合《清洗剂挥发性有机化合物含量限值》（GB38508-2020）中水基清洗剂VOC含量限值（50g/L），为低挥发性有机化合物含量清洗剂。检测报告见附件6。</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粉剂清洗剂：项目使用的清洗粉剂为碱性白色不透明粉末，是水溶性金属表面脱脂产品，用于清除工件表面的各种污渍、油渍。主要成分是硅酸盐、钾盐、粒碱等。不会燃烧，腐蚀铝锌等活泼金属，与水混合轻微放热。密度约为1.08g/cm</w:t>
            </w:r>
            <w:r>
              <w:rPr>
                <w:rFonts w:hint="default" w:ascii="Times New Roman" w:hAnsi="Times New Roman" w:eastAsia="宋体" w:cs="Times New Roman"/>
                <w:sz w:val="24"/>
                <w:szCs w:val="24"/>
                <w:highlight w:val="none"/>
                <w:vertAlign w:val="superscript"/>
              </w:rPr>
              <w:t>3</w:t>
            </w:r>
            <w:r>
              <w:rPr>
                <w:rFonts w:hint="default" w:ascii="Times New Roman" w:hAnsi="Times New Roman" w:eastAsia="宋体" w:cs="Times New Roman"/>
                <w:sz w:val="24"/>
                <w:szCs w:val="24"/>
                <w:highlight w:val="none"/>
              </w:rPr>
              <w:t>，总碱度36-40（5%）。</w:t>
            </w:r>
          </w:p>
          <w:p>
            <w:pPr>
              <w:pStyle w:val="42"/>
              <w:keepNext w:val="0"/>
              <w:keepLines w:val="0"/>
              <w:suppressLineNumbers w:val="0"/>
              <w:bidi w:val="0"/>
              <w:spacing w:before="0" w:beforeAutospacing="0" w:after="0" w:afterAutospacing="0" w:line="360" w:lineRule="auto"/>
              <w:ind w:left="0" w:right="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PH中和药剂：为酸性流体混合物，无色透明液体，有机酸：&lt;40%，脂肪醇及醚等：&lt;25%。</w:t>
            </w:r>
          </w:p>
          <w:p>
            <w:pPr>
              <w:pStyle w:val="42"/>
              <w:keepNext w:val="0"/>
              <w:keepLines w:val="0"/>
              <w:suppressLineNumbers w:val="0"/>
              <w:bidi w:val="0"/>
              <w:spacing w:before="0" w:beforeAutospacing="0" w:after="0" w:afterAutospacing="0" w:line="360" w:lineRule="auto"/>
              <w:ind w:left="0" w:right="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洗膜药剂：主要有505 膜专用清洗剂和404膜专用清洗剂，其中505膜专用清洗剂为碱性流体混合物，主要成分为表醇胺&lt;20%，EDTA（4Na）&lt;5%，醇醚等表面活性剂&lt;25%，无机盐等&lt;5%；404膜专用清洗剂是酸性流体混合物，主要成分为有机酸：&lt;30%，脂肪醇及醚等：&lt;15%。均为无色透明液体。</w:t>
            </w:r>
          </w:p>
          <w:p>
            <w:pPr>
              <w:pStyle w:val="4"/>
              <w:keepNext w:val="0"/>
              <w:keepLines w:val="0"/>
              <w:suppressLineNumbers w:val="0"/>
              <w:spacing w:before="0" w:beforeAutospacing="0" w:after="0" w:afterAutospacing="0"/>
              <w:ind w:left="0" w:right="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水平衡</w:t>
            </w:r>
          </w:p>
          <w:p>
            <w:pPr>
              <w:pStyle w:val="42"/>
              <w:keepNext w:val="0"/>
              <w:keepLines w:val="0"/>
              <w:suppressLineNumbers w:val="0"/>
              <w:bidi w:val="0"/>
              <w:spacing w:before="0" w:beforeAutospacing="0" w:after="0" w:afterAutospacing="0"/>
              <w:ind w:left="0" w:right="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本项目主要用水为清洗用水、漂洗用水</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地面清洗用水，膜反冲洗用水</w:t>
            </w:r>
            <w:r>
              <w:rPr>
                <w:rFonts w:hint="default" w:ascii="Times New Roman" w:hAnsi="Times New Roman" w:eastAsia="宋体" w:cs="Times New Roman"/>
                <w:sz w:val="24"/>
                <w:szCs w:val="24"/>
              </w:rPr>
              <w:t>以及生活用水等。</w:t>
            </w:r>
          </w:p>
          <w:p>
            <w:pPr>
              <w:pStyle w:val="42"/>
              <w:keepNext w:val="0"/>
              <w:keepLines w:val="0"/>
              <w:numPr>
                <w:ilvl w:val="0"/>
                <w:numId w:val="7"/>
              </w:numPr>
              <w:suppressLineNumbers w:val="0"/>
              <w:spacing w:before="0" w:beforeAutospacing="0" w:after="0" w:afterAutospacing="0"/>
              <w:ind w:left="0" w:right="0"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生产用水</w:t>
            </w:r>
          </w:p>
          <w:p>
            <w:pPr>
              <w:pStyle w:val="42"/>
              <w:keepNext w:val="0"/>
              <w:keepLines w:val="0"/>
              <w:suppressLineNumbers w:val="0"/>
              <w:spacing w:before="0" w:beforeAutospacing="0" w:after="0" w:afterAutospacing="0"/>
              <w:ind w:left="420" w:leftChars="200" w:right="0" w:firstLine="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1 \* GB3 \* MERGEFORMAT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①</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t>清洗用水</w:t>
            </w:r>
          </w:p>
          <w:p>
            <w:pPr>
              <w:pStyle w:val="42"/>
              <w:keepNext w:val="0"/>
              <w:keepLines w:val="0"/>
              <w:suppressLineNumbers w:val="0"/>
              <w:spacing w:before="0" w:beforeAutospacing="0" w:after="0" w:afterAutospacing="0"/>
              <w:ind w:left="0" w:right="0" w:firstLine="480"/>
              <w:rPr>
                <w:rFonts w:hint="default" w:ascii="Times New Roman" w:hAnsi="Times New Roman" w:eastAsia="宋体" w:cs="Times New Roman"/>
                <w:sz w:val="24"/>
                <w:szCs w:val="24"/>
                <w:lang w:val="en-US" w:eastAsia="zh-CN"/>
              </w:rPr>
            </w:pPr>
            <w:r>
              <w:rPr>
                <w:rFonts w:hint="eastAsia" w:cs="Times New Roman"/>
                <w:sz w:val="24"/>
                <w:szCs w:val="24"/>
                <w:lang w:val="en-US" w:eastAsia="zh-CN"/>
              </w:rPr>
              <w:t>项目清洗用水分为生产线产品清洗用水及铝壳废边清洗用水。</w:t>
            </w:r>
          </w:p>
          <w:p>
            <w:pPr>
              <w:pStyle w:val="42"/>
              <w:keepNext w:val="0"/>
              <w:keepLines w:val="0"/>
              <w:suppressLineNumbers w:val="0"/>
              <w:spacing w:before="0" w:beforeAutospacing="0" w:after="0" w:afterAutospacing="0"/>
              <w:ind w:left="0" w:right="0" w:firstLine="480"/>
              <w:rPr>
                <w:rFonts w:hint="default" w:ascii="Times New Roman" w:hAnsi="Times New Roman" w:eastAsia="宋体" w:cs="Times New Roman"/>
                <w:sz w:val="24"/>
                <w:szCs w:val="24"/>
                <w:lang w:val="en-US" w:eastAsia="zh-CN"/>
              </w:rPr>
            </w:pPr>
            <w:r>
              <w:rPr>
                <w:rFonts w:hint="eastAsia" w:cs="Times New Roman"/>
                <w:sz w:val="24"/>
                <w:szCs w:val="24"/>
                <w:lang w:val="en-US" w:eastAsia="zh-CN"/>
              </w:rPr>
              <w:t>A.生产线产品清洗用水</w:t>
            </w:r>
          </w:p>
          <w:p>
            <w:pPr>
              <w:pStyle w:val="42"/>
              <w:keepNext w:val="0"/>
              <w:keepLines w:val="0"/>
              <w:suppressLineNumbers w:val="0"/>
              <w:spacing w:before="0" w:beforeAutospacing="0" w:after="0" w:afterAutospacing="0"/>
              <w:ind w:left="0" w:right="0" w:firstLine="48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rPr>
              <w:t>根据项目设计资料</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项目</w:t>
            </w:r>
            <w:r>
              <w:rPr>
                <w:rFonts w:hint="eastAsia" w:cs="Times New Roman"/>
                <w:sz w:val="24"/>
                <w:szCs w:val="24"/>
                <w:lang w:val="en-US" w:eastAsia="zh-CN"/>
              </w:rPr>
              <w:t>生产线</w:t>
            </w:r>
            <w:r>
              <w:rPr>
                <w:rFonts w:hint="default" w:ascii="Times New Roman" w:hAnsi="Times New Roman" w:eastAsia="宋体" w:cs="Times New Roman"/>
                <w:sz w:val="24"/>
                <w:szCs w:val="24"/>
              </w:rPr>
              <w:t>清洗槽纯水、水基清洗剂、粉剂清洗剂以60:3:1的比例进行配置，采用超声波清洗方式</w:t>
            </w:r>
            <w:r>
              <w:rPr>
                <w:rFonts w:hint="default" w:ascii="Times New Roman" w:hAnsi="Times New Roman" w:eastAsia="宋体" w:cs="Times New Roman"/>
                <w:sz w:val="24"/>
                <w:szCs w:val="24"/>
                <w:highlight w:val="none"/>
              </w:rPr>
              <w:t>。</w:t>
            </w:r>
            <w:r>
              <w:rPr>
                <w:rFonts w:hint="default" w:ascii="Times New Roman" w:hAnsi="Times New Roman" w:eastAsia="宋体" w:cs="Times New Roman"/>
                <w:sz w:val="24"/>
                <w:szCs w:val="24"/>
                <w:highlight w:val="none"/>
                <w:lang w:val="en-US" w:eastAsia="zh-CN"/>
              </w:rPr>
              <w:t>每条生产线（全厂8条生产线）各配套有5个</w:t>
            </w:r>
            <w:r>
              <w:rPr>
                <w:rFonts w:hint="default" w:ascii="Times New Roman" w:hAnsi="Times New Roman" w:eastAsia="宋体" w:cs="Times New Roman"/>
                <w:sz w:val="24"/>
                <w:szCs w:val="24"/>
                <w:highlight w:val="none"/>
              </w:rPr>
              <w:t>超声波</w:t>
            </w:r>
            <w:r>
              <w:rPr>
                <w:rFonts w:hint="default" w:ascii="Times New Roman" w:hAnsi="Times New Roman" w:eastAsia="宋体" w:cs="Times New Roman"/>
                <w:sz w:val="24"/>
                <w:szCs w:val="24"/>
                <w:highlight w:val="none"/>
                <w:lang w:val="en-US" w:eastAsia="zh-CN"/>
              </w:rPr>
              <w:t>清</w:t>
            </w:r>
            <w:r>
              <w:rPr>
                <w:rFonts w:hint="default" w:ascii="Times New Roman" w:hAnsi="Times New Roman" w:eastAsia="宋体" w:cs="Times New Roman"/>
                <w:sz w:val="24"/>
                <w:szCs w:val="24"/>
                <w:highlight w:val="none"/>
              </w:rPr>
              <w:t>洗</w:t>
            </w:r>
            <w:r>
              <w:rPr>
                <w:rFonts w:hint="default" w:ascii="Times New Roman" w:hAnsi="Times New Roman" w:eastAsia="宋体" w:cs="Times New Roman"/>
                <w:sz w:val="24"/>
                <w:szCs w:val="24"/>
                <w:highlight w:val="none"/>
                <w:lang w:val="en-US" w:eastAsia="zh-CN"/>
              </w:rPr>
              <w:t>槽，其中清</w:t>
            </w:r>
            <w:r>
              <w:rPr>
                <w:rFonts w:hint="default" w:ascii="Times New Roman" w:hAnsi="Times New Roman" w:eastAsia="宋体" w:cs="Times New Roman"/>
                <w:sz w:val="24"/>
                <w:szCs w:val="24"/>
                <w:highlight w:val="none"/>
              </w:rPr>
              <w:t>洗</w:t>
            </w:r>
            <w:r>
              <w:rPr>
                <w:rFonts w:hint="default" w:ascii="Times New Roman" w:hAnsi="Times New Roman" w:eastAsia="宋体" w:cs="Times New Roman"/>
                <w:sz w:val="24"/>
                <w:szCs w:val="24"/>
                <w:highlight w:val="none"/>
                <w:lang w:val="en-US" w:eastAsia="zh-CN"/>
              </w:rPr>
              <w:t>槽1和清</w:t>
            </w:r>
            <w:r>
              <w:rPr>
                <w:rFonts w:hint="default" w:ascii="Times New Roman" w:hAnsi="Times New Roman" w:eastAsia="宋体" w:cs="Times New Roman"/>
                <w:sz w:val="24"/>
                <w:szCs w:val="24"/>
                <w:highlight w:val="none"/>
              </w:rPr>
              <w:t>洗</w:t>
            </w:r>
            <w:r>
              <w:rPr>
                <w:rFonts w:hint="default" w:ascii="Times New Roman" w:hAnsi="Times New Roman" w:eastAsia="宋体" w:cs="Times New Roman"/>
                <w:sz w:val="24"/>
                <w:szCs w:val="24"/>
                <w:highlight w:val="none"/>
                <w:lang w:val="en-US" w:eastAsia="zh-CN"/>
              </w:rPr>
              <w:t>槽2</w:t>
            </w:r>
            <w:r>
              <w:rPr>
                <w:rFonts w:hint="default" w:ascii="Times New Roman" w:hAnsi="Times New Roman" w:eastAsia="宋体" w:cs="Times New Roman"/>
                <w:sz w:val="24"/>
                <w:szCs w:val="24"/>
                <w:highlight w:val="none"/>
              </w:rPr>
              <w:t>每清洗</w:t>
            </w:r>
            <w:r>
              <w:rPr>
                <w:rFonts w:hint="default" w:ascii="Times New Roman" w:hAnsi="Times New Roman" w:eastAsia="宋体" w:cs="Times New Roman"/>
                <w:sz w:val="24"/>
                <w:szCs w:val="24"/>
                <w:highlight w:val="none"/>
                <w:lang w:val="en-US" w:eastAsia="zh-CN"/>
              </w:rPr>
              <w:t>约</w:t>
            </w:r>
            <w:r>
              <w:rPr>
                <w:rFonts w:hint="eastAsia" w:cs="Times New Roman"/>
                <w:sz w:val="24"/>
                <w:szCs w:val="24"/>
                <w:highlight w:val="none"/>
                <w:lang w:val="en-US" w:eastAsia="zh-CN"/>
              </w:rPr>
              <w:t>3万</w:t>
            </w:r>
            <w:r>
              <w:rPr>
                <w:rFonts w:hint="default" w:ascii="Times New Roman" w:hAnsi="Times New Roman" w:eastAsia="宋体" w:cs="Times New Roman"/>
                <w:sz w:val="24"/>
                <w:szCs w:val="24"/>
                <w:highlight w:val="none"/>
                <w:lang w:val="en-US" w:eastAsia="zh-CN"/>
              </w:rPr>
              <w:t>套</w:t>
            </w:r>
            <w:r>
              <w:rPr>
                <w:rFonts w:hint="default" w:ascii="Times New Roman" w:hAnsi="Times New Roman" w:eastAsia="宋体" w:cs="Times New Roman"/>
                <w:sz w:val="24"/>
                <w:szCs w:val="24"/>
                <w:highlight w:val="none"/>
              </w:rPr>
              <w:t>铝</w:t>
            </w:r>
            <w:r>
              <w:rPr>
                <w:rFonts w:hint="default" w:ascii="Times New Roman" w:hAnsi="Times New Roman" w:eastAsia="宋体" w:cs="Times New Roman"/>
                <w:sz w:val="24"/>
                <w:szCs w:val="24"/>
                <w:highlight w:val="none"/>
                <w:lang w:val="en-US" w:eastAsia="zh-CN"/>
              </w:rPr>
              <w:t>壳更换一次水；清洗槽3、清洗槽4和清洗槽5每清洗约9</w:t>
            </w:r>
            <w:r>
              <w:rPr>
                <w:rFonts w:hint="eastAsia" w:cs="Times New Roman"/>
                <w:sz w:val="24"/>
                <w:szCs w:val="24"/>
                <w:highlight w:val="none"/>
                <w:lang w:val="en-US" w:eastAsia="zh-CN"/>
              </w:rPr>
              <w:t>万</w:t>
            </w:r>
            <w:r>
              <w:rPr>
                <w:rFonts w:hint="default" w:ascii="Times New Roman" w:hAnsi="Times New Roman" w:eastAsia="宋体" w:cs="Times New Roman"/>
                <w:sz w:val="24"/>
                <w:szCs w:val="24"/>
                <w:highlight w:val="none"/>
                <w:lang w:val="en-US" w:eastAsia="zh-CN"/>
              </w:rPr>
              <w:t>套铝壳更换一次水。每</w:t>
            </w:r>
            <w:r>
              <w:rPr>
                <w:rFonts w:hint="eastAsia" w:cs="Times New Roman"/>
                <w:sz w:val="24"/>
                <w:szCs w:val="24"/>
                <w:highlight w:val="none"/>
                <w:lang w:val="en-US" w:eastAsia="zh-CN"/>
              </w:rPr>
              <w:t>三</w:t>
            </w:r>
            <w:r>
              <w:rPr>
                <w:rFonts w:hint="default" w:ascii="Times New Roman" w:hAnsi="Times New Roman" w:eastAsia="宋体" w:cs="Times New Roman"/>
                <w:sz w:val="24"/>
                <w:szCs w:val="24"/>
                <w:highlight w:val="none"/>
                <w:lang w:val="en-US" w:eastAsia="zh-CN"/>
              </w:rPr>
              <w:t>条生产线清洗废水错峰排放，每个清洗槽每次更换水量约为0.45t。清洗工序用排水详见下表。</w:t>
            </w:r>
          </w:p>
          <w:p>
            <w:pPr>
              <w:pStyle w:val="36"/>
              <w:keepNext w:val="0"/>
              <w:keepLines w:val="0"/>
              <w:suppressLineNumbers w:val="0"/>
              <w:bidi w:val="0"/>
              <w:spacing w:before="0" w:beforeAutospacing="0" w:after="0" w:afterAutospacing="0"/>
              <w:ind w:right="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清洗工序用排水一览表</w:t>
            </w:r>
          </w:p>
          <w:tbl>
            <w:tblPr>
              <w:tblStyle w:val="27"/>
              <w:tblW w:w="811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89"/>
              <w:gridCol w:w="1415"/>
              <w:gridCol w:w="1230"/>
              <w:gridCol w:w="1320"/>
              <w:gridCol w:w="1377"/>
              <w:gridCol w:w="14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1289"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单条生产线产能</w:t>
                  </w:r>
                </w:p>
              </w:tc>
              <w:tc>
                <w:tcPr>
                  <w:tcW w:w="1415" w:type="dxa"/>
                  <w:tcBorders>
                    <w:tl2br w:val="nil"/>
                    <w:tr2bl w:val="nil"/>
                  </w:tcBorders>
                  <w:vAlign w:val="center"/>
                </w:tcPr>
                <w:p>
                  <w:pPr>
                    <w:pStyle w:val="37"/>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清洗槽</w:t>
                  </w:r>
                </w:p>
              </w:tc>
              <w:tc>
                <w:tcPr>
                  <w:tcW w:w="1230"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更换频次</w:t>
                  </w:r>
                </w:p>
              </w:tc>
              <w:tc>
                <w:tcPr>
                  <w:tcW w:w="1320"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更换次数</w:t>
                  </w:r>
                </w:p>
              </w:tc>
              <w:tc>
                <w:tcPr>
                  <w:tcW w:w="1377"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单次更换</w:t>
                  </w:r>
                  <w:r>
                    <w:rPr>
                      <w:rFonts w:hint="eastAsia" w:cs="Times New Roman"/>
                      <w:sz w:val="21"/>
                      <w:szCs w:val="21"/>
                      <w:highlight w:val="none"/>
                      <w:lang w:val="en-US" w:eastAsia="zh-CN"/>
                    </w:rPr>
                    <w:t>量</w:t>
                  </w:r>
                  <w:r>
                    <w:rPr>
                      <w:rFonts w:hint="eastAsia"/>
                      <w:lang w:eastAsia="zh-CN"/>
                    </w:rPr>
                    <w:t>（</w:t>
                  </w:r>
                  <w:r>
                    <w:rPr>
                      <w:rFonts w:hint="eastAsia"/>
                      <w:lang w:val="en-US" w:eastAsia="zh-CN"/>
                    </w:rPr>
                    <w:t>t</w:t>
                  </w:r>
                  <w:r>
                    <w:rPr>
                      <w:rFonts w:hint="eastAsia"/>
                      <w:lang w:eastAsia="zh-CN"/>
                    </w:rPr>
                    <w:t>）</w:t>
                  </w:r>
                </w:p>
              </w:tc>
              <w:tc>
                <w:tcPr>
                  <w:tcW w:w="1486" w:type="dxa"/>
                  <w:tcBorders>
                    <w:tl2br w:val="nil"/>
                    <w:tr2bl w:val="nil"/>
                  </w:tcBorders>
                  <w:vAlign w:val="center"/>
                </w:tcPr>
                <w:p>
                  <w:pPr>
                    <w:pStyle w:val="37"/>
                    <w:keepNext w:val="0"/>
                    <w:keepLines w:val="0"/>
                    <w:suppressLineNumbers w:val="0"/>
                    <w:spacing w:before="0" w:beforeAutospacing="0" w:after="0" w:afterAutospacing="0"/>
                    <w:ind w:right="0"/>
                    <w:rPr>
                      <w:rFonts w:hint="eastAsia"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废水日</w:t>
                  </w:r>
                  <w:r>
                    <w:rPr>
                      <w:rFonts w:hint="eastAsia" w:cs="Times New Roman"/>
                      <w:sz w:val="21"/>
                      <w:szCs w:val="21"/>
                      <w:highlight w:val="none"/>
                      <w:lang w:val="en-US" w:eastAsia="zh-CN"/>
                    </w:rPr>
                    <w:t>平均</w:t>
                  </w:r>
                  <w:r>
                    <w:rPr>
                      <w:rFonts w:hint="default" w:ascii="Times New Roman" w:hAnsi="Times New Roman" w:eastAsia="宋体" w:cs="Times New Roman"/>
                      <w:sz w:val="21"/>
                      <w:szCs w:val="21"/>
                      <w:highlight w:val="none"/>
                      <w:lang w:val="en-US" w:eastAsia="zh-CN"/>
                    </w:rPr>
                    <w:t>产生量</w:t>
                  </w:r>
                  <w:commentRangeStart w:id="2"/>
                  <w:commentRangeStart w:id="3"/>
                  <w:r>
                    <w:rPr>
                      <w:rFonts w:hint="default"/>
                    </w:rPr>
                    <w:commentReference w:id="2"/>
                  </w:r>
                  <w:commentRangeEnd w:id="2"/>
                  <w:commentRangeEnd w:id="3"/>
                  <w:r>
                    <w:rPr>
                      <w:rFonts w:hint="default"/>
                    </w:rPr>
                    <w:commentReference w:id="3"/>
                  </w:r>
                  <w:r>
                    <w:rPr>
                      <w:rFonts w:hint="eastAsia"/>
                      <w:lang w:eastAsia="zh-CN"/>
                    </w:rPr>
                    <w:t>（</w:t>
                  </w:r>
                  <w:r>
                    <w:rPr>
                      <w:rFonts w:hint="eastAsia"/>
                      <w:lang w:val="en-US" w:eastAsia="zh-CN"/>
                    </w:rPr>
                    <w:t>t</w:t>
                  </w:r>
                  <w:r>
                    <w:rPr>
                      <w:rFonts w:hint="eastAsia"/>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89" w:type="dxa"/>
                  <w:vMerge w:val="restart"/>
                  <w:tcBorders>
                    <w:tl2br w:val="nil"/>
                    <w:tr2bl w:val="nil"/>
                  </w:tcBorders>
                  <w:vAlign w:val="center"/>
                </w:tcPr>
                <w:p>
                  <w:pPr>
                    <w:pStyle w:val="37"/>
                    <w:keepNext w:val="0"/>
                    <w:keepLines w:val="0"/>
                    <w:suppressLineNumbers w:val="0"/>
                    <w:tabs>
                      <w:tab w:val="left" w:pos="648"/>
                    </w:tabs>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29167套/天</w:t>
                  </w:r>
                </w:p>
              </w:tc>
              <w:tc>
                <w:tcPr>
                  <w:tcW w:w="1415" w:type="dxa"/>
                  <w:tcBorders>
                    <w:tl2br w:val="nil"/>
                    <w:tr2bl w:val="nil"/>
                  </w:tcBorders>
                  <w:vAlign w:val="center"/>
                </w:tcPr>
                <w:p>
                  <w:pPr>
                    <w:pStyle w:val="3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清洗槽1</w:t>
                  </w:r>
                </w:p>
              </w:tc>
              <w:tc>
                <w:tcPr>
                  <w:tcW w:w="1230" w:type="dxa"/>
                  <w:vMerge w:val="restart"/>
                  <w:tcBorders>
                    <w:tl2br w:val="nil"/>
                    <w:tr2bl w:val="nil"/>
                  </w:tcBorders>
                  <w:vAlign w:val="center"/>
                </w:tcPr>
                <w:p>
                  <w:pPr>
                    <w:pStyle w:val="37"/>
                    <w:keepNext w:val="0"/>
                    <w:keepLines w:val="0"/>
                    <w:suppressLineNumbers w:val="0"/>
                    <w:tabs>
                      <w:tab w:val="left" w:pos="648"/>
                    </w:tabs>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1次/清洗3万套</w:t>
                  </w:r>
                </w:p>
              </w:tc>
              <w:tc>
                <w:tcPr>
                  <w:tcW w:w="1320"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1次/天</w:t>
                  </w:r>
                </w:p>
              </w:tc>
              <w:tc>
                <w:tcPr>
                  <w:tcW w:w="1377"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0.45</w:t>
                  </w:r>
                </w:p>
              </w:tc>
              <w:tc>
                <w:tcPr>
                  <w:tcW w:w="1486"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0.45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89" w:type="dxa"/>
                  <w:vMerge w:val="continue"/>
                  <w:tcBorders>
                    <w:tl2br w:val="nil"/>
                    <w:tr2bl w:val="nil"/>
                  </w:tcBorders>
                  <w:vAlign w:val="center"/>
                </w:tcPr>
                <w:p>
                  <w:pPr>
                    <w:pStyle w:val="37"/>
                    <w:keepNext w:val="0"/>
                    <w:keepLines w:val="0"/>
                    <w:suppressLineNumbers w:val="0"/>
                    <w:tabs>
                      <w:tab w:val="left" w:pos="648"/>
                    </w:tabs>
                    <w:spacing w:before="0" w:beforeAutospacing="0" w:after="0" w:afterAutospacing="0"/>
                    <w:ind w:right="0"/>
                    <w:rPr>
                      <w:rFonts w:hint="default" w:ascii="Times New Roman" w:hAnsi="Times New Roman" w:eastAsia="宋体" w:cs="Times New Roman"/>
                      <w:sz w:val="21"/>
                      <w:szCs w:val="21"/>
                      <w:highlight w:val="none"/>
                    </w:rPr>
                  </w:pPr>
                </w:p>
              </w:tc>
              <w:tc>
                <w:tcPr>
                  <w:tcW w:w="1415" w:type="dxa"/>
                  <w:tcBorders>
                    <w:tl2br w:val="nil"/>
                    <w:tr2bl w:val="nil"/>
                  </w:tcBorders>
                  <w:vAlign w:val="center"/>
                </w:tcPr>
                <w:p>
                  <w:pPr>
                    <w:pStyle w:val="3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清洗槽2</w:t>
                  </w:r>
                </w:p>
              </w:tc>
              <w:tc>
                <w:tcPr>
                  <w:tcW w:w="1230" w:type="dxa"/>
                  <w:vMerge w:val="continue"/>
                  <w:tcBorders>
                    <w:tl2br w:val="nil"/>
                    <w:tr2bl w:val="nil"/>
                  </w:tcBorders>
                  <w:vAlign w:val="center"/>
                </w:tcPr>
                <w:p>
                  <w:pPr>
                    <w:pStyle w:val="37"/>
                    <w:keepNext w:val="0"/>
                    <w:keepLines w:val="0"/>
                    <w:suppressLineNumbers w:val="0"/>
                    <w:tabs>
                      <w:tab w:val="left" w:pos="648"/>
                    </w:tabs>
                    <w:spacing w:before="0" w:beforeAutospacing="0" w:after="0" w:afterAutospacing="0"/>
                    <w:ind w:right="0"/>
                    <w:rPr>
                      <w:rFonts w:hint="default" w:ascii="Times New Roman" w:hAnsi="Times New Roman" w:eastAsia="宋体" w:cs="Times New Roman"/>
                      <w:sz w:val="21"/>
                      <w:szCs w:val="21"/>
                      <w:highlight w:val="none"/>
                    </w:rPr>
                  </w:pPr>
                </w:p>
              </w:tc>
              <w:tc>
                <w:tcPr>
                  <w:tcW w:w="1320"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p>
              </w:tc>
              <w:tc>
                <w:tcPr>
                  <w:tcW w:w="1377"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0.45</w:t>
                  </w:r>
                </w:p>
              </w:tc>
              <w:tc>
                <w:tcPr>
                  <w:tcW w:w="1486"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0.45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89" w:type="dxa"/>
                  <w:vMerge w:val="continue"/>
                  <w:tcBorders>
                    <w:tl2br w:val="nil"/>
                    <w:tr2bl w:val="nil"/>
                  </w:tcBorders>
                  <w:vAlign w:val="center"/>
                </w:tcPr>
                <w:p>
                  <w:pPr>
                    <w:pStyle w:val="37"/>
                    <w:keepNext w:val="0"/>
                    <w:keepLines w:val="0"/>
                    <w:suppressLineNumbers w:val="0"/>
                    <w:tabs>
                      <w:tab w:val="left" w:pos="648"/>
                    </w:tabs>
                    <w:spacing w:before="0" w:beforeAutospacing="0" w:after="0" w:afterAutospacing="0"/>
                    <w:ind w:right="0"/>
                    <w:rPr>
                      <w:rFonts w:hint="default" w:ascii="Times New Roman" w:hAnsi="Times New Roman" w:eastAsia="宋体" w:cs="Times New Roman"/>
                      <w:sz w:val="21"/>
                      <w:szCs w:val="21"/>
                      <w:highlight w:val="none"/>
                    </w:rPr>
                  </w:pPr>
                </w:p>
              </w:tc>
              <w:tc>
                <w:tcPr>
                  <w:tcW w:w="1415" w:type="dxa"/>
                  <w:tcBorders>
                    <w:tl2br w:val="nil"/>
                    <w:tr2bl w:val="nil"/>
                  </w:tcBorders>
                  <w:vAlign w:val="center"/>
                </w:tcPr>
                <w:p>
                  <w:pPr>
                    <w:pStyle w:val="3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清洗槽3</w:t>
                  </w:r>
                </w:p>
              </w:tc>
              <w:tc>
                <w:tcPr>
                  <w:tcW w:w="1230" w:type="dxa"/>
                  <w:vMerge w:val="restart"/>
                  <w:tcBorders>
                    <w:tl2br w:val="nil"/>
                    <w:tr2bl w:val="nil"/>
                  </w:tcBorders>
                  <w:vAlign w:val="center"/>
                </w:tcPr>
                <w:p>
                  <w:pPr>
                    <w:pStyle w:val="37"/>
                    <w:keepNext w:val="0"/>
                    <w:keepLines w:val="0"/>
                    <w:suppressLineNumbers w:val="0"/>
                    <w:tabs>
                      <w:tab w:val="left" w:pos="648"/>
                    </w:tabs>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1次/清洗9万套</w:t>
                  </w:r>
                </w:p>
              </w:tc>
              <w:tc>
                <w:tcPr>
                  <w:tcW w:w="1320"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1次/3天</w:t>
                  </w:r>
                </w:p>
              </w:tc>
              <w:tc>
                <w:tcPr>
                  <w:tcW w:w="1377"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0.45</w:t>
                  </w:r>
                </w:p>
              </w:tc>
              <w:tc>
                <w:tcPr>
                  <w:tcW w:w="1486"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0.</w:t>
                  </w:r>
                  <w:r>
                    <w:rPr>
                      <w:rFonts w:hint="eastAsia" w:cs="Times New Roman"/>
                      <w:sz w:val="21"/>
                      <w:szCs w:val="21"/>
                      <w:highlight w:val="none"/>
                      <w:lang w:val="en-US" w:eastAsia="zh-CN"/>
                    </w:rPr>
                    <w:t>1</w:t>
                  </w:r>
                  <w:r>
                    <w:rPr>
                      <w:rFonts w:hint="default" w:ascii="Times New Roman" w:hAnsi="Times New Roman" w:eastAsia="宋体" w:cs="Times New Roman"/>
                      <w:sz w:val="21"/>
                      <w:szCs w:val="21"/>
                      <w:highlight w:val="none"/>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89" w:type="dxa"/>
                  <w:vMerge w:val="continue"/>
                  <w:tcBorders>
                    <w:tl2br w:val="nil"/>
                    <w:tr2bl w:val="nil"/>
                  </w:tcBorders>
                  <w:vAlign w:val="center"/>
                </w:tcPr>
                <w:p>
                  <w:pPr>
                    <w:pStyle w:val="37"/>
                    <w:keepNext w:val="0"/>
                    <w:keepLines w:val="0"/>
                    <w:suppressLineNumbers w:val="0"/>
                    <w:tabs>
                      <w:tab w:val="left" w:pos="648"/>
                    </w:tabs>
                    <w:spacing w:before="0" w:beforeAutospacing="0" w:after="0" w:afterAutospacing="0"/>
                    <w:ind w:right="0"/>
                    <w:rPr>
                      <w:rFonts w:hint="default" w:ascii="Times New Roman" w:hAnsi="Times New Roman" w:eastAsia="宋体" w:cs="Times New Roman"/>
                      <w:sz w:val="21"/>
                      <w:szCs w:val="21"/>
                      <w:highlight w:val="none"/>
                    </w:rPr>
                  </w:pPr>
                </w:p>
              </w:tc>
              <w:tc>
                <w:tcPr>
                  <w:tcW w:w="1415" w:type="dxa"/>
                  <w:tcBorders>
                    <w:tl2br w:val="nil"/>
                    <w:tr2bl w:val="nil"/>
                  </w:tcBorders>
                  <w:vAlign w:val="center"/>
                </w:tcPr>
                <w:p>
                  <w:pPr>
                    <w:pStyle w:val="3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清洗槽4</w:t>
                  </w:r>
                </w:p>
              </w:tc>
              <w:tc>
                <w:tcPr>
                  <w:tcW w:w="1230" w:type="dxa"/>
                  <w:vMerge w:val="continue"/>
                  <w:tcBorders>
                    <w:tl2br w:val="nil"/>
                    <w:tr2bl w:val="nil"/>
                  </w:tcBorders>
                  <w:vAlign w:val="center"/>
                </w:tcPr>
                <w:p>
                  <w:pPr>
                    <w:pStyle w:val="37"/>
                    <w:keepNext w:val="0"/>
                    <w:keepLines w:val="0"/>
                    <w:suppressLineNumbers w:val="0"/>
                    <w:tabs>
                      <w:tab w:val="left" w:pos="648"/>
                    </w:tabs>
                    <w:spacing w:before="0" w:beforeAutospacing="0" w:after="0" w:afterAutospacing="0"/>
                    <w:ind w:right="0"/>
                    <w:rPr>
                      <w:rFonts w:hint="default" w:ascii="Times New Roman" w:hAnsi="Times New Roman" w:eastAsia="宋体" w:cs="Times New Roman"/>
                      <w:sz w:val="21"/>
                      <w:szCs w:val="21"/>
                      <w:highlight w:val="none"/>
                    </w:rPr>
                  </w:pPr>
                </w:p>
              </w:tc>
              <w:tc>
                <w:tcPr>
                  <w:tcW w:w="1320"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p>
              </w:tc>
              <w:tc>
                <w:tcPr>
                  <w:tcW w:w="1377"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0.45</w:t>
                  </w:r>
                </w:p>
              </w:tc>
              <w:tc>
                <w:tcPr>
                  <w:tcW w:w="1486"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0.</w:t>
                  </w:r>
                  <w:r>
                    <w:rPr>
                      <w:rFonts w:hint="eastAsia" w:cs="Times New Roman"/>
                      <w:sz w:val="21"/>
                      <w:szCs w:val="21"/>
                      <w:highlight w:val="none"/>
                      <w:lang w:val="en-US" w:eastAsia="zh-CN"/>
                    </w:rPr>
                    <w:t>1</w:t>
                  </w:r>
                  <w:r>
                    <w:rPr>
                      <w:rFonts w:hint="default" w:ascii="Times New Roman" w:hAnsi="Times New Roman" w:eastAsia="宋体" w:cs="Times New Roman"/>
                      <w:sz w:val="21"/>
                      <w:szCs w:val="21"/>
                      <w:highlight w:val="none"/>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89" w:type="dxa"/>
                  <w:vMerge w:val="continue"/>
                  <w:tcBorders>
                    <w:tl2br w:val="nil"/>
                    <w:tr2bl w:val="nil"/>
                  </w:tcBorders>
                  <w:vAlign w:val="center"/>
                </w:tcPr>
                <w:p>
                  <w:pPr>
                    <w:pStyle w:val="37"/>
                    <w:keepNext w:val="0"/>
                    <w:keepLines w:val="0"/>
                    <w:suppressLineNumbers w:val="0"/>
                    <w:tabs>
                      <w:tab w:val="left" w:pos="648"/>
                    </w:tabs>
                    <w:spacing w:before="0" w:beforeAutospacing="0" w:after="0" w:afterAutospacing="0"/>
                    <w:ind w:right="0"/>
                    <w:rPr>
                      <w:rFonts w:hint="default" w:ascii="Times New Roman" w:hAnsi="Times New Roman" w:eastAsia="宋体" w:cs="Times New Roman"/>
                      <w:sz w:val="21"/>
                      <w:szCs w:val="21"/>
                      <w:highlight w:val="none"/>
                    </w:rPr>
                  </w:pPr>
                </w:p>
              </w:tc>
              <w:tc>
                <w:tcPr>
                  <w:tcW w:w="1415" w:type="dxa"/>
                  <w:tcBorders>
                    <w:tl2br w:val="nil"/>
                    <w:tr2bl w:val="nil"/>
                  </w:tcBorders>
                  <w:vAlign w:val="center"/>
                </w:tcPr>
                <w:p>
                  <w:pPr>
                    <w:pStyle w:val="3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清洗槽5</w:t>
                  </w:r>
                </w:p>
              </w:tc>
              <w:tc>
                <w:tcPr>
                  <w:tcW w:w="1230" w:type="dxa"/>
                  <w:vMerge w:val="continue"/>
                  <w:tcBorders>
                    <w:tl2br w:val="nil"/>
                    <w:tr2bl w:val="nil"/>
                  </w:tcBorders>
                  <w:vAlign w:val="center"/>
                </w:tcPr>
                <w:p>
                  <w:pPr>
                    <w:pStyle w:val="37"/>
                    <w:keepNext w:val="0"/>
                    <w:keepLines w:val="0"/>
                    <w:suppressLineNumbers w:val="0"/>
                    <w:tabs>
                      <w:tab w:val="left" w:pos="648"/>
                    </w:tabs>
                    <w:spacing w:before="0" w:beforeAutospacing="0" w:after="0" w:afterAutospacing="0"/>
                    <w:ind w:right="0"/>
                    <w:rPr>
                      <w:rFonts w:hint="default" w:ascii="Times New Roman" w:hAnsi="Times New Roman" w:eastAsia="宋体" w:cs="Times New Roman"/>
                      <w:sz w:val="21"/>
                      <w:szCs w:val="21"/>
                      <w:highlight w:val="none"/>
                    </w:rPr>
                  </w:pPr>
                </w:p>
              </w:tc>
              <w:tc>
                <w:tcPr>
                  <w:tcW w:w="1320"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p>
              </w:tc>
              <w:tc>
                <w:tcPr>
                  <w:tcW w:w="1377"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0.45</w:t>
                  </w:r>
                </w:p>
              </w:tc>
              <w:tc>
                <w:tcPr>
                  <w:tcW w:w="1486"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0.</w:t>
                  </w:r>
                  <w:r>
                    <w:rPr>
                      <w:rFonts w:hint="eastAsia" w:cs="Times New Roman"/>
                      <w:sz w:val="21"/>
                      <w:szCs w:val="21"/>
                      <w:highlight w:val="none"/>
                      <w:lang w:val="en-US" w:eastAsia="zh-CN"/>
                    </w:rPr>
                    <w:t>1</w:t>
                  </w:r>
                  <w:r>
                    <w:rPr>
                      <w:rFonts w:hint="default" w:ascii="Times New Roman" w:hAnsi="Times New Roman" w:eastAsia="宋体" w:cs="Times New Roman"/>
                      <w:sz w:val="21"/>
                      <w:szCs w:val="21"/>
                      <w:highlight w:val="none"/>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54" w:type="dxa"/>
                  <w:gridSpan w:val="4"/>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单条生产线</w:t>
                  </w:r>
                  <w:r>
                    <w:rPr>
                      <w:rFonts w:hint="eastAsia" w:cs="Times New Roman"/>
                      <w:sz w:val="21"/>
                      <w:szCs w:val="21"/>
                      <w:highlight w:val="none"/>
                      <w:lang w:val="en-US" w:eastAsia="zh-CN"/>
                    </w:rPr>
                    <w:t>合计</w:t>
                  </w:r>
                </w:p>
              </w:tc>
              <w:tc>
                <w:tcPr>
                  <w:tcW w:w="1377"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2.25</w:t>
                  </w:r>
                </w:p>
              </w:tc>
              <w:tc>
                <w:tcPr>
                  <w:tcW w:w="1486"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1.35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54" w:type="dxa"/>
                  <w:gridSpan w:val="4"/>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全厂</w:t>
                  </w:r>
                  <w:r>
                    <w:rPr>
                      <w:rFonts w:hint="eastAsia" w:cs="Times New Roman"/>
                      <w:sz w:val="21"/>
                      <w:szCs w:val="21"/>
                      <w:highlight w:val="none"/>
                      <w:lang w:val="en-US" w:eastAsia="zh-CN"/>
                    </w:rPr>
                    <w:t>合计（每三条错峰排放）</w:t>
                  </w:r>
                </w:p>
              </w:tc>
              <w:tc>
                <w:tcPr>
                  <w:tcW w:w="1377"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11.25</w:t>
                  </w:r>
                </w:p>
              </w:tc>
              <w:tc>
                <w:tcPr>
                  <w:tcW w:w="1486"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10.8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54" w:type="dxa"/>
                  <w:gridSpan w:val="4"/>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全厂8条线清洗废水年产生量</w:t>
                  </w:r>
                </w:p>
              </w:tc>
              <w:tc>
                <w:tcPr>
                  <w:tcW w:w="2863" w:type="dxa"/>
                  <w:gridSpan w:val="2"/>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3</w:t>
                  </w:r>
                  <w:r>
                    <w:rPr>
                      <w:rFonts w:hint="eastAsia" w:cs="Times New Roman"/>
                      <w:sz w:val="21"/>
                      <w:szCs w:val="21"/>
                      <w:highlight w:val="none"/>
                      <w:lang w:val="en-US" w:eastAsia="zh-CN"/>
                    </w:rPr>
                    <w:t>240</w:t>
                  </w:r>
                </w:p>
              </w:tc>
            </w:tr>
          </w:tbl>
          <w:p>
            <w:pPr>
              <w:pStyle w:val="42"/>
              <w:keepNext w:val="0"/>
              <w:keepLines w:val="0"/>
              <w:suppressLineNumbers w:val="0"/>
              <w:spacing w:before="0" w:beforeAutospacing="0" w:after="0" w:afterAutospacing="0"/>
              <w:ind w:left="0" w:right="0" w:firstLine="480"/>
              <w:rPr>
                <w:rFonts w:hint="default"/>
              </w:rPr>
            </w:pPr>
            <w:r>
              <w:rPr>
                <w:rFonts w:hint="eastAsia" w:cs="Times New Roman"/>
                <w:sz w:val="24"/>
                <w:szCs w:val="24"/>
                <w:lang w:val="en-US" w:eastAsia="zh-CN"/>
              </w:rPr>
              <w:t>B.铝壳废边清洗用水</w:t>
            </w:r>
          </w:p>
          <w:p>
            <w:pPr>
              <w:pStyle w:val="42"/>
              <w:keepNext w:val="0"/>
              <w:keepLines w:val="0"/>
              <w:suppressLineNumbers w:val="0"/>
              <w:spacing w:before="0" w:beforeAutospacing="0" w:after="0" w:afterAutospacing="0" w:line="360" w:lineRule="auto"/>
              <w:ind w:left="0" w:leftChars="0" w:right="0" w:firstLine="480" w:firstLineChars="200"/>
              <w:rPr>
                <w:rFonts w:hint="default" w:ascii="Times New Roman" w:hAnsi="Times New Roman" w:eastAsia="宋体" w:cs="Times New Roman"/>
                <w:sz w:val="24"/>
                <w:szCs w:val="24"/>
                <w:highlight w:val="none"/>
                <w:lang w:val="en-US" w:eastAsia="zh-CN"/>
              </w:rPr>
            </w:pPr>
            <w:r>
              <w:rPr>
                <w:rFonts w:hint="eastAsia" w:cs="Times New Roman"/>
                <w:sz w:val="24"/>
                <w:szCs w:val="24"/>
                <w:highlight w:val="none"/>
                <w:lang w:val="en-US" w:eastAsia="zh-CN"/>
              </w:rPr>
              <w:t>项目设有一条铝壳废边清洗线，</w:t>
            </w:r>
            <w:r>
              <w:rPr>
                <w:rFonts w:hint="default" w:ascii="Times New Roman" w:hAnsi="Times New Roman" w:eastAsia="宋体" w:cs="Times New Roman"/>
                <w:sz w:val="24"/>
                <w:szCs w:val="24"/>
                <w:highlight w:val="none"/>
                <w:lang w:val="en-US" w:eastAsia="zh-CN"/>
              </w:rPr>
              <w:t>其清洗方式</w:t>
            </w:r>
            <w:r>
              <w:rPr>
                <w:rFonts w:hint="eastAsia" w:cs="Times New Roman"/>
                <w:sz w:val="24"/>
                <w:szCs w:val="24"/>
                <w:highlight w:val="none"/>
                <w:lang w:val="en-US" w:eastAsia="zh-CN"/>
              </w:rPr>
              <w:t>与生产线产品清洗方式一致。铝壳废边清洗线</w:t>
            </w:r>
            <w:r>
              <w:rPr>
                <w:rFonts w:hint="default" w:ascii="Times New Roman" w:hAnsi="Times New Roman" w:eastAsia="宋体" w:cs="Times New Roman"/>
                <w:sz w:val="24"/>
                <w:szCs w:val="24"/>
                <w:highlight w:val="none"/>
                <w:lang w:val="en-US" w:eastAsia="zh-CN"/>
              </w:rPr>
              <w:t>各配套有5个</w:t>
            </w:r>
            <w:r>
              <w:rPr>
                <w:rFonts w:hint="default" w:ascii="Times New Roman" w:hAnsi="Times New Roman" w:eastAsia="宋体" w:cs="Times New Roman"/>
                <w:sz w:val="24"/>
                <w:szCs w:val="24"/>
                <w:highlight w:val="none"/>
              </w:rPr>
              <w:t>超声波</w:t>
            </w:r>
            <w:r>
              <w:rPr>
                <w:rFonts w:hint="default" w:ascii="Times New Roman" w:hAnsi="Times New Roman" w:eastAsia="宋体" w:cs="Times New Roman"/>
                <w:sz w:val="24"/>
                <w:szCs w:val="24"/>
                <w:highlight w:val="none"/>
                <w:lang w:val="en-US" w:eastAsia="zh-CN"/>
              </w:rPr>
              <w:t>清</w:t>
            </w:r>
            <w:r>
              <w:rPr>
                <w:rFonts w:hint="default" w:ascii="Times New Roman" w:hAnsi="Times New Roman" w:eastAsia="宋体" w:cs="Times New Roman"/>
                <w:sz w:val="24"/>
                <w:szCs w:val="24"/>
                <w:highlight w:val="none"/>
              </w:rPr>
              <w:t>洗</w:t>
            </w:r>
            <w:r>
              <w:rPr>
                <w:rFonts w:hint="default" w:ascii="Times New Roman" w:hAnsi="Times New Roman" w:eastAsia="宋体" w:cs="Times New Roman"/>
                <w:sz w:val="24"/>
                <w:szCs w:val="24"/>
                <w:highlight w:val="none"/>
                <w:lang w:val="en-US" w:eastAsia="zh-CN"/>
              </w:rPr>
              <w:t>槽，其中清</w:t>
            </w:r>
            <w:r>
              <w:rPr>
                <w:rFonts w:hint="default" w:ascii="Times New Roman" w:hAnsi="Times New Roman" w:eastAsia="宋体" w:cs="Times New Roman"/>
                <w:sz w:val="24"/>
                <w:szCs w:val="24"/>
                <w:highlight w:val="none"/>
              </w:rPr>
              <w:t>洗</w:t>
            </w:r>
            <w:r>
              <w:rPr>
                <w:rFonts w:hint="default" w:ascii="Times New Roman" w:hAnsi="Times New Roman" w:eastAsia="宋体" w:cs="Times New Roman"/>
                <w:sz w:val="24"/>
                <w:szCs w:val="24"/>
                <w:highlight w:val="none"/>
                <w:lang w:val="en-US" w:eastAsia="zh-CN"/>
              </w:rPr>
              <w:t>槽1和清</w:t>
            </w:r>
            <w:r>
              <w:rPr>
                <w:rFonts w:hint="default" w:ascii="Times New Roman" w:hAnsi="Times New Roman" w:eastAsia="宋体" w:cs="Times New Roman"/>
                <w:sz w:val="24"/>
                <w:szCs w:val="24"/>
                <w:highlight w:val="none"/>
              </w:rPr>
              <w:t>洗</w:t>
            </w:r>
            <w:r>
              <w:rPr>
                <w:rFonts w:hint="default" w:ascii="Times New Roman" w:hAnsi="Times New Roman" w:eastAsia="宋体" w:cs="Times New Roman"/>
                <w:sz w:val="24"/>
                <w:szCs w:val="24"/>
                <w:highlight w:val="none"/>
                <w:lang w:val="en-US" w:eastAsia="zh-CN"/>
              </w:rPr>
              <w:t>槽2</w:t>
            </w:r>
            <w:r>
              <w:rPr>
                <w:rFonts w:hint="eastAsia" w:ascii="Times New Roman" w:hAnsi="Times New Roman" w:eastAsia="宋体" w:cs="Times New Roman"/>
                <w:sz w:val="24"/>
                <w:szCs w:val="24"/>
                <w:highlight w:val="none"/>
                <w:lang w:val="en-US" w:eastAsia="zh-CN"/>
              </w:rPr>
              <w:t>，每5天更换一次水；清洗槽</w:t>
            </w:r>
            <w:r>
              <w:rPr>
                <w:rFonts w:hint="default" w:ascii="Times New Roman" w:hAnsi="Times New Roman" w:eastAsia="宋体" w:cs="Times New Roman"/>
                <w:sz w:val="24"/>
                <w:szCs w:val="24"/>
                <w:highlight w:val="none"/>
                <w:lang w:val="en-US" w:eastAsia="zh-CN"/>
              </w:rPr>
              <w:t>3、清洗槽4和清洗槽5每</w:t>
            </w:r>
            <w:r>
              <w:rPr>
                <w:rFonts w:hint="eastAsia" w:ascii="Times New Roman" w:hAnsi="Times New Roman" w:eastAsia="宋体" w:cs="Times New Roman"/>
                <w:sz w:val="24"/>
                <w:szCs w:val="24"/>
                <w:highlight w:val="none"/>
                <w:lang w:val="en-US" w:eastAsia="zh-CN"/>
              </w:rPr>
              <w:t>半个月</w:t>
            </w:r>
            <w:r>
              <w:rPr>
                <w:rFonts w:hint="default" w:ascii="Times New Roman" w:hAnsi="Times New Roman" w:eastAsia="宋体" w:cs="Times New Roman"/>
                <w:sz w:val="24"/>
                <w:szCs w:val="24"/>
                <w:highlight w:val="none"/>
                <w:lang w:val="en-US" w:eastAsia="zh-CN"/>
              </w:rPr>
              <w:t>更换一次水。</w:t>
            </w:r>
          </w:p>
          <w:p>
            <w:pPr>
              <w:pStyle w:val="42"/>
              <w:keepNext w:val="0"/>
              <w:keepLines w:val="0"/>
              <w:suppressLineNumbers w:val="0"/>
              <w:spacing w:before="0" w:beforeAutospacing="0" w:after="0" w:afterAutospacing="0"/>
              <w:ind w:left="0" w:right="0" w:firstLine="480"/>
              <w:rPr>
                <w:rFonts w:hint="eastAsia" w:eastAsia="宋体" w:cs="Times New Roman"/>
                <w:sz w:val="24"/>
                <w:szCs w:val="24"/>
                <w:highlight w:val="none"/>
                <w:lang w:val="en-US" w:eastAsia="zh-CN"/>
              </w:rPr>
            </w:pPr>
            <w:r>
              <w:rPr>
                <w:rFonts w:hint="eastAsia" w:eastAsia="宋体" w:cs="Times New Roman"/>
                <w:sz w:val="24"/>
                <w:szCs w:val="24"/>
                <w:highlight w:val="none"/>
                <w:lang w:val="en-US" w:eastAsia="zh-CN"/>
              </w:rPr>
              <w:t>铝壳废边清洗线用排水详见下表。</w:t>
            </w:r>
          </w:p>
          <w:p>
            <w:pPr>
              <w:pStyle w:val="3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textAlignment w:val="auto"/>
              <w:rPr>
                <w:rFonts w:hint="default"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铝壳废边清洗线用排水</w:t>
            </w:r>
          </w:p>
          <w:tbl>
            <w:tblPr>
              <w:tblStyle w:val="27"/>
              <w:tblW w:w="811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89"/>
              <w:gridCol w:w="1415"/>
              <w:gridCol w:w="2550"/>
              <w:gridCol w:w="1377"/>
              <w:gridCol w:w="14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89" w:type="dxa"/>
                  <w:vMerge w:val="restart"/>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铝壳废边清洗</w:t>
                  </w:r>
                  <w:r>
                    <w:rPr>
                      <w:rFonts w:hint="eastAsia" w:eastAsia="宋体" w:cs="Times New Roman"/>
                      <w:sz w:val="21"/>
                      <w:szCs w:val="21"/>
                      <w:highlight w:val="none"/>
                      <w:lang w:val="en-US" w:eastAsia="zh-CN"/>
                    </w:rPr>
                    <w:t>线</w:t>
                  </w:r>
                </w:p>
              </w:tc>
              <w:tc>
                <w:tcPr>
                  <w:tcW w:w="1415" w:type="dxa"/>
                  <w:tcBorders>
                    <w:tl2br w:val="nil"/>
                    <w:tr2bl w:val="nil"/>
                  </w:tcBorders>
                  <w:vAlign w:val="center"/>
                </w:tcPr>
                <w:p>
                  <w:pPr>
                    <w:pStyle w:val="37"/>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清洗槽</w:t>
                  </w:r>
                </w:p>
              </w:tc>
              <w:tc>
                <w:tcPr>
                  <w:tcW w:w="2550"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更换次数</w:t>
                  </w:r>
                </w:p>
              </w:tc>
              <w:tc>
                <w:tcPr>
                  <w:tcW w:w="1377"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单次更换</w:t>
                  </w:r>
                  <w:r>
                    <w:rPr>
                      <w:rFonts w:hint="eastAsia" w:cs="Times New Roman"/>
                      <w:sz w:val="21"/>
                      <w:szCs w:val="21"/>
                      <w:highlight w:val="none"/>
                      <w:lang w:val="en-US" w:eastAsia="zh-CN"/>
                    </w:rPr>
                    <w:t>量</w:t>
                  </w:r>
                  <w:r>
                    <w:rPr>
                      <w:rFonts w:hint="eastAsia"/>
                      <w:lang w:eastAsia="zh-CN"/>
                    </w:rPr>
                    <w:t>（</w:t>
                  </w:r>
                  <w:r>
                    <w:rPr>
                      <w:rFonts w:hint="eastAsia"/>
                      <w:lang w:val="en-US" w:eastAsia="zh-CN"/>
                    </w:rPr>
                    <w:t>t</w:t>
                  </w:r>
                  <w:r>
                    <w:rPr>
                      <w:rFonts w:hint="eastAsia"/>
                      <w:lang w:eastAsia="zh-CN"/>
                    </w:rPr>
                    <w:t>）</w:t>
                  </w:r>
                </w:p>
              </w:tc>
              <w:tc>
                <w:tcPr>
                  <w:tcW w:w="1486" w:type="dxa"/>
                  <w:tcBorders>
                    <w:tl2br w:val="nil"/>
                    <w:tr2bl w:val="nil"/>
                  </w:tcBorders>
                  <w:vAlign w:val="center"/>
                </w:tcPr>
                <w:p>
                  <w:pPr>
                    <w:pStyle w:val="37"/>
                    <w:keepNext w:val="0"/>
                    <w:keepLines w:val="0"/>
                    <w:suppressLineNumbers w:val="0"/>
                    <w:spacing w:before="0" w:beforeAutospacing="0" w:after="0" w:afterAutospacing="0"/>
                    <w:ind w:right="0"/>
                    <w:rPr>
                      <w:rFonts w:hint="eastAsia"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废水日</w:t>
                  </w:r>
                  <w:r>
                    <w:rPr>
                      <w:rFonts w:hint="eastAsia" w:cs="Times New Roman"/>
                      <w:sz w:val="21"/>
                      <w:szCs w:val="21"/>
                      <w:highlight w:val="none"/>
                      <w:lang w:val="en-US" w:eastAsia="zh-CN"/>
                    </w:rPr>
                    <w:t>平均</w:t>
                  </w:r>
                  <w:r>
                    <w:rPr>
                      <w:rFonts w:hint="default" w:ascii="Times New Roman" w:hAnsi="Times New Roman" w:eastAsia="宋体" w:cs="Times New Roman"/>
                      <w:sz w:val="21"/>
                      <w:szCs w:val="21"/>
                      <w:highlight w:val="none"/>
                      <w:lang w:val="en-US" w:eastAsia="zh-CN"/>
                    </w:rPr>
                    <w:t>产生量</w:t>
                  </w:r>
                  <w:commentRangeStart w:id="4"/>
                  <w:commentRangeStart w:id="5"/>
                  <w:r>
                    <w:rPr>
                      <w:rFonts w:hint="default"/>
                    </w:rPr>
                    <w:commentReference w:id="4"/>
                  </w:r>
                  <w:commentRangeEnd w:id="4"/>
                  <w:commentRangeEnd w:id="5"/>
                  <w:r>
                    <w:rPr>
                      <w:rFonts w:hint="default"/>
                    </w:rPr>
                    <w:commentReference w:id="5"/>
                  </w:r>
                  <w:r>
                    <w:rPr>
                      <w:rFonts w:hint="eastAsia"/>
                      <w:lang w:eastAsia="zh-CN"/>
                    </w:rPr>
                    <w:t>（</w:t>
                  </w:r>
                  <w:r>
                    <w:rPr>
                      <w:rFonts w:hint="eastAsia"/>
                      <w:lang w:val="en-US" w:eastAsia="zh-CN"/>
                    </w:rPr>
                    <w:t>t</w:t>
                  </w:r>
                  <w:r>
                    <w:rPr>
                      <w:rFonts w:hint="eastAsia"/>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89" w:type="dxa"/>
                  <w:vMerge w:val="continue"/>
                  <w:tcBorders>
                    <w:tl2br w:val="nil"/>
                    <w:tr2bl w:val="nil"/>
                  </w:tcBorders>
                  <w:vAlign w:val="center"/>
                </w:tcPr>
                <w:p>
                  <w:pPr>
                    <w:pStyle w:val="37"/>
                    <w:keepNext w:val="0"/>
                    <w:keepLines w:val="0"/>
                    <w:suppressLineNumbers w:val="0"/>
                    <w:tabs>
                      <w:tab w:val="left" w:pos="648"/>
                    </w:tabs>
                    <w:spacing w:before="0" w:beforeAutospacing="0" w:after="0" w:afterAutospacing="0"/>
                    <w:ind w:right="0"/>
                    <w:rPr>
                      <w:rFonts w:hint="default" w:ascii="Times New Roman" w:hAnsi="Times New Roman" w:eastAsia="宋体" w:cs="Times New Roman"/>
                      <w:sz w:val="21"/>
                      <w:szCs w:val="21"/>
                      <w:highlight w:val="none"/>
                      <w:lang w:val="en-US" w:eastAsia="zh-CN"/>
                    </w:rPr>
                  </w:pPr>
                </w:p>
              </w:tc>
              <w:tc>
                <w:tcPr>
                  <w:tcW w:w="1415" w:type="dxa"/>
                  <w:tcBorders>
                    <w:tl2br w:val="nil"/>
                    <w:tr2bl w:val="nil"/>
                  </w:tcBorders>
                  <w:vAlign w:val="center"/>
                </w:tcPr>
                <w:p>
                  <w:pPr>
                    <w:pStyle w:val="3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清洗槽1</w:t>
                  </w:r>
                </w:p>
              </w:tc>
              <w:tc>
                <w:tcPr>
                  <w:tcW w:w="2550" w:type="dxa"/>
                  <w:vMerge w:val="restart"/>
                  <w:tcBorders>
                    <w:tl2br w:val="nil"/>
                    <w:tr2bl w:val="nil"/>
                  </w:tcBorders>
                  <w:vAlign w:val="center"/>
                </w:tcPr>
                <w:p>
                  <w:pPr>
                    <w:pStyle w:val="37"/>
                    <w:keepNext w:val="0"/>
                    <w:keepLines w:val="0"/>
                    <w:suppressLineNumbers w:val="0"/>
                    <w:tabs>
                      <w:tab w:val="left" w:pos="648"/>
                    </w:tabs>
                    <w:spacing w:before="0" w:beforeAutospacing="0" w:after="0" w:afterAutospacing="0"/>
                    <w:ind w:left="0" w:leftChars="0" w:right="0" w:righ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1次/</w:t>
                  </w:r>
                  <w:r>
                    <w:rPr>
                      <w:rFonts w:hint="eastAsia" w:eastAsia="宋体" w:cs="Times New Roman"/>
                      <w:sz w:val="21"/>
                      <w:szCs w:val="21"/>
                      <w:highlight w:val="none"/>
                      <w:lang w:val="en-US" w:eastAsia="zh-CN"/>
                    </w:rPr>
                    <w:t>5</w:t>
                  </w:r>
                  <w:r>
                    <w:rPr>
                      <w:rFonts w:hint="default" w:ascii="Times New Roman" w:hAnsi="Times New Roman" w:eastAsia="宋体" w:cs="Times New Roman"/>
                      <w:sz w:val="21"/>
                      <w:szCs w:val="21"/>
                      <w:highlight w:val="none"/>
                      <w:lang w:val="en-US" w:eastAsia="zh-CN"/>
                    </w:rPr>
                    <w:t>天</w:t>
                  </w:r>
                </w:p>
              </w:tc>
              <w:tc>
                <w:tcPr>
                  <w:tcW w:w="1377"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0.45</w:t>
                  </w:r>
                </w:p>
              </w:tc>
              <w:tc>
                <w:tcPr>
                  <w:tcW w:w="1486"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0.09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89" w:type="dxa"/>
                  <w:vMerge w:val="continue"/>
                  <w:tcBorders>
                    <w:tl2br w:val="nil"/>
                    <w:tr2bl w:val="nil"/>
                  </w:tcBorders>
                  <w:vAlign w:val="center"/>
                </w:tcPr>
                <w:p>
                  <w:pPr>
                    <w:pStyle w:val="37"/>
                    <w:keepNext w:val="0"/>
                    <w:keepLines w:val="0"/>
                    <w:suppressLineNumbers w:val="0"/>
                    <w:tabs>
                      <w:tab w:val="left" w:pos="648"/>
                    </w:tabs>
                    <w:spacing w:before="0" w:beforeAutospacing="0" w:after="0" w:afterAutospacing="0"/>
                    <w:ind w:right="0"/>
                    <w:rPr>
                      <w:rFonts w:hint="default" w:ascii="Times New Roman" w:hAnsi="Times New Roman" w:eastAsia="宋体" w:cs="Times New Roman"/>
                      <w:sz w:val="21"/>
                      <w:szCs w:val="21"/>
                      <w:highlight w:val="none"/>
                    </w:rPr>
                  </w:pPr>
                </w:p>
              </w:tc>
              <w:tc>
                <w:tcPr>
                  <w:tcW w:w="1415" w:type="dxa"/>
                  <w:tcBorders>
                    <w:tl2br w:val="nil"/>
                    <w:tr2bl w:val="nil"/>
                  </w:tcBorders>
                  <w:vAlign w:val="center"/>
                </w:tcPr>
                <w:p>
                  <w:pPr>
                    <w:pStyle w:val="3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清洗槽2</w:t>
                  </w:r>
                </w:p>
              </w:tc>
              <w:tc>
                <w:tcPr>
                  <w:tcW w:w="2550"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p>
              </w:tc>
              <w:tc>
                <w:tcPr>
                  <w:tcW w:w="1377"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0.45</w:t>
                  </w:r>
                </w:p>
              </w:tc>
              <w:tc>
                <w:tcPr>
                  <w:tcW w:w="1486"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0.09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89" w:type="dxa"/>
                  <w:vMerge w:val="continue"/>
                  <w:tcBorders>
                    <w:tl2br w:val="nil"/>
                    <w:tr2bl w:val="nil"/>
                  </w:tcBorders>
                  <w:vAlign w:val="center"/>
                </w:tcPr>
                <w:p>
                  <w:pPr>
                    <w:pStyle w:val="37"/>
                    <w:keepNext w:val="0"/>
                    <w:keepLines w:val="0"/>
                    <w:suppressLineNumbers w:val="0"/>
                    <w:tabs>
                      <w:tab w:val="left" w:pos="648"/>
                    </w:tabs>
                    <w:spacing w:before="0" w:beforeAutospacing="0" w:after="0" w:afterAutospacing="0"/>
                    <w:ind w:right="0"/>
                    <w:rPr>
                      <w:rFonts w:hint="default" w:ascii="Times New Roman" w:hAnsi="Times New Roman" w:eastAsia="宋体" w:cs="Times New Roman"/>
                      <w:sz w:val="21"/>
                      <w:szCs w:val="21"/>
                      <w:highlight w:val="none"/>
                    </w:rPr>
                  </w:pPr>
                </w:p>
              </w:tc>
              <w:tc>
                <w:tcPr>
                  <w:tcW w:w="1415" w:type="dxa"/>
                  <w:tcBorders>
                    <w:tl2br w:val="nil"/>
                    <w:tr2bl w:val="nil"/>
                  </w:tcBorders>
                  <w:vAlign w:val="center"/>
                </w:tcPr>
                <w:p>
                  <w:pPr>
                    <w:pStyle w:val="3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清洗槽3</w:t>
                  </w:r>
                </w:p>
              </w:tc>
              <w:tc>
                <w:tcPr>
                  <w:tcW w:w="2550" w:type="dxa"/>
                  <w:vMerge w:val="restar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1次/</w:t>
                  </w:r>
                  <w:r>
                    <w:rPr>
                      <w:rFonts w:hint="eastAsia" w:eastAsia="宋体" w:cs="Times New Roman"/>
                      <w:sz w:val="21"/>
                      <w:szCs w:val="21"/>
                      <w:highlight w:val="none"/>
                      <w:lang w:val="en-US" w:eastAsia="zh-CN"/>
                    </w:rPr>
                    <w:t>15</w:t>
                  </w:r>
                  <w:r>
                    <w:rPr>
                      <w:rFonts w:hint="default" w:ascii="Times New Roman" w:hAnsi="Times New Roman" w:eastAsia="宋体" w:cs="Times New Roman"/>
                      <w:sz w:val="21"/>
                      <w:szCs w:val="21"/>
                      <w:highlight w:val="none"/>
                      <w:lang w:val="en-US" w:eastAsia="zh-CN"/>
                    </w:rPr>
                    <w:t>天</w:t>
                  </w:r>
                </w:p>
              </w:tc>
              <w:tc>
                <w:tcPr>
                  <w:tcW w:w="1377"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0.45</w:t>
                  </w:r>
                </w:p>
              </w:tc>
              <w:tc>
                <w:tcPr>
                  <w:tcW w:w="1486"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rPr>
                  </w:pPr>
                  <w:r>
                    <w:rPr>
                      <w:rFonts w:hint="eastAsia" w:cs="Times New Roman"/>
                      <w:sz w:val="21"/>
                      <w:szCs w:val="21"/>
                      <w:highlight w:val="none"/>
                      <w:lang w:val="en-US" w:eastAsia="zh-CN"/>
                    </w:rPr>
                    <w:t>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89" w:type="dxa"/>
                  <w:vMerge w:val="continue"/>
                  <w:tcBorders>
                    <w:tl2br w:val="nil"/>
                    <w:tr2bl w:val="nil"/>
                  </w:tcBorders>
                  <w:vAlign w:val="center"/>
                </w:tcPr>
                <w:p>
                  <w:pPr>
                    <w:pStyle w:val="37"/>
                    <w:keepNext w:val="0"/>
                    <w:keepLines w:val="0"/>
                    <w:suppressLineNumbers w:val="0"/>
                    <w:tabs>
                      <w:tab w:val="left" w:pos="648"/>
                    </w:tabs>
                    <w:spacing w:before="0" w:beforeAutospacing="0" w:after="0" w:afterAutospacing="0"/>
                    <w:ind w:right="0"/>
                    <w:rPr>
                      <w:rFonts w:hint="default" w:ascii="Times New Roman" w:hAnsi="Times New Roman" w:eastAsia="宋体" w:cs="Times New Roman"/>
                      <w:sz w:val="21"/>
                      <w:szCs w:val="21"/>
                      <w:highlight w:val="none"/>
                    </w:rPr>
                  </w:pPr>
                </w:p>
              </w:tc>
              <w:tc>
                <w:tcPr>
                  <w:tcW w:w="1415" w:type="dxa"/>
                  <w:tcBorders>
                    <w:tl2br w:val="nil"/>
                    <w:tr2bl w:val="nil"/>
                  </w:tcBorders>
                  <w:vAlign w:val="center"/>
                </w:tcPr>
                <w:p>
                  <w:pPr>
                    <w:pStyle w:val="3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清洗槽4</w:t>
                  </w:r>
                </w:p>
              </w:tc>
              <w:tc>
                <w:tcPr>
                  <w:tcW w:w="2550"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p>
              </w:tc>
              <w:tc>
                <w:tcPr>
                  <w:tcW w:w="1377"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0.45</w:t>
                  </w:r>
                </w:p>
              </w:tc>
              <w:tc>
                <w:tcPr>
                  <w:tcW w:w="1486"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eastAsia" w:cs="Times New Roman"/>
                      <w:sz w:val="21"/>
                      <w:szCs w:val="21"/>
                      <w:highlight w:val="none"/>
                      <w:lang w:val="en-US" w:eastAsia="zh-CN"/>
                    </w:rPr>
                    <w:t>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89" w:type="dxa"/>
                  <w:vMerge w:val="continue"/>
                  <w:tcBorders>
                    <w:tl2br w:val="nil"/>
                    <w:tr2bl w:val="nil"/>
                  </w:tcBorders>
                  <w:vAlign w:val="center"/>
                </w:tcPr>
                <w:p>
                  <w:pPr>
                    <w:pStyle w:val="37"/>
                    <w:keepNext w:val="0"/>
                    <w:keepLines w:val="0"/>
                    <w:suppressLineNumbers w:val="0"/>
                    <w:tabs>
                      <w:tab w:val="left" w:pos="648"/>
                    </w:tabs>
                    <w:spacing w:before="0" w:beforeAutospacing="0" w:after="0" w:afterAutospacing="0"/>
                    <w:ind w:right="0"/>
                    <w:rPr>
                      <w:rFonts w:hint="default" w:ascii="Times New Roman" w:hAnsi="Times New Roman" w:eastAsia="宋体" w:cs="Times New Roman"/>
                      <w:sz w:val="21"/>
                      <w:szCs w:val="21"/>
                      <w:highlight w:val="none"/>
                    </w:rPr>
                  </w:pPr>
                </w:p>
              </w:tc>
              <w:tc>
                <w:tcPr>
                  <w:tcW w:w="1415" w:type="dxa"/>
                  <w:tcBorders>
                    <w:tl2br w:val="nil"/>
                    <w:tr2bl w:val="nil"/>
                  </w:tcBorders>
                  <w:vAlign w:val="center"/>
                </w:tcPr>
                <w:p>
                  <w:pPr>
                    <w:pStyle w:val="3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清洗槽5</w:t>
                  </w:r>
                </w:p>
              </w:tc>
              <w:tc>
                <w:tcPr>
                  <w:tcW w:w="2550"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p>
              </w:tc>
              <w:tc>
                <w:tcPr>
                  <w:tcW w:w="1377"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0.45</w:t>
                  </w:r>
                </w:p>
              </w:tc>
              <w:tc>
                <w:tcPr>
                  <w:tcW w:w="1486"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eastAsia" w:cs="Times New Roman"/>
                      <w:sz w:val="21"/>
                      <w:szCs w:val="21"/>
                      <w:highlight w:val="none"/>
                      <w:lang w:val="en-US" w:eastAsia="zh-CN"/>
                    </w:rPr>
                    <w:t>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54" w:type="dxa"/>
                  <w:gridSpan w:val="3"/>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单条生产线</w:t>
                  </w:r>
                  <w:r>
                    <w:rPr>
                      <w:rFonts w:hint="eastAsia" w:cs="Times New Roman"/>
                      <w:sz w:val="21"/>
                      <w:szCs w:val="21"/>
                      <w:highlight w:val="none"/>
                      <w:lang w:val="en-US" w:eastAsia="zh-CN"/>
                    </w:rPr>
                    <w:t>合计</w:t>
                  </w:r>
                </w:p>
              </w:tc>
              <w:tc>
                <w:tcPr>
                  <w:tcW w:w="1377"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2.25</w:t>
                  </w:r>
                </w:p>
              </w:tc>
              <w:tc>
                <w:tcPr>
                  <w:tcW w:w="1486"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0.27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54" w:type="dxa"/>
                  <w:gridSpan w:val="3"/>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铝壳废边</w:t>
                  </w:r>
                  <w:r>
                    <w:rPr>
                      <w:rFonts w:hint="default" w:ascii="Times New Roman" w:hAnsi="Times New Roman" w:eastAsia="宋体" w:cs="Times New Roman"/>
                      <w:sz w:val="21"/>
                      <w:szCs w:val="21"/>
                      <w:highlight w:val="none"/>
                      <w:lang w:val="en-US" w:eastAsia="zh-CN"/>
                    </w:rPr>
                    <w:t>清洗废水年产生量</w:t>
                  </w:r>
                </w:p>
              </w:tc>
              <w:tc>
                <w:tcPr>
                  <w:tcW w:w="2863" w:type="dxa"/>
                  <w:gridSpan w:val="2"/>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81</w:t>
                  </w:r>
                </w:p>
              </w:tc>
            </w:tr>
          </w:tbl>
          <w:p>
            <w:pPr>
              <w:pStyle w:val="42"/>
              <w:keepNext w:val="0"/>
              <w:keepLines w:val="0"/>
              <w:suppressLineNumbers w:val="0"/>
              <w:spacing w:before="0" w:beforeAutospacing="0" w:after="0" w:afterAutospacing="0" w:line="360" w:lineRule="auto"/>
              <w:ind w:left="0" w:right="0"/>
              <w:rPr>
                <w:rFonts w:hint="default" w:ascii="Times New Roman" w:hAnsi="Times New Roman" w:eastAsia="宋体" w:cs="Times New Roman"/>
                <w:sz w:val="24"/>
                <w:szCs w:val="24"/>
                <w:highlight w:val="none"/>
                <w:lang w:val="en-US" w:eastAsia="zh-CN"/>
              </w:rPr>
            </w:pPr>
            <w:r>
              <w:rPr>
                <w:rFonts w:hint="eastAsia" w:cs="Times New Roman"/>
                <w:sz w:val="24"/>
                <w:szCs w:val="24"/>
                <w:highlight w:val="none"/>
                <w:lang w:val="en-US" w:eastAsia="zh-CN"/>
              </w:rPr>
              <w:t>根据上述分析，</w:t>
            </w:r>
            <w:r>
              <w:rPr>
                <w:rFonts w:hint="default" w:ascii="Times New Roman" w:hAnsi="Times New Roman" w:eastAsia="宋体" w:cs="Times New Roman"/>
                <w:sz w:val="24"/>
                <w:szCs w:val="24"/>
                <w:highlight w:val="none"/>
                <w:lang w:val="en-US" w:eastAsia="zh-CN"/>
              </w:rPr>
              <w:t>项目清洗废水日</w:t>
            </w:r>
            <w:r>
              <w:rPr>
                <w:rFonts w:hint="eastAsia" w:cs="Times New Roman"/>
                <w:sz w:val="24"/>
                <w:szCs w:val="24"/>
                <w:highlight w:val="none"/>
                <w:lang w:val="en-US" w:eastAsia="zh-CN"/>
              </w:rPr>
              <w:t>最大</w:t>
            </w:r>
            <w:r>
              <w:rPr>
                <w:rFonts w:hint="default" w:ascii="Times New Roman" w:hAnsi="Times New Roman" w:eastAsia="宋体" w:cs="Times New Roman"/>
                <w:sz w:val="24"/>
                <w:szCs w:val="24"/>
                <w:highlight w:val="none"/>
                <w:lang w:val="en-US" w:eastAsia="zh-CN"/>
              </w:rPr>
              <w:t>排放量</w:t>
            </w:r>
            <w:r>
              <w:rPr>
                <w:rFonts w:hint="eastAsia" w:cs="Times New Roman"/>
                <w:sz w:val="24"/>
                <w:szCs w:val="24"/>
                <w:highlight w:val="none"/>
                <w:lang w:val="en-US" w:eastAsia="zh-CN"/>
              </w:rPr>
              <w:t>13.5</w:t>
            </w:r>
            <w:r>
              <w:rPr>
                <w:rFonts w:hint="default" w:ascii="Times New Roman" w:hAnsi="Times New Roman" w:eastAsia="宋体" w:cs="Times New Roman"/>
                <w:sz w:val="24"/>
                <w:szCs w:val="24"/>
                <w:highlight w:val="none"/>
              </w:rPr>
              <w:t>t/d。损耗按10%计，则项目清洗</w:t>
            </w:r>
            <w:r>
              <w:rPr>
                <w:rFonts w:hint="default" w:ascii="Times New Roman" w:hAnsi="Times New Roman" w:eastAsia="宋体" w:cs="Times New Roman"/>
                <w:sz w:val="24"/>
                <w:szCs w:val="24"/>
                <w:highlight w:val="none"/>
                <w:lang w:val="en-US" w:eastAsia="zh-CN"/>
              </w:rPr>
              <w:t>工序日最大用水量</w:t>
            </w:r>
            <w:r>
              <w:rPr>
                <w:rFonts w:hint="default" w:ascii="Times New Roman" w:hAnsi="Times New Roman" w:eastAsia="宋体" w:cs="Times New Roman"/>
                <w:sz w:val="24"/>
                <w:szCs w:val="24"/>
                <w:highlight w:val="none"/>
              </w:rPr>
              <w:t>为</w:t>
            </w:r>
            <w:r>
              <w:rPr>
                <w:rFonts w:hint="eastAsia" w:cs="Times New Roman"/>
                <w:sz w:val="24"/>
                <w:szCs w:val="24"/>
                <w:highlight w:val="none"/>
                <w:lang w:val="en-US" w:eastAsia="zh-CN"/>
              </w:rPr>
              <w:t>15t</w:t>
            </w:r>
            <w:r>
              <w:rPr>
                <w:rFonts w:hint="default" w:ascii="Times New Roman" w:hAnsi="Times New Roman" w:eastAsia="宋体" w:cs="Times New Roman"/>
                <w:sz w:val="24"/>
                <w:szCs w:val="24"/>
                <w:highlight w:val="none"/>
              </w:rPr>
              <w:t>/d</w:t>
            </w:r>
            <w:r>
              <w:rPr>
                <w:rFonts w:hint="eastAsia" w:cs="Times New Roman"/>
                <w:sz w:val="24"/>
                <w:szCs w:val="24"/>
                <w:highlight w:val="none"/>
                <w:lang w:eastAsia="zh-CN"/>
              </w:rPr>
              <w:t>，</w:t>
            </w:r>
            <w:r>
              <w:rPr>
                <w:rFonts w:hint="eastAsia" w:cs="Times New Roman"/>
                <w:sz w:val="24"/>
                <w:szCs w:val="24"/>
                <w:highlight w:val="none"/>
                <w:lang w:val="en-US" w:eastAsia="zh-CN"/>
              </w:rPr>
              <w:t>其中生产线产品清洗用水量约12.5t/d，铝壳废边清洗用水量约2.5t/d。</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fldChar w:fldCharType="begin"/>
            </w:r>
            <w:r>
              <w:rPr>
                <w:rFonts w:hint="default" w:ascii="Times New Roman" w:hAnsi="Times New Roman" w:eastAsia="宋体" w:cs="Times New Roman"/>
                <w:sz w:val="24"/>
                <w:szCs w:val="24"/>
                <w:highlight w:val="none"/>
              </w:rPr>
              <w:instrText xml:space="preserve"> = 2 \* GB3 \* MERGEFORMAT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highlight w:val="none"/>
              </w:rPr>
              <w:t>②</w:t>
            </w:r>
            <w:r>
              <w:rPr>
                <w:rFonts w:hint="default" w:ascii="Times New Roman" w:hAnsi="Times New Roman" w:eastAsia="宋体" w:cs="Times New Roman"/>
                <w:sz w:val="24"/>
                <w:szCs w:val="24"/>
                <w:highlight w:val="none"/>
              </w:rPr>
              <w:fldChar w:fldCharType="end"/>
            </w:r>
            <w:r>
              <w:rPr>
                <w:rFonts w:hint="default" w:ascii="Times New Roman" w:hAnsi="Times New Roman" w:eastAsia="宋体" w:cs="Times New Roman"/>
                <w:sz w:val="24"/>
                <w:szCs w:val="24"/>
                <w:highlight w:val="none"/>
              </w:rPr>
              <w:t>漂洗用水</w:t>
            </w:r>
          </w:p>
          <w:p>
            <w:pPr>
              <w:pStyle w:val="42"/>
              <w:keepNext w:val="0"/>
              <w:keepLines w:val="0"/>
              <w:suppressLineNumbers w:val="0"/>
              <w:spacing w:before="0" w:beforeAutospacing="0" w:after="0" w:afterAutospacing="0" w:line="360" w:lineRule="auto"/>
              <w:ind w:left="0" w:right="0" w:firstLine="480"/>
              <w:rPr>
                <w:rFonts w:hint="eastAsia"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rPr>
              <w:t>本项目共有</w:t>
            </w:r>
            <w:r>
              <w:rPr>
                <w:rFonts w:hint="default" w:ascii="Times New Roman" w:hAnsi="Times New Roman" w:eastAsia="宋体" w:cs="Times New Roman"/>
                <w:sz w:val="24"/>
                <w:szCs w:val="24"/>
                <w:highlight w:val="none"/>
                <w:lang w:val="en-US" w:eastAsia="zh-CN"/>
              </w:rPr>
              <w:t>8</w:t>
            </w:r>
            <w:r>
              <w:rPr>
                <w:rFonts w:hint="default" w:ascii="Times New Roman" w:hAnsi="Times New Roman" w:eastAsia="宋体" w:cs="Times New Roman"/>
                <w:sz w:val="24"/>
                <w:szCs w:val="24"/>
                <w:highlight w:val="none"/>
              </w:rPr>
              <w:t>条生产线</w:t>
            </w:r>
            <w:r>
              <w:rPr>
                <w:rFonts w:hint="default" w:ascii="Times New Roman" w:hAnsi="Times New Roman" w:eastAsia="宋体" w:cs="Times New Roman"/>
                <w:sz w:val="24"/>
                <w:szCs w:val="24"/>
                <w:highlight w:val="none"/>
                <w:lang w:val="en-US" w:eastAsia="zh-CN"/>
              </w:rPr>
              <w:t>以及1条</w:t>
            </w:r>
            <w:r>
              <w:rPr>
                <w:rFonts w:hint="eastAsia" w:cs="Times New Roman"/>
                <w:sz w:val="24"/>
                <w:szCs w:val="24"/>
                <w:highlight w:val="none"/>
                <w:lang w:val="en-US" w:eastAsia="zh-CN"/>
              </w:rPr>
              <w:t>铝壳废边清</w:t>
            </w:r>
            <w:r>
              <w:rPr>
                <w:rFonts w:hint="default" w:ascii="Times New Roman" w:hAnsi="Times New Roman" w:eastAsia="宋体" w:cs="Times New Roman"/>
                <w:sz w:val="24"/>
                <w:szCs w:val="24"/>
                <w:highlight w:val="none"/>
                <w:lang w:val="en-US" w:eastAsia="zh-CN"/>
              </w:rPr>
              <w:t>洗线</w:t>
            </w:r>
            <w:r>
              <w:rPr>
                <w:rFonts w:hint="eastAsia" w:cs="Times New Roman"/>
                <w:sz w:val="24"/>
                <w:szCs w:val="24"/>
                <w:highlight w:val="none"/>
                <w:lang w:val="en-US" w:eastAsia="zh-CN"/>
              </w:rPr>
              <w:t>。</w:t>
            </w:r>
            <w:r>
              <w:rPr>
                <w:rFonts w:hint="default" w:ascii="Times New Roman" w:hAnsi="Times New Roman" w:eastAsia="宋体" w:cs="Times New Roman"/>
                <w:sz w:val="24"/>
                <w:szCs w:val="24"/>
                <w:highlight w:val="none"/>
              </w:rPr>
              <w:t>漂洗废水</w:t>
            </w:r>
            <w:r>
              <w:rPr>
                <w:rFonts w:hint="eastAsia" w:ascii="Times New Roman" w:hAnsi="Times New Roman" w:eastAsia="宋体" w:cs="Times New Roman"/>
                <w:sz w:val="24"/>
                <w:szCs w:val="24"/>
                <w:highlight w:val="none"/>
                <w:lang w:val="en-US" w:eastAsia="zh-CN"/>
              </w:rPr>
              <w:t>均</w:t>
            </w:r>
            <w:r>
              <w:rPr>
                <w:rFonts w:hint="default" w:ascii="Times New Roman" w:hAnsi="Times New Roman" w:eastAsia="宋体" w:cs="Times New Roman"/>
                <w:sz w:val="24"/>
                <w:szCs w:val="24"/>
                <w:highlight w:val="none"/>
              </w:rPr>
              <w:t>以0.5t/h的流量溢流的方式进行排放</w:t>
            </w:r>
            <w:r>
              <w:rPr>
                <w:rFonts w:hint="eastAsia" w:ascii="Times New Roman" w:hAnsi="Times New Roman" w:eastAsia="宋体" w:cs="Times New Roman"/>
                <w:sz w:val="24"/>
                <w:szCs w:val="24"/>
                <w:highlight w:val="none"/>
                <w:lang w:eastAsia="zh-CN"/>
              </w:rPr>
              <w:t>。</w:t>
            </w:r>
            <w:r>
              <w:rPr>
                <w:rFonts w:hint="eastAsia" w:ascii="Times New Roman" w:hAnsi="Times New Roman" w:eastAsia="宋体" w:cs="Times New Roman"/>
                <w:sz w:val="24"/>
                <w:szCs w:val="24"/>
                <w:highlight w:val="none"/>
                <w:lang w:val="en-US" w:eastAsia="zh-CN"/>
              </w:rPr>
              <w:t>生产线漂洗生产时间为</w:t>
            </w:r>
            <w:r>
              <w:rPr>
                <w:rFonts w:hint="default" w:ascii="Times New Roman" w:hAnsi="Times New Roman" w:eastAsia="宋体" w:cs="Times New Roman"/>
                <w:sz w:val="24"/>
                <w:szCs w:val="24"/>
                <w:highlight w:val="none"/>
              </w:rPr>
              <w:t>2</w:t>
            </w:r>
            <w:r>
              <w:rPr>
                <w:rFonts w:hint="default" w:ascii="Times New Roman" w:hAnsi="Times New Roman" w:eastAsia="宋体" w:cs="Times New Roman"/>
                <w:sz w:val="24"/>
                <w:szCs w:val="24"/>
                <w:highlight w:val="none"/>
                <w:lang w:val="en-US" w:eastAsia="zh-CN"/>
              </w:rPr>
              <w:t>0</w:t>
            </w:r>
            <w:r>
              <w:rPr>
                <w:rFonts w:hint="default" w:ascii="Times New Roman" w:hAnsi="Times New Roman" w:eastAsia="宋体" w:cs="Times New Roman"/>
                <w:sz w:val="24"/>
                <w:szCs w:val="24"/>
                <w:highlight w:val="none"/>
              </w:rPr>
              <w:t>h/d，</w:t>
            </w:r>
            <w:r>
              <w:rPr>
                <w:rFonts w:hint="eastAsia" w:cs="Times New Roman"/>
                <w:sz w:val="24"/>
                <w:szCs w:val="24"/>
                <w:highlight w:val="none"/>
                <w:lang w:val="en-US" w:eastAsia="zh-CN"/>
              </w:rPr>
              <w:t>铝壳废边清</w:t>
            </w:r>
            <w:r>
              <w:rPr>
                <w:rFonts w:hint="default" w:ascii="Times New Roman" w:hAnsi="Times New Roman" w:eastAsia="宋体" w:cs="Times New Roman"/>
                <w:sz w:val="24"/>
                <w:szCs w:val="24"/>
                <w:highlight w:val="none"/>
                <w:lang w:val="en-US" w:eastAsia="zh-CN"/>
              </w:rPr>
              <w:t>洗线</w:t>
            </w:r>
            <w:r>
              <w:rPr>
                <w:rFonts w:hint="eastAsia" w:ascii="Times New Roman" w:hAnsi="Times New Roman" w:eastAsia="宋体" w:cs="Times New Roman"/>
                <w:sz w:val="24"/>
                <w:szCs w:val="24"/>
                <w:highlight w:val="none"/>
                <w:lang w:val="en-US" w:eastAsia="zh-CN"/>
              </w:rPr>
              <w:t>漂洗生产时间为4h/d。则项目漂洗废水产生量为82t</w:t>
            </w:r>
            <w:r>
              <w:rPr>
                <w:rFonts w:hint="default" w:ascii="Times New Roman" w:hAnsi="Times New Roman" w:eastAsia="宋体" w:cs="Times New Roman"/>
                <w:sz w:val="24"/>
                <w:szCs w:val="24"/>
                <w:highlight w:val="none"/>
              </w:rPr>
              <w:t>/d，</w:t>
            </w:r>
            <w:r>
              <w:rPr>
                <w:rFonts w:hint="eastAsia" w:ascii="Times New Roman" w:hAnsi="Times New Roman" w:eastAsia="宋体" w:cs="Times New Roman"/>
                <w:sz w:val="24"/>
                <w:szCs w:val="24"/>
                <w:highlight w:val="none"/>
                <w:lang w:val="en-US" w:eastAsia="zh-CN"/>
              </w:rPr>
              <w:t>，</w:t>
            </w:r>
            <w:r>
              <w:rPr>
                <w:rFonts w:hint="default" w:ascii="Times New Roman" w:hAnsi="Times New Roman" w:eastAsia="宋体" w:cs="Times New Roman"/>
                <w:sz w:val="24"/>
                <w:szCs w:val="24"/>
                <w:highlight w:val="none"/>
              </w:rPr>
              <w:t>损耗按10%</w:t>
            </w:r>
            <w:r>
              <w:rPr>
                <w:rFonts w:hint="eastAsia" w:ascii="Times New Roman" w:hAnsi="Times New Roman" w:eastAsia="宋体" w:cs="Times New Roman"/>
                <w:sz w:val="24"/>
                <w:szCs w:val="24"/>
                <w:highlight w:val="none"/>
                <w:lang w:eastAsia="zh-CN"/>
              </w:rPr>
              <w:t>，</w:t>
            </w:r>
            <w:r>
              <w:rPr>
                <w:rFonts w:hint="eastAsia" w:ascii="Times New Roman" w:hAnsi="Times New Roman" w:eastAsia="宋体" w:cs="Times New Roman"/>
                <w:sz w:val="24"/>
                <w:szCs w:val="24"/>
                <w:highlight w:val="none"/>
                <w:lang w:val="en-US" w:eastAsia="zh-CN"/>
              </w:rPr>
              <w:t>则项目漂洗用水量约为91.1t/d，</w:t>
            </w:r>
            <w:r>
              <w:rPr>
                <w:rFonts w:hint="eastAsia" w:cs="Times New Roman"/>
                <w:sz w:val="24"/>
                <w:szCs w:val="24"/>
                <w:highlight w:val="none"/>
                <w:lang w:val="en-US" w:eastAsia="zh-CN"/>
              </w:rPr>
              <w:t>其中生产线产品漂洗用水量约88.9t/d，铝壳废边漂洗用水量约2.2t/d。</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 3 \* GB3 \* MERGEFORMAT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③</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t>纯水制备用水</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项目</w:t>
            </w:r>
            <w:r>
              <w:rPr>
                <w:rFonts w:hint="eastAsia" w:cs="Times New Roman"/>
                <w:sz w:val="24"/>
                <w:szCs w:val="24"/>
                <w:highlight w:val="none"/>
                <w:lang w:val="en-US" w:eastAsia="zh-CN"/>
              </w:rPr>
              <w:t>铝壳废边清洗线用水为自来水，而生产线清洗及漂洗工序均使用纯水，</w:t>
            </w:r>
            <w:r>
              <w:rPr>
                <w:rFonts w:hint="default" w:ascii="Times New Roman" w:hAnsi="Times New Roman" w:eastAsia="宋体" w:cs="Times New Roman"/>
                <w:sz w:val="24"/>
                <w:szCs w:val="24"/>
                <w:highlight w:val="none"/>
              </w:rPr>
              <w:t>纯水用量为</w:t>
            </w:r>
            <w:r>
              <w:rPr>
                <w:rFonts w:hint="eastAsia" w:cs="Times New Roman"/>
                <w:sz w:val="24"/>
                <w:szCs w:val="24"/>
                <w:highlight w:val="none"/>
                <w:lang w:val="en-US" w:eastAsia="zh-CN"/>
              </w:rPr>
              <w:t>101.4</w:t>
            </w:r>
            <w:r>
              <w:rPr>
                <w:rFonts w:hint="default" w:ascii="Times New Roman" w:hAnsi="Times New Roman" w:eastAsia="宋体" w:cs="Times New Roman"/>
                <w:sz w:val="24"/>
                <w:szCs w:val="24"/>
                <w:highlight w:val="none"/>
              </w:rPr>
              <w:t>t/d，纯水制备出水率为75%，则纯水制备机新鲜水用水量为</w:t>
            </w:r>
            <w:r>
              <w:rPr>
                <w:rFonts w:hint="eastAsia" w:cs="Times New Roman"/>
                <w:sz w:val="24"/>
                <w:szCs w:val="24"/>
                <w:highlight w:val="none"/>
                <w:lang w:val="en-US" w:eastAsia="zh-CN"/>
              </w:rPr>
              <w:t>135.2</w:t>
            </w:r>
            <w:r>
              <w:rPr>
                <w:rFonts w:hint="default" w:ascii="Times New Roman" w:hAnsi="Times New Roman" w:eastAsia="宋体" w:cs="Times New Roman"/>
                <w:sz w:val="24"/>
                <w:szCs w:val="24"/>
                <w:highlight w:val="none"/>
              </w:rPr>
              <w:t>t/d，浓水产生量为</w:t>
            </w:r>
            <w:r>
              <w:rPr>
                <w:rFonts w:hint="eastAsia" w:cs="Times New Roman"/>
                <w:sz w:val="24"/>
                <w:szCs w:val="24"/>
                <w:highlight w:val="none"/>
                <w:lang w:val="en-US" w:eastAsia="zh-CN"/>
              </w:rPr>
              <w:t>33.8</w:t>
            </w:r>
            <w:r>
              <w:rPr>
                <w:rFonts w:hint="default" w:ascii="Times New Roman" w:hAnsi="Times New Roman" w:eastAsia="宋体" w:cs="Times New Roman"/>
                <w:sz w:val="24"/>
                <w:szCs w:val="24"/>
                <w:highlight w:val="none"/>
                <w:lang w:val="en-US" w:eastAsia="zh-CN"/>
              </w:rPr>
              <w:t>t</w:t>
            </w:r>
            <w:r>
              <w:rPr>
                <w:rFonts w:hint="default" w:ascii="Times New Roman" w:hAnsi="Times New Roman" w:eastAsia="宋体" w:cs="Times New Roman"/>
                <w:sz w:val="24"/>
                <w:szCs w:val="24"/>
                <w:highlight w:val="none"/>
              </w:rPr>
              <w:t>/d。</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 4 \* GB3 \* MERGEFORMAT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④</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lang w:val="en-US" w:eastAsia="zh-CN"/>
              </w:rPr>
              <w:t>地面拖洗用水</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车间地面清洁使用拖布拖洗地面，拖地用水量按0.1L/m</w:t>
            </w:r>
            <w:r>
              <w:rPr>
                <w:rFonts w:hint="default" w:ascii="Times New Roman" w:hAnsi="Times New Roman" w:eastAsia="宋体" w:cs="Times New Roman"/>
                <w:sz w:val="24"/>
                <w:szCs w:val="24"/>
                <w:highlight w:val="none"/>
                <w:vertAlign w:val="superscript"/>
                <w:lang w:val="en-US" w:eastAsia="zh-CN"/>
              </w:rPr>
              <w:t>2</w:t>
            </w:r>
            <w:r>
              <w:rPr>
                <w:rFonts w:hint="default" w:ascii="Times New Roman" w:hAnsi="Times New Roman" w:eastAsia="宋体" w:cs="Times New Roman"/>
                <w:sz w:val="24"/>
                <w:szCs w:val="24"/>
                <w:highlight w:val="none"/>
                <w:lang w:val="en-US" w:eastAsia="zh-CN"/>
              </w:rPr>
              <w:t>·次计，项目每周</w:t>
            </w:r>
            <w:r>
              <w:rPr>
                <w:rFonts w:hint="default" w:ascii="Times New Roman" w:hAnsi="Times New Roman" w:eastAsia="宋体" w:cs="Times New Roman"/>
                <w:sz w:val="24"/>
                <w:szCs w:val="24"/>
                <w:highlight w:val="none"/>
              </w:rPr>
              <w:t>工作结束后</w:t>
            </w:r>
            <w:r>
              <w:rPr>
                <w:rFonts w:hint="default" w:ascii="Times New Roman" w:hAnsi="Times New Roman" w:eastAsia="宋体" w:cs="Times New Roman"/>
                <w:sz w:val="24"/>
                <w:szCs w:val="24"/>
                <w:highlight w:val="none"/>
                <w:lang w:val="en-US" w:eastAsia="zh-CN"/>
              </w:rPr>
              <w:t>进行一次拖地，生产车间</w:t>
            </w:r>
            <w:r>
              <w:rPr>
                <w:rFonts w:hint="default" w:ascii="Times New Roman" w:hAnsi="Times New Roman" w:eastAsia="宋体" w:cs="Times New Roman"/>
                <w:color w:val="auto"/>
                <w:sz w:val="24"/>
                <w:szCs w:val="24"/>
                <w:highlight w:val="none"/>
                <w:lang w:val="en-US" w:eastAsia="zh-CN"/>
              </w:rPr>
              <w:t>面积约为4</w:t>
            </w:r>
            <w:r>
              <w:rPr>
                <w:rFonts w:hint="eastAsia" w:cs="Times New Roman"/>
                <w:color w:val="auto"/>
                <w:sz w:val="24"/>
                <w:szCs w:val="24"/>
                <w:highlight w:val="none"/>
                <w:lang w:val="en-US" w:eastAsia="zh-CN"/>
              </w:rPr>
              <w:t>542</w:t>
            </w:r>
            <w:r>
              <w:rPr>
                <w:rFonts w:hint="default" w:ascii="Times New Roman" w:hAnsi="Times New Roman" w:eastAsia="宋体" w:cs="Times New Roman"/>
                <w:color w:val="auto"/>
                <w:sz w:val="24"/>
                <w:szCs w:val="24"/>
                <w:highlight w:val="none"/>
                <w:lang w:val="en-US" w:eastAsia="zh-CN"/>
              </w:rPr>
              <w:t>m</w:t>
            </w:r>
            <w:r>
              <w:rPr>
                <w:rFonts w:hint="default" w:ascii="Times New Roman" w:hAnsi="Times New Roman" w:eastAsia="宋体" w:cs="Times New Roman"/>
                <w:color w:val="auto"/>
                <w:sz w:val="24"/>
                <w:szCs w:val="24"/>
                <w:highlight w:val="none"/>
                <w:vertAlign w:val="superscript"/>
                <w:lang w:val="en-US" w:eastAsia="zh-CN"/>
              </w:rPr>
              <w:t>2</w:t>
            </w:r>
            <w:r>
              <w:rPr>
                <w:rFonts w:hint="default" w:ascii="Times New Roman" w:hAnsi="Times New Roman" w:eastAsia="宋体" w:cs="Times New Roman"/>
                <w:sz w:val="24"/>
                <w:szCs w:val="24"/>
                <w:highlight w:val="none"/>
                <w:lang w:val="en-US" w:eastAsia="zh-CN"/>
              </w:rPr>
              <w:t>，则拖地用水量为0.</w:t>
            </w:r>
            <w:r>
              <w:rPr>
                <w:rFonts w:hint="eastAsia" w:cs="Times New Roman"/>
                <w:sz w:val="24"/>
                <w:szCs w:val="24"/>
                <w:highlight w:val="none"/>
                <w:lang w:val="en-US" w:eastAsia="zh-CN"/>
              </w:rPr>
              <w:t>45</w:t>
            </w:r>
            <w:r>
              <w:rPr>
                <w:rFonts w:hint="default" w:ascii="Times New Roman" w:hAnsi="Times New Roman" w:eastAsia="宋体" w:cs="Times New Roman"/>
                <w:sz w:val="24"/>
                <w:szCs w:val="24"/>
                <w:highlight w:val="none"/>
                <w:lang w:val="en-US" w:eastAsia="zh-CN"/>
              </w:rPr>
              <w:t>t/</w:t>
            </w:r>
            <w:r>
              <w:rPr>
                <w:rFonts w:hint="eastAsia" w:cs="Times New Roman"/>
                <w:sz w:val="24"/>
                <w:szCs w:val="24"/>
                <w:highlight w:val="none"/>
                <w:lang w:val="en-US" w:eastAsia="zh-CN"/>
              </w:rPr>
              <w:t>次</w:t>
            </w:r>
            <w:r>
              <w:rPr>
                <w:rFonts w:hint="default" w:ascii="Times New Roman" w:hAnsi="Times New Roman" w:eastAsia="宋体" w:cs="Times New Roman"/>
                <w:sz w:val="24"/>
                <w:szCs w:val="24"/>
                <w:highlight w:val="none"/>
                <w:lang w:val="en-US" w:eastAsia="zh-CN"/>
              </w:rPr>
              <w:t>（</w:t>
            </w:r>
            <w:r>
              <w:rPr>
                <w:rFonts w:hint="eastAsia" w:cs="Times New Roman"/>
                <w:sz w:val="24"/>
                <w:szCs w:val="24"/>
                <w:highlight w:val="none"/>
                <w:lang w:val="en-US" w:eastAsia="zh-CN"/>
              </w:rPr>
              <w:t>19.3</w:t>
            </w:r>
            <w:r>
              <w:rPr>
                <w:rFonts w:hint="default" w:ascii="Times New Roman" w:hAnsi="Times New Roman" w:eastAsia="宋体" w:cs="Times New Roman"/>
                <w:sz w:val="24"/>
                <w:szCs w:val="24"/>
                <w:highlight w:val="none"/>
                <w:lang w:val="en-US" w:eastAsia="zh-CN"/>
              </w:rPr>
              <w:t>t/a）</w:t>
            </w:r>
            <w:r>
              <w:rPr>
                <w:rFonts w:hint="eastAsia" w:cs="Times New Roman"/>
                <w:sz w:val="24"/>
                <w:szCs w:val="24"/>
                <w:highlight w:val="none"/>
                <w:lang w:val="en-US" w:eastAsia="zh-CN"/>
              </w:rPr>
              <w:t>。</w:t>
            </w:r>
            <w:r>
              <w:rPr>
                <w:rFonts w:hint="default" w:ascii="Times New Roman" w:hAnsi="Times New Roman" w:eastAsia="宋体" w:cs="Times New Roman"/>
                <w:sz w:val="24"/>
                <w:szCs w:val="24"/>
                <w:highlight w:val="none"/>
                <w:lang w:val="en-US" w:eastAsia="zh-CN"/>
              </w:rPr>
              <w:t>废水产生量按用水量的80%计，则拖地废水产生量为0.</w:t>
            </w:r>
            <w:r>
              <w:rPr>
                <w:rFonts w:hint="eastAsia" w:cs="Times New Roman"/>
                <w:sz w:val="24"/>
                <w:szCs w:val="24"/>
                <w:highlight w:val="none"/>
                <w:lang w:val="en-US" w:eastAsia="zh-CN"/>
              </w:rPr>
              <w:t>36</w:t>
            </w:r>
            <w:r>
              <w:rPr>
                <w:rFonts w:hint="default" w:ascii="Times New Roman" w:hAnsi="Times New Roman" w:eastAsia="宋体" w:cs="Times New Roman"/>
                <w:sz w:val="24"/>
                <w:szCs w:val="24"/>
                <w:highlight w:val="none"/>
                <w:lang w:val="en-US" w:eastAsia="zh-CN"/>
              </w:rPr>
              <w:t>t/</w:t>
            </w:r>
            <w:r>
              <w:rPr>
                <w:rFonts w:hint="eastAsia" w:cs="Times New Roman"/>
                <w:sz w:val="24"/>
                <w:szCs w:val="24"/>
                <w:highlight w:val="none"/>
                <w:lang w:val="en-US" w:eastAsia="zh-CN"/>
              </w:rPr>
              <w:t>次</w:t>
            </w:r>
            <w:r>
              <w:rPr>
                <w:rFonts w:hint="default" w:ascii="Times New Roman" w:hAnsi="Times New Roman" w:eastAsia="宋体" w:cs="Times New Roman"/>
                <w:sz w:val="24"/>
                <w:szCs w:val="24"/>
                <w:highlight w:val="none"/>
                <w:lang w:val="en-US" w:eastAsia="zh-CN"/>
              </w:rPr>
              <w:t>（</w:t>
            </w:r>
            <w:r>
              <w:rPr>
                <w:rFonts w:hint="eastAsia" w:cs="Times New Roman"/>
                <w:sz w:val="24"/>
                <w:szCs w:val="24"/>
                <w:highlight w:val="none"/>
                <w:lang w:val="en-US" w:eastAsia="zh-CN"/>
              </w:rPr>
              <w:t>15.44</w:t>
            </w:r>
            <w:r>
              <w:rPr>
                <w:rFonts w:hint="default" w:ascii="Times New Roman" w:hAnsi="Times New Roman" w:eastAsia="宋体" w:cs="Times New Roman"/>
                <w:sz w:val="24"/>
                <w:szCs w:val="24"/>
                <w:highlight w:val="none"/>
                <w:lang w:val="en-US" w:eastAsia="zh-CN"/>
              </w:rPr>
              <w:t>t/a）。地面拖洗废水沉淀后上清液同漂洗废水一同处理。</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fldChar w:fldCharType="begin"/>
            </w:r>
            <w:r>
              <w:rPr>
                <w:rFonts w:hint="default" w:ascii="Times New Roman" w:hAnsi="Times New Roman" w:eastAsia="宋体" w:cs="Times New Roman"/>
                <w:color w:val="auto"/>
                <w:sz w:val="24"/>
                <w:szCs w:val="24"/>
                <w:highlight w:val="none"/>
                <w:lang w:val="en-US" w:eastAsia="zh-CN"/>
              </w:rPr>
              <w:instrText xml:space="preserve"> = 5 \* GB3 \* MERGEFORMAT </w:instrText>
            </w:r>
            <w:r>
              <w:rPr>
                <w:rFonts w:hint="default" w:ascii="Times New Roman" w:hAnsi="Times New Roman" w:eastAsia="宋体" w:cs="Times New Roman"/>
                <w:color w:val="auto"/>
                <w:sz w:val="24"/>
                <w:szCs w:val="24"/>
                <w:highlight w:val="none"/>
                <w:lang w:val="en-US" w:eastAsia="zh-CN"/>
              </w:rPr>
              <w:fldChar w:fldCharType="separate"/>
            </w:r>
            <w:r>
              <w:rPr>
                <w:rFonts w:hint="default" w:ascii="Times New Roman" w:hAnsi="Times New Roman" w:eastAsia="宋体" w:cs="Times New Roman"/>
                <w:color w:val="auto"/>
                <w:sz w:val="24"/>
                <w:szCs w:val="24"/>
                <w:highlight w:val="none"/>
              </w:rPr>
              <w:t>⑤</w:t>
            </w:r>
            <w:r>
              <w:rPr>
                <w:rFonts w:hint="default" w:ascii="Times New Roman" w:hAnsi="Times New Roman" w:eastAsia="宋体" w:cs="Times New Roman"/>
                <w:color w:val="auto"/>
                <w:sz w:val="24"/>
                <w:szCs w:val="24"/>
                <w:highlight w:val="none"/>
                <w:lang w:val="en-US" w:eastAsia="zh-CN"/>
              </w:rPr>
              <w:fldChar w:fldCharType="end"/>
            </w:r>
            <w:r>
              <w:rPr>
                <w:rFonts w:hint="default" w:ascii="Times New Roman" w:hAnsi="Times New Roman" w:eastAsia="宋体" w:cs="Times New Roman"/>
                <w:color w:val="auto"/>
                <w:sz w:val="24"/>
                <w:szCs w:val="24"/>
                <w:highlight w:val="none"/>
                <w:lang w:val="en-US" w:eastAsia="zh-CN"/>
              </w:rPr>
              <w:t>膜反冲洗用水</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val="en-US" w:eastAsia="zh-CN"/>
              </w:rPr>
              <w:t>项目污水处理设施洗膜频率约1天2次，反冲洗水用水量约4t/d，</w:t>
            </w:r>
            <w:r>
              <w:rPr>
                <w:rFonts w:hint="default" w:ascii="Times New Roman" w:hAnsi="Times New Roman" w:eastAsia="宋体" w:cs="Times New Roman"/>
                <w:sz w:val="24"/>
                <w:szCs w:val="24"/>
                <w:highlight w:val="none"/>
              </w:rPr>
              <w:t>损耗按10%计，则项目</w:t>
            </w:r>
            <w:r>
              <w:rPr>
                <w:rFonts w:hint="default" w:ascii="Times New Roman" w:hAnsi="Times New Roman" w:eastAsia="宋体" w:cs="Times New Roman"/>
                <w:sz w:val="24"/>
                <w:szCs w:val="24"/>
                <w:highlight w:val="none"/>
                <w:lang w:val="en-US" w:eastAsia="zh-CN"/>
              </w:rPr>
              <w:t>膜反冲洗废水</w:t>
            </w:r>
            <w:r>
              <w:rPr>
                <w:rFonts w:hint="default" w:ascii="Times New Roman" w:hAnsi="Times New Roman" w:eastAsia="宋体" w:cs="Times New Roman"/>
                <w:sz w:val="24"/>
                <w:szCs w:val="24"/>
                <w:highlight w:val="none"/>
              </w:rPr>
              <w:t>为</w:t>
            </w:r>
            <w:r>
              <w:rPr>
                <w:rFonts w:hint="default" w:ascii="Times New Roman" w:hAnsi="Times New Roman" w:eastAsia="宋体" w:cs="Times New Roman"/>
                <w:sz w:val="24"/>
                <w:szCs w:val="24"/>
                <w:highlight w:val="none"/>
                <w:lang w:val="en-US" w:eastAsia="zh-CN"/>
              </w:rPr>
              <w:t>3.6</w:t>
            </w:r>
            <w:r>
              <w:rPr>
                <w:rFonts w:hint="default" w:ascii="Times New Roman" w:hAnsi="Times New Roman" w:eastAsia="宋体" w:cs="Times New Roman"/>
                <w:sz w:val="24"/>
                <w:szCs w:val="24"/>
                <w:highlight w:val="none"/>
              </w:rPr>
              <w:t>t/d。</w:t>
            </w:r>
          </w:p>
          <w:p>
            <w:pPr>
              <w:pStyle w:val="42"/>
              <w:keepNext w:val="0"/>
              <w:keepLines w:val="0"/>
              <w:numPr>
                <w:ilvl w:val="0"/>
                <w:numId w:val="7"/>
              </w:numPr>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生活用水</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本项目给水主要用于职工生产期间卫生用水，项目职工定员200人，均不住厂，根据《建筑给水排水设计标准》(GB50015-2019)，本项目不住宿</w:t>
            </w:r>
            <w:r>
              <w:rPr>
                <w:rFonts w:hint="eastAsia" w:cs="Times New Roman"/>
                <w:sz w:val="24"/>
                <w:szCs w:val="24"/>
                <w:lang w:eastAsia="zh-CN"/>
              </w:rPr>
              <w:t>员工</w:t>
            </w:r>
            <w:r>
              <w:rPr>
                <w:rFonts w:hint="default" w:ascii="Times New Roman" w:hAnsi="Times New Roman" w:eastAsia="宋体" w:cs="Times New Roman"/>
                <w:sz w:val="24"/>
                <w:szCs w:val="24"/>
              </w:rPr>
              <w:t>用水量按50L/人·d计，年工作</w:t>
            </w:r>
            <w:r>
              <w:rPr>
                <w:rFonts w:hint="default" w:ascii="Times New Roman" w:hAnsi="Times New Roman" w:eastAsia="宋体" w:cs="Times New Roman"/>
                <w:sz w:val="24"/>
                <w:szCs w:val="24"/>
                <w:lang w:val="en-US" w:eastAsia="zh-CN"/>
              </w:rPr>
              <w:t>300</w:t>
            </w:r>
            <w:r>
              <w:rPr>
                <w:rFonts w:hint="default" w:ascii="Times New Roman" w:hAnsi="Times New Roman" w:eastAsia="宋体" w:cs="Times New Roman"/>
                <w:sz w:val="24"/>
                <w:szCs w:val="24"/>
              </w:rPr>
              <w:t>天，则年用水量为3</w:t>
            </w:r>
            <w:r>
              <w:rPr>
                <w:rFonts w:hint="default" w:ascii="Times New Roman" w:hAnsi="Times New Roman" w:eastAsia="宋体" w:cs="Times New Roman"/>
                <w:sz w:val="24"/>
                <w:szCs w:val="24"/>
                <w:lang w:val="en-US" w:eastAsia="zh-CN"/>
              </w:rPr>
              <w:t>00</w:t>
            </w:r>
            <w:r>
              <w:rPr>
                <w:rFonts w:hint="default" w:ascii="Times New Roman" w:hAnsi="Times New Roman" w:eastAsia="宋体" w:cs="Times New Roman"/>
                <w:sz w:val="24"/>
                <w:szCs w:val="24"/>
              </w:rPr>
              <w:t>0t/a(10t/d)，排污系数取0.8，则生活污水排放量24</w:t>
            </w:r>
            <w:r>
              <w:rPr>
                <w:rFonts w:hint="default" w:ascii="Times New Roman" w:hAnsi="Times New Roman" w:eastAsia="宋体" w:cs="Times New Roman"/>
                <w:sz w:val="24"/>
                <w:szCs w:val="24"/>
                <w:lang w:val="en-US" w:eastAsia="zh-CN"/>
              </w:rPr>
              <w:t>00</w:t>
            </w:r>
            <w:r>
              <w:rPr>
                <w:rFonts w:hint="default" w:ascii="Times New Roman" w:hAnsi="Times New Roman" w:eastAsia="宋体" w:cs="Times New Roman"/>
                <w:sz w:val="24"/>
                <w:szCs w:val="24"/>
              </w:rPr>
              <w:t>t/a(8.0t/d)，生活污水经厂内化粪池预处理后，进入市政污</w:t>
            </w:r>
            <w:r>
              <w:rPr>
                <w:rFonts w:hint="default" w:ascii="Times New Roman" w:hAnsi="Times New Roman" w:eastAsia="宋体" w:cs="Times New Roman"/>
                <w:sz w:val="24"/>
                <w:szCs w:val="24"/>
                <w:highlight w:val="none"/>
              </w:rPr>
              <w:t>水管网，</w:t>
            </w:r>
            <w:r>
              <w:rPr>
                <w:rFonts w:hint="default" w:ascii="Times New Roman" w:hAnsi="Times New Roman" w:eastAsia="宋体" w:cs="Times New Roman"/>
                <w:b w:val="0"/>
                <w:bCs w:val="0"/>
                <w:sz w:val="24"/>
                <w:szCs w:val="24"/>
                <w:highlight w:val="none"/>
                <w:lang w:val="en-US" w:eastAsia="zh-CN"/>
              </w:rPr>
              <w:t>纳入霞浦县污水</w:t>
            </w:r>
            <w:r>
              <w:rPr>
                <w:rFonts w:hint="default" w:ascii="Times New Roman" w:hAnsi="Times New Roman" w:eastAsia="宋体" w:cs="Times New Roman"/>
                <w:sz w:val="24"/>
                <w:szCs w:val="24"/>
                <w:highlight w:val="none"/>
                <w:lang w:val="en-US" w:eastAsia="zh-CN"/>
              </w:rPr>
              <w:t>处理厂统一处理</w:t>
            </w:r>
            <w:r>
              <w:rPr>
                <w:rFonts w:hint="default" w:ascii="Times New Roman" w:hAnsi="Times New Roman" w:eastAsia="宋体" w:cs="Times New Roman"/>
                <w:sz w:val="24"/>
                <w:szCs w:val="24"/>
                <w:highlight w:val="none"/>
              </w:rPr>
              <w:t>，</w:t>
            </w:r>
            <w:r>
              <w:rPr>
                <w:rFonts w:hint="default" w:ascii="Times New Roman" w:hAnsi="Times New Roman" w:eastAsia="宋体" w:cs="Times New Roman"/>
                <w:sz w:val="24"/>
                <w:szCs w:val="24"/>
              </w:rPr>
              <w:t>达标后排放。</w:t>
            </w:r>
          </w:p>
          <w:p>
            <w:pPr>
              <w:pStyle w:val="42"/>
              <w:keepNext w:val="0"/>
              <w:keepLines w:val="0"/>
              <w:suppressLineNumbers w:val="0"/>
              <w:spacing w:before="0" w:beforeAutospacing="0" w:after="0" w:afterAutospacing="0" w:line="360" w:lineRule="auto"/>
              <w:ind w:left="0" w:right="0" w:firstLine="480"/>
              <w:rPr>
                <w:rFonts w:hint="default" w:cs="Times New Roman"/>
                <w:sz w:val="24"/>
                <w:szCs w:val="24"/>
                <w:lang w:val="en-US" w:eastAsia="zh-CN"/>
              </w:rPr>
            </w:pPr>
            <w:r>
              <w:rPr>
                <w:rFonts w:hint="eastAsia" w:cs="Times New Roman"/>
                <w:sz w:val="24"/>
                <w:szCs w:val="24"/>
                <w:lang w:val="en-US" w:eastAsia="zh-CN"/>
              </w:rPr>
              <w:t>（3）废水处理方案</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rPr>
            </w:pPr>
            <w:r>
              <w:rPr>
                <w:rFonts w:hint="eastAsia" w:cs="Times New Roman"/>
                <w:sz w:val="24"/>
                <w:szCs w:val="24"/>
                <w:lang w:val="en-US" w:eastAsia="zh-CN"/>
              </w:rPr>
              <w:t>项目</w:t>
            </w:r>
            <w:r>
              <w:rPr>
                <w:rFonts w:hint="default" w:ascii="Times New Roman" w:hAnsi="Times New Roman" w:eastAsia="宋体" w:cs="Times New Roman"/>
                <w:sz w:val="24"/>
                <w:szCs w:val="24"/>
                <w:lang w:val="en-US" w:eastAsia="zh-CN"/>
              </w:rPr>
              <w:t>设有2套污水处理设施，1套用于处理清洗废水和膜反冲洗废水，处理能力为25t/d，采用</w:t>
            </w:r>
            <w:r>
              <w:rPr>
                <w:rFonts w:hint="eastAsia" w:cs="Times New Roman"/>
                <w:sz w:val="24"/>
                <w:szCs w:val="24"/>
                <w:lang w:val="en-US" w:eastAsia="zh-CN"/>
              </w:rPr>
              <w:t>“</w:t>
            </w:r>
            <w:r>
              <w:rPr>
                <w:rFonts w:hint="default" w:ascii="Times New Roman" w:hAnsi="Times New Roman" w:eastAsia="宋体" w:cs="Times New Roman"/>
                <w:sz w:val="24"/>
                <w:szCs w:val="24"/>
                <w:lang w:val="en-US" w:eastAsia="zh-CN"/>
              </w:rPr>
              <w:t>预处理（除油-除渣-pH调节）+NP膜过滤+NF膜过滤</w:t>
            </w:r>
            <w:r>
              <w:rPr>
                <w:rFonts w:hint="eastAsia" w:cs="Times New Roman"/>
                <w:sz w:val="24"/>
                <w:szCs w:val="24"/>
                <w:lang w:val="en-US" w:eastAsia="zh-CN"/>
              </w:rPr>
              <w:t>”</w:t>
            </w:r>
            <w:r>
              <w:rPr>
                <w:rFonts w:hint="default" w:ascii="Times New Roman" w:hAnsi="Times New Roman" w:eastAsia="宋体" w:cs="Times New Roman"/>
                <w:sz w:val="24"/>
                <w:szCs w:val="24"/>
                <w:lang w:val="en-US" w:eastAsia="zh-CN"/>
              </w:rPr>
              <w:t>工艺；</w:t>
            </w:r>
            <w:r>
              <w:rPr>
                <w:rFonts w:hint="eastAsia" w:cs="Times New Roman"/>
                <w:sz w:val="24"/>
                <w:szCs w:val="24"/>
                <w:lang w:val="en-US" w:eastAsia="zh-CN"/>
              </w:rPr>
              <w:t>另</w:t>
            </w:r>
            <w:r>
              <w:rPr>
                <w:rFonts w:hint="default" w:ascii="Times New Roman" w:hAnsi="Times New Roman" w:eastAsia="宋体" w:cs="Times New Roman"/>
                <w:sz w:val="24"/>
                <w:szCs w:val="24"/>
                <w:lang w:val="en-US" w:eastAsia="zh-CN"/>
              </w:rPr>
              <w:t>1套用于处理漂洗废水、纯水制备浓水和地面拖洗废水，处理能力为140t/d。采用</w:t>
            </w:r>
            <w:r>
              <w:rPr>
                <w:rFonts w:hint="eastAsia" w:cs="Times New Roman"/>
                <w:sz w:val="24"/>
                <w:szCs w:val="24"/>
                <w:lang w:val="en-US" w:eastAsia="zh-CN"/>
              </w:rPr>
              <w:t>“</w:t>
            </w:r>
            <w:r>
              <w:rPr>
                <w:rFonts w:hint="default" w:ascii="Times New Roman" w:hAnsi="Times New Roman" w:eastAsia="宋体" w:cs="Times New Roman"/>
                <w:sz w:val="24"/>
                <w:szCs w:val="24"/>
                <w:lang w:val="en-US" w:eastAsia="zh-CN"/>
              </w:rPr>
              <w:t>预处理（除渣+保安过滤器）+UF膜过滤+NF膜过滤</w:t>
            </w:r>
            <w:r>
              <w:rPr>
                <w:rFonts w:hint="eastAsia" w:cs="Times New Roman"/>
                <w:sz w:val="24"/>
                <w:szCs w:val="24"/>
                <w:lang w:val="en-US" w:eastAsia="zh-CN"/>
              </w:rPr>
              <w:t>”</w:t>
            </w:r>
            <w:r>
              <w:rPr>
                <w:rFonts w:hint="default" w:ascii="Times New Roman" w:hAnsi="Times New Roman" w:eastAsia="宋体" w:cs="Times New Roman"/>
                <w:sz w:val="24"/>
                <w:szCs w:val="24"/>
                <w:lang w:val="en-US" w:eastAsia="zh-CN"/>
              </w:rPr>
              <w:t>。各类废水经厂区污水处理设施处理达标后，一并由园区污水管网纳入霞浦县污水处理厂统一处理。</w:t>
            </w:r>
          </w:p>
          <w:p>
            <w:pPr>
              <w:pStyle w:val="42"/>
              <w:keepNext w:val="0"/>
              <w:keepLines w:val="0"/>
              <w:suppressLineNumbers w:val="0"/>
              <w:spacing w:before="0" w:beforeAutospacing="0" w:after="0" w:afterAutospacing="0" w:line="360" w:lineRule="auto"/>
              <w:ind w:left="0" w:leftChars="0" w:right="0" w:firstLine="480" w:firstLineChars="200"/>
              <w:jc w:val="both"/>
              <w:rPr>
                <w:rFonts w:hint="default" w:ascii="Times New Roman" w:hAnsi="Times New Roman" w:eastAsia="宋体" w:cs="Times New Roman"/>
                <w:sz w:val="24"/>
                <w:szCs w:val="24"/>
                <w:lang w:val="en-US" w:eastAsia="zh-CN"/>
              </w:rPr>
            </w:pPr>
            <w:r>
              <w:rPr>
                <w:rFonts w:hint="eastAsia" w:cs="Times New Roman"/>
                <w:sz w:val="24"/>
                <w:szCs w:val="24"/>
                <w:lang w:val="en-US" w:eastAsia="zh-CN"/>
              </w:rPr>
              <w:t>涉及商业机密</w:t>
            </w:r>
          </w:p>
          <w:p>
            <w:pPr>
              <w:pStyle w:val="38"/>
              <w:keepNext w:val="0"/>
              <w:keepLines w:val="0"/>
              <w:suppressLineNumbers w:val="0"/>
              <w:bidi w:val="0"/>
              <w:spacing w:before="0" w:beforeAutospacing="0" w:after="0" w:afterAutospacing="0"/>
              <w:ind w:right="0"/>
              <w:rPr>
                <w:rStyle w:val="41"/>
                <w:rFonts w:hint="default"/>
                <w:b/>
              </w:rPr>
            </w:pPr>
            <w:r>
              <w:rPr>
                <w:rStyle w:val="41"/>
                <w:rFonts w:hint="default"/>
                <w:b/>
              </w:rPr>
              <w:t>项目水平衡图</w:t>
            </w:r>
            <w:r>
              <w:rPr>
                <w:rStyle w:val="41"/>
                <w:rFonts w:hint="default"/>
                <w:b/>
                <w:lang w:eastAsia="zh-CN"/>
              </w:rPr>
              <w:t>（</w:t>
            </w:r>
            <w:r>
              <w:rPr>
                <w:rStyle w:val="41"/>
                <w:rFonts w:hint="default"/>
                <w:b/>
                <w:lang w:val="en-US" w:eastAsia="zh-CN"/>
              </w:rPr>
              <w:t>日最大</w:t>
            </w:r>
            <w:r>
              <w:rPr>
                <w:rStyle w:val="41"/>
                <w:rFonts w:hint="default"/>
                <w:b/>
                <w:lang w:eastAsia="zh-CN"/>
              </w:rPr>
              <w:t>）</w:t>
            </w:r>
            <w:r>
              <w:rPr>
                <w:rStyle w:val="41"/>
                <w:rFonts w:hint="default"/>
                <w:b/>
              </w:rPr>
              <w:t xml:space="preserve">  t/d</w:t>
            </w:r>
          </w:p>
          <w:p>
            <w:pPr>
              <w:pStyle w:val="4"/>
              <w:keepNext w:val="0"/>
              <w:keepLines w:val="0"/>
              <w:suppressLineNumbers w:val="0"/>
              <w:spacing w:before="0" w:beforeAutospacing="0" w:after="0" w:afterAutospacing="0"/>
              <w:ind w:left="0" w:right="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物料平衡</w:t>
            </w:r>
          </w:p>
          <w:p>
            <w:pPr>
              <w:pStyle w:val="42"/>
              <w:keepNext w:val="0"/>
              <w:keepLines w:val="0"/>
              <w:numPr>
                <w:ilvl w:val="0"/>
                <w:numId w:val="8"/>
              </w:numPr>
              <w:suppressLineNumbers w:val="0"/>
              <w:spacing w:before="0" w:beforeAutospacing="0" w:after="0" w:afterAutospacing="0"/>
              <w:ind w:left="0" w:right="0" w:firstLine="48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铝材</w:t>
            </w:r>
            <w:r>
              <w:rPr>
                <w:rFonts w:hint="default" w:ascii="Times New Roman" w:hAnsi="Times New Roman" w:eastAsia="宋体" w:cs="Times New Roman"/>
                <w:sz w:val="24"/>
                <w:szCs w:val="24"/>
                <w:lang w:val="en-US" w:eastAsia="zh-CN"/>
              </w:rPr>
              <w:t>物料平衡</w:t>
            </w:r>
          </w:p>
          <w:p>
            <w:pPr>
              <w:pStyle w:val="42"/>
              <w:keepNext w:val="0"/>
              <w:keepLines w:val="0"/>
              <w:numPr>
                <w:ilvl w:val="0"/>
                <w:numId w:val="0"/>
              </w:numPr>
              <w:suppressLineNumbers w:val="0"/>
              <w:spacing w:before="0" w:beforeAutospacing="0" w:after="0" w:afterAutospacing="0"/>
              <w:ind w:left="0" w:right="0" w:rightChars="0" w:firstLine="480" w:firstLineChars="200"/>
              <w:jc w:val="both"/>
              <w:rPr>
                <w:rFonts w:hint="default" w:ascii="Times New Roman" w:hAnsi="Times New Roman" w:eastAsia="宋体" w:cs="Times New Roman"/>
                <w:sz w:val="24"/>
                <w:szCs w:val="24"/>
                <w:lang w:val="en-US" w:eastAsia="zh-CN"/>
              </w:rPr>
            </w:pPr>
            <w:r>
              <w:rPr>
                <w:rFonts w:hint="eastAsia" w:cs="Times New Roman"/>
                <w:sz w:val="24"/>
                <w:szCs w:val="24"/>
                <w:lang w:val="en-US" w:eastAsia="zh-CN"/>
              </w:rPr>
              <w:t>涉及商业机密</w:t>
            </w:r>
          </w:p>
          <w:p>
            <w:pPr>
              <w:pStyle w:val="38"/>
              <w:keepNext w:val="0"/>
              <w:keepLines w:val="0"/>
              <w:suppressLineNumbers w:val="0"/>
              <w:bidi w:val="0"/>
              <w:spacing w:before="0" w:beforeAutospacing="0" w:after="0" w:afterAutospacing="0"/>
              <w:ind w:right="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铝材物料平衡图 t/a</w:t>
            </w:r>
          </w:p>
          <w:p>
            <w:pPr>
              <w:pStyle w:val="42"/>
              <w:keepNext w:val="0"/>
              <w:keepLines w:val="0"/>
              <w:suppressLineNumbers w:val="0"/>
              <w:spacing w:before="0" w:beforeAutospacing="0" w:after="0" w:afterAutospacing="0" w:line="240" w:lineRule="auto"/>
              <w:ind w:left="0" w:right="0" w:firstLine="480"/>
              <w:rPr>
                <w:rFonts w:hint="default" w:ascii="Times New Roman" w:hAnsi="Times New Roman" w:eastAsia="宋体" w:cs="Times New Roman"/>
                <w:sz w:val="28"/>
                <w:szCs w:val="28"/>
                <w:highlight w:val="none"/>
              </w:rPr>
            </w:pPr>
          </w:p>
          <w:p>
            <w:pPr>
              <w:pStyle w:val="42"/>
              <w:keepNext w:val="0"/>
              <w:keepLines w:val="0"/>
              <w:suppressLineNumbers w:val="0"/>
              <w:spacing w:before="0" w:beforeAutospacing="0" w:after="0" w:afterAutospacing="0"/>
              <w:ind w:left="0" w:right="0" w:firstLine="48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（2）拉伸油物料平衡</w:t>
            </w:r>
          </w:p>
          <w:p>
            <w:pPr>
              <w:pStyle w:val="42"/>
              <w:keepNext w:val="0"/>
              <w:keepLines w:val="0"/>
              <w:suppressLineNumbers w:val="0"/>
              <w:spacing w:before="0" w:beforeAutospacing="0" w:after="0" w:afterAutospacing="0"/>
              <w:ind w:left="0" w:right="0" w:firstLine="48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kern w:val="2"/>
                <w:sz w:val="24"/>
                <w:szCs w:val="24"/>
                <w:highlight w:val="none"/>
                <w:lang w:val="en-US" w:eastAsia="zh-CN" w:bidi="ar"/>
              </w:rPr>
              <w:t>项目单位产品拉伸油用量为0.0102t/万套-产品，切边产生的铝壳废边为产品的4/25，本项目</w:t>
            </w:r>
            <w:r>
              <w:rPr>
                <w:rFonts w:hint="default"/>
                <w:highlight w:val="none"/>
              </w:rPr>
              <w:commentReference w:id="6"/>
            </w:r>
            <w:r>
              <w:rPr>
                <w:rFonts w:hint="eastAsia" w:cs="Times New Roman"/>
                <w:kern w:val="2"/>
                <w:sz w:val="24"/>
                <w:szCs w:val="24"/>
                <w:highlight w:val="none"/>
                <w:lang w:val="en-US" w:eastAsia="zh-CN" w:bidi="ar"/>
              </w:rPr>
              <w:t>设计</w:t>
            </w:r>
            <w:r>
              <w:rPr>
                <w:rFonts w:hint="default" w:ascii="Times New Roman" w:hAnsi="Times New Roman" w:eastAsia="宋体" w:cs="Times New Roman"/>
                <w:kern w:val="2"/>
                <w:sz w:val="24"/>
                <w:szCs w:val="24"/>
                <w:highlight w:val="none"/>
                <w:lang w:val="en-US" w:eastAsia="zh-CN" w:bidi="ar"/>
              </w:rPr>
              <w:t>产量为7000万件/a，则切边铝壳废边</w:t>
            </w:r>
            <w:r>
              <w:rPr>
                <w:rFonts w:hint="eastAsia" w:cs="Times New Roman"/>
                <w:kern w:val="2"/>
                <w:sz w:val="24"/>
                <w:szCs w:val="24"/>
                <w:highlight w:val="none"/>
                <w:lang w:val="en-US" w:eastAsia="zh-CN" w:bidi="ar"/>
              </w:rPr>
              <w:t>带走的</w:t>
            </w:r>
            <w:r>
              <w:rPr>
                <w:rFonts w:hint="default" w:ascii="Times New Roman" w:hAnsi="Times New Roman" w:eastAsia="宋体" w:cs="Times New Roman"/>
                <w:kern w:val="2"/>
                <w:sz w:val="24"/>
                <w:szCs w:val="24"/>
                <w:highlight w:val="none"/>
                <w:lang w:val="en-US" w:eastAsia="zh-CN" w:bidi="ar"/>
              </w:rPr>
              <w:t>拉伸油约11.4</w:t>
            </w:r>
            <w:r>
              <w:rPr>
                <w:rFonts w:hint="eastAsia" w:cs="Times New Roman"/>
                <w:kern w:val="2"/>
                <w:sz w:val="24"/>
                <w:szCs w:val="24"/>
                <w:highlight w:val="none"/>
                <w:lang w:val="en-US" w:eastAsia="zh-CN" w:bidi="ar"/>
              </w:rPr>
              <w:t>2</w:t>
            </w:r>
            <w:r>
              <w:rPr>
                <w:rFonts w:hint="default" w:ascii="Times New Roman" w:hAnsi="Times New Roman" w:eastAsia="宋体" w:cs="Times New Roman"/>
                <w:kern w:val="2"/>
                <w:sz w:val="24"/>
                <w:szCs w:val="24"/>
                <w:highlight w:val="none"/>
                <w:lang w:val="en-US" w:eastAsia="zh-CN" w:bidi="ar"/>
              </w:rPr>
              <w:t>t/a</w:t>
            </w:r>
            <w:r>
              <w:rPr>
                <w:rFonts w:hint="eastAsia" w:cs="Times New Roman"/>
                <w:kern w:val="2"/>
                <w:sz w:val="24"/>
                <w:szCs w:val="24"/>
                <w:highlight w:val="none"/>
                <w:lang w:val="en-US" w:eastAsia="zh-CN" w:bidi="ar"/>
              </w:rPr>
              <w:t>。产品及铝壳废边经甩油后，回收的拉伸油过滤后回用于生产</w:t>
            </w:r>
            <w:commentRangeStart w:id="7"/>
            <w:commentRangeStart w:id="8"/>
            <w:r>
              <w:rPr>
                <w:rFonts w:hint="default"/>
                <w:highlight w:val="none"/>
              </w:rPr>
              <w:commentReference w:id="7"/>
            </w:r>
            <w:commentRangeEnd w:id="7"/>
            <w:commentRangeEnd w:id="8"/>
            <w:r>
              <w:rPr>
                <w:rFonts w:hint="default"/>
                <w:highlight w:val="none"/>
              </w:rPr>
              <w:commentReference w:id="8"/>
            </w:r>
            <w:r>
              <w:rPr>
                <w:rFonts w:hint="eastAsia" w:cs="Times New Roman"/>
                <w:kern w:val="2"/>
                <w:sz w:val="24"/>
                <w:szCs w:val="24"/>
                <w:highlight w:val="none"/>
                <w:lang w:val="en-US" w:eastAsia="zh-CN" w:bidi="ar"/>
              </w:rPr>
              <w:t>，回用量为65.29t/a，每年有6.11吨拉伸油损耗进入废水，需补充拉伸油损耗量。</w:t>
            </w:r>
            <w:r>
              <w:rPr>
                <w:rFonts w:hint="default" w:ascii="Times New Roman" w:hAnsi="Times New Roman" w:eastAsia="宋体" w:cs="Times New Roman"/>
                <w:sz w:val="24"/>
                <w:szCs w:val="24"/>
                <w:highlight w:val="none"/>
                <w:lang w:val="en-US" w:eastAsia="zh-CN"/>
              </w:rPr>
              <w:t>项目拉伸油平衡图见下图。</w:t>
            </w:r>
          </w:p>
          <w:p>
            <w:pPr>
              <w:pStyle w:val="42"/>
              <w:keepNext w:val="0"/>
              <w:keepLines w:val="0"/>
              <w:suppressLineNumbers w:val="0"/>
              <w:spacing w:before="0" w:beforeAutospacing="0" w:after="0" w:afterAutospacing="0"/>
              <w:ind w:left="0" w:leftChars="0" w:right="0" w:firstLine="480" w:firstLineChars="200"/>
              <w:rPr>
                <w:rFonts w:hint="default" w:ascii="Times New Roman" w:hAnsi="Times New Roman" w:eastAsia="宋体" w:cs="Times New Roman"/>
                <w:sz w:val="24"/>
                <w:szCs w:val="24"/>
                <w:highlight w:val="none"/>
                <w:lang w:val="en-US" w:eastAsia="zh-CN"/>
              </w:rPr>
            </w:pPr>
            <w:r>
              <w:rPr>
                <w:rFonts w:hint="eastAsia" w:cs="Times New Roman"/>
                <w:sz w:val="24"/>
                <w:szCs w:val="24"/>
                <w:highlight w:val="none"/>
                <w:lang w:val="en-US" w:eastAsia="zh-CN"/>
              </w:rPr>
              <w:t>涉及商业机密</w:t>
            </w:r>
          </w:p>
          <w:p>
            <w:pPr>
              <w:pStyle w:val="38"/>
              <w:keepNext w:val="0"/>
              <w:keepLines w:val="0"/>
              <w:suppressLineNumbers w:val="0"/>
              <w:bidi w:val="0"/>
              <w:spacing w:before="0" w:beforeAutospacing="0" w:after="0" w:afterAutospacing="0"/>
              <w:ind w:right="0"/>
              <w:rPr>
                <w:rFonts w:hint="default"/>
              </w:rPr>
            </w:pPr>
            <w:r>
              <w:rPr>
                <w:rFonts w:hint="default" w:ascii="Times New Roman" w:hAnsi="Times New Roman" w:eastAsia="宋体" w:cs="Times New Roman"/>
                <w:sz w:val="24"/>
                <w:szCs w:val="24"/>
                <w:highlight w:val="none"/>
                <w:lang w:val="en-US" w:eastAsia="zh-CN"/>
              </w:rPr>
              <w:t>项目拉伸油平衡图  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727" w:type="dxa"/>
            <w:vAlign w:val="center"/>
          </w:tcPr>
          <w:p>
            <w:pPr>
              <w:pStyle w:val="25"/>
              <w:keepNext w:val="0"/>
              <w:keepLines w:val="0"/>
              <w:suppressLineNumbers w:val="0"/>
              <w:adjustRightInd w:val="0"/>
              <w:snapToGrid w:val="0"/>
              <w:spacing w:before="0" w:beforeAutospacing="0" w:after="0" w:afterAutospacing="0"/>
              <w:ind w:left="0" w:right="0"/>
              <w:jc w:val="center"/>
              <w:rPr>
                <w:rFonts w:hint="default" w:cs="宋体"/>
                <w:sz w:val="21"/>
                <w:szCs w:val="21"/>
              </w:rPr>
            </w:pPr>
            <w:r>
              <w:rPr>
                <w:rFonts w:hint="eastAsia" w:cs="宋体"/>
                <w:sz w:val="21"/>
                <w:szCs w:val="21"/>
              </w:rPr>
              <w:t>工艺流程和产排污环节</w:t>
            </w:r>
          </w:p>
        </w:tc>
        <w:tc>
          <w:tcPr>
            <w:tcW w:w="8333" w:type="dxa"/>
          </w:tcPr>
          <w:p>
            <w:pPr>
              <w:pStyle w:val="4"/>
              <w:keepNext w:val="0"/>
              <w:keepLines w:val="0"/>
              <w:suppressLineNumbers w:val="0"/>
              <w:spacing w:before="0" w:beforeAutospacing="0" w:after="0" w:afterAutospacing="0"/>
              <w:ind w:left="0" w:right="0"/>
              <w:rPr>
                <w:rFonts w:hint="default"/>
              </w:rPr>
            </w:pPr>
            <w:bookmarkStart w:id="24" w:name="_Toc30849"/>
            <w:bookmarkStart w:id="25" w:name="_Toc19480"/>
            <w:bookmarkStart w:id="26" w:name="_Toc20890"/>
            <w:bookmarkStart w:id="27" w:name="_Toc2298"/>
            <w:r>
              <w:rPr>
                <w:rFonts w:hint="default"/>
              </w:rPr>
              <w:t>主要工艺流程及产污环节</w:t>
            </w:r>
            <w:bookmarkEnd w:id="24"/>
            <w:bookmarkEnd w:id="25"/>
            <w:bookmarkEnd w:id="26"/>
            <w:bookmarkEnd w:id="27"/>
          </w:p>
          <w:p>
            <w:pPr>
              <w:pStyle w:val="5"/>
              <w:suppressLineNumbers w:val="0"/>
              <w:spacing w:before="0" w:beforeAutospacing="0" w:after="0" w:afterAutospacing="0"/>
              <w:ind w:right="0"/>
              <w:rPr>
                <w:rFonts w:hint="default"/>
                <w:color w:val="auto"/>
              </w:rPr>
            </w:pPr>
            <w:r>
              <w:rPr>
                <w:rFonts w:hint="default"/>
                <w:color w:val="auto"/>
              </w:rPr>
              <w:t>工艺流程及产污环节</w:t>
            </w:r>
          </w:p>
          <w:p>
            <w:pPr>
              <w:pStyle w:val="42"/>
              <w:keepNext w:val="0"/>
              <w:keepLines w:val="0"/>
              <w:suppressLineNumbers w:val="0"/>
              <w:spacing w:before="0" w:beforeAutospacing="0" w:after="0" w:afterAutospacing="0"/>
              <w:ind w:left="0" w:right="0" w:firstLine="480"/>
              <w:rPr>
                <w:rFonts w:hint="eastAsia"/>
              </w:rPr>
            </w:pPr>
            <w:r>
              <w:rPr>
                <w:rFonts w:hint="eastAsia"/>
              </w:rPr>
              <w:t>项目主要生产</w:t>
            </w:r>
            <w:r>
              <w:rPr>
                <w:rFonts w:hint="default" w:ascii="Times New Roman" w:hAnsi="Times New Roman" w:eastAsia="宋体" w:cs="Times New Roman"/>
                <w:sz w:val="24"/>
                <w:szCs w:val="24"/>
              </w:rPr>
              <w:t>新能源动力电池铝壳</w:t>
            </w:r>
            <w:r>
              <w:rPr>
                <w:rFonts w:hint="eastAsia"/>
              </w:rPr>
              <w:t>，具体生产流程如下：</w:t>
            </w:r>
          </w:p>
          <w:p>
            <w:pPr>
              <w:pStyle w:val="42"/>
              <w:keepNext w:val="0"/>
              <w:keepLines w:val="0"/>
              <w:suppressLineNumbers w:val="0"/>
              <w:spacing w:before="0" w:beforeAutospacing="0" w:after="0" w:afterAutospacing="0"/>
              <w:ind w:left="0" w:right="0" w:firstLine="480"/>
              <w:rPr>
                <w:rFonts w:hint="default" w:eastAsia="宋体"/>
                <w:lang w:val="en-US" w:eastAsia="zh-CN"/>
              </w:rPr>
            </w:pPr>
            <w:r>
              <w:rPr>
                <w:rFonts w:hint="eastAsia"/>
                <w:lang w:val="en-US" w:eastAsia="zh-CN"/>
              </w:rPr>
              <w:t>涉及商业机密</w:t>
            </w:r>
          </w:p>
          <w:p>
            <w:pPr>
              <w:pStyle w:val="38"/>
              <w:keepNext w:val="0"/>
              <w:keepLines w:val="0"/>
              <w:suppressLineNumbers w:val="0"/>
              <w:spacing w:before="0" w:beforeAutospacing="0" w:after="0" w:afterAutospacing="0"/>
              <w:ind w:right="0"/>
              <w:rPr>
                <w:rFonts w:hint="default"/>
              </w:rPr>
            </w:pPr>
            <w:r>
              <w:rPr>
                <w:rFonts w:hint="eastAsia"/>
              </w:rPr>
              <w:t>项目生产工艺流程及产污环节图</w:t>
            </w:r>
          </w:p>
          <w:p>
            <w:pPr>
              <w:pStyle w:val="42"/>
              <w:keepNext w:val="0"/>
              <w:keepLines w:val="0"/>
              <w:suppressLineNumbers w:val="0"/>
              <w:spacing w:before="0" w:beforeAutospacing="0" w:after="0" w:afterAutospacing="0"/>
              <w:ind w:left="0" w:right="0" w:firstLine="480"/>
              <w:rPr>
                <w:rFonts w:hint="default"/>
                <w:lang w:val="en-US" w:eastAsia="zh-CN"/>
              </w:rPr>
            </w:pPr>
            <w:r>
              <w:rPr>
                <w:rFonts w:hint="eastAsia"/>
                <w:lang w:val="en-US" w:eastAsia="zh-CN"/>
              </w:rPr>
              <w:t>涉及商业机密</w:t>
            </w:r>
          </w:p>
          <w:p>
            <w:pPr>
              <w:keepNext w:val="0"/>
              <w:keepLines w:val="0"/>
              <w:suppressLineNumbers w:val="0"/>
              <w:spacing w:before="0" w:beforeAutospacing="0" w:after="0" w:afterAutospacing="0"/>
              <w:ind w:left="0" w:right="0"/>
              <w:rPr>
                <w:rFonts w:hint="eastAsia"/>
                <w:highlight w:val="cyan"/>
              </w:rPr>
            </w:pPr>
          </w:p>
          <w:p>
            <w:pPr>
              <w:pStyle w:val="38"/>
              <w:keepNext w:val="0"/>
              <w:keepLines w:val="0"/>
              <w:suppressLineNumbers w:val="0"/>
              <w:bidi w:val="0"/>
              <w:spacing w:before="0" w:beforeAutospacing="0" w:after="0" w:afterAutospacing="0"/>
              <w:ind w:right="0"/>
              <w:rPr>
                <w:rFonts w:hint="default"/>
              </w:rPr>
            </w:pPr>
            <w:r>
              <w:rPr>
                <w:rFonts w:hint="eastAsia"/>
                <w:highlight w:val="none"/>
                <w:lang w:val="en-US" w:eastAsia="zh-CN"/>
              </w:rPr>
              <w:t>清洗、漂洗工序流程示意图</w:t>
            </w:r>
            <w:bookmarkStart w:id="28" w:name="_Ref4827"/>
            <w:bookmarkEnd w:id="28"/>
          </w:p>
          <w:p>
            <w:pPr>
              <w:pStyle w:val="42"/>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b/>
                <w:bCs/>
              </w:rPr>
            </w:pPr>
            <w:r>
              <w:rPr>
                <w:rFonts w:hint="default" w:ascii="Times New Roman" w:hAnsi="Times New Roman" w:eastAsia="宋体" w:cs="Times New Roman"/>
                <w:b/>
                <w:bCs/>
              </w:rPr>
              <w:t>工艺说明：</w:t>
            </w:r>
          </w:p>
          <w:p>
            <w:pPr>
              <w:pStyle w:val="42"/>
              <w:keepNext w:val="0"/>
              <w:keepLines w:val="0"/>
              <w:suppressLineNumbers w:val="0"/>
              <w:spacing w:before="0" w:beforeAutospacing="0" w:after="0" w:afterAutospacing="0"/>
              <w:ind w:left="0" w:right="0" w:firstLine="480"/>
              <w:rPr>
                <w:rFonts w:hint="default"/>
                <w:lang w:val="en-US" w:eastAsia="zh-CN"/>
              </w:rPr>
            </w:pPr>
            <w:r>
              <w:rPr>
                <w:rFonts w:hint="eastAsia"/>
                <w:lang w:val="en-US" w:eastAsia="zh-CN"/>
              </w:rPr>
              <w:t>涉及商业机密</w:t>
            </w:r>
          </w:p>
          <w:p>
            <w:pPr>
              <w:pStyle w:val="5"/>
              <w:suppressLineNumbers w:val="0"/>
              <w:spacing w:before="0" w:beforeAutospacing="0" w:after="0" w:afterAutospacing="0" w:line="360" w:lineRule="auto"/>
              <w:ind w:right="0"/>
              <w:rPr>
                <w:rFonts w:hint="default" w:ascii="Times New Roman" w:hAnsi="Times New Roman" w:eastAsia="宋体" w:cs="Times New Roman"/>
              </w:rPr>
            </w:pPr>
            <w:r>
              <w:rPr>
                <w:rFonts w:hint="default" w:ascii="Times New Roman" w:hAnsi="Times New Roman" w:eastAsia="宋体" w:cs="Times New Roman"/>
              </w:rPr>
              <w:t>主要产污环节</w:t>
            </w:r>
          </w:p>
          <w:p>
            <w:pPr>
              <w:pStyle w:val="25"/>
              <w:keepNext w:val="0"/>
              <w:keepLines w:val="0"/>
              <w:suppressLineNumbers w:val="0"/>
              <w:tabs>
                <w:tab w:val="left" w:pos="0"/>
              </w:tabs>
              <w:spacing w:before="0" w:beforeAutospacing="0" w:after="0" w:afterAutospacing="0" w:line="360" w:lineRule="auto"/>
              <w:ind w:left="0" w:right="0" w:firstLine="480" w:firstLineChars="200"/>
              <w:jc w:val="both"/>
              <w:rPr>
                <w:rFonts w:hint="default" w:ascii="Times New Roman" w:hAnsi="Times New Roman" w:eastAsia="宋体" w:cs="Times New Roman"/>
              </w:rPr>
            </w:pPr>
            <w:r>
              <w:rPr>
                <w:rFonts w:hint="default" w:ascii="Times New Roman" w:hAnsi="Times New Roman" w:eastAsia="宋体" w:cs="Times New Roman"/>
                <w:color w:val="000000"/>
                <w:kern w:val="2"/>
                <w:szCs w:val="24"/>
                <w:lang w:bidi="ar"/>
              </w:rPr>
              <w:t>本项目主要污染环节见下表。</w:t>
            </w:r>
          </w:p>
          <w:p>
            <w:pPr>
              <w:pStyle w:val="36"/>
              <w:keepNext w:val="0"/>
              <w:keepLines w:val="0"/>
              <w:suppressLineNumbers w:val="0"/>
              <w:bidi w:val="0"/>
              <w:spacing w:before="0" w:beforeAutospacing="0" w:after="0" w:afterAutospacing="0"/>
              <w:ind w:right="0"/>
              <w:rPr>
                <w:rFonts w:hint="default"/>
                <w:color w:val="auto"/>
              </w:rPr>
            </w:pPr>
            <w:r>
              <w:rPr>
                <w:rFonts w:hint="eastAsia"/>
                <w:color w:val="auto"/>
              </w:rPr>
              <w:t>主要污染环节一览表</w:t>
            </w:r>
          </w:p>
          <w:tbl>
            <w:tblPr>
              <w:tblStyle w:val="27"/>
              <w:tblW w:w="803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520"/>
              <w:gridCol w:w="558"/>
              <w:gridCol w:w="1366"/>
              <w:gridCol w:w="1173"/>
              <w:gridCol w:w="1712"/>
              <w:gridCol w:w="270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17" w:hRule="atLeast"/>
                <w:tblHeader/>
                <w:jc w:val="center"/>
              </w:trPr>
              <w:tc>
                <w:tcPr>
                  <w:tcW w:w="520" w:type="dxa"/>
                  <w:tcBorders>
                    <w:tl2br w:val="nil"/>
                    <w:tr2bl w:val="nil"/>
                  </w:tcBorders>
                  <w:shd w:val="clear" w:color="auto" w:fill="auto"/>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污染类型</w:t>
                  </w:r>
                </w:p>
              </w:tc>
              <w:tc>
                <w:tcPr>
                  <w:tcW w:w="558" w:type="dxa"/>
                  <w:tcBorders>
                    <w:tl2br w:val="nil"/>
                    <w:tr2bl w:val="nil"/>
                  </w:tcBorders>
                  <w:shd w:val="clear" w:color="auto" w:fill="auto"/>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编号</w:t>
                  </w:r>
                </w:p>
              </w:tc>
              <w:tc>
                <w:tcPr>
                  <w:tcW w:w="1366" w:type="dxa"/>
                  <w:tcBorders>
                    <w:tl2br w:val="nil"/>
                    <w:tr2bl w:val="nil"/>
                  </w:tcBorders>
                  <w:shd w:val="clear" w:color="auto" w:fill="auto"/>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污染源名称</w:t>
                  </w:r>
                </w:p>
              </w:tc>
              <w:tc>
                <w:tcPr>
                  <w:tcW w:w="1173" w:type="dxa"/>
                  <w:tcBorders>
                    <w:tl2br w:val="nil"/>
                    <w:tr2bl w:val="nil"/>
                  </w:tcBorders>
                  <w:shd w:val="clear" w:color="auto" w:fill="auto"/>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产污环节</w:t>
                  </w:r>
                </w:p>
              </w:tc>
              <w:tc>
                <w:tcPr>
                  <w:tcW w:w="1712" w:type="dxa"/>
                  <w:tcBorders>
                    <w:tl2br w:val="nil"/>
                    <w:tr2bl w:val="nil"/>
                  </w:tcBorders>
                  <w:shd w:val="clear" w:color="auto" w:fill="auto"/>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污染因子</w:t>
                  </w:r>
                </w:p>
              </w:tc>
              <w:tc>
                <w:tcPr>
                  <w:tcW w:w="2707" w:type="dxa"/>
                  <w:tcBorders>
                    <w:tl2br w:val="nil"/>
                    <w:tr2bl w:val="nil"/>
                  </w:tcBorders>
                  <w:shd w:val="clear" w:color="auto" w:fill="auto"/>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治理措施及排放去向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17" w:hRule="atLeast"/>
                <w:tblHeader/>
                <w:jc w:val="center"/>
              </w:trPr>
              <w:tc>
                <w:tcPr>
                  <w:tcW w:w="520" w:type="dxa"/>
                  <w:tcBorders>
                    <w:tl2br w:val="nil"/>
                    <w:tr2bl w:val="nil"/>
                  </w:tcBorders>
                  <w:shd w:val="clear" w:color="auto" w:fill="auto"/>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bidi="ar"/>
                    </w:rPr>
                  </w:pPr>
                  <w:r>
                    <w:rPr>
                      <w:rFonts w:hint="default" w:ascii="Times New Roman" w:hAnsi="Times New Roman" w:eastAsia="宋体" w:cs="Times New Roman"/>
                      <w:sz w:val="21"/>
                      <w:szCs w:val="21"/>
                      <w:highlight w:val="none"/>
                      <w:lang w:val="en-US" w:eastAsia="zh-CN" w:bidi="ar"/>
                    </w:rPr>
                    <w:t>废气</w:t>
                  </w:r>
                </w:p>
              </w:tc>
              <w:tc>
                <w:tcPr>
                  <w:tcW w:w="558"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sz w:val="21"/>
                      <w:szCs w:val="21"/>
                      <w:highlight w:val="none"/>
                      <w:lang w:bidi="ar"/>
                    </w:rPr>
                  </w:pPr>
                  <w:r>
                    <w:rPr>
                      <w:rFonts w:hint="default" w:ascii="Times New Roman" w:hAnsi="Times New Roman" w:eastAsia="宋体" w:cs="Times New Roman"/>
                      <w:kern w:val="2"/>
                      <w:sz w:val="21"/>
                      <w:szCs w:val="21"/>
                      <w:highlight w:val="none"/>
                      <w:lang w:bidi="ar"/>
                    </w:rPr>
                    <w:t>G</w:t>
                  </w:r>
                  <w:r>
                    <w:rPr>
                      <w:rFonts w:hint="default" w:ascii="Times New Roman" w:hAnsi="Times New Roman" w:eastAsia="宋体" w:cs="Times New Roman"/>
                      <w:kern w:val="2"/>
                      <w:sz w:val="21"/>
                      <w:szCs w:val="21"/>
                      <w:highlight w:val="none"/>
                      <w:vertAlign w:val="subscript"/>
                      <w:lang w:bidi="ar"/>
                    </w:rPr>
                    <w:t>1</w:t>
                  </w:r>
                </w:p>
              </w:tc>
              <w:tc>
                <w:tcPr>
                  <w:tcW w:w="1366"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sz w:val="21"/>
                      <w:szCs w:val="21"/>
                      <w:highlight w:val="none"/>
                      <w:lang w:bidi="ar"/>
                    </w:rPr>
                  </w:pPr>
                  <w:r>
                    <w:rPr>
                      <w:rFonts w:hint="default" w:ascii="Times New Roman" w:hAnsi="Times New Roman" w:eastAsia="宋体" w:cs="Times New Roman"/>
                      <w:kern w:val="2"/>
                      <w:sz w:val="21"/>
                      <w:szCs w:val="21"/>
                      <w:highlight w:val="none"/>
                      <w:lang w:bidi="ar"/>
                    </w:rPr>
                    <w:t>切边废气</w:t>
                  </w:r>
                </w:p>
              </w:tc>
              <w:tc>
                <w:tcPr>
                  <w:tcW w:w="1173"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sz w:val="21"/>
                      <w:szCs w:val="21"/>
                      <w:highlight w:val="none"/>
                      <w:lang w:bidi="ar"/>
                    </w:rPr>
                  </w:pPr>
                  <w:r>
                    <w:rPr>
                      <w:rFonts w:hint="default" w:ascii="Times New Roman" w:hAnsi="Times New Roman" w:eastAsia="宋体" w:cs="Times New Roman"/>
                      <w:kern w:val="2"/>
                      <w:sz w:val="21"/>
                      <w:szCs w:val="21"/>
                      <w:highlight w:val="none"/>
                      <w:lang w:bidi="ar"/>
                    </w:rPr>
                    <w:t>切边</w:t>
                  </w:r>
                </w:p>
              </w:tc>
              <w:tc>
                <w:tcPr>
                  <w:tcW w:w="1712"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sz w:val="21"/>
                      <w:szCs w:val="21"/>
                      <w:highlight w:val="none"/>
                      <w:lang w:bidi="ar"/>
                    </w:rPr>
                  </w:pPr>
                  <w:r>
                    <w:rPr>
                      <w:rFonts w:hint="default" w:ascii="Times New Roman" w:hAnsi="Times New Roman" w:eastAsia="宋体" w:cs="Times New Roman"/>
                      <w:kern w:val="2"/>
                      <w:sz w:val="21"/>
                      <w:szCs w:val="21"/>
                      <w:highlight w:val="none"/>
                      <w:lang w:bidi="ar"/>
                    </w:rPr>
                    <w:t>颗粒物</w:t>
                  </w:r>
                </w:p>
              </w:tc>
              <w:tc>
                <w:tcPr>
                  <w:tcW w:w="2707"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sz w:val="21"/>
                      <w:szCs w:val="21"/>
                      <w:highlight w:val="none"/>
                      <w:lang w:bidi="ar"/>
                    </w:rPr>
                  </w:pPr>
                  <w:r>
                    <w:rPr>
                      <w:rFonts w:hint="default" w:ascii="Times New Roman" w:hAnsi="Times New Roman" w:eastAsia="宋体" w:cs="Times New Roman"/>
                      <w:sz w:val="21"/>
                      <w:szCs w:val="21"/>
                      <w:highlight w:val="none"/>
                    </w:rPr>
                    <w:t>自然沉降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17" w:hRule="atLeast"/>
                <w:jc w:val="center"/>
              </w:trPr>
              <w:tc>
                <w:tcPr>
                  <w:tcW w:w="520" w:type="dxa"/>
                  <w:vMerge w:val="restart"/>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lang w:bidi="ar"/>
                    </w:rPr>
                  </w:pPr>
                  <w:r>
                    <w:rPr>
                      <w:rFonts w:hint="default" w:ascii="Times New Roman" w:hAnsi="Times New Roman" w:eastAsia="宋体" w:cs="Times New Roman"/>
                      <w:sz w:val="21"/>
                      <w:szCs w:val="21"/>
                      <w:highlight w:val="none"/>
                      <w:lang w:bidi="ar"/>
                    </w:rPr>
                    <w:t>废水</w:t>
                  </w:r>
                </w:p>
              </w:tc>
              <w:tc>
                <w:tcPr>
                  <w:tcW w:w="558"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kern w:val="2"/>
                      <w:sz w:val="21"/>
                      <w:szCs w:val="21"/>
                      <w:highlight w:val="none"/>
                      <w:lang w:bidi="ar"/>
                    </w:rPr>
                    <w:t>W</w:t>
                  </w:r>
                  <w:r>
                    <w:rPr>
                      <w:rFonts w:hint="default" w:ascii="Times New Roman" w:hAnsi="Times New Roman" w:eastAsia="宋体" w:cs="Times New Roman"/>
                      <w:kern w:val="2"/>
                      <w:sz w:val="21"/>
                      <w:szCs w:val="21"/>
                      <w:highlight w:val="none"/>
                      <w:vertAlign w:val="subscript"/>
                      <w:lang w:bidi="ar"/>
                    </w:rPr>
                    <w:t>1</w:t>
                  </w:r>
                </w:p>
              </w:tc>
              <w:tc>
                <w:tcPr>
                  <w:tcW w:w="1366"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清洗废水</w:t>
                  </w:r>
                </w:p>
              </w:tc>
              <w:tc>
                <w:tcPr>
                  <w:tcW w:w="117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清洗</w:t>
                  </w:r>
                </w:p>
              </w:tc>
              <w:tc>
                <w:tcPr>
                  <w:tcW w:w="1712"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bidi="ar"/>
                    </w:rPr>
                    <w:t>pH、COD、</w:t>
                  </w:r>
                  <w:r>
                    <w:rPr>
                      <w:rFonts w:hint="default" w:ascii="Times New Roman" w:hAnsi="Times New Roman" w:eastAsia="宋体" w:cs="Times New Roman"/>
                      <w:sz w:val="21"/>
                      <w:szCs w:val="21"/>
                    </w:rPr>
                    <w:t>BOD</w:t>
                  </w:r>
                  <w:r>
                    <w:rPr>
                      <w:rFonts w:hint="default" w:ascii="Times New Roman" w:hAnsi="Times New Roman" w:eastAsia="宋体" w:cs="Times New Roman"/>
                      <w:sz w:val="21"/>
                      <w:szCs w:val="21"/>
                      <w:vertAlign w:val="subscript"/>
                    </w:rPr>
                    <w:t>5</w:t>
                  </w:r>
                  <w:r>
                    <w:rPr>
                      <w:rFonts w:hint="eastAsia" w:cs="Times New Roman"/>
                      <w:sz w:val="21"/>
                      <w:szCs w:val="21"/>
                      <w:highlight w:val="none"/>
                      <w:lang w:eastAsia="zh-CN" w:bidi="ar"/>
                    </w:rPr>
                    <w:t>、</w:t>
                  </w:r>
                  <w:r>
                    <w:rPr>
                      <w:rFonts w:hint="default" w:ascii="Times New Roman" w:hAnsi="Times New Roman" w:eastAsia="宋体" w:cs="Times New Roman"/>
                      <w:sz w:val="21"/>
                      <w:szCs w:val="21"/>
                      <w:highlight w:val="none"/>
                      <w:lang w:bidi="ar"/>
                    </w:rPr>
                    <w:t>石油类、SS、</w:t>
                  </w:r>
                  <w:r>
                    <w:rPr>
                      <w:rFonts w:hint="eastAsia" w:cs="Times New Roman"/>
                      <w:sz w:val="21"/>
                      <w:szCs w:val="21"/>
                      <w:highlight w:val="none"/>
                      <w:lang w:val="en-US" w:eastAsia="zh-CN" w:bidi="ar"/>
                    </w:rPr>
                    <w:t>LAS</w:t>
                  </w:r>
                  <w:r>
                    <w:rPr>
                      <w:rFonts w:hint="default" w:ascii="Times New Roman" w:hAnsi="Times New Roman" w:eastAsia="宋体" w:cs="Times New Roman"/>
                      <w:sz w:val="21"/>
                      <w:szCs w:val="21"/>
                      <w:highlight w:val="none"/>
                      <w:lang w:bidi="ar"/>
                    </w:rPr>
                    <w:t>、氨氮</w:t>
                  </w:r>
                  <w:r>
                    <w:rPr>
                      <w:rFonts w:hint="default" w:ascii="Times New Roman" w:hAnsi="Times New Roman" w:eastAsia="宋体" w:cs="Times New Roman"/>
                      <w:sz w:val="21"/>
                      <w:szCs w:val="21"/>
                      <w:highlight w:val="none"/>
                      <w:lang w:eastAsia="zh-CN" w:bidi="ar"/>
                    </w:rPr>
                    <w:t>、</w:t>
                  </w:r>
                  <w:r>
                    <w:rPr>
                      <w:rFonts w:hint="default" w:ascii="Times New Roman" w:hAnsi="Times New Roman" w:eastAsia="宋体" w:cs="Times New Roman"/>
                      <w:sz w:val="21"/>
                      <w:szCs w:val="21"/>
                      <w:highlight w:val="none"/>
                      <w:lang w:val="en-US" w:eastAsia="zh-CN" w:bidi="ar"/>
                    </w:rPr>
                    <w:t>总磷</w:t>
                  </w:r>
                </w:p>
              </w:tc>
              <w:tc>
                <w:tcPr>
                  <w:tcW w:w="2707" w:type="dxa"/>
                  <w:vMerge w:val="restart"/>
                  <w:tcBorders>
                    <w:tl2br w:val="nil"/>
                    <w:tr2bl w:val="nil"/>
                  </w:tcBorders>
                  <w:shd w:val="clear" w:color="auto" w:fill="auto"/>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sz w:val="21"/>
                      <w:szCs w:val="21"/>
                      <w:highlight w:val="none"/>
                      <w:lang w:val="en-US" w:eastAsia="zh-CN"/>
                    </w:rPr>
                    <w:t>经预处理（除油－除渣-pH调节）+NP膜过滤+NF膜过滤，处理达标后，</w:t>
                  </w:r>
                  <w:r>
                    <w:rPr>
                      <w:rFonts w:hint="default" w:ascii="Times New Roman" w:hAnsi="Times New Roman" w:eastAsia="宋体" w:cs="Times New Roman"/>
                      <w:color w:val="auto"/>
                      <w:sz w:val="21"/>
                      <w:szCs w:val="21"/>
                      <w:highlight w:val="none"/>
                      <w:lang w:val="en-US" w:eastAsia="zh-CN"/>
                    </w:rPr>
                    <w:t>入霞浦县污水处理厂统一处理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17" w:hRule="atLeast"/>
                <w:jc w:val="center"/>
              </w:trPr>
              <w:tc>
                <w:tcPr>
                  <w:tcW w:w="5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lang w:bidi="ar"/>
                    </w:rPr>
                  </w:pPr>
                </w:p>
              </w:tc>
              <w:tc>
                <w:tcPr>
                  <w:tcW w:w="558"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kern w:val="2"/>
                      <w:sz w:val="21"/>
                      <w:szCs w:val="21"/>
                      <w:highlight w:val="none"/>
                      <w:lang w:bidi="ar"/>
                    </w:rPr>
                  </w:pPr>
                  <w:r>
                    <w:rPr>
                      <w:rFonts w:hint="default" w:ascii="Times New Roman" w:hAnsi="Times New Roman" w:eastAsia="宋体" w:cs="Times New Roman"/>
                      <w:kern w:val="2"/>
                      <w:sz w:val="21"/>
                      <w:szCs w:val="21"/>
                      <w:highlight w:val="none"/>
                      <w:lang w:bidi="ar"/>
                    </w:rPr>
                    <w:t>W</w:t>
                  </w:r>
                  <w:r>
                    <w:rPr>
                      <w:rFonts w:hint="default" w:ascii="Times New Roman" w:hAnsi="Times New Roman" w:eastAsia="宋体" w:cs="Times New Roman"/>
                      <w:kern w:val="2"/>
                      <w:sz w:val="21"/>
                      <w:szCs w:val="21"/>
                      <w:highlight w:val="none"/>
                      <w:vertAlign w:val="subscript"/>
                      <w:lang w:val="en-US" w:eastAsia="zh-CN" w:bidi="ar"/>
                    </w:rPr>
                    <w:t>5</w:t>
                  </w:r>
                </w:p>
              </w:tc>
              <w:tc>
                <w:tcPr>
                  <w:tcW w:w="1366"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膜反冲洗废水</w:t>
                  </w:r>
                </w:p>
              </w:tc>
              <w:tc>
                <w:tcPr>
                  <w:tcW w:w="117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污水处理设施膜反冲洗</w:t>
                  </w:r>
                </w:p>
              </w:tc>
              <w:tc>
                <w:tcPr>
                  <w:tcW w:w="1712"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sz w:val="21"/>
                      <w:szCs w:val="21"/>
                      <w:highlight w:val="none"/>
                      <w:lang w:bidi="ar"/>
                    </w:rPr>
                  </w:pPr>
                  <w:r>
                    <w:rPr>
                      <w:rFonts w:hint="default" w:ascii="Times New Roman" w:hAnsi="Times New Roman" w:eastAsia="宋体" w:cs="Times New Roman"/>
                      <w:sz w:val="21"/>
                      <w:szCs w:val="21"/>
                      <w:highlight w:val="none"/>
                      <w:lang w:bidi="ar"/>
                    </w:rPr>
                    <w:t>pH、COD、</w:t>
                  </w:r>
                  <w:r>
                    <w:rPr>
                      <w:rFonts w:hint="default" w:ascii="Times New Roman" w:hAnsi="Times New Roman" w:eastAsia="宋体" w:cs="Times New Roman"/>
                      <w:sz w:val="21"/>
                      <w:szCs w:val="21"/>
                      <w:highlight w:val="none"/>
                    </w:rPr>
                    <w:t>BOD</w:t>
                  </w:r>
                  <w:r>
                    <w:rPr>
                      <w:rFonts w:hint="default" w:ascii="Times New Roman" w:hAnsi="Times New Roman" w:eastAsia="宋体" w:cs="Times New Roman"/>
                      <w:sz w:val="21"/>
                      <w:szCs w:val="21"/>
                      <w:highlight w:val="none"/>
                      <w:vertAlign w:val="subscript"/>
                    </w:rPr>
                    <w:t>5</w:t>
                  </w:r>
                  <w:r>
                    <w:rPr>
                      <w:rFonts w:hint="eastAsia" w:cs="Times New Roman"/>
                      <w:sz w:val="21"/>
                      <w:szCs w:val="21"/>
                      <w:highlight w:val="none"/>
                      <w:lang w:eastAsia="zh-CN" w:bidi="ar"/>
                    </w:rPr>
                    <w:t>、</w:t>
                  </w:r>
                  <w:r>
                    <w:rPr>
                      <w:rFonts w:hint="default" w:ascii="Times New Roman" w:hAnsi="Times New Roman" w:eastAsia="宋体" w:cs="Times New Roman"/>
                      <w:sz w:val="21"/>
                      <w:szCs w:val="21"/>
                      <w:highlight w:val="none"/>
                      <w:lang w:bidi="ar"/>
                    </w:rPr>
                    <w:t>石油类、SS、</w:t>
                  </w:r>
                  <w:r>
                    <w:rPr>
                      <w:rFonts w:hint="eastAsia" w:cs="Times New Roman"/>
                      <w:sz w:val="21"/>
                      <w:szCs w:val="21"/>
                      <w:highlight w:val="none"/>
                      <w:lang w:val="en-US" w:eastAsia="zh-CN" w:bidi="ar"/>
                    </w:rPr>
                    <w:t>LAS</w:t>
                  </w:r>
                  <w:r>
                    <w:rPr>
                      <w:rFonts w:hint="default" w:ascii="Times New Roman" w:hAnsi="Times New Roman" w:eastAsia="宋体" w:cs="Times New Roman"/>
                      <w:sz w:val="21"/>
                      <w:szCs w:val="21"/>
                      <w:highlight w:val="none"/>
                      <w:lang w:bidi="ar"/>
                    </w:rPr>
                    <w:t>、氨氮</w:t>
                  </w:r>
                  <w:r>
                    <w:rPr>
                      <w:rFonts w:hint="default" w:ascii="Times New Roman" w:hAnsi="Times New Roman" w:eastAsia="宋体" w:cs="Times New Roman"/>
                      <w:sz w:val="21"/>
                      <w:szCs w:val="21"/>
                      <w:highlight w:val="none"/>
                      <w:lang w:eastAsia="zh-CN" w:bidi="ar"/>
                    </w:rPr>
                    <w:t>、</w:t>
                  </w:r>
                  <w:r>
                    <w:rPr>
                      <w:rFonts w:hint="default" w:ascii="Times New Roman" w:hAnsi="Times New Roman" w:eastAsia="宋体" w:cs="Times New Roman"/>
                      <w:sz w:val="21"/>
                      <w:szCs w:val="21"/>
                      <w:highlight w:val="none"/>
                      <w:lang w:val="en-US" w:eastAsia="zh-CN" w:bidi="ar"/>
                    </w:rPr>
                    <w:t>总磷</w:t>
                  </w:r>
                </w:p>
              </w:tc>
              <w:tc>
                <w:tcPr>
                  <w:tcW w:w="270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17" w:hRule="atLeast"/>
                <w:jc w:val="center"/>
              </w:trPr>
              <w:tc>
                <w:tcPr>
                  <w:tcW w:w="5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rPr>
                  </w:pPr>
                </w:p>
              </w:tc>
              <w:tc>
                <w:tcPr>
                  <w:tcW w:w="558"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kern w:val="2"/>
                      <w:sz w:val="21"/>
                      <w:szCs w:val="21"/>
                      <w:highlight w:val="none"/>
                      <w:lang w:bidi="ar"/>
                    </w:rPr>
                  </w:pPr>
                  <w:r>
                    <w:rPr>
                      <w:rFonts w:hint="default" w:ascii="Times New Roman" w:hAnsi="Times New Roman" w:eastAsia="宋体" w:cs="Times New Roman"/>
                      <w:kern w:val="2"/>
                      <w:sz w:val="21"/>
                      <w:szCs w:val="21"/>
                      <w:highlight w:val="none"/>
                      <w:lang w:bidi="ar"/>
                    </w:rPr>
                    <w:t>W</w:t>
                  </w:r>
                  <w:r>
                    <w:rPr>
                      <w:rFonts w:hint="default" w:ascii="Times New Roman" w:hAnsi="Times New Roman" w:eastAsia="宋体" w:cs="Times New Roman"/>
                      <w:kern w:val="2"/>
                      <w:sz w:val="21"/>
                      <w:szCs w:val="21"/>
                      <w:highlight w:val="none"/>
                      <w:vertAlign w:val="subscript"/>
                      <w:lang w:bidi="ar"/>
                    </w:rPr>
                    <w:t>2</w:t>
                  </w:r>
                </w:p>
              </w:tc>
              <w:tc>
                <w:tcPr>
                  <w:tcW w:w="1366"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漂洗废水</w:t>
                  </w:r>
                </w:p>
              </w:tc>
              <w:tc>
                <w:tcPr>
                  <w:tcW w:w="117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漂洗</w:t>
                  </w:r>
                </w:p>
              </w:tc>
              <w:tc>
                <w:tcPr>
                  <w:tcW w:w="1712"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bidi="ar"/>
                    </w:rPr>
                    <w:t>pH、COD、</w:t>
                  </w:r>
                  <w:r>
                    <w:rPr>
                      <w:rFonts w:hint="default" w:ascii="Times New Roman" w:hAnsi="Times New Roman" w:eastAsia="宋体" w:cs="Times New Roman"/>
                      <w:sz w:val="21"/>
                      <w:szCs w:val="21"/>
                      <w:highlight w:val="none"/>
                    </w:rPr>
                    <w:t>BOD</w:t>
                  </w:r>
                  <w:r>
                    <w:rPr>
                      <w:rFonts w:hint="default" w:ascii="Times New Roman" w:hAnsi="Times New Roman" w:eastAsia="宋体" w:cs="Times New Roman"/>
                      <w:sz w:val="21"/>
                      <w:szCs w:val="21"/>
                      <w:highlight w:val="none"/>
                      <w:vertAlign w:val="subscript"/>
                    </w:rPr>
                    <w:t>5</w:t>
                  </w:r>
                  <w:r>
                    <w:rPr>
                      <w:rFonts w:hint="eastAsia" w:cs="Times New Roman"/>
                      <w:sz w:val="21"/>
                      <w:szCs w:val="21"/>
                      <w:highlight w:val="none"/>
                      <w:lang w:eastAsia="zh-CN" w:bidi="ar"/>
                    </w:rPr>
                    <w:t>、</w:t>
                  </w:r>
                  <w:r>
                    <w:rPr>
                      <w:rFonts w:hint="default" w:ascii="Times New Roman" w:hAnsi="Times New Roman" w:eastAsia="宋体" w:cs="Times New Roman"/>
                      <w:sz w:val="21"/>
                      <w:szCs w:val="21"/>
                      <w:highlight w:val="none"/>
                      <w:lang w:bidi="ar"/>
                    </w:rPr>
                    <w:t>石油类、SS、</w:t>
                  </w:r>
                  <w:r>
                    <w:rPr>
                      <w:rFonts w:hint="eastAsia" w:cs="Times New Roman"/>
                      <w:sz w:val="21"/>
                      <w:szCs w:val="21"/>
                      <w:highlight w:val="none"/>
                      <w:lang w:val="en-US" w:eastAsia="zh-CN" w:bidi="ar"/>
                    </w:rPr>
                    <w:t>LAS</w:t>
                  </w:r>
                  <w:r>
                    <w:rPr>
                      <w:rFonts w:hint="default" w:ascii="Times New Roman" w:hAnsi="Times New Roman" w:eastAsia="宋体" w:cs="Times New Roman"/>
                      <w:sz w:val="21"/>
                      <w:szCs w:val="21"/>
                      <w:highlight w:val="none"/>
                      <w:lang w:bidi="ar"/>
                    </w:rPr>
                    <w:t>、氨氮</w:t>
                  </w:r>
                  <w:r>
                    <w:rPr>
                      <w:rFonts w:hint="default" w:ascii="Times New Roman" w:hAnsi="Times New Roman" w:eastAsia="宋体" w:cs="Times New Roman"/>
                      <w:sz w:val="21"/>
                      <w:szCs w:val="21"/>
                      <w:highlight w:val="none"/>
                      <w:lang w:eastAsia="zh-CN" w:bidi="ar"/>
                    </w:rPr>
                    <w:t>、</w:t>
                  </w:r>
                  <w:r>
                    <w:rPr>
                      <w:rFonts w:hint="default" w:ascii="Times New Roman" w:hAnsi="Times New Roman" w:eastAsia="宋体" w:cs="Times New Roman"/>
                      <w:sz w:val="21"/>
                      <w:szCs w:val="21"/>
                      <w:highlight w:val="none"/>
                      <w:lang w:val="en-US" w:eastAsia="zh-CN" w:bidi="ar"/>
                    </w:rPr>
                    <w:t>总磷</w:t>
                  </w:r>
                  <w:r>
                    <w:rPr>
                      <w:rFonts w:hint="default"/>
                      <w:highlight w:val="none"/>
                    </w:rPr>
                    <w:commentReference w:id="9"/>
                  </w:r>
                </w:p>
              </w:tc>
              <w:tc>
                <w:tcPr>
                  <w:tcW w:w="2707" w:type="dxa"/>
                  <w:vMerge w:val="restart"/>
                  <w:tcBorders>
                    <w:tl2br w:val="nil"/>
                    <w:tr2bl w:val="nil"/>
                  </w:tcBorders>
                  <w:shd w:val="clear" w:color="auto" w:fill="auto"/>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b w:val="0"/>
                      <w:bCs w:val="0"/>
                      <w:sz w:val="21"/>
                      <w:szCs w:val="21"/>
                      <w:highlight w:val="none"/>
                      <w:lang w:val="en-US" w:eastAsia="zh-CN"/>
                    </w:rPr>
                    <w:t>经预处理（除渣+保安过滤器）+UF</w:t>
                  </w:r>
                  <w:r>
                    <w:rPr>
                      <w:rFonts w:hint="default" w:ascii="Times New Roman" w:hAnsi="Times New Roman" w:eastAsia="宋体" w:cs="Times New Roman"/>
                      <w:sz w:val="21"/>
                      <w:szCs w:val="21"/>
                      <w:highlight w:val="none"/>
                      <w:lang w:val="en-US" w:eastAsia="zh-CN"/>
                    </w:rPr>
                    <w:t>膜过滤+NF膜过滤，处理达标后，</w:t>
                  </w:r>
                  <w:r>
                    <w:rPr>
                      <w:rFonts w:hint="default" w:ascii="Times New Roman" w:hAnsi="Times New Roman" w:eastAsia="宋体" w:cs="Times New Roman"/>
                      <w:color w:val="auto"/>
                      <w:sz w:val="21"/>
                      <w:szCs w:val="21"/>
                      <w:highlight w:val="none"/>
                      <w:lang w:val="en-US" w:eastAsia="zh-CN"/>
                    </w:rPr>
                    <w:t>进入霞浦县污水处理厂统一处理，漂洗废水部分回用于清洗工序。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17" w:hRule="atLeast"/>
                <w:jc w:val="center"/>
              </w:trPr>
              <w:tc>
                <w:tcPr>
                  <w:tcW w:w="5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rPr>
                  </w:pPr>
                </w:p>
              </w:tc>
              <w:tc>
                <w:tcPr>
                  <w:tcW w:w="558"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kern w:val="2"/>
                      <w:sz w:val="21"/>
                      <w:szCs w:val="21"/>
                      <w:highlight w:val="none"/>
                      <w:lang w:bidi="ar"/>
                    </w:rPr>
                  </w:pPr>
                  <w:r>
                    <w:rPr>
                      <w:rFonts w:hint="default" w:ascii="Times New Roman" w:hAnsi="Times New Roman" w:eastAsia="宋体" w:cs="Times New Roman"/>
                      <w:kern w:val="2"/>
                      <w:sz w:val="21"/>
                      <w:szCs w:val="21"/>
                      <w:highlight w:val="none"/>
                      <w:lang w:bidi="ar"/>
                    </w:rPr>
                    <w:t>W</w:t>
                  </w:r>
                  <w:r>
                    <w:rPr>
                      <w:rFonts w:hint="default" w:ascii="Times New Roman" w:hAnsi="Times New Roman" w:eastAsia="宋体" w:cs="Times New Roman"/>
                      <w:kern w:val="2"/>
                      <w:sz w:val="21"/>
                      <w:szCs w:val="21"/>
                      <w:highlight w:val="none"/>
                      <w:vertAlign w:val="subscript"/>
                      <w:lang w:bidi="ar"/>
                    </w:rPr>
                    <w:t>3</w:t>
                  </w:r>
                </w:p>
              </w:tc>
              <w:tc>
                <w:tcPr>
                  <w:tcW w:w="1366"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纯水制备浓水</w:t>
                  </w:r>
                </w:p>
              </w:tc>
              <w:tc>
                <w:tcPr>
                  <w:tcW w:w="117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纯水制备系统</w:t>
                  </w:r>
                </w:p>
              </w:tc>
              <w:tc>
                <w:tcPr>
                  <w:tcW w:w="1712"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lang w:eastAsia="zh-CN" w:bidi="ar"/>
                    </w:rPr>
                  </w:pPr>
                  <w:r>
                    <w:rPr>
                      <w:rFonts w:hint="default" w:ascii="Times New Roman" w:hAnsi="Times New Roman" w:eastAsia="宋体" w:cs="Times New Roman"/>
                      <w:sz w:val="21"/>
                      <w:szCs w:val="21"/>
                      <w:highlight w:val="none"/>
                      <w:lang w:bidi="ar"/>
                    </w:rPr>
                    <w:t>COD</w:t>
                  </w:r>
                  <w:r>
                    <w:rPr>
                      <w:rFonts w:hint="default" w:ascii="Times New Roman" w:hAnsi="Times New Roman" w:eastAsia="宋体" w:cs="Times New Roman"/>
                      <w:sz w:val="21"/>
                      <w:szCs w:val="21"/>
                      <w:highlight w:val="none"/>
                      <w:lang w:eastAsia="zh-CN" w:bidi="ar"/>
                    </w:rPr>
                    <w:t>、</w:t>
                  </w:r>
                  <w:r>
                    <w:rPr>
                      <w:rFonts w:hint="default" w:ascii="Times New Roman" w:hAnsi="Times New Roman" w:eastAsia="宋体" w:cs="Times New Roman"/>
                      <w:sz w:val="21"/>
                      <w:szCs w:val="21"/>
                      <w:highlight w:val="none"/>
                      <w:lang w:bidi="ar"/>
                    </w:rPr>
                    <w:t>SS</w:t>
                  </w:r>
                </w:p>
              </w:tc>
              <w:tc>
                <w:tcPr>
                  <w:tcW w:w="270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17" w:hRule="atLeast"/>
                <w:jc w:val="center"/>
              </w:trPr>
              <w:tc>
                <w:tcPr>
                  <w:tcW w:w="5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rPr>
                  </w:pPr>
                </w:p>
              </w:tc>
              <w:tc>
                <w:tcPr>
                  <w:tcW w:w="558"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kern w:val="2"/>
                      <w:sz w:val="21"/>
                      <w:szCs w:val="21"/>
                      <w:highlight w:val="none"/>
                      <w:lang w:eastAsia="zh-CN" w:bidi="ar"/>
                    </w:rPr>
                  </w:pPr>
                  <w:r>
                    <w:rPr>
                      <w:rFonts w:hint="default" w:ascii="Times New Roman" w:hAnsi="Times New Roman" w:eastAsia="宋体" w:cs="Times New Roman"/>
                      <w:kern w:val="2"/>
                      <w:sz w:val="21"/>
                      <w:szCs w:val="21"/>
                      <w:highlight w:val="none"/>
                      <w:lang w:bidi="ar"/>
                    </w:rPr>
                    <w:t>W</w:t>
                  </w:r>
                  <w:r>
                    <w:rPr>
                      <w:rFonts w:hint="default" w:ascii="Times New Roman" w:hAnsi="Times New Roman" w:eastAsia="宋体" w:cs="Times New Roman"/>
                      <w:kern w:val="2"/>
                      <w:sz w:val="21"/>
                      <w:szCs w:val="21"/>
                      <w:highlight w:val="none"/>
                      <w:vertAlign w:val="subscript"/>
                      <w:lang w:val="en-US" w:eastAsia="zh-CN" w:bidi="ar"/>
                    </w:rPr>
                    <w:t>4</w:t>
                  </w:r>
                </w:p>
              </w:tc>
              <w:tc>
                <w:tcPr>
                  <w:tcW w:w="1366"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地面拖洗废水</w:t>
                  </w:r>
                </w:p>
              </w:tc>
              <w:tc>
                <w:tcPr>
                  <w:tcW w:w="117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地面拖洗</w:t>
                  </w:r>
                </w:p>
              </w:tc>
              <w:tc>
                <w:tcPr>
                  <w:tcW w:w="1712"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lang w:bidi="ar"/>
                    </w:rPr>
                  </w:pPr>
                  <w:r>
                    <w:rPr>
                      <w:rFonts w:hint="default" w:ascii="Times New Roman" w:hAnsi="Times New Roman" w:eastAsia="宋体" w:cs="Times New Roman"/>
                      <w:sz w:val="21"/>
                      <w:szCs w:val="21"/>
                      <w:highlight w:val="none"/>
                      <w:lang w:bidi="ar"/>
                    </w:rPr>
                    <w:t>pH、COD、</w:t>
                  </w:r>
                  <w:r>
                    <w:rPr>
                      <w:rFonts w:hint="default" w:ascii="Times New Roman" w:hAnsi="Times New Roman" w:eastAsia="宋体" w:cs="Times New Roman"/>
                      <w:sz w:val="21"/>
                      <w:szCs w:val="21"/>
                    </w:rPr>
                    <w:t>BOD</w:t>
                  </w:r>
                  <w:r>
                    <w:rPr>
                      <w:rFonts w:hint="default" w:ascii="Times New Roman" w:hAnsi="Times New Roman" w:eastAsia="宋体" w:cs="Times New Roman"/>
                      <w:sz w:val="21"/>
                      <w:szCs w:val="21"/>
                      <w:vertAlign w:val="subscript"/>
                    </w:rPr>
                    <w:t>5</w:t>
                  </w:r>
                  <w:r>
                    <w:rPr>
                      <w:rFonts w:hint="eastAsia" w:cs="Times New Roman"/>
                      <w:sz w:val="21"/>
                      <w:szCs w:val="21"/>
                      <w:highlight w:val="none"/>
                      <w:lang w:eastAsia="zh-CN" w:bidi="ar"/>
                    </w:rPr>
                    <w:t>、</w:t>
                  </w:r>
                  <w:r>
                    <w:rPr>
                      <w:rFonts w:hint="default" w:ascii="Times New Roman" w:hAnsi="Times New Roman" w:eastAsia="宋体" w:cs="Times New Roman"/>
                      <w:sz w:val="21"/>
                      <w:szCs w:val="21"/>
                      <w:highlight w:val="none"/>
                      <w:lang w:bidi="ar"/>
                    </w:rPr>
                    <w:t>石油类、SS</w:t>
                  </w:r>
                </w:p>
              </w:tc>
              <w:tc>
                <w:tcPr>
                  <w:tcW w:w="270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17" w:hRule="atLeast"/>
                <w:jc w:val="center"/>
              </w:trPr>
              <w:tc>
                <w:tcPr>
                  <w:tcW w:w="5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rPr>
                  </w:pPr>
                </w:p>
              </w:tc>
              <w:tc>
                <w:tcPr>
                  <w:tcW w:w="558"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kern w:val="2"/>
                      <w:sz w:val="21"/>
                      <w:szCs w:val="21"/>
                      <w:highlight w:val="none"/>
                      <w:lang w:eastAsia="zh-CN" w:bidi="ar"/>
                    </w:rPr>
                  </w:pPr>
                  <w:r>
                    <w:rPr>
                      <w:rFonts w:hint="default" w:ascii="Times New Roman" w:hAnsi="Times New Roman" w:eastAsia="宋体" w:cs="Times New Roman"/>
                      <w:kern w:val="2"/>
                      <w:sz w:val="21"/>
                      <w:szCs w:val="21"/>
                      <w:highlight w:val="none"/>
                      <w:lang w:bidi="ar"/>
                    </w:rPr>
                    <w:t>W</w:t>
                  </w:r>
                  <w:r>
                    <w:rPr>
                      <w:rFonts w:hint="default" w:ascii="Times New Roman" w:hAnsi="Times New Roman" w:eastAsia="宋体" w:cs="Times New Roman"/>
                      <w:kern w:val="2"/>
                      <w:sz w:val="21"/>
                      <w:szCs w:val="21"/>
                      <w:highlight w:val="none"/>
                      <w:vertAlign w:val="subscript"/>
                      <w:lang w:val="en-US" w:eastAsia="zh-CN" w:bidi="ar"/>
                    </w:rPr>
                    <w:t>6</w:t>
                  </w:r>
                </w:p>
              </w:tc>
              <w:tc>
                <w:tcPr>
                  <w:tcW w:w="1366"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生活污水</w:t>
                  </w:r>
                </w:p>
              </w:tc>
              <w:tc>
                <w:tcPr>
                  <w:tcW w:w="117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lang w:bidi="ar"/>
                    </w:rPr>
                  </w:pPr>
                  <w:r>
                    <w:rPr>
                      <w:rFonts w:hint="default" w:ascii="Times New Roman" w:hAnsi="Times New Roman" w:eastAsia="宋体" w:cs="Times New Roman"/>
                      <w:sz w:val="21"/>
                      <w:szCs w:val="21"/>
                      <w:highlight w:val="none"/>
                    </w:rPr>
                    <w:t>员工日常生活</w:t>
                  </w:r>
                </w:p>
              </w:tc>
              <w:tc>
                <w:tcPr>
                  <w:tcW w:w="1712"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lang w:bidi="ar"/>
                    </w:rPr>
                  </w:pPr>
                  <w:r>
                    <w:rPr>
                      <w:rFonts w:hint="default" w:ascii="Times New Roman" w:hAnsi="Times New Roman" w:eastAsia="宋体" w:cs="Times New Roman"/>
                      <w:sz w:val="21"/>
                      <w:szCs w:val="21"/>
                      <w:highlight w:val="none"/>
                      <w:lang w:bidi="ar"/>
                    </w:rPr>
                    <w:t>COD、BOD</w:t>
                  </w:r>
                  <w:r>
                    <w:rPr>
                      <w:rFonts w:hint="default" w:ascii="Times New Roman" w:hAnsi="Times New Roman" w:eastAsia="宋体" w:cs="Times New Roman"/>
                      <w:sz w:val="21"/>
                      <w:szCs w:val="21"/>
                      <w:highlight w:val="none"/>
                      <w:vertAlign w:val="subscript"/>
                      <w:lang w:bidi="ar"/>
                    </w:rPr>
                    <w:t>5</w:t>
                  </w:r>
                  <w:r>
                    <w:rPr>
                      <w:rFonts w:hint="default" w:ascii="Times New Roman" w:hAnsi="Times New Roman" w:eastAsia="宋体" w:cs="Times New Roman"/>
                      <w:sz w:val="21"/>
                      <w:szCs w:val="21"/>
                      <w:highlight w:val="none"/>
                      <w:lang w:bidi="ar"/>
                    </w:rPr>
                    <w:t>、SS、氨氮</w:t>
                  </w:r>
                </w:p>
              </w:tc>
              <w:tc>
                <w:tcPr>
                  <w:tcW w:w="2707"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kern w:val="2"/>
                      <w:sz w:val="21"/>
                      <w:szCs w:val="21"/>
                      <w:highlight w:val="none"/>
                      <w:lang w:eastAsia="zh-CN" w:bidi="ar"/>
                    </w:rPr>
                  </w:pPr>
                  <w:r>
                    <w:rPr>
                      <w:rFonts w:hint="default" w:ascii="Times New Roman" w:hAnsi="Times New Roman" w:eastAsia="宋体" w:cs="Times New Roman"/>
                      <w:sz w:val="21"/>
                      <w:szCs w:val="21"/>
                      <w:highlight w:val="none"/>
                    </w:rPr>
                    <w:t>经化粪池预处理后纳入</w:t>
                  </w:r>
                  <w:r>
                    <w:rPr>
                      <w:rFonts w:hint="default" w:ascii="Times New Roman" w:hAnsi="Times New Roman" w:eastAsia="宋体" w:cs="Times New Roman"/>
                      <w:sz w:val="21"/>
                      <w:szCs w:val="21"/>
                      <w:highlight w:val="none"/>
                      <w:lang w:val="en-US" w:eastAsia="zh-CN"/>
                    </w:rPr>
                    <w:t>工业园区</w:t>
                  </w:r>
                  <w:r>
                    <w:rPr>
                      <w:rFonts w:hint="default" w:ascii="Times New Roman" w:hAnsi="Times New Roman" w:eastAsia="宋体" w:cs="Times New Roman"/>
                      <w:sz w:val="21"/>
                      <w:szCs w:val="21"/>
                      <w:highlight w:val="none"/>
                    </w:rPr>
                    <w:t>市政污水管网</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进入霞浦县污水处理厂统一处理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17" w:hRule="atLeast"/>
                <w:jc w:val="center"/>
              </w:trPr>
              <w:tc>
                <w:tcPr>
                  <w:tcW w:w="520" w:type="dxa"/>
                  <w:tcBorders>
                    <w:tl2br w:val="nil"/>
                    <w:tr2bl w:val="nil"/>
                  </w:tcBorders>
                  <w:shd w:val="clear" w:color="auto" w:fill="auto"/>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lang w:bidi="ar"/>
                    </w:rPr>
                  </w:pPr>
                  <w:r>
                    <w:rPr>
                      <w:rFonts w:hint="default" w:ascii="Times New Roman" w:hAnsi="Times New Roman" w:eastAsia="宋体" w:cs="Times New Roman"/>
                      <w:sz w:val="21"/>
                      <w:szCs w:val="21"/>
                      <w:lang w:bidi="ar"/>
                    </w:rPr>
                    <w:t>噪声</w:t>
                  </w:r>
                </w:p>
              </w:tc>
              <w:tc>
                <w:tcPr>
                  <w:tcW w:w="558" w:type="dxa"/>
                  <w:tcBorders>
                    <w:tl2br w:val="nil"/>
                    <w:tr2bl w:val="nil"/>
                  </w:tcBorders>
                  <w:shd w:val="clear" w:color="auto" w:fill="auto"/>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N</w:t>
                  </w:r>
                </w:p>
              </w:tc>
              <w:tc>
                <w:tcPr>
                  <w:tcW w:w="1366" w:type="dxa"/>
                  <w:tcBorders>
                    <w:tl2br w:val="nil"/>
                    <w:tr2bl w:val="nil"/>
                  </w:tcBorders>
                  <w:shd w:val="clear" w:color="auto" w:fill="auto"/>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设备噪声</w:t>
                  </w:r>
                </w:p>
              </w:tc>
              <w:tc>
                <w:tcPr>
                  <w:tcW w:w="1173" w:type="dxa"/>
                  <w:tcBorders>
                    <w:tl2br w:val="nil"/>
                    <w:tr2bl w:val="nil"/>
                  </w:tcBorders>
                  <w:shd w:val="clear" w:color="auto" w:fill="auto"/>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冲压、拉伸、切边等</w:t>
                  </w:r>
                </w:p>
              </w:tc>
              <w:tc>
                <w:tcPr>
                  <w:tcW w:w="1712" w:type="dxa"/>
                  <w:tcBorders>
                    <w:tl2br w:val="nil"/>
                    <w:tr2bl w:val="nil"/>
                  </w:tcBorders>
                  <w:shd w:val="clear" w:color="auto" w:fill="auto"/>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L</w:t>
                  </w:r>
                  <w:r>
                    <w:rPr>
                      <w:rFonts w:hint="default" w:ascii="Times New Roman" w:hAnsi="Times New Roman" w:eastAsia="宋体" w:cs="Times New Roman"/>
                      <w:sz w:val="21"/>
                      <w:szCs w:val="21"/>
                      <w:vertAlign w:val="subscript"/>
                      <w:lang w:bidi="ar"/>
                    </w:rPr>
                    <w:t>Aeq</w:t>
                  </w:r>
                </w:p>
              </w:tc>
              <w:tc>
                <w:tcPr>
                  <w:tcW w:w="2707" w:type="dxa"/>
                  <w:tcBorders>
                    <w:tl2br w:val="nil"/>
                    <w:tr2bl w:val="nil"/>
                  </w:tcBorders>
                  <w:shd w:val="clear" w:color="auto" w:fill="auto"/>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采用隔声、减震、消声等降噪措施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17" w:hRule="atLeast"/>
                <w:jc w:val="center"/>
              </w:trPr>
              <w:tc>
                <w:tcPr>
                  <w:tcW w:w="520" w:type="dxa"/>
                  <w:vMerge w:val="restart"/>
                  <w:tcBorders>
                    <w:tl2br w:val="nil"/>
                    <w:tr2bl w:val="nil"/>
                  </w:tcBorders>
                  <w:shd w:val="clear" w:color="auto" w:fill="auto"/>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固废</w:t>
                  </w:r>
                </w:p>
              </w:tc>
              <w:tc>
                <w:tcPr>
                  <w:tcW w:w="558"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kern w:val="2"/>
                      <w:sz w:val="21"/>
                      <w:szCs w:val="21"/>
                      <w:lang w:bidi="ar"/>
                    </w:rPr>
                  </w:pPr>
                  <w:r>
                    <w:rPr>
                      <w:rFonts w:hint="default" w:ascii="Times New Roman" w:hAnsi="Times New Roman" w:eastAsia="宋体" w:cs="Times New Roman"/>
                      <w:kern w:val="2"/>
                      <w:sz w:val="21"/>
                      <w:szCs w:val="21"/>
                      <w:lang w:bidi="ar"/>
                    </w:rPr>
                    <w:t>S</w:t>
                  </w:r>
                  <w:r>
                    <w:rPr>
                      <w:rFonts w:hint="default" w:ascii="Times New Roman" w:hAnsi="Times New Roman" w:eastAsia="宋体" w:cs="Times New Roman"/>
                      <w:kern w:val="2"/>
                      <w:sz w:val="21"/>
                      <w:szCs w:val="21"/>
                      <w:vertAlign w:val="subscript"/>
                      <w:lang w:bidi="ar"/>
                    </w:rPr>
                    <w:t>1</w:t>
                  </w:r>
                </w:p>
              </w:tc>
              <w:tc>
                <w:tcPr>
                  <w:tcW w:w="1366" w:type="dxa"/>
                  <w:tcBorders>
                    <w:tl2br w:val="nil"/>
                    <w:tr2bl w:val="nil"/>
                  </w:tcBorders>
                  <w:shd w:val="clear" w:color="auto" w:fill="auto"/>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bidi="ar"/>
                    </w:rPr>
                  </w:pPr>
                  <w:r>
                    <w:rPr>
                      <w:rFonts w:hint="eastAsia" w:cs="Times New Roman"/>
                      <w:sz w:val="21"/>
                      <w:szCs w:val="21"/>
                      <w:lang w:val="en-US" w:eastAsia="zh-CN" w:bidi="ar"/>
                    </w:rPr>
                    <w:t>冲压料废边</w:t>
                  </w:r>
                </w:p>
              </w:tc>
              <w:tc>
                <w:tcPr>
                  <w:tcW w:w="1173" w:type="dxa"/>
                  <w:tcBorders>
                    <w:tl2br w:val="nil"/>
                    <w:tr2bl w:val="nil"/>
                  </w:tcBorders>
                  <w:shd w:val="clear" w:color="auto" w:fill="auto"/>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lang w:bidi="ar"/>
                    </w:rPr>
                  </w:pPr>
                  <w:r>
                    <w:rPr>
                      <w:rFonts w:hint="default" w:ascii="Times New Roman" w:hAnsi="Times New Roman" w:eastAsia="宋体" w:cs="Times New Roman"/>
                      <w:sz w:val="21"/>
                      <w:szCs w:val="21"/>
                      <w:lang w:bidi="ar"/>
                    </w:rPr>
                    <w:t>冲压</w:t>
                  </w:r>
                </w:p>
              </w:tc>
              <w:tc>
                <w:tcPr>
                  <w:tcW w:w="1712" w:type="dxa"/>
                  <w:tcBorders>
                    <w:tl2br w:val="nil"/>
                    <w:tr2bl w:val="nil"/>
                  </w:tcBorders>
                  <w:shd w:val="clear" w:color="auto" w:fill="auto"/>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lang w:bidi="ar"/>
                    </w:rPr>
                  </w:pPr>
                  <w:r>
                    <w:rPr>
                      <w:rFonts w:hint="default" w:ascii="Times New Roman" w:hAnsi="Times New Roman" w:eastAsia="宋体" w:cs="Times New Roman"/>
                      <w:sz w:val="21"/>
                      <w:szCs w:val="21"/>
                      <w:lang w:bidi="ar"/>
                    </w:rPr>
                    <w:t>铝材</w:t>
                  </w:r>
                </w:p>
              </w:tc>
              <w:tc>
                <w:tcPr>
                  <w:tcW w:w="2707"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kern w:val="2"/>
                      <w:sz w:val="21"/>
                      <w:szCs w:val="21"/>
                      <w:lang w:val="en-US" w:eastAsia="zh-CN" w:bidi="ar"/>
                    </w:rPr>
                  </w:pPr>
                  <w:r>
                    <w:rPr>
                      <w:rFonts w:hint="default" w:ascii="Times New Roman" w:hAnsi="Times New Roman" w:eastAsia="宋体" w:cs="Times New Roman"/>
                      <w:kern w:val="2"/>
                      <w:sz w:val="21"/>
                      <w:szCs w:val="21"/>
                      <w:lang w:val="en-US" w:eastAsia="zh-CN" w:bidi="ar"/>
                    </w:rPr>
                    <w:t>暂存在</w:t>
                  </w:r>
                  <w:r>
                    <w:rPr>
                      <w:rFonts w:hint="default" w:ascii="Times New Roman" w:hAnsi="Times New Roman" w:eastAsia="宋体" w:cs="Times New Roman"/>
                      <w:color w:val="auto"/>
                      <w:kern w:val="2"/>
                      <w:sz w:val="21"/>
                      <w:szCs w:val="21"/>
                      <w:lang w:val="en-US" w:eastAsia="zh-CN" w:bidi="ar"/>
                    </w:rPr>
                    <w:t>冲压料报废仓</w:t>
                  </w:r>
                  <w:r>
                    <w:rPr>
                      <w:rFonts w:hint="default" w:ascii="Times New Roman" w:hAnsi="Times New Roman" w:eastAsia="宋体" w:cs="Times New Roman"/>
                      <w:kern w:val="2"/>
                      <w:sz w:val="21"/>
                      <w:szCs w:val="21"/>
                      <w:lang w:val="en-US" w:eastAsia="zh-CN" w:bidi="ar"/>
                    </w:rPr>
                    <w:t>，收集后外售综合利用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17" w:hRule="atLeast"/>
                <w:jc w:val="center"/>
              </w:trPr>
              <w:tc>
                <w:tcPr>
                  <w:tcW w:w="520" w:type="dxa"/>
                  <w:vMerge w:val="continue"/>
                  <w:tcBorders>
                    <w:tl2br w:val="nil"/>
                    <w:tr2bl w:val="nil"/>
                  </w:tcBorders>
                  <w:shd w:val="clear" w:color="auto" w:fill="auto"/>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lang w:bidi="ar"/>
                    </w:rPr>
                  </w:pPr>
                </w:p>
              </w:tc>
              <w:tc>
                <w:tcPr>
                  <w:tcW w:w="558"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lang w:bidi="ar"/>
                    </w:rPr>
                  </w:pPr>
                  <w:r>
                    <w:rPr>
                      <w:rFonts w:hint="default" w:ascii="Times New Roman" w:hAnsi="Times New Roman" w:eastAsia="宋体" w:cs="Times New Roman"/>
                      <w:color w:val="auto"/>
                      <w:kern w:val="2"/>
                      <w:sz w:val="21"/>
                      <w:szCs w:val="21"/>
                      <w:highlight w:val="none"/>
                      <w:lang w:bidi="ar"/>
                    </w:rPr>
                    <w:t>S</w:t>
                  </w:r>
                  <w:r>
                    <w:rPr>
                      <w:rFonts w:hint="default" w:ascii="Times New Roman" w:hAnsi="Times New Roman" w:eastAsia="宋体" w:cs="Times New Roman"/>
                      <w:color w:val="auto"/>
                      <w:kern w:val="2"/>
                      <w:sz w:val="21"/>
                      <w:szCs w:val="21"/>
                      <w:highlight w:val="none"/>
                      <w:vertAlign w:val="subscript"/>
                      <w:lang w:bidi="ar"/>
                    </w:rPr>
                    <w:t>2</w:t>
                  </w:r>
                </w:p>
              </w:tc>
              <w:tc>
                <w:tcPr>
                  <w:tcW w:w="1366" w:type="dxa"/>
                  <w:tcBorders>
                    <w:tl2br w:val="nil"/>
                    <w:tr2bl w:val="nil"/>
                  </w:tcBorders>
                  <w:shd w:val="clear" w:color="auto" w:fill="auto"/>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bidi="ar"/>
                    </w:rPr>
                  </w:pPr>
                  <w:r>
                    <w:rPr>
                      <w:rFonts w:hint="default" w:ascii="Times New Roman" w:hAnsi="Times New Roman" w:eastAsia="宋体" w:cs="Times New Roman"/>
                      <w:color w:val="auto"/>
                      <w:sz w:val="21"/>
                      <w:szCs w:val="21"/>
                      <w:highlight w:val="none"/>
                      <w:lang w:val="en-US" w:eastAsia="zh-CN" w:bidi="ar"/>
                    </w:rPr>
                    <w:t>铝壳废边</w:t>
                  </w:r>
                </w:p>
              </w:tc>
              <w:tc>
                <w:tcPr>
                  <w:tcW w:w="1173" w:type="dxa"/>
                  <w:tcBorders>
                    <w:tl2br w:val="nil"/>
                    <w:tr2bl w:val="nil"/>
                  </w:tcBorders>
                  <w:shd w:val="clear" w:color="auto" w:fill="auto"/>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bidi="ar"/>
                    </w:rPr>
                  </w:pPr>
                  <w:r>
                    <w:rPr>
                      <w:rFonts w:hint="default" w:ascii="Times New Roman" w:hAnsi="Times New Roman" w:eastAsia="宋体" w:cs="Times New Roman"/>
                      <w:color w:val="auto"/>
                      <w:sz w:val="21"/>
                      <w:szCs w:val="21"/>
                      <w:highlight w:val="none"/>
                      <w:lang w:bidi="ar"/>
                    </w:rPr>
                    <w:t>切边</w:t>
                  </w:r>
                </w:p>
              </w:tc>
              <w:tc>
                <w:tcPr>
                  <w:tcW w:w="1712" w:type="dxa"/>
                  <w:tcBorders>
                    <w:tl2br w:val="nil"/>
                    <w:tr2bl w:val="nil"/>
                  </w:tcBorders>
                  <w:shd w:val="clear" w:color="auto" w:fill="auto"/>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bidi="ar"/>
                    </w:rPr>
                  </w:pPr>
                  <w:r>
                    <w:rPr>
                      <w:rFonts w:hint="default" w:ascii="Times New Roman" w:hAnsi="Times New Roman" w:eastAsia="宋体" w:cs="Times New Roman"/>
                      <w:color w:val="auto"/>
                      <w:sz w:val="21"/>
                      <w:szCs w:val="21"/>
                      <w:highlight w:val="none"/>
                      <w:lang w:bidi="ar"/>
                    </w:rPr>
                    <w:t>铝材</w:t>
                  </w:r>
                </w:p>
              </w:tc>
              <w:tc>
                <w:tcPr>
                  <w:tcW w:w="2707" w:type="dxa"/>
                  <w:tcBorders>
                    <w:tl2br w:val="nil"/>
                    <w:tr2bl w:val="nil"/>
                  </w:tcBorders>
                  <w:shd w:val="clear" w:color="auto" w:fill="auto"/>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bidi="ar"/>
                    </w:rPr>
                  </w:pPr>
                  <w:r>
                    <w:rPr>
                      <w:rFonts w:hint="default" w:ascii="Times New Roman" w:hAnsi="Times New Roman" w:eastAsia="宋体" w:cs="Times New Roman"/>
                      <w:sz w:val="21"/>
                      <w:szCs w:val="21"/>
                      <w:highlight w:val="none"/>
                      <w:lang w:val="en-US" w:eastAsia="zh-CN" w:bidi="ar"/>
                    </w:rPr>
                    <w:t>经清洗工序后，</w:t>
                  </w:r>
                  <w:r>
                    <w:rPr>
                      <w:rFonts w:hint="default" w:ascii="Times New Roman" w:hAnsi="Times New Roman" w:eastAsia="宋体" w:cs="Times New Roman"/>
                      <w:kern w:val="2"/>
                      <w:sz w:val="21"/>
                      <w:szCs w:val="21"/>
                      <w:lang w:val="en-US" w:eastAsia="zh-CN" w:bidi="ar"/>
                    </w:rPr>
                    <w:t>暂存在</w:t>
                  </w:r>
                  <w:r>
                    <w:rPr>
                      <w:rFonts w:hint="eastAsia" w:cs="Times New Roman"/>
                      <w:kern w:val="2"/>
                      <w:sz w:val="21"/>
                      <w:szCs w:val="21"/>
                      <w:lang w:val="en-US" w:eastAsia="zh-CN" w:bidi="ar"/>
                    </w:rPr>
                    <w:t>清洗后</w:t>
                  </w:r>
                  <w:r>
                    <w:rPr>
                      <w:rFonts w:hint="eastAsia" w:cs="Times New Roman"/>
                      <w:color w:val="auto"/>
                      <w:kern w:val="2"/>
                      <w:sz w:val="21"/>
                      <w:szCs w:val="21"/>
                      <w:lang w:val="en-US" w:eastAsia="zh-CN" w:bidi="ar"/>
                    </w:rPr>
                    <w:t>铝壳废边</w:t>
                  </w:r>
                  <w:r>
                    <w:rPr>
                      <w:rFonts w:hint="default" w:ascii="Times New Roman" w:hAnsi="Times New Roman" w:eastAsia="宋体" w:cs="Times New Roman"/>
                      <w:color w:val="auto"/>
                      <w:kern w:val="2"/>
                      <w:sz w:val="21"/>
                      <w:szCs w:val="21"/>
                      <w:lang w:val="en-US" w:eastAsia="zh-CN" w:bidi="ar"/>
                    </w:rPr>
                    <w:t>暂存区，收集后外售综合</w:t>
                  </w:r>
                  <w:r>
                    <w:rPr>
                      <w:rFonts w:hint="default" w:ascii="Times New Roman" w:hAnsi="Times New Roman" w:eastAsia="宋体" w:cs="Times New Roman"/>
                      <w:kern w:val="2"/>
                      <w:sz w:val="21"/>
                      <w:szCs w:val="21"/>
                      <w:lang w:val="en-US" w:eastAsia="zh-CN" w:bidi="ar"/>
                    </w:rPr>
                    <w:t>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17" w:hRule="atLeast"/>
                <w:jc w:val="center"/>
              </w:trPr>
              <w:tc>
                <w:tcPr>
                  <w:tcW w:w="520" w:type="dxa"/>
                  <w:vMerge w:val="continue"/>
                  <w:tcBorders>
                    <w:tl2br w:val="nil"/>
                    <w:tr2bl w:val="nil"/>
                  </w:tcBorders>
                  <w:shd w:val="clear" w:color="auto" w:fill="auto"/>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lang w:bidi="ar"/>
                    </w:rPr>
                  </w:pPr>
                </w:p>
              </w:tc>
              <w:tc>
                <w:tcPr>
                  <w:tcW w:w="558"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lang w:bidi="ar"/>
                    </w:rPr>
                  </w:pPr>
                  <w:r>
                    <w:rPr>
                      <w:rFonts w:hint="default" w:ascii="Times New Roman" w:hAnsi="Times New Roman" w:eastAsia="宋体" w:cs="Times New Roman"/>
                      <w:color w:val="auto"/>
                      <w:kern w:val="2"/>
                      <w:sz w:val="21"/>
                      <w:szCs w:val="21"/>
                      <w:highlight w:val="none"/>
                      <w:lang w:bidi="ar"/>
                    </w:rPr>
                    <w:t>S</w:t>
                  </w:r>
                  <w:r>
                    <w:rPr>
                      <w:rFonts w:hint="default" w:ascii="Times New Roman" w:hAnsi="Times New Roman" w:eastAsia="宋体" w:cs="Times New Roman"/>
                      <w:color w:val="auto"/>
                      <w:kern w:val="2"/>
                      <w:sz w:val="21"/>
                      <w:szCs w:val="21"/>
                      <w:highlight w:val="none"/>
                      <w:vertAlign w:val="subscript"/>
                      <w:lang w:val="en-US" w:eastAsia="zh-CN" w:bidi="ar"/>
                    </w:rPr>
                    <w:t>3</w:t>
                  </w:r>
                </w:p>
              </w:tc>
              <w:tc>
                <w:tcPr>
                  <w:tcW w:w="1366"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切边沉降金属屑</w:t>
                  </w:r>
                </w:p>
              </w:tc>
              <w:tc>
                <w:tcPr>
                  <w:tcW w:w="1173"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lang w:bidi="ar"/>
                    </w:rPr>
                  </w:pPr>
                  <w:r>
                    <w:rPr>
                      <w:rFonts w:hint="default" w:ascii="Times New Roman" w:hAnsi="Times New Roman" w:eastAsia="宋体" w:cs="Times New Roman"/>
                      <w:color w:val="auto"/>
                      <w:kern w:val="2"/>
                      <w:sz w:val="21"/>
                      <w:szCs w:val="21"/>
                      <w:highlight w:val="none"/>
                      <w:lang w:bidi="ar"/>
                    </w:rPr>
                    <w:t>切边</w:t>
                  </w:r>
                </w:p>
              </w:tc>
              <w:tc>
                <w:tcPr>
                  <w:tcW w:w="1712"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lang w:bidi="ar"/>
                    </w:rPr>
                  </w:pPr>
                  <w:r>
                    <w:rPr>
                      <w:rFonts w:hint="default" w:ascii="Times New Roman" w:hAnsi="Times New Roman" w:eastAsia="宋体" w:cs="Times New Roman"/>
                      <w:color w:val="auto"/>
                      <w:kern w:val="2"/>
                      <w:sz w:val="21"/>
                      <w:szCs w:val="21"/>
                      <w:highlight w:val="none"/>
                      <w:lang w:bidi="ar"/>
                    </w:rPr>
                    <w:t>铝材</w:t>
                  </w:r>
                </w:p>
              </w:tc>
              <w:tc>
                <w:tcPr>
                  <w:tcW w:w="2707" w:type="dxa"/>
                  <w:tcBorders>
                    <w:tl2br w:val="nil"/>
                    <w:tr2bl w:val="nil"/>
                  </w:tcBorders>
                  <w:shd w:val="clear" w:color="auto" w:fill="auto"/>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bidi="ar"/>
                    </w:rPr>
                  </w:pPr>
                  <w:r>
                    <w:rPr>
                      <w:rFonts w:hint="default" w:ascii="Times New Roman" w:hAnsi="Times New Roman" w:eastAsia="宋体" w:cs="Times New Roman"/>
                      <w:sz w:val="21"/>
                      <w:szCs w:val="21"/>
                      <w:highlight w:val="none"/>
                      <w:lang w:val="en-US" w:eastAsia="zh-CN" w:bidi="ar"/>
                    </w:rPr>
                    <w:t>暂存在</w:t>
                  </w:r>
                  <w:r>
                    <w:rPr>
                      <w:rFonts w:hint="default" w:ascii="Times New Roman" w:hAnsi="Times New Roman" w:eastAsia="宋体" w:cs="Times New Roman"/>
                      <w:color w:val="auto"/>
                      <w:sz w:val="21"/>
                      <w:szCs w:val="21"/>
                      <w:highlight w:val="none"/>
                      <w:lang w:val="en-US" w:eastAsia="zh-CN"/>
                    </w:rPr>
                    <w:t>危废仓</w:t>
                  </w:r>
                  <w:r>
                    <w:rPr>
                      <w:rFonts w:hint="default" w:ascii="Times New Roman" w:hAnsi="Times New Roman" w:eastAsia="宋体" w:cs="Times New Roman"/>
                      <w:kern w:val="2"/>
                      <w:sz w:val="21"/>
                      <w:szCs w:val="21"/>
                      <w:highlight w:val="none"/>
                      <w:lang w:val="en-US" w:eastAsia="zh-CN" w:bidi="ar"/>
                    </w:rPr>
                    <w:t>，在经压榨、压滤、过滤除油达到静置无滴漏后打包压块用于金属冶炼的情况下，利用过程不按危险废物管理，定期委托外售用于金属冶炼。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17" w:hRule="atLeast"/>
                <w:jc w:val="center"/>
              </w:trPr>
              <w:tc>
                <w:tcPr>
                  <w:tcW w:w="5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558"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kern w:val="2"/>
                      <w:sz w:val="21"/>
                      <w:szCs w:val="21"/>
                      <w:lang w:bidi="ar"/>
                    </w:rPr>
                    <w:t>S</w:t>
                  </w:r>
                  <w:r>
                    <w:rPr>
                      <w:rFonts w:hint="default" w:ascii="Times New Roman" w:hAnsi="Times New Roman" w:eastAsia="宋体" w:cs="Times New Roman"/>
                      <w:kern w:val="2"/>
                      <w:sz w:val="21"/>
                      <w:szCs w:val="21"/>
                      <w:vertAlign w:val="subscript"/>
                      <w:lang w:val="en-US" w:eastAsia="zh-CN" w:bidi="ar"/>
                    </w:rPr>
                    <w:t>4</w:t>
                  </w:r>
                </w:p>
              </w:tc>
              <w:tc>
                <w:tcPr>
                  <w:tcW w:w="1366" w:type="dxa"/>
                  <w:tcBorders>
                    <w:tl2br w:val="nil"/>
                    <w:tr2bl w:val="nil"/>
                  </w:tcBorders>
                  <w:shd w:val="clear" w:color="auto" w:fill="auto"/>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bidi="ar"/>
                    </w:rPr>
                    <w:t>残次品</w:t>
                  </w:r>
                </w:p>
              </w:tc>
              <w:tc>
                <w:tcPr>
                  <w:tcW w:w="1173" w:type="dxa"/>
                  <w:tcBorders>
                    <w:tl2br w:val="nil"/>
                    <w:tr2bl w:val="nil"/>
                  </w:tcBorders>
                  <w:shd w:val="clear" w:color="auto" w:fill="auto"/>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检验</w:t>
                  </w:r>
                </w:p>
              </w:tc>
              <w:tc>
                <w:tcPr>
                  <w:tcW w:w="1712"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kern w:val="2"/>
                      <w:sz w:val="21"/>
                      <w:szCs w:val="21"/>
                      <w:lang w:bidi="ar"/>
                    </w:rPr>
                    <w:t>铝材</w:t>
                  </w:r>
                </w:p>
              </w:tc>
              <w:tc>
                <w:tcPr>
                  <w:tcW w:w="2707"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kern w:val="2"/>
                      <w:sz w:val="21"/>
                      <w:szCs w:val="21"/>
                      <w:lang w:val="en-US" w:eastAsia="zh-CN" w:bidi="ar"/>
                    </w:rPr>
                  </w:pPr>
                  <w:r>
                    <w:rPr>
                      <w:rFonts w:hint="default" w:ascii="Times New Roman" w:hAnsi="Times New Roman" w:eastAsia="宋体" w:cs="Times New Roman"/>
                      <w:kern w:val="2"/>
                      <w:sz w:val="21"/>
                      <w:szCs w:val="21"/>
                      <w:lang w:val="en-US" w:eastAsia="zh-CN" w:bidi="ar"/>
                    </w:rPr>
                    <w:t>暂存在</w:t>
                  </w:r>
                  <w:r>
                    <w:rPr>
                      <w:rFonts w:hint="default" w:ascii="Times New Roman" w:hAnsi="Times New Roman" w:eastAsia="宋体" w:cs="Times New Roman"/>
                      <w:color w:val="auto"/>
                      <w:kern w:val="2"/>
                      <w:sz w:val="21"/>
                      <w:szCs w:val="21"/>
                      <w:lang w:val="en-US" w:eastAsia="zh-CN" w:bidi="ar"/>
                    </w:rPr>
                    <w:t>其他报废仓，</w:t>
                  </w:r>
                  <w:r>
                    <w:rPr>
                      <w:rFonts w:hint="default" w:ascii="Times New Roman" w:hAnsi="Times New Roman" w:eastAsia="宋体" w:cs="Times New Roman"/>
                      <w:kern w:val="2"/>
                      <w:sz w:val="21"/>
                      <w:szCs w:val="21"/>
                      <w:lang w:val="en-US" w:eastAsia="zh-CN" w:bidi="ar"/>
                    </w:rPr>
                    <w:t>收集后外售综合利用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17" w:hRule="atLeast"/>
                <w:jc w:val="center"/>
              </w:trPr>
              <w:tc>
                <w:tcPr>
                  <w:tcW w:w="5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558"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kern w:val="2"/>
                      <w:sz w:val="21"/>
                      <w:szCs w:val="21"/>
                      <w:highlight w:val="none"/>
                      <w:lang w:eastAsia="zh-CN" w:bidi="ar"/>
                    </w:rPr>
                  </w:pPr>
                  <w:r>
                    <w:rPr>
                      <w:rFonts w:hint="default" w:ascii="Times New Roman" w:hAnsi="Times New Roman" w:eastAsia="宋体" w:cs="Times New Roman"/>
                      <w:kern w:val="2"/>
                      <w:sz w:val="21"/>
                      <w:szCs w:val="21"/>
                      <w:highlight w:val="none"/>
                      <w:lang w:bidi="ar"/>
                    </w:rPr>
                    <w:t>S</w:t>
                  </w:r>
                  <w:r>
                    <w:rPr>
                      <w:rFonts w:hint="default" w:ascii="Times New Roman" w:hAnsi="Times New Roman" w:eastAsia="宋体" w:cs="Times New Roman"/>
                      <w:kern w:val="2"/>
                      <w:sz w:val="21"/>
                      <w:szCs w:val="21"/>
                      <w:highlight w:val="none"/>
                      <w:vertAlign w:val="subscript"/>
                      <w:lang w:val="en-US" w:eastAsia="zh-CN" w:bidi="ar"/>
                    </w:rPr>
                    <w:t>5</w:t>
                  </w:r>
                </w:p>
              </w:tc>
              <w:tc>
                <w:tcPr>
                  <w:tcW w:w="1366"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val="en-US" w:eastAsia="zh-CN"/>
                    </w:rPr>
                    <w:t>废空桶</w:t>
                  </w:r>
                </w:p>
              </w:tc>
              <w:tc>
                <w:tcPr>
                  <w:tcW w:w="1173"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原料使用</w:t>
                  </w:r>
                </w:p>
              </w:tc>
              <w:tc>
                <w:tcPr>
                  <w:tcW w:w="1712"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拉伸油、清洗剂</w:t>
                  </w:r>
                </w:p>
              </w:tc>
              <w:tc>
                <w:tcPr>
                  <w:tcW w:w="2707" w:type="dxa"/>
                  <w:vMerge w:val="restart"/>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危险废物，分类收集后暂存在</w:t>
                  </w:r>
                  <w:r>
                    <w:rPr>
                      <w:rFonts w:hint="default" w:ascii="Times New Roman" w:hAnsi="Times New Roman" w:eastAsia="宋体" w:cs="Times New Roman"/>
                      <w:color w:val="auto"/>
                      <w:sz w:val="21"/>
                      <w:szCs w:val="21"/>
                      <w:highlight w:val="none"/>
                      <w:lang w:val="en-US" w:eastAsia="zh-CN"/>
                    </w:rPr>
                    <w:t>危废仓</w:t>
                  </w:r>
                  <w:r>
                    <w:rPr>
                      <w:rFonts w:hint="default" w:ascii="Times New Roman" w:hAnsi="Times New Roman" w:eastAsia="宋体" w:cs="Times New Roman"/>
                      <w:color w:val="auto"/>
                      <w:kern w:val="2"/>
                      <w:sz w:val="21"/>
                      <w:szCs w:val="21"/>
                      <w:highlight w:val="none"/>
                      <w:lang w:val="en-US" w:eastAsia="zh-CN" w:bidi="ar"/>
                    </w:rPr>
                    <w:t>，</w:t>
                  </w:r>
                  <w:r>
                    <w:rPr>
                      <w:rFonts w:hint="default" w:ascii="Times New Roman" w:hAnsi="Times New Roman" w:eastAsia="宋体" w:cs="Times New Roman"/>
                      <w:color w:val="auto"/>
                      <w:sz w:val="21"/>
                      <w:szCs w:val="21"/>
                      <w:highlight w:val="none"/>
                    </w:rPr>
                    <w:t>定期委托有资质单位处置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17" w:hRule="atLeast"/>
                <w:jc w:val="center"/>
              </w:trPr>
              <w:tc>
                <w:tcPr>
                  <w:tcW w:w="5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558"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kern w:val="2"/>
                      <w:sz w:val="21"/>
                      <w:szCs w:val="21"/>
                      <w:lang w:eastAsia="zh-CN" w:bidi="ar"/>
                    </w:rPr>
                  </w:pPr>
                  <w:r>
                    <w:rPr>
                      <w:rFonts w:hint="default" w:ascii="Times New Roman" w:hAnsi="Times New Roman" w:eastAsia="宋体" w:cs="Times New Roman"/>
                      <w:kern w:val="2"/>
                      <w:sz w:val="21"/>
                      <w:szCs w:val="21"/>
                      <w:lang w:bidi="ar"/>
                    </w:rPr>
                    <w:t>S</w:t>
                  </w:r>
                  <w:r>
                    <w:rPr>
                      <w:rFonts w:hint="default" w:ascii="Times New Roman" w:hAnsi="Times New Roman" w:eastAsia="宋体" w:cs="Times New Roman"/>
                      <w:kern w:val="2"/>
                      <w:sz w:val="21"/>
                      <w:szCs w:val="21"/>
                      <w:vertAlign w:val="subscript"/>
                      <w:lang w:val="en-US" w:eastAsia="zh-CN" w:bidi="ar"/>
                    </w:rPr>
                    <w:t>6</w:t>
                  </w:r>
                </w:p>
              </w:tc>
              <w:tc>
                <w:tcPr>
                  <w:tcW w:w="1366"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废滤</w:t>
                  </w:r>
                  <w:r>
                    <w:rPr>
                      <w:rFonts w:hint="default" w:ascii="Times New Roman" w:hAnsi="Times New Roman" w:eastAsia="宋体" w:cs="Times New Roman"/>
                      <w:sz w:val="21"/>
                      <w:szCs w:val="21"/>
                      <w:lang w:val="en-US" w:eastAsia="zh-CN"/>
                    </w:rPr>
                    <w:t>芯</w:t>
                  </w:r>
                </w:p>
              </w:tc>
              <w:tc>
                <w:tcPr>
                  <w:tcW w:w="1173"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拉伸油</w:t>
                  </w:r>
                </w:p>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过滤</w:t>
                  </w:r>
                </w:p>
              </w:tc>
              <w:tc>
                <w:tcPr>
                  <w:tcW w:w="1712"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拉伸油</w:t>
                  </w:r>
                </w:p>
              </w:tc>
              <w:tc>
                <w:tcPr>
                  <w:tcW w:w="2707" w:type="dxa"/>
                  <w:vMerge w:val="continue"/>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17" w:hRule="atLeast"/>
                <w:jc w:val="center"/>
              </w:trPr>
              <w:tc>
                <w:tcPr>
                  <w:tcW w:w="5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558"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kern w:val="2"/>
                      <w:sz w:val="21"/>
                      <w:szCs w:val="21"/>
                      <w:lang w:eastAsia="zh-CN" w:bidi="ar"/>
                    </w:rPr>
                  </w:pPr>
                  <w:r>
                    <w:rPr>
                      <w:rFonts w:hint="default" w:ascii="Times New Roman" w:hAnsi="Times New Roman" w:eastAsia="宋体" w:cs="Times New Roman"/>
                      <w:kern w:val="2"/>
                      <w:sz w:val="21"/>
                      <w:szCs w:val="21"/>
                      <w:lang w:bidi="ar"/>
                    </w:rPr>
                    <w:t>S</w:t>
                  </w:r>
                  <w:r>
                    <w:rPr>
                      <w:rFonts w:hint="default" w:ascii="Times New Roman" w:hAnsi="Times New Roman" w:eastAsia="宋体" w:cs="Times New Roman"/>
                      <w:kern w:val="2"/>
                      <w:sz w:val="21"/>
                      <w:szCs w:val="21"/>
                      <w:vertAlign w:val="subscript"/>
                      <w:lang w:val="en-US" w:eastAsia="zh-CN" w:bidi="ar"/>
                    </w:rPr>
                    <w:t>7</w:t>
                  </w:r>
                </w:p>
              </w:tc>
              <w:tc>
                <w:tcPr>
                  <w:tcW w:w="1366"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废机油</w:t>
                  </w:r>
                </w:p>
              </w:tc>
              <w:tc>
                <w:tcPr>
                  <w:tcW w:w="1173"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设备维修</w:t>
                  </w:r>
                </w:p>
              </w:tc>
              <w:tc>
                <w:tcPr>
                  <w:tcW w:w="1712"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废润滑油</w:t>
                  </w:r>
                </w:p>
              </w:tc>
              <w:tc>
                <w:tcPr>
                  <w:tcW w:w="2707" w:type="dxa"/>
                  <w:vMerge w:val="continue"/>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auto"/>
                      <w:kern w:val="2"/>
                      <w:sz w:val="21"/>
                      <w:szCs w:val="21"/>
                      <w:lang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17" w:hRule="atLeast"/>
                <w:jc w:val="center"/>
              </w:trPr>
              <w:tc>
                <w:tcPr>
                  <w:tcW w:w="5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558"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kern w:val="2"/>
                      <w:sz w:val="21"/>
                      <w:szCs w:val="21"/>
                      <w:lang w:eastAsia="zh-CN" w:bidi="ar"/>
                    </w:rPr>
                  </w:pPr>
                  <w:r>
                    <w:rPr>
                      <w:rFonts w:hint="default" w:ascii="Times New Roman" w:hAnsi="Times New Roman" w:eastAsia="宋体" w:cs="Times New Roman"/>
                      <w:kern w:val="2"/>
                      <w:sz w:val="21"/>
                      <w:szCs w:val="21"/>
                      <w:lang w:bidi="ar"/>
                    </w:rPr>
                    <w:t>S</w:t>
                  </w:r>
                  <w:r>
                    <w:rPr>
                      <w:rFonts w:hint="default" w:ascii="Times New Roman" w:hAnsi="Times New Roman" w:eastAsia="宋体" w:cs="Times New Roman"/>
                      <w:kern w:val="2"/>
                      <w:sz w:val="21"/>
                      <w:szCs w:val="21"/>
                      <w:vertAlign w:val="subscript"/>
                      <w:lang w:val="en-US" w:eastAsia="zh-CN" w:bidi="ar"/>
                    </w:rPr>
                    <w:t>8</w:t>
                  </w:r>
                </w:p>
              </w:tc>
              <w:tc>
                <w:tcPr>
                  <w:tcW w:w="1366"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含油</w:t>
                  </w:r>
                  <w:r>
                    <w:rPr>
                      <w:rFonts w:hint="eastAsia" w:ascii="Times New Roman" w:hAnsi="Times New Roman" w:cs="Times New Roman"/>
                      <w:sz w:val="21"/>
                      <w:szCs w:val="21"/>
                      <w:lang w:val="en-US" w:eastAsia="zh-CN"/>
                    </w:rPr>
                    <w:t>浓缩液</w:t>
                  </w:r>
                </w:p>
              </w:tc>
              <w:tc>
                <w:tcPr>
                  <w:tcW w:w="1173" w:type="dxa"/>
                  <w:vMerge w:val="restart"/>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污水处理</w:t>
                  </w:r>
                </w:p>
              </w:tc>
              <w:tc>
                <w:tcPr>
                  <w:tcW w:w="1712"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油类</w:t>
                  </w:r>
                </w:p>
              </w:tc>
              <w:tc>
                <w:tcPr>
                  <w:tcW w:w="2707" w:type="dxa"/>
                  <w:vMerge w:val="continue"/>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kern w:val="2"/>
                      <w:sz w:val="21"/>
                      <w:szCs w:val="21"/>
                      <w:lang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17" w:hRule="atLeast"/>
                <w:jc w:val="center"/>
              </w:trPr>
              <w:tc>
                <w:tcPr>
                  <w:tcW w:w="5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558"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kern w:val="2"/>
                      <w:sz w:val="21"/>
                      <w:szCs w:val="21"/>
                      <w:lang w:eastAsia="zh-CN" w:bidi="ar"/>
                    </w:rPr>
                  </w:pPr>
                  <w:r>
                    <w:rPr>
                      <w:rFonts w:hint="default" w:ascii="Times New Roman" w:hAnsi="Times New Roman" w:eastAsia="宋体" w:cs="Times New Roman"/>
                      <w:kern w:val="2"/>
                      <w:sz w:val="21"/>
                      <w:szCs w:val="21"/>
                      <w:lang w:bidi="ar"/>
                    </w:rPr>
                    <w:t>S</w:t>
                  </w:r>
                  <w:r>
                    <w:rPr>
                      <w:rFonts w:hint="default" w:ascii="Times New Roman" w:hAnsi="Times New Roman" w:eastAsia="宋体" w:cs="Times New Roman"/>
                      <w:kern w:val="2"/>
                      <w:sz w:val="21"/>
                      <w:szCs w:val="21"/>
                      <w:vertAlign w:val="subscript"/>
                      <w:lang w:val="en-US" w:eastAsia="zh-CN" w:bidi="ar"/>
                    </w:rPr>
                    <w:t>9</w:t>
                  </w:r>
                </w:p>
              </w:tc>
              <w:tc>
                <w:tcPr>
                  <w:tcW w:w="1366"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废过滤膜</w:t>
                  </w:r>
                </w:p>
              </w:tc>
              <w:tc>
                <w:tcPr>
                  <w:tcW w:w="1173" w:type="dxa"/>
                  <w:vMerge w:val="continue"/>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1712"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油类</w:t>
                  </w:r>
                </w:p>
              </w:tc>
              <w:tc>
                <w:tcPr>
                  <w:tcW w:w="2707" w:type="dxa"/>
                  <w:vMerge w:val="continue"/>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kern w:val="2"/>
                      <w:sz w:val="21"/>
                      <w:szCs w:val="21"/>
                      <w:lang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17" w:hRule="atLeast"/>
                <w:jc w:val="center"/>
              </w:trPr>
              <w:tc>
                <w:tcPr>
                  <w:tcW w:w="5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558"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kern w:val="2"/>
                      <w:sz w:val="21"/>
                      <w:szCs w:val="21"/>
                      <w:lang w:val="en-US" w:eastAsia="zh-CN" w:bidi="ar"/>
                    </w:rPr>
                  </w:pPr>
                  <w:r>
                    <w:rPr>
                      <w:rFonts w:hint="default" w:ascii="Times New Roman" w:hAnsi="Times New Roman" w:eastAsia="宋体" w:cs="Times New Roman"/>
                      <w:kern w:val="2"/>
                      <w:sz w:val="21"/>
                      <w:szCs w:val="21"/>
                      <w:lang w:bidi="ar"/>
                    </w:rPr>
                    <w:t>S</w:t>
                  </w:r>
                  <w:r>
                    <w:rPr>
                      <w:rFonts w:hint="default" w:ascii="Times New Roman" w:hAnsi="Times New Roman" w:eastAsia="宋体" w:cs="Times New Roman"/>
                      <w:kern w:val="2"/>
                      <w:sz w:val="21"/>
                      <w:szCs w:val="21"/>
                      <w:vertAlign w:val="subscript"/>
                      <w:lang w:val="en-US" w:eastAsia="zh-CN" w:bidi="ar"/>
                    </w:rPr>
                    <w:t>1</w:t>
                  </w:r>
                  <w:r>
                    <w:rPr>
                      <w:rFonts w:hint="eastAsia" w:ascii="Times New Roman" w:hAnsi="Times New Roman" w:cs="Times New Roman"/>
                      <w:kern w:val="2"/>
                      <w:sz w:val="21"/>
                      <w:szCs w:val="21"/>
                      <w:vertAlign w:val="subscript"/>
                      <w:lang w:val="en-US" w:eastAsia="zh-CN" w:bidi="ar"/>
                    </w:rPr>
                    <w:t>0</w:t>
                  </w:r>
                </w:p>
              </w:tc>
              <w:tc>
                <w:tcPr>
                  <w:tcW w:w="1366"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生活垃圾</w:t>
                  </w:r>
                </w:p>
              </w:tc>
              <w:tc>
                <w:tcPr>
                  <w:tcW w:w="1173"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日常生活</w:t>
                  </w:r>
                </w:p>
              </w:tc>
              <w:tc>
                <w:tcPr>
                  <w:tcW w:w="1712"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纸张、塑料、果皮</w:t>
                  </w:r>
                </w:p>
              </w:tc>
              <w:tc>
                <w:tcPr>
                  <w:tcW w:w="2707" w:type="dxa"/>
                  <w:tcBorders>
                    <w:tl2br w:val="nil"/>
                    <w:tr2bl w:val="nil"/>
                  </w:tcBorders>
                  <w:shd w:val="clear" w:color="auto" w:fill="auto"/>
                  <w:vAlign w:val="center"/>
                </w:tcPr>
                <w:p>
                  <w:pPr>
                    <w:pStyle w:val="25"/>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kern w:val="2"/>
                      <w:sz w:val="21"/>
                      <w:szCs w:val="21"/>
                      <w:lang w:bidi="ar"/>
                    </w:rPr>
                  </w:pPr>
                  <w:r>
                    <w:rPr>
                      <w:rFonts w:hint="default" w:ascii="Times New Roman" w:hAnsi="Times New Roman" w:eastAsia="宋体" w:cs="Times New Roman"/>
                      <w:color w:val="000000"/>
                      <w:sz w:val="21"/>
                      <w:szCs w:val="21"/>
                    </w:rPr>
                    <w:t>统一收集后委托环卫部门定期清运</w:t>
                  </w:r>
                </w:p>
              </w:tc>
            </w:tr>
          </w:tbl>
          <w:p>
            <w:pPr>
              <w:keepNext w:val="0"/>
              <w:keepLines w:val="0"/>
              <w:suppressLineNumbers w:val="0"/>
              <w:adjustRightInd w:val="0"/>
              <w:snapToGrid w:val="0"/>
              <w:spacing w:before="0" w:beforeAutospacing="0" w:after="0" w:afterAutospacing="0"/>
              <w:ind w:left="0" w:right="0"/>
              <w:rPr>
                <w:rFonts w:hint="default"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727" w:type="dxa"/>
            <w:vAlign w:val="center"/>
          </w:tcPr>
          <w:p>
            <w:pPr>
              <w:pStyle w:val="25"/>
              <w:keepNext w:val="0"/>
              <w:keepLines w:val="0"/>
              <w:suppressLineNumbers w:val="0"/>
              <w:adjustRightInd w:val="0"/>
              <w:snapToGrid w:val="0"/>
              <w:spacing w:before="0" w:beforeAutospacing="0" w:after="0" w:afterAutospacing="0"/>
              <w:ind w:left="0" w:right="0"/>
              <w:jc w:val="center"/>
              <w:rPr>
                <w:rFonts w:hint="default" w:cs="宋体"/>
                <w:sz w:val="21"/>
                <w:szCs w:val="21"/>
              </w:rPr>
            </w:pPr>
            <w:r>
              <w:rPr>
                <w:rFonts w:hint="eastAsia" w:cs="宋体"/>
                <w:bCs/>
                <w:kern w:val="2"/>
                <w:sz w:val="21"/>
                <w:szCs w:val="21"/>
              </w:rPr>
              <w:t>与项目有关的原有环境污染问题</w:t>
            </w:r>
          </w:p>
        </w:tc>
        <w:tc>
          <w:tcPr>
            <w:tcW w:w="8333"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szCs w:val="21"/>
              </w:rPr>
            </w:pPr>
            <w:r>
              <w:rPr>
                <w:rFonts w:hint="eastAsia" w:ascii="宋体" w:hAnsi="宋体"/>
                <w:bCs/>
                <w:sz w:val="24"/>
                <w:szCs w:val="24"/>
                <w:lang w:eastAsia="zh-CN"/>
              </w:rPr>
              <w:t>本</w:t>
            </w:r>
            <w:r>
              <w:rPr>
                <w:rFonts w:hint="eastAsia" w:ascii="宋体" w:hAnsi="宋体"/>
                <w:bCs/>
                <w:sz w:val="24"/>
                <w:szCs w:val="24"/>
              </w:rPr>
              <w:t>项目为新建，不存在原有污染情况。</w:t>
            </w:r>
          </w:p>
        </w:tc>
      </w:tr>
    </w:tbl>
    <w:p>
      <w:pPr>
        <w:pStyle w:val="25"/>
        <w:jc w:val="center"/>
        <w:rPr>
          <w:rFonts w:ascii="黑体" w:hAnsi="黑体" w:eastAsia="黑体"/>
          <w:snapToGrid w:val="0"/>
          <w:sz w:val="36"/>
          <w:szCs w:val="36"/>
        </w:rPr>
        <w:sectPr>
          <w:pgSz w:w="11906" w:h="16838"/>
          <w:pgMar w:top="1701" w:right="1531" w:bottom="1701" w:left="1531" w:header="851" w:footer="851" w:gutter="0"/>
          <w:pgBorders>
            <w:top w:val="none" w:sz="0" w:space="0"/>
            <w:left w:val="none" w:sz="0" w:space="0"/>
            <w:bottom w:val="none" w:sz="0" w:space="0"/>
            <w:right w:val="none" w:sz="0" w:space="0"/>
          </w:pgBorders>
          <w:pgNumType w:fmt="numberInDash"/>
          <w:cols w:space="720" w:num="1"/>
          <w:docGrid w:linePitch="312" w:charSpace="0"/>
        </w:sectPr>
      </w:pPr>
    </w:p>
    <w:p>
      <w:pPr>
        <w:pStyle w:val="3"/>
      </w:pPr>
      <w:r>
        <w:rPr>
          <w:rFonts w:hint="eastAsia"/>
          <w:lang w:val="en-US" w:eastAsia="zh-CN"/>
        </w:rPr>
        <w:t xml:space="preserve"> </w:t>
      </w:r>
      <w:r>
        <w:rPr>
          <w:rFonts w:hint="eastAsia"/>
        </w:rPr>
        <w:t>区域环境质量现状、环境保护目标及评价标准</w:t>
      </w:r>
    </w:p>
    <w:tbl>
      <w:tblPr>
        <w:tblStyle w:val="27"/>
        <w:tblW w:w="906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1"/>
        <w:gridCol w:w="83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21"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区域</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环境</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质量</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现状</w:t>
            </w:r>
          </w:p>
        </w:tc>
        <w:tc>
          <w:tcPr>
            <w:tcW w:w="8340" w:type="dxa"/>
            <w:vAlign w:val="center"/>
          </w:tcPr>
          <w:p>
            <w:pPr>
              <w:pStyle w:val="4"/>
              <w:keepNext w:val="0"/>
              <w:keepLines w:val="0"/>
              <w:suppressLineNumbers w:val="0"/>
              <w:spacing w:before="0" w:beforeAutospacing="0" w:after="0" w:afterAutospacing="0"/>
              <w:ind w:left="0" w:right="0"/>
              <w:rPr>
                <w:rFonts w:hint="default"/>
              </w:rPr>
            </w:pPr>
            <w:r>
              <w:rPr>
                <w:rFonts w:hint="default"/>
              </w:rPr>
              <w:t>大气环境质量现状</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rPr>
            </w:pPr>
            <w:r>
              <w:rPr>
                <w:rFonts w:hint="default" w:ascii="Times New Roman" w:hAnsi="Times New Roman" w:eastAsia="宋体" w:cs="Times New Roman"/>
                <w:color w:val="auto"/>
              </w:rPr>
              <w:t>根据《宁德市环境质量概要》（202</w:t>
            </w:r>
            <w:r>
              <w:rPr>
                <w:rFonts w:hint="eastAsia" w:cs="Times New Roman"/>
                <w:color w:val="auto"/>
                <w:lang w:val="en-US" w:eastAsia="zh-CN"/>
              </w:rPr>
              <w:t>3</w:t>
            </w:r>
            <w:r>
              <w:rPr>
                <w:rFonts w:hint="default" w:ascii="Times New Roman" w:hAnsi="Times New Roman" w:eastAsia="宋体" w:cs="Times New Roman"/>
                <w:color w:val="auto"/>
              </w:rPr>
              <w:t>年度），霞浦县202</w:t>
            </w:r>
            <w:r>
              <w:rPr>
                <w:rFonts w:hint="eastAsia" w:cs="Times New Roman"/>
                <w:color w:val="auto"/>
                <w:lang w:val="en-US" w:eastAsia="zh-CN"/>
              </w:rPr>
              <w:t>3</w:t>
            </w:r>
            <w:r>
              <w:rPr>
                <w:rFonts w:hint="default" w:ascii="Times New Roman" w:hAnsi="Times New Roman" w:eastAsia="宋体" w:cs="Times New Roman"/>
                <w:color w:val="auto"/>
              </w:rPr>
              <w:t>年SO</w:t>
            </w:r>
            <w:r>
              <w:rPr>
                <w:rFonts w:hint="default" w:ascii="Times New Roman" w:hAnsi="Times New Roman" w:eastAsia="宋体" w:cs="Times New Roman"/>
                <w:color w:val="auto"/>
                <w:vertAlign w:val="subscript"/>
              </w:rPr>
              <w:t>2</w:t>
            </w:r>
            <w:r>
              <w:rPr>
                <w:rFonts w:hint="default" w:ascii="Times New Roman" w:hAnsi="Times New Roman" w:eastAsia="宋体" w:cs="Times New Roman"/>
                <w:color w:val="auto"/>
              </w:rPr>
              <w:t>、NO</w:t>
            </w:r>
            <w:r>
              <w:rPr>
                <w:rFonts w:hint="default" w:ascii="Times New Roman" w:hAnsi="Times New Roman" w:eastAsia="宋体" w:cs="Times New Roman"/>
                <w:color w:val="auto"/>
                <w:vertAlign w:val="subscript"/>
              </w:rPr>
              <w:t>2</w:t>
            </w:r>
            <w:r>
              <w:rPr>
                <w:rFonts w:hint="default" w:ascii="Times New Roman" w:hAnsi="Times New Roman" w:eastAsia="宋体" w:cs="Times New Roman"/>
                <w:color w:val="auto"/>
              </w:rPr>
              <w:t>、PM</w:t>
            </w:r>
            <w:r>
              <w:rPr>
                <w:rFonts w:hint="default" w:ascii="Times New Roman" w:hAnsi="Times New Roman" w:eastAsia="宋体" w:cs="Times New Roman"/>
                <w:color w:val="auto"/>
                <w:vertAlign w:val="subscript"/>
              </w:rPr>
              <w:t>10</w:t>
            </w:r>
            <w:r>
              <w:rPr>
                <w:rFonts w:hint="default" w:ascii="Times New Roman" w:hAnsi="Times New Roman" w:eastAsia="宋体" w:cs="Times New Roman"/>
                <w:color w:val="auto"/>
              </w:rPr>
              <w:t>、PM</w:t>
            </w:r>
            <w:r>
              <w:rPr>
                <w:rFonts w:hint="default" w:ascii="Times New Roman" w:hAnsi="Times New Roman" w:eastAsia="宋体" w:cs="Times New Roman"/>
                <w:color w:val="auto"/>
                <w:vertAlign w:val="subscript"/>
              </w:rPr>
              <w:t>2.5</w:t>
            </w:r>
            <w:r>
              <w:rPr>
                <w:rFonts w:hint="default" w:ascii="Times New Roman" w:hAnsi="Times New Roman" w:eastAsia="宋体" w:cs="Times New Roman"/>
                <w:color w:val="auto"/>
              </w:rPr>
              <w:t>年平均浓度分别为</w:t>
            </w:r>
            <w:r>
              <w:rPr>
                <w:rFonts w:hint="eastAsia" w:cs="Times New Roman"/>
                <w:color w:val="auto"/>
                <w:lang w:val="en-US" w:eastAsia="zh-CN"/>
              </w:rPr>
              <w:t>4</w:t>
            </w:r>
            <w:r>
              <w:rPr>
                <w:rFonts w:hint="default" w:ascii="Times New Roman" w:hAnsi="Times New Roman" w:eastAsia="宋体" w:cs="Times New Roman"/>
                <w:color w:val="auto"/>
              </w:rPr>
              <w:t>μg/m</w:t>
            </w:r>
            <w:r>
              <w:rPr>
                <w:rFonts w:hint="default" w:ascii="Times New Roman" w:hAnsi="Times New Roman" w:eastAsia="宋体" w:cs="Times New Roman"/>
                <w:color w:val="auto"/>
                <w:vertAlign w:val="superscript"/>
              </w:rPr>
              <w:t>3</w:t>
            </w:r>
            <w:r>
              <w:rPr>
                <w:rFonts w:hint="default" w:ascii="Times New Roman" w:hAnsi="Times New Roman" w:eastAsia="宋体" w:cs="Times New Roman"/>
                <w:color w:val="auto"/>
              </w:rPr>
              <w:t>、1</w:t>
            </w:r>
            <w:r>
              <w:rPr>
                <w:rFonts w:hint="eastAsia" w:cs="Times New Roman"/>
                <w:color w:val="auto"/>
                <w:lang w:val="en-US" w:eastAsia="zh-CN"/>
              </w:rPr>
              <w:t>7</w:t>
            </w:r>
            <w:r>
              <w:rPr>
                <w:rFonts w:hint="default" w:ascii="Times New Roman" w:hAnsi="Times New Roman" w:eastAsia="宋体" w:cs="Times New Roman"/>
                <w:color w:val="auto"/>
              </w:rPr>
              <w:t>μg/m</w:t>
            </w:r>
            <w:r>
              <w:rPr>
                <w:rFonts w:hint="default" w:ascii="Times New Roman" w:hAnsi="Times New Roman" w:eastAsia="宋体" w:cs="Times New Roman"/>
                <w:color w:val="auto"/>
                <w:vertAlign w:val="superscript"/>
              </w:rPr>
              <w:t>3</w:t>
            </w:r>
            <w:r>
              <w:rPr>
                <w:rFonts w:hint="default" w:ascii="Times New Roman" w:hAnsi="Times New Roman" w:eastAsia="宋体" w:cs="Times New Roman"/>
                <w:color w:val="auto"/>
              </w:rPr>
              <w:t>、3</w:t>
            </w:r>
            <w:r>
              <w:rPr>
                <w:rFonts w:hint="eastAsia" w:cs="Times New Roman"/>
                <w:color w:val="auto"/>
                <w:lang w:val="en-US" w:eastAsia="zh-CN"/>
              </w:rPr>
              <w:t>0</w:t>
            </w:r>
            <w:r>
              <w:rPr>
                <w:rFonts w:hint="default" w:ascii="Times New Roman" w:hAnsi="Times New Roman" w:eastAsia="宋体" w:cs="Times New Roman"/>
                <w:color w:val="auto"/>
              </w:rPr>
              <w:t>μg/m</w:t>
            </w:r>
            <w:r>
              <w:rPr>
                <w:rFonts w:hint="default" w:ascii="Times New Roman" w:hAnsi="Times New Roman" w:eastAsia="宋体" w:cs="Times New Roman"/>
                <w:color w:val="auto"/>
                <w:vertAlign w:val="superscript"/>
              </w:rPr>
              <w:t>3</w:t>
            </w:r>
            <w:r>
              <w:rPr>
                <w:rFonts w:hint="default" w:ascii="Times New Roman" w:hAnsi="Times New Roman" w:eastAsia="宋体" w:cs="Times New Roman"/>
                <w:color w:val="auto"/>
              </w:rPr>
              <w:t>、1</w:t>
            </w:r>
            <w:r>
              <w:rPr>
                <w:rFonts w:hint="eastAsia" w:cs="Times New Roman"/>
                <w:color w:val="auto"/>
                <w:lang w:val="en-US" w:eastAsia="zh-CN"/>
              </w:rPr>
              <w:t>5</w:t>
            </w:r>
            <w:r>
              <w:rPr>
                <w:rFonts w:hint="default" w:ascii="Times New Roman" w:hAnsi="Times New Roman" w:eastAsia="宋体" w:cs="Times New Roman"/>
                <w:color w:val="auto"/>
              </w:rPr>
              <w:t>μg/m</w:t>
            </w:r>
            <w:r>
              <w:rPr>
                <w:rFonts w:hint="default" w:ascii="Times New Roman" w:hAnsi="Times New Roman" w:eastAsia="宋体" w:cs="Times New Roman"/>
                <w:color w:val="auto"/>
                <w:vertAlign w:val="superscript"/>
              </w:rPr>
              <w:t>3</w:t>
            </w:r>
            <w:r>
              <w:rPr>
                <w:rFonts w:hint="default" w:ascii="Times New Roman" w:hAnsi="Times New Roman" w:eastAsia="宋体" w:cs="Times New Roman"/>
                <w:color w:val="auto"/>
              </w:rPr>
              <w:t>；CO24小时平均第95百分位数为1.0mg/m</w:t>
            </w:r>
            <w:r>
              <w:rPr>
                <w:rFonts w:hint="default" w:ascii="Times New Roman" w:hAnsi="Times New Roman" w:eastAsia="宋体" w:cs="Times New Roman"/>
                <w:color w:val="auto"/>
                <w:vertAlign w:val="superscript"/>
              </w:rPr>
              <w:t>3</w:t>
            </w:r>
            <w:r>
              <w:rPr>
                <w:rFonts w:hint="default" w:ascii="Times New Roman" w:hAnsi="Times New Roman" w:eastAsia="宋体" w:cs="Times New Roman"/>
                <w:color w:val="auto"/>
              </w:rPr>
              <w:t>，O</w:t>
            </w:r>
            <w:r>
              <w:rPr>
                <w:rFonts w:hint="default" w:ascii="Times New Roman" w:hAnsi="Times New Roman" w:eastAsia="宋体" w:cs="Times New Roman"/>
                <w:color w:val="auto"/>
                <w:vertAlign w:val="subscript"/>
              </w:rPr>
              <w:t>3</w:t>
            </w:r>
            <w:r>
              <w:rPr>
                <w:rFonts w:hint="default" w:ascii="Times New Roman" w:hAnsi="Times New Roman" w:eastAsia="宋体" w:cs="Times New Roman"/>
                <w:color w:val="auto"/>
              </w:rPr>
              <w:t>日最大8小时平均第90百分位数为</w:t>
            </w:r>
            <w:r>
              <w:rPr>
                <w:rFonts w:hint="eastAsia" w:cs="Times New Roman"/>
                <w:color w:val="auto"/>
                <w:lang w:val="en-US" w:eastAsia="zh-CN"/>
              </w:rPr>
              <w:t>100</w:t>
            </w:r>
            <w:r>
              <w:rPr>
                <w:rFonts w:hint="default" w:ascii="Times New Roman" w:hAnsi="Times New Roman" w:eastAsia="宋体" w:cs="Times New Roman"/>
                <w:color w:val="auto"/>
              </w:rPr>
              <w:t>μg/m</w:t>
            </w:r>
            <w:r>
              <w:rPr>
                <w:rFonts w:hint="default" w:ascii="Times New Roman" w:hAnsi="Times New Roman" w:eastAsia="宋体" w:cs="Times New Roman"/>
                <w:color w:val="auto"/>
                <w:vertAlign w:val="superscript"/>
              </w:rPr>
              <w:t>3</w:t>
            </w:r>
            <w:r>
              <w:rPr>
                <w:rFonts w:hint="default" w:ascii="Times New Roman" w:hAnsi="Times New Roman" w:eastAsia="宋体" w:cs="Times New Roman"/>
                <w:color w:val="auto"/>
              </w:rPr>
              <w:t>；各污染物平均浓度均优于《环境空气质量标准》（GB3095-2012）中二级标准限值，因此项目所在区域环境空气质量属于达标区</w:t>
            </w:r>
            <w:r>
              <w:rPr>
                <w:rFonts w:hint="default" w:ascii="Times New Roman" w:hAnsi="Times New Roman" w:eastAsia="宋体" w:cs="Times New Roman"/>
              </w:rPr>
              <w:t>，详见下</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REF _Ref18834 \n \h </w:instrText>
            </w:r>
            <w:r>
              <w:rPr>
                <w:rFonts w:hint="default" w:ascii="Times New Roman" w:hAnsi="Times New Roman" w:eastAsia="宋体" w:cs="Times New Roman"/>
              </w:rPr>
              <w:fldChar w:fldCharType="separate"/>
            </w:r>
            <w:r>
              <w:rPr>
                <w:rFonts w:hint="default" w:ascii="Times New Roman" w:hAnsi="Times New Roman" w:eastAsia="宋体" w:cs="Times New Roman"/>
              </w:rPr>
              <w:t>表。</w:t>
            </w:r>
            <w:r>
              <w:rPr>
                <w:rFonts w:hint="default" w:ascii="Times New Roman" w:hAnsi="Times New Roman" w:eastAsia="宋体" w:cs="Times New Roman"/>
              </w:rPr>
              <w:fldChar w:fldCharType="end"/>
            </w:r>
          </w:p>
          <w:p>
            <w:pPr>
              <w:pStyle w:val="36"/>
              <w:keepNext w:val="0"/>
              <w:keepLines w:val="0"/>
              <w:suppressLineNumbers w:val="0"/>
              <w:bidi w:val="0"/>
              <w:spacing w:before="0" w:beforeAutospacing="0" w:after="0" w:afterAutospacing="0" w:line="360" w:lineRule="auto"/>
              <w:ind w:right="0"/>
              <w:rPr>
                <w:rFonts w:hint="default" w:ascii="Times New Roman" w:hAnsi="Times New Roman" w:eastAsia="宋体" w:cs="Times New Roman"/>
              </w:rPr>
            </w:pPr>
            <w:bookmarkStart w:id="29" w:name="_Ref18834"/>
            <w:r>
              <w:rPr>
                <w:rFonts w:hint="default" w:ascii="Times New Roman" w:hAnsi="Times New Roman" w:eastAsia="宋体" w:cs="Times New Roman"/>
              </w:rPr>
              <w:t>霞浦县区域空气质量现状评价表</w:t>
            </w:r>
            <w:bookmarkEnd w:id="29"/>
          </w:p>
          <w:tbl>
            <w:tblPr>
              <w:tblStyle w:val="27"/>
              <w:tblW w:w="811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0"/>
              <w:gridCol w:w="1791"/>
              <w:gridCol w:w="1353"/>
              <w:gridCol w:w="1564"/>
              <w:gridCol w:w="1392"/>
              <w:gridCol w:w="110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910" w:type="dxa"/>
                  <w:tcBorders>
                    <w:top w:val="single" w:color="auto" w:sz="12" w:space="0"/>
                    <w:left w:val="nil"/>
                    <w:bottom w:val="single" w:color="auto" w:sz="4" w:space="0"/>
                    <w:right w:val="single" w:color="auto" w:sz="4" w:space="0"/>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w:t>
                  </w:r>
                </w:p>
              </w:tc>
              <w:tc>
                <w:tcPr>
                  <w:tcW w:w="1791" w:type="dxa"/>
                  <w:tcBorders>
                    <w:top w:val="single" w:color="auto" w:sz="12" w:space="0"/>
                    <w:left w:val="single" w:color="auto" w:sz="4" w:space="0"/>
                    <w:bottom w:val="single" w:color="auto" w:sz="4" w:space="0"/>
                    <w:right w:val="single" w:color="auto" w:sz="4" w:space="0"/>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年评价指标</w:t>
                  </w:r>
                </w:p>
              </w:tc>
              <w:tc>
                <w:tcPr>
                  <w:tcW w:w="1353" w:type="dxa"/>
                  <w:tcBorders>
                    <w:top w:val="single" w:color="auto" w:sz="12" w:space="0"/>
                    <w:left w:val="single" w:color="auto" w:sz="4" w:space="0"/>
                    <w:bottom w:val="single" w:color="auto" w:sz="4" w:space="0"/>
                    <w:right w:val="single" w:color="auto" w:sz="4" w:space="0"/>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现状浓度(μg/m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rPr>
                    <w:t>)</w:t>
                  </w:r>
                </w:p>
              </w:tc>
              <w:tc>
                <w:tcPr>
                  <w:tcW w:w="1564" w:type="dxa"/>
                  <w:tcBorders>
                    <w:top w:val="single" w:color="auto" w:sz="12" w:space="0"/>
                    <w:left w:val="single" w:color="auto" w:sz="4" w:space="0"/>
                    <w:bottom w:val="single" w:color="auto" w:sz="4" w:space="0"/>
                    <w:right w:val="single" w:color="auto" w:sz="4" w:space="0"/>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标准值(μg/m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rPr>
                    <w:t>)</w:t>
                  </w:r>
                </w:p>
              </w:tc>
              <w:tc>
                <w:tcPr>
                  <w:tcW w:w="1392" w:type="dxa"/>
                  <w:tcBorders>
                    <w:top w:val="single" w:color="auto" w:sz="12" w:space="0"/>
                    <w:left w:val="single" w:color="auto" w:sz="4" w:space="0"/>
                    <w:bottom w:val="single" w:color="auto" w:sz="4" w:space="0"/>
                    <w:right w:val="single" w:color="auto" w:sz="4" w:space="0"/>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占标率(%)</w:t>
                  </w:r>
                </w:p>
              </w:tc>
              <w:tc>
                <w:tcPr>
                  <w:tcW w:w="1106" w:type="dxa"/>
                  <w:tcBorders>
                    <w:top w:val="single" w:color="auto" w:sz="12" w:space="0"/>
                    <w:left w:val="single" w:color="auto" w:sz="4" w:space="0"/>
                    <w:bottom w:val="single" w:color="auto" w:sz="4" w:space="0"/>
                    <w:right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0" w:type="dxa"/>
                  <w:tcBorders>
                    <w:top w:val="single" w:color="auto" w:sz="4" w:space="0"/>
                    <w:left w:val="nil"/>
                    <w:bottom w:val="single" w:color="auto" w:sz="4" w:space="0"/>
                    <w:right w:val="single" w:color="auto" w:sz="4" w:space="0"/>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SO</w:t>
                  </w:r>
                  <w:r>
                    <w:rPr>
                      <w:rFonts w:hint="default" w:ascii="Times New Roman" w:hAnsi="Times New Roman" w:eastAsia="宋体" w:cs="Times New Roman"/>
                      <w:sz w:val="21"/>
                      <w:szCs w:val="21"/>
                      <w:vertAlign w:val="subscript"/>
                    </w:rPr>
                    <w:t>2</w:t>
                  </w:r>
                </w:p>
              </w:tc>
              <w:tc>
                <w:tcPr>
                  <w:tcW w:w="1791" w:type="dxa"/>
                  <w:tcBorders>
                    <w:top w:val="single" w:color="auto" w:sz="4" w:space="0"/>
                    <w:left w:val="single" w:color="auto" w:sz="4" w:space="0"/>
                    <w:bottom w:val="single" w:color="auto" w:sz="4" w:space="0"/>
                    <w:right w:val="single" w:color="auto" w:sz="4" w:space="0"/>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年平均浓度</w:t>
                  </w:r>
                </w:p>
              </w:tc>
              <w:tc>
                <w:tcPr>
                  <w:tcW w:w="1353" w:type="dxa"/>
                  <w:tcBorders>
                    <w:top w:val="single" w:color="auto" w:sz="4" w:space="0"/>
                    <w:left w:val="single" w:color="auto" w:sz="4" w:space="0"/>
                    <w:bottom w:val="single" w:color="auto" w:sz="4" w:space="0"/>
                    <w:right w:val="single" w:color="auto" w:sz="4" w:space="0"/>
                  </w:tcBorders>
                  <w:vAlign w:val="center"/>
                </w:tcPr>
                <w:p>
                  <w:pPr>
                    <w:pStyle w:val="37"/>
                    <w:keepNext w:val="0"/>
                    <w:keepLines w:val="0"/>
                    <w:suppressLineNumbers w:val="0"/>
                    <w:tabs>
                      <w:tab w:val="left" w:pos="648"/>
                    </w:tabs>
                    <w:spacing w:before="0" w:beforeAutospacing="0" w:after="0" w:afterAutospacing="0"/>
                    <w:ind w:right="0"/>
                    <w:rPr>
                      <w:rFonts w:hint="eastAsia" w:ascii="Times New Roman" w:hAnsi="Times New Roman" w:eastAsia="宋体" w:cs="Times New Roman"/>
                      <w:sz w:val="21"/>
                      <w:szCs w:val="21"/>
                      <w:lang w:eastAsia="zh-CN"/>
                    </w:rPr>
                  </w:pPr>
                  <w:r>
                    <w:rPr>
                      <w:rFonts w:hint="eastAsia" w:cs="Times New Roman"/>
                      <w:sz w:val="21"/>
                      <w:szCs w:val="21"/>
                      <w:lang w:val="en-US" w:eastAsia="zh-CN"/>
                    </w:rPr>
                    <w:t>4</w:t>
                  </w:r>
                </w:p>
              </w:tc>
              <w:tc>
                <w:tcPr>
                  <w:tcW w:w="1564" w:type="dxa"/>
                  <w:tcBorders>
                    <w:top w:val="single" w:color="auto" w:sz="4" w:space="0"/>
                    <w:left w:val="single" w:color="auto" w:sz="4" w:space="0"/>
                    <w:bottom w:val="single" w:color="auto" w:sz="4" w:space="0"/>
                    <w:right w:val="single" w:color="auto" w:sz="4" w:space="0"/>
                  </w:tcBorders>
                  <w:vAlign w:val="center"/>
                </w:tcPr>
                <w:p>
                  <w:pPr>
                    <w:pStyle w:val="37"/>
                    <w:keepNext w:val="0"/>
                    <w:keepLines w:val="0"/>
                    <w:suppressLineNumbers w:val="0"/>
                    <w:tabs>
                      <w:tab w:val="left" w:pos="648"/>
                    </w:tabs>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60</w:t>
                  </w:r>
                </w:p>
              </w:tc>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lang w:bidi="ar"/>
                    </w:rPr>
                    <w:t>7</w:t>
                  </w:r>
                </w:p>
              </w:tc>
              <w:tc>
                <w:tcPr>
                  <w:tcW w:w="1106" w:type="dxa"/>
                  <w:tcBorders>
                    <w:top w:val="single" w:color="auto" w:sz="4" w:space="0"/>
                    <w:left w:val="single" w:color="auto" w:sz="4" w:space="0"/>
                    <w:bottom w:val="single" w:color="auto" w:sz="4" w:space="0"/>
                    <w:right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0" w:type="dxa"/>
                  <w:tcBorders>
                    <w:top w:val="single" w:color="auto" w:sz="4" w:space="0"/>
                    <w:left w:val="nil"/>
                    <w:bottom w:val="single" w:color="auto" w:sz="4" w:space="0"/>
                    <w:right w:val="single" w:color="auto" w:sz="4" w:space="0"/>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NO</w:t>
                  </w:r>
                  <w:r>
                    <w:rPr>
                      <w:rFonts w:hint="default" w:ascii="Times New Roman" w:hAnsi="Times New Roman" w:eastAsia="宋体" w:cs="Times New Roman"/>
                      <w:sz w:val="21"/>
                      <w:szCs w:val="21"/>
                      <w:vertAlign w:val="subscript"/>
                    </w:rPr>
                    <w:t>2</w:t>
                  </w:r>
                </w:p>
              </w:tc>
              <w:tc>
                <w:tcPr>
                  <w:tcW w:w="1791" w:type="dxa"/>
                  <w:tcBorders>
                    <w:top w:val="single" w:color="auto" w:sz="4" w:space="0"/>
                    <w:left w:val="single" w:color="auto" w:sz="4" w:space="0"/>
                    <w:bottom w:val="single" w:color="auto" w:sz="4" w:space="0"/>
                    <w:right w:val="single" w:color="auto" w:sz="4" w:space="0"/>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年平均浓度</w:t>
                  </w:r>
                </w:p>
              </w:tc>
              <w:tc>
                <w:tcPr>
                  <w:tcW w:w="1353" w:type="dxa"/>
                  <w:tcBorders>
                    <w:top w:val="single" w:color="auto" w:sz="4" w:space="0"/>
                    <w:left w:val="single" w:color="auto" w:sz="4" w:space="0"/>
                    <w:bottom w:val="single" w:color="auto" w:sz="4" w:space="0"/>
                    <w:right w:val="single" w:color="auto" w:sz="4" w:space="0"/>
                  </w:tcBorders>
                  <w:vAlign w:val="center"/>
                </w:tcPr>
                <w:p>
                  <w:pPr>
                    <w:pStyle w:val="37"/>
                    <w:keepNext w:val="0"/>
                    <w:keepLines w:val="0"/>
                    <w:suppressLineNumbers w:val="0"/>
                    <w:tabs>
                      <w:tab w:val="left" w:pos="648"/>
                    </w:tabs>
                    <w:spacing w:before="0" w:beforeAutospacing="0" w:after="0" w:afterAutospacing="0"/>
                    <w:ind w:right="0"/>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1</w:t>
                  </w:r>
                  <w:r>
                    <w:rPr>
                      <w:rFonts w:hint="eastAsia" w:cs="Times New Roman"/>
                      <w:sz w:val="21"/>
                      <w:szCs w:val="21"/>
                      <w:lang w:val="en-US" w:eastAsia="zh-CN"/>
                    </w:rPr>
                    <w:t>7</w:t>
                  </w:r>
                </w:p>
              </w:tc>
              <w:tc>
                <w:tcPr>
                  <w:tcW w:w="1564" w:type="dxa"/>
                  <w:tcBorders>
                    <w:top w:val="single" w:color="auto" w:sz="4" w:space="0"/>
                    <w:left w:val="single" w:color="auto" w:sz="4" w:space="0"/>
                    <w:bottom w:val="single" w:color="auto" w:sz="4" w:space="0"/>
                    <w:right w:val="single" w:color="auto" w:sz="4" w:space="0"/>
                  </w:tcBorders>
                  <w:vAlign w:val="center"/>
                </w:tcPr>
                <w:p>
                  <w:pPr>
                    <w:pStyle w:val="37"/>
                    <w:keepNext w:val="0"/>
                    <w:keepLines w:val="0"/>
                    <w:suppressLineNumbers w:val="0"/>
                    <w:tabs>
                      <w:tab w:val="left" w:pos="648"/>
                    </w:tabs>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w:t>
                  </w:r>
                </w:p>
              </w:tc>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sz w:val="21"/>
                      <w:szCs w:val="21"/>
                      <w:lang w:eastAsia="zh-CN"/>
                    </w:rPr>
                  </w:pPr>
                  <w:r>
                    <w:rPr>
                      <w:rFonts w:hint="default" w:ascii="Times New Roman" w:hAnsi="Times New Roman" w:eastAsia="宋体" w:cs="Times New Roman"/>
                      <w:color w:val="000000"/>
                      <w:sz w:val="21"/>
                      <w:szCs w:val="21"/>
                      <w:lang w:bidi="ar"/>
                    </w:rPr>
                    <w:t>4</w:t>
                  </w:r>
                  <w:r>
                    <w:rPr>
                      <w:rFonts w:hint="eastAsia" w:cs="Times New Roman"/>
                      <w:color w:val="000000"/>
                      <w:sz w:val="21"/>
                      <w:szCs w:val="21"/>
                      <w:lang w:val="en-US" w:eastAsia="zh-CN" w:bidi="ar"/>
                    </w:rPr>
                    <w:t>3</w:t>
                  </w:r>
                </w:p>
              </w:tc>
              <w:tc>
                <w:tcPr>
                  <w:tcW w:w="1106" w:type="dxa"/>
                  <w:tcBorders>
                    <w:top w:val="single" w:color="auto" w:sz="4" w:space="0"/>
                    <w:left w:val="single" w:color="auto" w:sz="4" w:space="0"/>
                    <w:bottom w:val="single" w:color="auto" w:sz="4" w:space="0"/>
                    <w:right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0" w:type="dxa"/>
                  <w:tcBorders>
                    <w:top w:val="single" w:color="auto" w:sz="4" w:space="0"/>
                    <w:left w:val="nil"/>
                    <w:bottom w:val="single" w:color="auto" w:sz="4" w:space="0"/>
                    <w:right w:val="single" w:color="auto" w:sz="4" w:space="0"/>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PM</w:t>
                  </w:r>
                  <w:r>
                    <w:rPr>
                      <w:rFonts w:hint="default" w:ascii="Times New Roman" w:hAnsi="Times New Roman" w:eastAsia="宋体" w:cs="Times New Roman"/>
                      <w:sz w:val="21"/>
                      <w:szCs w:val="21"/>
                      <w:vertAlign w:val="subscript"/>
                    </w:rPr>
                    <w:t>10</w:t>
                  </w:r>
                </w:p>
              </w:tc>
              <w:tc>
                <w:tcPr>
                  <w:tcW w:w="1791" w:type="dxa"/>
                  <w:tcBorders>
                    <w:top w:val="single" w:color="auto" w:sz="4" w:space="0"/>
                    <w:left w:val="single" w:color="auto" w:sz="4" w:space="0"/>
                    <w:bottom w:val="single" w:color="auto" w:sz="4" w:space="0"/>
                    <w:right w:val="single" w:color="auto" w:sz="4" w:space="0"/>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年平均浓度</w:t>
                  </w:r>
                </w:p>
              </w:tc>
              <w:tc>
                <w:tcPr>
                  <w:tcW w:w="1353" w:type="dxa"/>
                  <w:tcBorders>
                    <w:top w:val="single" w:color="auto" w:sz="4" w:space="0"/>
                    <w:left w:val="single" w:color="auto" w:sz="4" w:space="0"/>
                    <w:bottom w:val="single" w:color="auto" w:sz="4" w:space="0"/>
                    <w:right w:val="single" w:color="auto" w:sz="4" w:space="0"/>
                  </w:tcBorders>
                  <w:vAlign w:val="center"/>
                </w:tcPr>
                <w:p>
                  <w:pPr>
                    <w:pStyle w:val="37"/>
                    <w:keepNext w:val="0"/>
                    <w:keepLines w:val="0"/>
                    <w:suppressLineNumbers w:val="0"/>
                    <w:tabs>
                      <w:tab w:val="left" w:pos="648"/>
                    </w:tabs>
                    <w:spacing w:before="0" w:beforeAutospacing="0" w:after="0" w:afterAutospacing="0"/>
                    <w:ind w:right="0"/>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3</w:t>
                  </w:r>
                  <w:r>
                    <w:rPr>
                      <w:rFonts w:hint="eastAsia" w:cs="Times New Roman"/>
                      <w:sz w:val="21"/>
                      <w:szCs w:val="21"/>
                      <w:lang w:val="en-US" w:eastAsia="zh-CN"/>
                    </w:rPr>
                    <w:t>0</w:t>
                  </w:r>
                </w:p>
              </w:tc>
              <w:tc>
                <w:tcPr>
                  <w:tcW w:w="1564" w:type="dxa"/>
                  <w:tcBorders>
                    <w:top w:val="single" w:color="auto" w:sz="4" w:space="0"/>
                    <w:left w:val="single" w:color="auto" w:sz="4" w:space="0"/>
                    <w:bottom w:val="single" w:color="auto" w:sz="4" w:space="0"/>
                    <w:right w:val="single" w:color="auto" w:sz="4" w:space="0"/>
                  </w:tcBorders>
                  <w:vAlign w:val="center"/>
                </w:tcPr>
                <w:p>
                  <w:pPr>
                    <w:pStyle w:val="37"/>
                    <w:keepNext w:val="0"/>
                    <w:keepLines w:val="0"/>
                    <w:suppressLineNumbers w:val="0"/>
                    <w:tabs>
                      <w:tab w:val="left" w:pos="648"/>
                    </w:tabs>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w:t>
                  </w:r>
                </w:p>
              </w:tc>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cs="Times New Roman"/>
                      <w:color w:val="000000"/>
                      <w:sz w:val="21"/>
                      <w:szCs w:val="21"/>
                      <w:lang w:val="en-US" w:eastAsia="zh-CN" w:bidi="ar"/>
                    </w:rPr>
                    <w:t>43</w:t>
                  </w:r>
                </w:p>
              </w:tc>
              <w:tc>
                <w:tcPr>
                  <w:tcW w:w="1106" w:type="dxa"/>
                  <w:tcBorders>
                    <w:top w:val="single" w:color="auto" w:sz="4" w:space="0"/>
                    <w:left w:val="single" w:color="auto" w:sz="4" w:space="0"/>
                    <w:bottom w:val="single" w:color="auto" w:sz="4" w:space="0"/>
                    <w:right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0" w:type="dxa"/>
                  <w:tcBorders>
                    <w:top w:val="single" w:color="auto" w:sz="4" w:space="0"/>
                    <w:left w:val="nil"/>
                    <w:bottom w:val="single" w:color="auto" w:sz="4" w:space="0"/>
                    <w:right w:val="single" w:color="auto" w:sz="4" w:space="0"/>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PM</w:t>
                  </w:r>
                  <w:r>
                    <w:rPr>
                      <w:rFonts w:hint="default" w:ascii="Times New Roman" w:hAnsi="Times New Roman" w:eastAsia="宋体" w:cs="Times New Roman"/>
                      <w:sz w:val="21"/>
                      <w:szCs w:val="21"/>
                      <w:vertAlign w:val="subscript"/>
                    </w:rPr>
                    <w:t>2.5</w:t>
                  </w:r>
                </w:p>
              </w:tc>
              <w:tc>
                <w:tcPr>
                  <w:tcW w:w="1791" w:type="dxa"/>
                  <w:tcBorders>
                    <w:top w:val="single" w:color="auto" w:sz="4" w:space="0"/>
                    <w:left w:val="single" w:color="auto" w:sz="4" w:space="0"/>
                    <w:bottom w:val="single" w:color="auto" w:sz="4" w:space="0"/>
                    <w:right w:val="single" w:color="auto" w:sz="4" w:space="0"/>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年平均浓度</w:t>
                  </w:r>
                </w:p>
              </w:tc>
              <w:tc>
                <w:tcPr>
                  <w:tcW w:w="1353" w:type="dxa"/>
                  <w:tcBorders>
                    <w:top w:val="single" w:color="auto" w:sz="4" w:space="0"/>
                    <w:left w:val="single" w:color="auto" w:sz="4" w:space="0"/>
                    <w:bottom w:val="single" w:color="auto" w:sz="4" w:space="0"/>
                    <w:right w:val="single" w:color="auto" w:sz="4" w:space="0"/>
                  </w:tcBorders>
                  <w:vAlign w:val="center"/>
                </w:tcPr>
                <w:p>
                  <w:pPr>
                    <w:pStyle w:val="37"/>
                    <w:keepNext w:val="0"/>
                    <w:keepLines w:val="0"/>
                    <w:suppressLineNumbers w:val="0"/>
                    <w:tabs>
                      <w:tab w:val="left" w:pos="648"/>
                    </w:tabs>
                    <w:spacing w:before="0" w:beforeAutospacing="0" w:after="0" w:afterAutospacing="0"/>
                    <w:ind w:right="0"/>
                    <w:rPr>
                      <w:rFonts w:hint="default" w:ascii="Times New Roman" w:hAnsi="Times New Roman" w:eastAsia="宋体" w:cs="Times New Roman"/>
                      <w:sz w:val="21"/>
                      <w:szCs w:val="21"/>
                      <w:lang w:val="en-US" w:eastAsia="zh-CN"/>
                    </w:rPr>
                  </w:pPr>
                  <w:r>
                    <w:rPr>
                      <w:rFonts w:hint="eastAsia" w:cs="Times New Roman"/>
                      <w:sz w:val="21"/>
                      <w:szCs w:val="21"/>
                      <w:lang w:val="en-US" w:eastAsia="zh-CN"/>
                    </w:rPr>
                    <w:t>15</w:t>
                  </w:r>
                </w:p>
              </w:tc>
              <w:tc>
                <w:tcPr>
                  <w:tcW w:w="1564" w:type="dxa"/>
                  <w:tcBorders>
                    <w:top w:val="single" w:color="auto" w:sz="4" w:space="0"/>
                    <w:left w:val="single" w:color="auto" w:sz="4" w:space="0"/>
                    <w:bottom w:val="single" w:color="auto" w:sz="4" w:space="0"/>
                    <w:right w:val="single" w:color="auto" w:sz="4" w:space="0"/>
                  </w:tcBorders>
                  <w:vAlign w:val="center"/>
                </w:tcPr>
                <w:p>
                  <w:pPr>
                    <w:pStyle w:val="37"/>
                    <w:keepNext w:val="0"/>
                    <w:keepLines w:val="0"/>
                    <w:suppressLineNumbers w:val="0"/>
                    <w:tabs>
                      <w:tab w:val="left" w:pos="648"/>
                    </w:tabs>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w:t>
                  </w:r>
                </w:p>
              </w:tc>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cs="Times New Roman"/>
                      <w:color w:val="000000"/>
                      <w:sz w:val="21"/>
                      <w:szCs w:val="21"/>
                      <w:lang w:val="en-US" w:eastAsia="zh-CN" w:bidi="ar"/>
                    </w:rPr>
                    <w:t>43</w:t>
                  </w:r>
                </w:p>
              </w:tc>
              <w:tc>
                <w:tcPr>
                  <w:tcW w:w="1106" w:type="dxa"/>
                  <w:tcBorders>
                    <w:top w:val="single" w:color="auto" w:sz="4" w:space="0"/>
                    <w:left w:val="single" w:color="auto" w:sz="4" w:space="0"/>
                    <w:bottom w:val="single" w:color="auto" w:sz="4" w:space="0"/>
                    <w:right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0" w:type="dxa"/>
                  <w:tcBorders>
                    <w:top w:val="single" w:color="auto" w:sz="4" w:space="0"/>
                    <w:left w:val="nil"/>
                    <w:bottom w:val="single" w:color="auto" w:sz="4" w:space="0"/>
                    <w:right w:val="single" w:color="auto" w:sz="4" w:space="0"/>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w:t>
                  </w:r>
                </w:p>
              </w:tc>
              <w:tc>
                <w:tcPr>
                  <w:tcW w:w="1791" w:type="dxa"/>
                  <w:tcBorders>
                    <w:top w:val="single" w:color="auto" w:sz="4" w:space="0"/>
                    <w:left w:val="single" w:color="auto" w:sz="4" w:space="0"/>
                    <w:bottom w:val="single" w:color="auto" w:sz="4" w:space="0"/>
                    <w:right w:val="single" w:color="auto" w:sz="4" w:space="0"/>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95百分位数日平均质量浓度</w:t>
                  </w:r>
                </w:p>
              </w:tc>
              <w:tc>
                <w:tcPr>
                  <w:tcW w:w="1353" w:type="dxa"/>
                  <w:tcBorders>
                    <w:top w:val="single" w:color="auto" w:sz="4" w:space="0"/>
                    <w:left w:val="single" w:color="auto" w:sz="4" w:space="0"/>
                    <w:bottom w:val="single" w:color="auto" w:sz="4" w:space="0"/>
                    <w:right w:val="single" w:color="auto" w:sz="4" w:space="0"/>
                  </w:tcBorders>
                  <w:vAlign w:val="center"/>
                </w:tcPr>
                <w:p>
                  <w:pPr>
                    <w:pStyle w:val="37"/>
                    <w:keepNext w:val="0"/>
                    <w:keepLines w:val="0"/>
                    <w:suppressLineNumbers w:val="0"/>
                    <w:tabs>
                      <w:tab w:val="left" w:pos="648"/>
                    </w:tabs>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1000</w:t>
                  </w:r>
                </w:p>
              </w:tc>
              <w:tc>
                <w:tcPr>
                  <w:tcW w:w="1564" w:type="dxa"/>
                  <w:tcBorders>
                    <w:top w:val="single" w:color="auto" w:sz="4" w:space="0"/>
                    <w:left w:val="single" w:color="auto" w:sz="4" w:space="0"/>
                    <w:bottom w:val="single" w:color="auto" w:sz="4" w:space="0"/>
                    <w:right w:val="single" w:color="auto" w:sz="4" w:space="0"/>
                  </w:tcBorders>
                  <w:vAlign w:val="center"/>
                </w:tcPr>
                <w:p>
                  <w:pPr>
                    <w:pStyle w:val="37"/>
                    <w:keepNext w:val="0"/>
                    <w:keepLines w:val="0"/>
                    <w:suppressLineNumbers w:val="0"/>
                    <w:tabs>
                      <w:tab w:val="left" w:pos="648"/>
                    </w:tabs>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4000</w:t>
                  </w:r>
                </w:p>
              </w:tc>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lang w:bidi="ar"/>
                    </w:rPr>
                    <w:t>25</w:t>
                  </w:r>
                </w:p>
              </w:tc>
              <w:tc>
                <w:tcPr>
                  <w:tcW w:w="1106" w:type="dxa"/>
                  <w:tcBorders>
                    <w:top w:val="single" w:color="auto" w:sz="4" w:space="0"/>
                    <w:left w:val="single" w:color="auto" w:sz="4" w:space="0"/>
                    <w:bottom w:val="single" w:color="auto" w:sz="4" w:space="0"/>
                    <w:right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0" w:type="dxa"/>
                  <w:tcBorders>
                    <w:top w:val="single" w:color="auto" w:sz="4" w:space="0"/>
                    <w:left w:val="nil"/>
                    <w:bottom w:val="single" w:color="auto" w:sz="12" w:space="0"/>
                    <w:right w:val="single" w:color="auto" w:sz="4" w:space="0"/>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O</w:t>
                  </w:r>
                  <w:r>
                    <w:rPr>
                      <w:rFonts w:hint="default" w:ascii="Times New Roman" w:hAnsi="Times New Roman" w:eastAsia="宋体" w:cs="Times New Roman"/>
                      <w:sz w:val="21"/>
                      <w:szCs w:val="21"/>
                      <w:vertAlign w:val="subscript"/>
                    </w:rPr>
                    <w:t>3</w:t>
                  </w:r>
                </w:p>
              </w:tc>
              <w:tc>
                <w:tcPr>
                  <w:tcW w:w="1791" w:type="dxa"/>
                  <w:tcBorders>
                    <w:top w:val="single" w:color="auto" w:sz="4" w:space="0"/>
                    <w:left w:val="single" w:color="auto" w:sz="4" w:space="0"/>
                    <w:bottom w:val="single" w:color="auto" w:sz="12" w:space="0"/>
                    <w:right w:val="single" w:color="auto" w:sz="4" w:space="0"/>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90百分位数8h平均质量浓度</w:t>
                  </w:r>
                </w:p>
              </w:tc>
              <w:tc>
                <w:tcPr>
                  <w:tcW w:w="1353" w:type="dxa"/>
                  <w:tcBorders>
                    <w:top w:val="single" w:color="auto" w:sz="4" w:space="0"/>
                    <w:left w:val="single" w:color="auto" w:sz="4" w:space="0"/>
                    <w:bottom w:val="single" w:color="auto" w:sz="12" w:space="0"/>
                    <w:right w:val="single" w:color="auto" w:sz="4" w:space="0"/>
                  </w:tcBorders>
                  <w:vAlign w:val="center"/>
                </w:tcPr>
                <w:p>
                  <w:pPr>
                    <w:pStyle w:val="37"/>
                    <w:keepNext w:val="0"/>
                    <w:keepLines w:val="0"/>
                    <w:suppressLineNumbers w:val="0"/>
                    <w:tabs>
                      <w:tab w:val="left" w:pos="648"/>
                    </w:tabs>
                    <w:spacing w:before="0" w:beforeAutospacing="0" w:after="0" w:afterAutospacing="0"/>
                    <w:ind w:right="0"/>
                    <w:rPr>
                      <w:rFonts w:hint="default" w:ascii="Times New Roman" w:hAnsi="Times New Roman" w:eastAsia="宋体" w:cs="Times New Roman"/>
                      <w:sz w:val="21"/>
                      <w:szCs w:val="21"/>
                      <w:lang w:val="en-US" w:eastAsia="zh-CN"/>
                    </w:rPr>
                  </w:pPr>
                  <w:r>
                    <w:rPr>
                      <w:rFonts w:hint="eastAsia" w:cs="Times New Roman"/>
                      <w:sz w:val="21"/>
                      <w:szCs w:val="21"/>
                      <w:lang w:val="en-US" w:eastAsia="zh-CN"/>
                    </w:rPr>
                    <w:t>97</w:t>
                  </w:r>
                </w:p>
              </w:tc>
              <w:tc>
                <w:tcPr>
                  <w:tcW w:w="1564" w:type="dxa"/>
                  <w:tcBorders>
                    <w:top w:val="single" w:color="auto" w:sz="4" w:space="0"/>
                    <w:left w:val="single" w:color="auto" w:sz="4" w:space="0"/>
                    <w:bottom w:val="single" w:color="auto" w:sz="12" w:space="0"/>
                    <w:right w:val="single" w:color="auto" w:sz="4" w:space="0"/>
                  </w:tcBorders>
                  <w:vAlign w:val="center"/>
                </w:tcPr>
                <w:p>
                  <w:pPr>
                    <w:pStyle w:val="37"/>
                    <w:keepNext w:val="0"/>
                    <w:keepLines w:val="0"/>
                    <w:suppressLineNumbers w:val="0"/>
                    <w:tabs>
                      <w:tab w:val="left" w:pos="648"/>
                    </w:tabs>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160</w:t>
                  </w:r>
                </w:p>
              </w:tc>
              <w:tc>
                <w:tcPr>
                  <w:tcW w:w="1392" w:type="dxa"/>
                  <w:tcBorders>
                    <w:top w:val="single" w:color="auto" w:sz="4" w:space="0"/>
                    <w:left w:val="single" w:color="auto" w:sz="4" w:space="0"/>
                    <w:bottom w:val="single" w:color="auto" w:sz="12"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cs="Times New Roman"/>
                      <w:color w:val="000000"/>
                      <w:sz w:val="21"/>
                      <w:szCs w:val="21"/>
                      <w:lang w:val="en-US" w:eastAsia="zh-CN" w:bidi="ar"/>
                    </w:rPr>
                    <w:t>63</w:t>
                  </w:r>
                </w:p>
              </w:tc>
              <w:tc>
                <w:tcPr>
                  <w:tcW w:w="1106" w:type="dxa"/>
                  <w:tcBorders>
                    <w:top w:val="single" w:color="auto" w:sz="4" w:space="0"/>
                    <w:left w:val="single" w:color="auto" w:sz="4" w:space="0"/>
                    <w:bottom w:val="single" w:color="auto" w:sz="12" w:space="0"/>
                    <w:right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bl>
          <w:p>
            <w:pPr>
              <w:pStyle w:val="4"/>
              <w:keepNext w:val="0"/>
              <w:keepLines w:val="0"/>
              <w:suppressLineNumbers w:val="0"/>
              <w:spacing w:before="120" w:beforeLines="50" w:beforeAutospacing="0" w:after="0" w:afterAutospacing="0"/>
              <w:ind w:left="0" w:right="0"/>
              <w:rPr>
                <w:rFonts w:hint="default"/>
              </w:rPr>
            </w:pPr>
            <w:r>
              <w:rPr>
                <w:rFonts w:hint="default"/>
              </w:rPr>
              <w:t>水环境质量现状</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rPr>
            </w:pPr>
            <w:r>
              <w:rPr>
                <w:rFonts w:hint="default" w:ascii="Times New Roman" w:hAnsi="Times New Roman" w:eastAsia="宋体" w:cs="Times New Roman"/>
              </w:rPr>
              <w:t>项目产生的废水主要是清洗废水、漂洗废水、纯水制备浓水以及职工的生活污水，生活污水经化粪池预处理后接入市政污水管网；纯水制备浓水</w:t>
            </w:r>
            <w:r>
              <w:rPr>
                <w:rFonts w:hint="default" w:ascii="Times New Roman" w:hAnsi="Times New Roman" w:eastAsia="宋体" w:cs="Times New Roman"/>
                <w:lang w:eastAsia="zh-CN"/>
              </w:rPr>
              <w:t>、</w:t>
            </w:r>
            <w:r>
              <w:rPr>
                <w:rFonts w:hint="default" w:ascii="Times New Roman" w:hAnsi="Times New Roman" w:eastAsia="宋体" w:cs="Times New Roman"/>
              </w:rPr>
              <w:t>清洗废水、漂洗废水经厂区污水站预处理达标后，进入市政污水管网</w:t>
            </w:r>
            <w:r>
              <w:rPr>
                <w:rFonts w:hint="default" w:ascii="Times New Roman" w:hAnsi="Times New Roman" w:eastAsia="宋体" w:cs="Times New Roman"/>
                <w:lang w:eastAsia="zh-CN"/>
              </w:rPr>
              <w:t>。</w:t>
            </w:r>
            <w:r>
              <w:rPr>
                <w:rFonts w:hint="default" w:ascii="Times New Roman" w:hAnsi="Times New Roman" w:eastAsia="宋体" w:cs="Times New Roman"/>
                <w:lang w:val="en-US" w:eastAsia="zh-CN"/>
              </w:rPr>
              <w:t>项目产生的废水经</w:t>
            </w:r>
            <w:r>
              <w:rPr>
                <w:rFonts w:hint="default" w:ascii="Times New Roman" w:hAnsi="Times New Roman" w:eastAsia="宋体" w:cs="Times New Roman"/>
                <w:highlight w:val="none"/>
                <w:lang w:val="en-US" w:eastAsia="zh-CN"/>
              </w:rPr>
              <w:t>预处理达标后</w:t>
            </w:r>
            <w:r>
              <w:rPr>
                <w:rFonts w:hint="default" w:ascii="Times New Roman" w:hAnsi="Times New Roman" w:eastAsia="宋体" w:cs="Times New Roman"/>
                <w:color w:val="auto"/>
                <w:sz w:val="24"/>
                <w:szCs w:val="24"/>
                <w:highlight w:val="none"/>
                <w:lang w:val="en-US" w:eastAsia="zh-CN"/>
              </w:rPr>
              <w:t>进入霞浦县污水处理厂统一处理</w:t>
            </w:r>
            <w:r>
              <w:rPr>
                <w:rFonts w:hint="default" w:ascii="Times New Roman" w:hAnsi="Times New Roman" w:eastAsia="宋体" w:cs="Times New Roman"/>
                <w:highlight w:val="none"/>
              </w:rPr>
              <w:t>。污水处理厂尾水排入罗汉溪入海口河段。</w:t>
            </w:r>
          </w:p>
          <w:p>
            <w:pPr>
              <w:pStyle w:val="42"/>
              <w:keepNext w:val="0"/>
              <w:keepLines w:val="0"/>
              <w:suppressLineNumbers w:val="0"/>
              <w:spacing w:before="0" w:beforeAutospacing="0" w:after="0" w:afterAutospacing="0" w:line="360" w:lineRule="auto"/>
              <w:ind w:left="0" w:right="0" w:firstLine="480"/>
              <w:rPr>
                <w:rFonts w:hint="default"/>
              </w:rPr>
            </w:pPr>
            <w:r>
              <w:rPr>
                <w:rFonts w:hint="default" w:ascii="Times New Roman" w:hAnsi="Times New Roman" w:eastAsia="宋体" w:cs="Times New Roman"/>
              </w:rPr>
              <w:t>根据</w:t>
            </w:r>
            <w:r>
              <w:rPr>
                <w:rFonts w:hint="default" w:ascii="Times New Roman" w:hAnsi="Times New Roman" w:eastAsia="宋体" w:cs="Times New Roman"/>
                <w:color w:val="auto"/>
              </w:rPr>
              <w:t>《宁德市环境质量概要》（202</w:t>
            </w:r>
            <w:r>
              <w:rPr>
                <w:rFonts w:hint="eastAsia" w:cs="Times New Roman"/>
                <w:color w:val="auto"/>
                <w:lang w:val="en-US" w:eastAsia="zh-CN"/>
              </w:rPr>
              <w:t>3</w:t>
            </w:r>
            <w:r>
              <w:rPr>
                <w:rFonts w:hint="default" w:ascii="Times New Roman" w:hAnsi="Times New Roman" w:eastAsia="宋体" w:cs="Times New Roman"/>
                <w:color w:val="auto"/>
              </w:rPr>
              <w:t>年度）</w:t>
            </w:r>
            <w:r>
              <w:rPr>
                <w:rFonts w:hint="default" w:ascii="Times New Roman" w:hAnsi="Times New Roman" w:eastAsia="宋体" w:cs="Times New Roman"/>
              </w:rPr>
              <w:t>，202</w:t>
            </w:r>
            <w:r>
              <w:rPr>
                <w:rFonts w:hint="eastAsia" w:cs="Times New Roman"/>
                <w:lang w:val="en-US" w:eastAsia="zh-CN"/>
              </w:rPr>
              <w:t>3</w:t>
            </w:r>
            <w:r>
              <w:rPr>
                <w:rFonts w:hint="default" w:ascii="Times New Roman" w:hAnsi="Times New Roman" w:eastAsia="宋体" w:cs="Times New Roman"/>
              </w:rPr>
              <w:t>年罗汉溪后港村监测断面水质符合《地表水环境质量标准》（GB3838-2002）Ⅲ类水质标准。</w:t>
            </w:r>
          </w:p>
          <w:p>
            <w:pPr>
              <w:pStyle w:val="42"/>
              <w:keepNext w:val="0"/>
              <w:keepLines w:val="0"/>
              <w:suppressLineNumbers w:val="0"/>
              <w:spacing w:before="0" w:beforeAutospacing="0" w:after="0" w:afterAutospacing="0"/>
              <w:ind w:left="0" w:right="0" w:firstLine="482"/>
              <w:rPr>
                <w:rFonts w:hint="default" w:ascii="Times New Roman" w:hAnsi="Times New Roman" w:eastAsia="宋体" w:cs="Times New Roman"/>
              </w:rPr>
            </w:pPr>
            <w:r>
              <w:rPr>
                <w:rFonts w:hint="default" w:ascii="Times New Roman" w:hAnsi="Times New Roman" w:eastAsia="宋体" w:cs="Times New Roman"/>
                <w:b/>
                <w:bCs/>
              </w:rPr>
              <w:t>近岸海域海水水质状况</w:t>
            </w:r>
            <w:r>
              <w:rPr>
                <w:rFonts w:hint="default" w:ascii="Times New Roman" w:hAnsi="Times New Roman" w:eastAsia="宋体" w:cs="Times New Roman"/>
              </w:rPr>
              <w:t>：2023年宁德市近岸海域水质状况为一般。一、二类水质比例为79.1%，与上年相比下降0.3个百分点；三类水质比例为9.3%，同比上升5.4个百分点；四类水质比例为4.5%，同比下降4.7个百分点；劣四类水质比例为7.1%，同比下降0.4个百分点。四类及劣四类水质的点位主要集中在三沙湾和沙埕湾海域，主要超标因子为活性磷酸盐、无机氮。</w:t>
            </w:r>
          </w:p>
          <w:p>
            <w:pPr>
              <w:pStyle w:val="42"/>
              <w:keepNext w:val="0"/>
              <w:keepLines w:val="0"/>
              <w:suppressLineNumbers w:val="0"/>
              <w:spacing w:before="0" w:beforeAutospacing="0" w:after="0" w:afterAutospacing="0"/>
              <w:ind w:left="0" w:right="0" w:firstLine="482"/>
              <w:rPr>
                <w:rFonts w:hint="default" w:ascii="Times New Roman" w:hAnsi="Times New Roman" w:eastAsia="宋体" w:cs="Times New Roman"/>
              </w:rPr>
            </w:pPr>
            <w:r>
              <w:rPr>
                <w:rFonts w:hint="eastAsia" w:cs="Times New Roman"/>
                <w:sz w:val="24"/>
                <w:szCs w:val="24"/>
                <w:highlight w:val="none"/>
                <w:lang w:val="en-US" w:eastAsia="zh-CN"/>
              </w:rPr>
              <w:t>同时，根据</w:t>
            </w:r>
            <w:r>
              <w:rPr>
                <w:rFonts w:hint="default" w:ascii="Times New Roman" w:hAnsi="Times New Roman" w:eastAsia="宋体" w:cs="Times New Roman"/>
                <w:color w:val="000000" w:themeColor="text1"/>
                <w:sz w:val="24"/>
                <w:szCs w:val="32"/>
                <w:highlight w:val="none"/>
                <w:lang w:val="en-US" w:eastAsia="zh-CN"/>
                <w14:textFill>
                  <w14:solidFill>
                    <w14:schemeClr w14:val="tx1"/>
                  </w14:solidFill>
                </w14:textFill>
              </w:rPr>
              <w:t>《宁德市202</w:t>
            </w:r>
            <w:r>
              <w:rPr>
                <w:rFonts w:hint="eastAsia" w:ascii="Times New Roman" w:hAnsi="Times New Roman" w:eastAsia="宋体" w:cs="Times New Roman"/>
                <w:color w:val="000000" w:themeColor="text1"/>
                <w:sz w:val="24"/>
                <w:szCs w:val="32"/>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32"/>
                <w:highlight w:val="none"/>
                <w:lang w:val="en-US" w:eastAsia="zh-CN"/>
                <w14:textFill>
                  <w14:solidFill>
                    <w14:schemeClr w14:val="tx1"/>
                  </w14:solidFill>
                </w14:textFill>
              </w:rPr>
              <w:t>年度环境质量概况》</w:t>
            </w:r>
            <w:r>
              <w:rPr>
                <w:rFonts w:hint="eastAsia" w:ascii="Times New Roman" w:hAnsi="Times New Roman" w:eastAsia="宋体" w:cs="Times New Roman"/>
                <w:color w:val="000000" w:themeColor="text1"/>
                <w:sz w:val="24"/>
                <w:szCs w:val="32"/>
                <w:highlight w:val="none"/>
                <w:lang w:val="en-US" w:eastAsia="zh-CN"/>
                <w14:textFill>
                  <w14:solidFill>
                    <w14:schemeClr w14:val="tx1"/>
                  </w14:solidFill>
                </w14:textFill>
              </w:rPr>
              <w:t>，</w:t>
            </w:r>
            <w:r>
              <w:rPr>
                <w:rFonts w:hint="eastAsia"/>
              </w:rPr>
              <w:t>项目所在区域福宁湾东部海域海水水质符合《海水水质标准》（GB 3097-1997）中二类海水水质标准，具体</w:t>
            </w:r>
            <w:r>
              <w:rPr>
                <w:rFonts w:hint="default"/>
              </w:rPr>
              <w:t>详见</w:t>
            </w:r>
            <w:r>
              <w:rPr>
                <w:rFonts w:hint="eastAsia"/>
              </w:rPr>
              <w:t>下表。</w:t>
            </w:r>
          </w:p>
          <w:p>
            <w:pPr>
              <w:pStyle w:val="36"/>
              <w:keepNext w:val="0"/>
              <w:keepLines w:val="0"/>
              <w:suppressLineNumbers w:val="0"/>
              <w:bidi w:val="0"/>
              <w:spacing w:before="0" w:beforeAutospacing="0" w:after="0" w:afterAutospacing="0"/>
              <w:ind w:right="0"/>
              <w:rPr>
                <w:rFonts w:hint="default" w:ascii="Times New Roman" w:hAnsi="Times New Roman" w:eastAsia="宋体" w:cs="Times New Roman"/>
              </w:rPr>
            </w:pPr>
            <w:r>
              <w:rPr>
                <w:rFonts w:hint="default" w:ascii="Times New Roman" w:hAnsi="Times New Roman" w:eastAsia="宋体" w:cs="Times New Roman"/>
              </w:rPr>
              <w:t>《宁德市环境质量概要》（202</w:t>
            </w:r>
            <w:r>
              <w:rPr>
                <w:rFonts w:hint="eastAsia" w:cs="Times New Roman"/>
                <w:lang w:val="en-US" w:eastAsia="zh-CN"/>
              </w:rPr>
              <w:t>3</w:t>
            </w:r>
            <w:r>
              <w:rPr>
                <w:rFonts w:hint="default" w:ascii="Times New Roman" w:hAnsi="Times New Roman" w:eastAsia="宋体" w:cs="Times New Roman"/>
              </w:rPr>
              <w:t>年度）摘录</w:t>
            </w:r>
          </w:p>
          <w:tbl>
            <w:tblPr>
              <w:tblStyle w:val="28"/>
              <w:tblW w:w="812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27"/>
              <w:gridCol w:w="1155"/>
              <w:gridCol w:w="915"/>
              <w:gridCol w:w="1095"/>
              <w:gridCol w:w="1095"/>
              <w:gridCol w:w="945"/>
              <w:gridCol w:w="1170"/>
              <w:gridCol w:w="12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24" w:type="dxa"/>
                  <w:gridSpan w:val="8"/>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宁德市202</w:t>
                  </w:r>
                  <w:r>
                    <w:rPr>
                      <w:rFonts w:hint="eastAsia" w:cs="Times New Roman"/>
                      <w:sz w:val="21"/>
                      <w:szCs w:val="21"/>
                      <w:lang w:val="en-US" w:eastAsia="zh-CN"/>
                    </w:rPr>
                    <w:t>3</w:t>
                  </w:r>
                  <w:r>
                    <w:rPr>
                      <w:rFonts w:hint="default" w:ascii="Times New Roman" w:hAnsi="Times New Roman" w:eastAsia="宋体" w:cs="Times New Roman"/>
                      <w:sz w:val="21"/>
                      <w:szCs w:val="21"/>
                    </w:rPr>
                    <w:t>年小流域水质状况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7"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1155"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所在</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水系</w:t>
                  </w:r>
                </w:p>
              </w:tc>
              <w:tc>
                <w:tcPr>
                  <w:tcW w:w="915"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所在水体</w:t>
                  </w:r>
                </w:p>
              </w:tc>
              <w:tc>
                <w:tcPr>
                  <w:tcW w:w="1095"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断面名称</w:t>
                  </w:r>
                </w:p>
              </w:tc>
              <w:tc>
                <w:tcPr>
                  <w:tcW w:w="109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水质类别</w:t>
                  </w:r>
                </w:p>
              </w:tc>
              <w:tc>
                <w:tcPr>
                  <w:tcW w:w="2115" w:type="dxa"/>
                  <w:gridSpan w:val="2"/>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 1 \* ROMAN \* MERGEFORMAT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I</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 3 \* ROMAN \* MERGEFORMAT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III</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t>类水质</w:t>
                  </w:r>
                  <w:r>
                    <w:rPr>
                      <w:rFonts w:hint="default" w:ascii="Times New Roman" w:hAnsi="Times New Roman" w:eastAsia="宋体" w:cs="Times New Roman"/>
                      <w:sz w:val="21"/>
                      <w:szCs w:val="21"/>
                      <w:lang w:eastAsia="zh-CN"/>
                    </w:rPr>
                    <w:t>比例</w:t>
                  </w:r>
                  <w:r>
                    <w:rPr>
                      <w:rFonts w:hint="default" w:ascii="Times New Roman" w:hAnsi="Times New Roman" w:eastAsia="宋体" w:cs="Times New Roman"/>
                      <w:sz w:val="21"/>
                      <w:szCs w:val="21"/>
                    </w:rPr>
                    <w:t>（%）</w:t>
                  </w:r>
                </w:p>
              </w:tc>
              <w:tc>
                <w:tcPr>
                  <w:tcW w:w="1222"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超</w:t>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 3 \* ROMAN \* MERGEFORMAT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III</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t>类指标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7"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1155"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915"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1095"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109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本期</w:t>
                  </w:r>
                </w:p>
              </w:tc>
              <w:tc>
                <w:tcPr>
                  <w:tcW w:w="94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本期</w:t>
                  </w:r>
                </w:p>
              </w:tc>
              <w:tc>
                <w:tcPr>
                  <w:tcW w:w="117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上年同期</w:t>
                  </w:r>
                </w:p>
              </w:tc>
              <w:tc>
                <w:tcPr>
                  <w:tcW w:w="1222"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45</w:t>
                  </w:r>
                </w:p>
              </w:tc>
              <w:tc>
                <w:tcPr>
                  <w:tcW w:w="115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罗汉溪</w:t>
                  </w:r>
                </w:p>
              </w:tc>
              <w:tc>
                <w:tcPr>
                  <w:tcW w:w="91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罗汉溪</w:t>
                  </w:r>
                </w:p>
              </w:tc>
              <w:tc>
                <w:tcPr>
                  <w:tcW w:w="109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后港村</w:t>
                  </w:r>
                </w:p>
              </w:tc>
              <w:tc>
                <w:tcPr>
                  <w:tcW w:w="109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eastAsia" w:ascii="宋体" w:hAnsi="宋体" w:cs="宋体"/>
                      <w:sz w:val="20"/>
                      <w:szCs w:val="20"/>
                    </w:rPr>
                    <w:t>Ⅲ</w:t>
                  </w:r>
                </w:p>
              </w:tc>
              <w:tc>
                <w:tcPr>
                  <w:tcW w:w="94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w:t>
                  </w:r>
                </w:p>
              </w:tc>
              <w:tc>
                <w:tcPr>
                  <w:tcW w:w="117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w:t>
                  </w:r>
                </w:p>
              </w:tc>
              <w:tc>
                <w:tcPr>
                  <w:tcW w:w="1222"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bl>
          <w:p>
            <w:pPr>
              <w:pStyle w:val="36"/>
              <w:keepNext w:val="0"/>
              <w:keepLines w:val="0"/>
              <w:suppressLineNumbers w:val="0"/>
              <w:bidi w:val="0"/>
              <w:spacing w:before="0" w:beforeAutospacing="0" w:after="0" w:afterAutospacing="0"/>
              <w:ind w:right="0"/>
              <w:rPr>
                <w:rFonts w:hint="default" w:ascii="Times New Roman" w:hAnsi="Times New Roman" w:eastAsia="宋体" w:cs="Times New Roman"/>
                <w:lang w:val="en-US" w:eastAsia="zh-CN"/>
              </w:rPr>
            </w:pPr>
            <w:r>
              <w:rPr>
                <w:rFonts w:hint="default" w:ascii="Times New Roman" w:hAnsi="Times New Roman" w:eastAsia="宋体" w:cs="Times New Roman"/>
              </w:rPr>
              <w:t>《宁德市环境质量概要》（202</w:t>
            </w:r>
            <w:r>
              <w:rPr>
                <w:rFonts w:hint="eastAsia" w:cs="Times New Roman"/>
                <w:lang w:val="en-US" w:eastAsia="zh-CN"/>
              </w:rPr>
              <w:t>2</w:t>
            </w:r>
            <w:r>
              <w:rPr>
                <w:rFonts w:hint="default" w:ascii="Times New Roman" w:hAnsi="Times New Roman" w:eastAsia="宋体" w:cs="Times New Roman"/>
              </w:rPr>
              <w:t>年度）摘录</w:t>
            </w:r>
          </w:p>
          <w:tbl>
            <w:tblPr>
              <w:tblStyle w:val="28"/>
              <w:tblW w:w="806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145"/>
              <w:gridCol w:w="907"/>
              <w:gridCol w:w="1086"/>
              <w:gridCol w:w="1086"/>
              <w:gridCol w:w="937"/>
              <w:gridCol w:w="1161"/>
              <w:gridCol w:w="121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8060" w:type="dxa"/>
                  <w:gridSpan w:val="8"/>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rPr>
                  </w:pPr>
                  <w:r>
                    <w:rPr>
                      <w:rFonts w:hint="eastAsia"/>
                    </w:rPr>
                    <w:t>全市近海海域水质状况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522" w:type="dxa"/>
                  <w:vMerge w:val="restar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rPr>
                  </w:pPr>
                  <w:r>
                    <w:rPr>
                      <w:rFonts w:hint="eastAsia"/>
                    </w:rPr>
                    <w:t>序号</w:t>
                  </w:r>
                </w:p>
              </w:tc>
              <w:tc>
                <w:tcPr>
                  <w:tcW w:w="1145"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rPr>
                  </w:pPr>
                  <w:r>
                    <w:rPr>
                      <w:rFonts w:hint="eastAsia"/>
                    </w:rPr>
                    <w:t>站位</w:t>
                  </w:r>
                </w:p>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rPr>
                  </w:pPr>
                  <w:r>
                    <w:rPr>
                      <w:rFonts w:hint="eastAsia"/>
                    </w:rPr>
                    <w:t>名称</w:t>
                  </w:r>
                </w:p>
              </w:tc>
              <w:tc>
                <w:tcPr>
                  <w:tcW w:w="907"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rPr>
                  </w:pPr>
                  <w:r>
                    <w:rPr>
                      <w:rFonts w:hint="eastAsia"/>
                    </w:rPr>
                    <w:t>所属</w:t>
                  </w:r>
                </w:p>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rPr>
                  </w:pPr>
                  <w:r>
                    <w:rPr>
                      <w:rFonts w:hint="eastAsia"/>
                    </w:rPr>
                    <w:t>海域</w:t>
                  </w:r>
                </w:p>
              </w:tc>
              <w:tc>
                <w:tcPr>
                  <w:tcW w:w="2172" w:type="dxa"/>
                  <w:gridSpan w:val="2"/>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rPr>
                  </w:pPr>
                  <w:r>
                    <w:rPr>
                      <w:rFonts w:hint="eastAsia"/>
                    </w:rPr>
                    <w:t>水质类别</w:t>
                  </w:r>
                </w:p>
              </w:tc>
              <w:tc>
                <w:tcPr>
                  <w:tcW w:w="2098" w:type="dxa"/>
                  <w:gridSpan w:val="2"/>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rPr>
                  </w:pPr>
                  <w:r>
                    <w:rPr>
                      <w:rFonts w:hint="eastAsia"/>
                    </w:rPr>
                    <w:t>一类~二类水质比例（%）</w:t>
                  </w:r>
                </w:p>
              </w:tc>
              <w:tc>
                <w:tcPr>
                  <w:tcW w:w="1216" w:type="dxa"/>
                  <w:vMerge w:val="restar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rPr>
                  </w:pPr>
                  <w:r>
                    <w:rPr>
                      <w:rFonts w:hint="eastAsia"/>
                    </w:rPr>
                    <w:t>一类~二类超标项目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522" w:type="dxa"/>
                  <w:vMerge w:val="continue"/>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rPr>
                  </w:pPr>
                </w:p>
              </w:tc>
              <w:tc>
                <w:tcPr>
                  <w:tcW w:w="1145" w:type="dxa"/>
                  <w:vMerge w:val="continue"/>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rPr>
                  </w:pPr>
                </w:p>
              </w:tc>
              <w:tc>
                <w:tcPr>
                  <w:tcW w:w="907" w:type="dxa"/>
                  <w:vMerge w:val="continue"/>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rPr>
                  </w:pPr>
                </w:p>
              </w:tc>
              <w:tc>
                <w:tcPr>
                  <w:tcW w:w="1086"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rPr>
                  </w:pPr>
                  <w:r>
                    <w:rPr>
                      <w:rFonts w:hint="eastAsia"/>
                    </w:rPr>
                    <w:t>本期</w:t>
                  </w:r>
                </w:p>
              </w:tc>
              <w:tc>
                <w:tcPr>
                  <w:tcW w:w="1086"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rPr>
                  </w:pPr>
                  <w:r>
                    <w:rPr>
                      <w:rFonts w:hint="eastAsia"/>
                    </w:rPr>
                    <w:t>上年同期</w:t>
                  </w:r>
                </w:p>
              </w:tc>
              <w:tc>
                <w:tcPr>
                  <w:tcW w:w="937"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rPr>
                  </w:pPr>
                  <w:r>
                    <w:rPr>
                      <w:rFonts w:hint="eastAsia"/>
                    </w:rPr>
                    <w:t>本期</w:t>
                  </w:r>
                </w:p>
              </w:tc>
              <w:tc>
                <w:tcPr>
                  <w:tcW w:w="1161"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rPr>
                  </w:pPr>
                  <w:r>
                    <w:rPr>
                      <w:rFonts w:hint="eastAsia"/>
                    </w:rPr>
                    <w:t>上年同期</w:t>
                  </w:r>
                </w:p>
              </w:tc>
              <w:tc>
                <w:tcPr>
                  <w:tcW w:w="1216" w:type="dxa"/>
                  <w:vMerge w:val="continue"/>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522"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rPr>
                  </w:pPr>
                  <w:r>
                    <w:rPr>
                      <w:rFonts w:hint="eastAsia"/>
                    </w:rPr>
                    <w:t>16</w:t>
                  </w:r>
                </w:p>
              </w:tc>
              <w:tc>
                <w:tcPr>
                  <w:tcW w:w="1145"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rPr>
                  </w:pPr>
                  <w:r>
                    <w:rPr>
                      <w:rFonts w:hint="eastAsia"/>
                    </w:rPr>
                    <w:t>福宁湾东部海域</w:t>
                  </w:r>
                </w:p>
              </w:tc>
              <w:tc>
                <w:tcPr>
                  <w:tcW w:w="907"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rPr>
                  </w:pPr>
                  <w:r>
                    <w:rPr>
                      <w:rFonts w:hint="eastAsia"/>
                    </w:rPr>
                    <w:t>/</w:t>
                  </w:r>
                </w:p>
              </w:tc>
              <w:tc>
                <w:tcPr>
                  <w:tcW w:w="1086"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rPr>
                  </w:pPr>
                  <w:r>
                    <w:rPr>
                      <w:rFonts w:hint="eastAsia"/>
                    </w:rPr>
                    <w:t>二类</w:t>
                  </w:r>
                </w:p>
              </w:tc>
              <w:tc>
                <w:tcPr>
                  <w:tcW w:w="1086"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rPr>
                  </w:pPr>
                  <w:r>
                    <w:rPr>
                      <w:rFonts w:hint="eastAsia"/>
                      <w:lang w:val="en-US" w:eastAsia="zh-CN"/>
                    </w:rPr>
                    <w:t>二</w:t>
                  </w:r>
                  <w:r>
                    <w:rPr>
                      <w:rFonts w:hint="eastAsia"/>
                    </w:rPr>
                    <w:t>类</w:t>
                  </w:r>
                </w:p>
              </w:tc>
              <w:tc>
                <w:tcPr>
                  <w:tcW w:w="937"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rPr>
                  </w:pPr>
                  <w:r>
                    <w:rPr>
                      <w:rFonts w:hint="eastAsia"/>
                    </w:rPr>
                    <w:t>100</w:t>
                  </w:r>
                </w:p>
              </w:tc>
              <w:tc>
                <w:tcPr>
                  <w:tcW w:w="1161"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rPr>
                  </w:pPr>
                  <w:r>
                    <w:rPr>
                      <w:rFonts w:hint="eastAsia"/>
                    </w:rPr>
                    <w:t>100</w:t>
                  </w:r>
                </w:p>
              </w:tc>
              <w:tc>
                <w:tcPr>
                  <w:tcW w:w="1216"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rPr>
                  </w:pPr>
                  <w:r>
                    <w:rPr>
                      <w:rFonts w:hint="eastAsia"/>
                    </w:rPr>
                    <w:t>/</w:t>
                  </w:r>
                </w:p>
              </w:tc>
            </w:tr>
          </w:tbl>
          <w:p>
            <w:pPr>
              <w:pStyle w:val="4"/>
              <w:keepNext w:val="0"/>
              <w:keepLines w:val="0"/>
              <w:suppressLineNumbers w:val="0"/>
              <w:spacing w:before="120" w:beforeLines="50" w:beforeAutospacing="0" w:after="0" w:afterAutospacing="0"/>
              <w:ind w:left="0" w:right="0"/>
              <w:rPr>
                <w:rFonts w:hint="default"/>
              </w:rPr>
            </w:pPr>
            <w:r>
              <w:rPr>
                <w:rFonts w:hint="default"/>
              </w:rPr>
              <w:t>声环境质量现状</w:t>
            </w:r>
          </w:p>
          <w:p>
            <w:pPr>
              <w:pStyle w:val="42"/>
              <w:keepNext w:val="0"/>
              <w:keepLines w:val="0"/>
              <w:suppressLineNumbers w:val="0"/>
              <w:spacing w:before="0" w:beforeAutospacing="0" w:after="0" w:afterAutospacing="0"/>
              <w:ind w:left="0" w:right="0" w:firstLine="480"/>
              <w:rPr>
                <w:rFonts w:hint="default"/>
              </w:rPr>
            </w:pPr>
            <w:r>
              <w:rPr>
                <w:rFonts w:hint="eastAsia"/>
              </w:rPr>
              <w:t>项目50m范围内无声环境保护目标，本评价无须监测声环境质量现状。</w:t>
            </w:r>
          </w:p>
          <w:p>
            <w:pPr>
              <w:pStyle w:val="4"/>
              <w:keepNext w:val="0"/>
              <w:keepLines w:val="0"/>
              <w:suppressLineNumbers w:val="0"/>
              <w:spacing w:before="0" w:beforeAutospacing="0" w:after="0" w:afterAutospacing="0"/>
              <w:ind w:left="0" w:right="0"/>
              <w:rPr>
                <w:rFonts w:hint="default"/>
              </w:rPr>
            </w:pPr>
            <w:r>
              <w:rPr>
                <w:rFonts w:hint="eastAsia"/>
              </w:rPr>
              <w:t>生态环境</w:t>
            </w:r>
          </w:p>
          <w:p>
            <w:pPr>
              <w:pStyle w:val="42"/>
              <w:keepNext w:val="0"/>
              <w:keepLines w:val="0"/>
              <w:suppressLineNumbers w:val="0"/>
              <w:spacing w:before="0" w:beforeAutospacing="0" w:after="0" w:afterAutospacing="0"/>
              <w:ind w:left="0" w:right="0" w:firstLine="480"/>
              <w:rPr>
                <w:rFonts w:hint="default"/>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本项目</w:t>
            </w:r>
            <w:r>
              <w:rPr>
                <w:rFonts w:hint="eastAsia"/>
                <w:color w:val="000000" w:themeColor="text1"/>
                <w14:textFill>
                  <w14:solidFill>
                    <w14:schemeClr w14:val="tx1"/>
                  </w14:solidFill>
                </w14:textFill>
              </w:rPr>
              <w:t>位于产业园区内，租赁现有厂房进行加工生产，不新增用地，用地范围内无生态环境保护目标，根据《建设项目环境影响报告表编制技术指南（污染影响类）》（试行），本项目无需</w:t>
            </w:r>
            <w:r>
              <w:rPr>
                <w:rFonts w:hint="eastAsia"/>
                <w:color w:val="000000" w:themeColor="text1"/>
                <w:lang w:eastAsia="zh-CN"/>
                <w14:textFill>
                  <w14:solidFill>
                    <w14:schemeClr w14:val="tx1"/>
                  </w14:solidFill>
                </w14:textFill>
              </w:rPr>
              <w:t>进行</w:t>
            </w:r>
            <w:r>
              <w:rPr>
                <w:rFonts w:hint="eastAsia"/>
                <w:color w:val="000000" w:themeColor="text1"/>
                <w14:textFill>
                  <w14:solidFill>
                    <w14:schemeClr w14:val="tx1"/>
                  </w14:solidFill>
                </w14:textFill>
              </w:rPr>
              <w:t>生态环境现状调查。</w:t>
            </w:r>
          </w:p>
          <w:p>
            <w:pPr>
              <w:pStyle w:val="4"/>
              <w:keepNext w:val="0"/>
              <w:keepLines w:val="0"/>
              <w:suppressLineNumbers w:val="0"/>
              <w:spacing w:before="0" w:beforeAutospacing="0" w:after="0" w:afterAutospacing="0"/>
              <w:ind w:left="0" w:right="0"/>
              <w:rPr>
                <w:rFonts w:hint="default"/>
              </w:rPr>
            </w:pPr>
            <w:r>
              <w:rPr>
                <w:rFonts w:hint="eastAsia"/>
              </w:rPr>
              <w:t>地下水、土壤</w:t>
            </w:r>
          </w:p>
          <w:p>
            <w:pPr>
              <w:pStyle w:val="42"/>
              <w:keepNext w:val="0"/>
              <w:keepLines w:val="0"/>
              <w:suppressLineNumbers w:val="0"/>
              <w:spacing w:before="0" w:beforeAutospacing="0" w:after="0" w:afterAutospacing="0"/>
              <w:ind w:left="0" w:right="0" w:firstLine="480"/>
              <w:rPr>
                <w:rFonts w:hint="default" w:ascii="Times New Roman" w:hAnsi="Times New Roman" w:eastAsia="宋体" w:cs="Times New Roman"/>
                <w:highlight w:val="none"/>
              </w:rPr>
            </w:pPr>
            <w:r>
              <w:rPr>
                <w:rFonts w:hint="default" w:ascii="Times New Roman" w:hAnsi="Times New Roman" w:eastAsia="宋体" w:cs="Times New Roman"/>
                <w:lang w:eastAsia="zh-CN"/>
              </w:rPr>
              <w:t>砚</w:t>
            </w:r>
            <w:r>
              <w:rPr>
                <w:rFonts w:hint="default" w:ascii="Times New Roman" w:hAnsi="Times New Roman" w:eastAsia="宋体" w:cs="Times New Roman"/>
              </w:rPr>
              <w:t>泽智能（宁德）制造有限公司</w:t>
            </w:r>
            <w:r>
              <w:rPr>
                <w:rFonts w:hint="default" w:ascii="Times New Roman" w:hAnsi="Times New Roman" w:eastAsia="宋体" w:cs="Times New Roman"/>
                <w:color w:val="auto"/>
                <w:lang w:val="en-US" w:eastAsia="zh-CN"/>
              </w:rPr>
              <w:t>租用</w:t>
            </w:r>
            <w:r>
              <w:rPr>
                <w:rFonts w:hint="default" w:ascii="Times New Roman" w:hAnsi="Times New Roman" w:eastAsia="宋体" w:cs="Times New Roman"/>
                <w:lang w:val="en-US" w:eastAsia="zh-CN"/>
              </w:rPr>
              <w:t>福建德恩家居有限公司</w:t>
            </w:r>
            <w:r>
              <w:rPr>
                <w:rFonts w:hint="eastAsia" w:cs="Times New Roman"/>
                <w:lang w:val="en-US" w:eastAsia="zh-CN"/>
              </w:rPr>
              <w:t>厂区</w:t>
            </w:r>
            <w:r>
              <w:rPr>
                <w:rFonts w:hint="default" w:ascii="Times New Roman" w:hAnsi="Times New Roman" w:eastAsia="宋体" w:cs="Times New Roman"/>
                <w:highlight w:val="none"/>
                <w:lang w:val="en-US" w:eastAsia="zh-CN"/>
              </w:rPr>
              <w:t>建设</w:t>
            </w:r>
            <w:r>
              <w:rPr>
                <w:rFonts w:hint="default" w:ascii="Times New Roman" w:hAnsi="Times New Roman" w:eastAsia="宋体" w:cs="Times New Roman"/>
                <w:szCs w:val="21"/>
                <w:lang w:eastAsia="zh-CN"/>
              </w:rPr>
              <w:t>砚</w:t>
            </w:r>
            <w:r>
              <w:rPr>
                <w:rFonts w:hint="default" w:ascii="Times New Roman" w:hAnsi="Times New Roman" w:eastAsia="宋体" w:cs="Times New Roman"/>
                <w:szCs w:val="21"/>
              </w:rPr>
              <w:t>泽智能（宁德）年产7000万套新能源动力电池铝壳项目</w:t>
            </w:r>
            <w:r>
              <w:rPr>
                <w:rFonts w:hint="default" w:ascii="Times New Roman" w:hAnsi="Times New Roman" w:eastAsia="宋体" w:cs="Times New Roman"/>
                <w:color w:val="0000FF"/>
                <w:highlight w:val="none"/>
                <w:lang w:eastAsia="zh-CN"/>
              </w:rPr>
              <w:t>。</w:t>
            </w:r>
            <w:r>
              <w:rPr>
                <w:rFonts w:hint="default" w:ascii="Times New Roman" w:hAnsi="Times New Roman" w:eastAsia="宋体" w:cs="Times New Roman"/>
                <w:color w:val="auto"/>
                <w:highlight w:val="none"/>
              </w:rPr>
              <w:t>《建设项目环境影响报告表编制技术指南（污染影响类）》（试行）中表明：</w:t>
            </w:r>
            <w:r>
              <w:rPr>
                <w:rFonts w:hint="default" w:ascii="Times New Roman" w:hAnsi="Times New Roman" w:eastAsia="宋体" w:cs="Times New Roman"/>
                <w:b/>
                <w:bCs/>
                <w:color w:val="auto"/>
                <w:highlight w:val="none"/>
              </w:rPr>
              <w:t>原则上不开展地下水、土壤环境质量现状调查</w:t>
            </w:r>
            <w:r>
              <w:rPr>
                <w:rFonts w:hint="default" w:ascii="Times New Roman" w:hAnsi="Times New Roman" w:eastAsia="宋体" w:cs="Times New Roman"/>
                <w:color w:val="auto"/>
                <w:highlight w:val="none"/>
              </w:rPr>
              <w:t>。本项目生产区域、危废暂存间、污水处理设施等经分区防渗后，项目基</w:t>
            </w:r>
            <w:r>
              <w:rPr>
                <w:rFonts w:hint="default" w:ascii="Times New Roman" w:hAnsi="Times New Roman" w:eastAsia="宋体" w:cs="Times New Roman"/>
                <w:highlight w:val="none"/>
              </w:rPr>
              <w:t>本不会对土壤、地下水产生影响。且</w:t>
            </w:r>
            <w:r>
              <w:rPr>
                <w:rFonts w:hint="default" w:ascii="Times New Roman" w:hAnsi="Times New Roman" w:eastAsia="宋体" w:cs="Times New Roman"/>
                <w:color w:val="auto"/>
                <w:highlight w:val="none"/>
              </w:rPr>
              <w:t>项目</w:t>
            </w:r>
            <w:r>
              <w:rPr>
                <w:rFonts w:hint="default" w:ascii="Times New Roman" w:hAnsi="Times New Roman" w:eastAsia="宋体" w:cs="Times New Roman"/>
                <w:highlight w:val="none"/>
              </w:rPr>
              <w:t>厂界外500m范围内无地下水集中式饮用水水源和热水、矿泉水、泉水等特殊地下水资源。</w:t>
            </w:r>
          </w:p>
          <w:p>
            <w:pPr>
              <w:pStyle w:val="42"/>
              <w:keepNext w:val="0"/>
              <w:keepLines w:val="0"/>
              <w:suppressLineNumbers w:val="0"/>
              <w:spacing w:before="0" w:beforeAutospacing="0" w:after="0" w:afterAutospacing="0"/>
              <w:ind w:left="0" w:right="0" w:firstLine="480"/>
              <w:rPr>
                <w:rFonts w:hint="default"/>
                <w:color w:val="auto"/>
                <w:highlight w:val="none"/>
              </w:rPr>
            </w:pPr>
            <w:r>
              <w:rPr>
                <w:rFonts w:hint="default" w:ascii="Times New Roman" w:hAnsi="Times New Roman" w:eastAsia="宋体" w:cs="Times New Roman"/>
                <w:highlight w:val="none"/>
                <w:lang w:val="en-US" w:eastAsia="zh-CN"/>
              </w:rPr>
              <w:t>综上所述，</w:t>
            </w:r>
            <w:r>
              <w:rPr>
                <w:rFonts w:hint="default" w:ascii="Times New Roman" w:hAnsi="Times New Roman" w:eastAsia="宋体" w:cs="Times New Roman"/>
                <w:color w:val="auto"/>
                <w:highlight w:val="none"/>
              </w:rPr>
              <w:t>本项目不开展地下水、土壤环境质量现状调查。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1"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环境</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保护</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目标</w:t>
            </w:r>
          </w:p>
        </w:tc>
        <w:tc>
          <w:tcPr>
            <w:tcW w:w="8340" w:type="dxa"/>
            <w:vAlign w:val="center"/>
          </w:tcPr>
          <w:p>
            <w:pPr>
              <w:pStyle w:val="4"/>
              <w:keepNext w:val="0"/>
              <w:keepLines w:val="0"/>
              <w:suppressLineNumbers w:val="0"/>
              <w:spacing w:before="0" w:beforeAutospacing="0" w:after="0" w:afterAutospacing="0"/>
              <w:ind w:left="0" w:right="0"/>
              <w:rPr>
                <w:rFonts w:hint="default"/>
              </w:rPr>
            </w:pPr>
            <w:r>
              <w:rPr>
                <w:rFonts w:hint="default"/>
              </w:rPr>
              <w:t>大气环境</w:t>
            </w:r>
          </w:p>
          <w:p>
            <w:pPr>
              <w:pStyle w:val="71"/>
              <w:keepNext w:val="0"/>
              <w:keepLines w:val="0"/>
              <w:suppressLineNumbers w:val="0"/>
              <w:spacing w:before="0" w:beforeAutospacing="0" w:after="0" w:afterAutospacing="0"/>
              <w:ind w:left="0" w:right="0" w:firstLine="480"/>
              <w:rPr>
                <w:rFonts w:hint="default"/>
              </w:rPr>
            </w:pPr>
            <w:r>
              <w:rPr>
                <w:rFonts w:hint="default"/>
              </w:rPr>
              <w:t>本项目</w:t>
            </w:r>
            <w:r>
              <w:rPr>
                <w:rFonts w:hint="eastAsia"/>
              </w:rPr>
              <w:t>大气环境保护目标为项目西北侧308m处的大沙村，保护目标情况如下表所示，保护目标图详见附图</w:t>
            </w:r>
            <w:r>
              <w:rPr>
                <w:rFonts w:hint="eastAsia"/>
                <w:lang w:val="en-US" w:eastAsia="zh-CN"/>
              </w:rPr>
              <w:t>3</w:t>
            </w:r>
            <w:r>
              <w:rPr>
                <w:rFonts w:hint="default"/>
              </w:rPr>
              <w:t>。</w:t>
            </w:r>
          </w:p>
          <w:p>
            <w:pPr>
              <w:pStyle w:val="36"/>
              <w:keepNext w:val="0"/>
              <w:keepLines w:val="0"/>
              <w:suppressLineNumbers w:val="0"/>
              <w:bidi w:val="0"/>
              <w:spacing w:before="0" w:beforeAutospacing="0" w:after="0" w:afterAutospacing="0"/>
              <w:ind w:right="0"/>
              <w:rPr>
                <w:rFonts w:hint="default"/>
              </w:rPr>
            </w:pPr>
            <w:r>
              <w:rPr>
                <w:rFonts w:hint="eastAsia"/>
              </w:rPr>
              <w:t>环境空气保护目标情况一览表</w:t>
            </w:r>
          </w:p>
          <w:tbl>
            <w:tblPr>
              <w:tblStyle w:val="27"/>
              <w:tblW w:w="8124"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246"/>
              <w:gridCol w:w="48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4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环境要素</w:t>
                  </w:r>
                </w:p>
              </w:tc>
              <w:tc>
                <w:tcPr>
                  <w:tcW w:w="4878"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大气环境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4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名称</w:t>
                  </w:r>
                </w:p>
              </w:tc>
              <w:tc>
                <w:tcPr>
                  <w:tcW w:w="4878"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大沙村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4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坐标</w:t>
                  </w:r>
                </w:p>
              </w:tc>
              <w:tc>
                <w:tcPr>
                  <w:tcW w:w="4878"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120.021246°E；26.855354°N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4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保护对象</w:t>
                  </w:r>
                </w:p>
              </w:tc>
              <w:tc>
                <w:tcPr>
                  <w:tcW w:w="4878"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居民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4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规模</w:t>
                  </w:r>
                </w:p>
              </w:tc>
              <w:tc>
                <w:tcPr>
                  <w:tcW w:w="4878"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1180人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4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保护内容</w:t>
                  </w:r>
                </w:p>
              </w:tc>
              <w:tc>
                <w:tcPr>
                  <w:tcW w:w="4878"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居住环境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4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环境功能区</w:t>
                  </w:r>
                </w:p>
              </w:tc>
              <w:tc>
                <w:tcPr>
                  <w:tcW w:w="4878"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《环境空气质量标准》(GB3095-2012)二级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4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相对厂址方位及距离</w:t>
                  </w:r>
                </w:p>
              </w:tc>
              <w:tc>
                <w:tcPr>
                  <w:tcW w:w="4878"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NW 308m</w:t>
                  </w:r>
                </w:p>
              </w:tc>
            </w:tr>
          </w:tbl>
          <w:p>
            <w:pPr>
              <w:pStyle w:val="4"/>
              <w:keepNext w:val="0"/>
              <w:keepLines w:val="0"/>
              <w:suppressLineNumbers w:val="0"/>
              <w:spacing w:before="120" w:beforeLines="50" w:beforeAutospacing="0" w:after="0" w:afterAutospacing="0"/>
              <w:ind w:left="0" w:right="0"/>
              <w:rPr>
                <w:rFonts w:hint="default"/>
              </w:rPr>
            </w:pPr>
            <w:r>
              <w:rPr>
                <w:rFonts w:hint="default"/>
              </w:rPr>
              <w:t>声环境</w:t>
            </w:r>
          </w:p>
          <w:p>
            <w:pPr>
              <w:pStyle w:val="42"/>
              <w:keepNext w:val="0"/>
              <w:keepLines w:val="0"/>
              <w:suppressLineNumbers w:val="0"/>
              <w:spacing w:before="0" w:beforeAutospacing="0" w:after="0" w:afterAutospacing="0"/>
              <w:ind w:left="0" w:right="0" w:firstLine="480"/>
              <w:rPr>
                <w:rFonts w:hint="default"/>
              </w:rPr>
            </w:pPr>
            <w:r>
              <w:rPr>
                <w:rFonts w:hint="default"/>
              </w:rPr>
              <w:t>本项目厂界外50米范围内无声环境保护目标。</w:t>
            </w:r>
          </w:p>
          <w:p>
            <w:pPr>
              <w:pStyle w:val="4"/>
              <w:keepNext w:val="0"/>
              <w:keepLines w:val="0"/>
              <w:suppressLineNumbers w:val="0"/>
              <w:spacing w:before="120" w:beforeLines="50" w:beforeAutospacing="0" w:after="0" w:afterAutospacing="0"/>
              <w:ind w:left="0" w:right="0"/>
              <w:rPr>
                <w:rFonts w:hint="default"/>
              </w:rPr>
            </w:pPr>
            <w:r>
              <w:rPr>
                <w:rFonts w:hint="default"/>
              </w:rPr>
              <w:t>地下水</w:t>
            </w:r>
          </w:p>
          <w:p>
            <w:pPr>
              <w:pStyle w:val="42"/>
              <w:keepNext w:val="0"/>
              <w:keepLines w:val="0"/>
              <w:suppressLineNumbers w:val="0"/>
              <w:spacing w:before="0" w:beforeAutospacing="0" w:after="0" w:afterAutospacing="0"/>
              <w:ind w:left="0" w:right="0" w:firstLine="480"/>
              <w:rPr>
                <w:rFonts w:hint="default"/>
              </w:rPr>
            </w:pPr>
            <w:r>
              <w:rPr>
                <w:rFonts w:hint="default"/>
              </w:rPr>
              <w:t>厂界外500米范围内无地下水集中式饮用水水源和热水、矿泉水、泉水等特殊地下水资源。</w:t>
            </w:r>
          </w:p>
          <w:p>
            <w:pPr>
              <w:pStyle w:val="4"/>
              <w:keepNext w:val="0"/>
              <w:keepLines w:val="0"/>
              <w:suppressLineNumbers w:val="0"/>
              <w:spacing w:before="0" w:beforeAutospacing="0" w:after="0" w:afterAutospacing="0"/>
              <w:ind w:left="0" w:right="0"/>
              <w:rPr>
                <w:rFonts w:hint="default"/>
              </w:rPr>
            </w:pPr>
            <w:r>
              <w:rPr>
                <w:rFonts w:hint="default"/>
              </w:rPr>
              <w:t>生态环境</w:t>
            </w:r>
          </w:p>
          <w:p>
            <w:pPr>
              <w:pStyle w:val="71"/>
              <w:keepNext w:val="0"/>
              <w:keepLines w:val="0"/>
              <w:suppressLineNumbers w:val="0"/>
              <w:spacing w:before="0" w:beforeAutospacing="0" w:after="0" w:afterAutospacing="0"/>
              <w:ind w:left="0" w:right="0" w:firstLine="480"/>
              <w:rPr>
                <w:rFonts w:hint="eastAsia"/>
                <w:lang w:eastAsia="zh-CN"/>
              </w:rPr>
            </w:pPr>
            <w:r>
              <w:rPr>
                <w:rFonts w:hint="default"/>
              </w:rPr>
              <w:t>本项目位于</w:t>
            </w:r>
            <w:r>
              <w:rPr>
                <w:rFonts w:hint="eastAsia"/>
              </w:rPr>
              <w:t>霞浦经济开发区，</w:t>
            </w:r>
            <w:r>
              <w:rPr>
                <w:rFonts w:hint="default"/>
              </w:rPr>
              <w:t>用地性质属于工业</w:t>
            </w:r>
            <w:r>
              <w:rPr>
                <w:rFonts w:hint="eastAsia"/>
              </w:rPr>
              <w:t>用地</w:t>
            </w:r>
            <w:r>
              <w:rPr>
                <w:rFonts w:hint="default"/>
              </w:rPr>
              <w:t>，不新增用地，用地范围内无生态环境保护目标</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57" w:hRule="atLeast"/>
          <w:jc w:val="center"/>
        </w:trPr>
        <w:tc>
          <w:tcPr>
            <w:tcW w:w="721" w:type="dxa"/>
            <w:tcMar>
              <w:left w:w="28" w:type="dxa"/>
              <w:right w:w="2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污染</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物排</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放控</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制标</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准</w:t>
            </w:r>
          </w:p>
        </w:tc>
        <w:tc>
          <w:tcPr>
            <w:tcW w:w="8340" w:type="dxa"/>
            <w:vAlign w:val="center"/>
          </w:tcPr>
          <w:p>
            <w:pPr>
              <w:pStyle w:val="4"/>
              <w:keepNext w:val="0"/>
              <w:keepLines w:val="0"/>
              <w:suppressLineNumbers w:val="0"/>
              <w:spacing w:before="0" w:beforeAutospacing="0" w:after="0" w:afterAutospacing="0"/>
              <w:ind w:left="0" w:right="0"/>
              <w:rPr>
                <w:rFonts w:hint="default"/>
              </w:rPr>
            </w:pPr>
            <w:r>
              <w:rPr>
                <w:rFonts w:hint="default"/>
              </w:rPr>
              <w:t>废气排放标准</w:t>
            </w:r>
          </w:p>
          <w:p>
            <w:pPr>
              <w:pStyle w:val="42"/>
              <w:keepNext w:val="0"/>
              <w:keepLines w:val="0"/>
              <w:suppressLineNumbers w:val="0"/>
              <w:spacing w:before="0" w:beforeAutospacing="0" w:after="0" w:afterAutospacing="0"/>
              <w:ind w:left="0" w:right="0" w:firstLine="480"/>
              <w:rPr>
                <w:rFonts w:hint="eastAsia"/>
              </w:rPr>
            </w:pPr>
            <w:r>
              <w:rPr>
                <w:rFonts w:hint="default"/>
              </w:rPr>
              <w:t>本项目</w:t>
            </w:r>
            <w:r>
              <w:rPr>
                <w:rFonts w:hint="eastAsia"/>
              </w:rPr>
              <w:t>切边过程会产生金属颗粒物，基本在车间内沉降，其排放执行</w:t>
            </w:r>
            <w:r>
              <w:rPr>
                <w:rFonts w:hint="eastAsia"/>
                <w:bCs/>
                <w:kern w:val="28"/>
                <w:szCs w:val="24"/>
                <w:lang w:bidi="ar"/>
              </w:rPr>
              <w:t>《大气污染物综合排放标准》（GB 16297-1996）表2中无组织排放监控浓度限值要求。</w:t>
            </w:r>
            <w:r>
              <w:rPr>
                <w:rFonts w:hint="eastAsia"/>
              </w:rPr>
              <w:t>具体标准限值见下表。</w:t>
            </w:r>
          </w:p>
          <w:p>
            <w:pPr>
              <w:pStyle w:val="36"/>
              <w:keepNext w:val="0"/>
              <w:keepLines w:val="0"/>
              <w:suppressLineNumbers w:val="0"/>
              <w:spacing w:before="0" w:beforeAutospacing="0" w:after="0" w:afterAutospacing="0"/>
              <w:ind w:right="0"/>
              <w:rPr>
                <w:rFonts w:hint="default"/>
              </w:rPr>
            </w:pPr>
            <w:r>
              <w:rPr>
                <w:rFonts w:hint="eastAsia"/>
              </w:rPr>
              <w:t>《</w:t>
            </w:r>
            <w:r>
              <w:rPr>
                <w:rFonts w:hint="eastAsia"/>
                <w:bCs/>
                <w:kern w:val="28"/>
                <w:lang w:bidi="ar"/>
              </w:rPr>
              <w:t>大气污染物综合排放标准》（GB 16297-1996）</w:t>
            </w:r>
            <w:r>
              <w:rPr>
                <w:rFonts w:hint="eastAsia"/>
              </w:rPr>
              <w:t>（摘录）</w:t>
            </w:r>
          </w:p>
          <w:tbl>
            <w:tblPr>
              <w:tblStyle w:val="27"/>
              <w:tblW w:w="8124"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1111"/>
              <w:gridCol w:w="1917"/>
              <w:gridCol w:w="3224"/>
              <w:gridCol w:w="187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1111" w:type="dxa"/>
                  <w:vMerge w:val="restart"/>
                  <w:tcBorders>
                    <w:tl2br w:val="nil"/>
                    <w:tr2bl w:val="nil"/>
                  </w:tcBorders>
                  <w:shd w:val="clear" w:color="auto" w:fill="auto"/>
                  <w:vAlign w:val="center"/>
                </w:tcPr>
                <w:p>
                  <w:pPr>
                    <w:pStyle w:val="25"/>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kern w:val="2"/>
                      <w:sz w:val="21"/>
                      <w:szCs w:val="21"/>
                      <w:lang w:bidi="ar"/>
                    </w:rPr>
                    <w:t>序号</w:t>
                  </w:r>
                </w:p>
              </w:tc>
              <w:tc>
                <w:tcPr>
                  <w:tcW w:w="1917" w:type="dxa"/>
                  <w:vMerge w:val="restart"/>
                  <w:tcBorders>
                    <w:tl2br w:val="nil"/>
                    <w:tr2bl w:val="nil"/>
                  </w:tcBorders>
                  <w:shd w:val="clear" w:color="auto" w:fill="auto"/>
                  <w:vAlign w:val="center"/>
                </w:tcPr>
                <w:p>
                  <w:pPr>
                    <w:pStyle w:val="25"/>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kern w:val="2"/>
                      <w:sz w:val="21"/>
                      <w:szCs w:val="21"/>
                      <w:lang w:bidi="ar"/>
                    </w:rPr>
                    <w:t>污染物名称</w:t>
                  </w:r>
                </w:p>
              </w:tc>
              <w:tc>
                <w:tcPr>
                  <w:tcW w:w="5096" w:type="dxa"/>
                  <w:gridSpan w:val="2"/>
                  <w:tcBorders>
                    <w:tl2br w:val="nil"/>
                    <w:tr2bl w:val="nil"/>
                  </w:tcBorders>
                  <w:shd w:val="clear" w:color="auto" w:fill="auto"/>
                  <w:vAlign w:val="center"/>
                </w:tcPr>
                <w:p>
                  <w:pPr>
                    <w:pStyle w:val="25"/>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kern w:val="2"/>
                      <w:sz w:val="21"/>
                      <w:szCs w:val="21"/>
                      <w:lang w:bidi="ar"/>
                    </w:rPr>
                    <w:t>无组织排放监控浓度限值（mg/m</w:t>
                  </w:r>
                  <w:r>
                    <w:rPr>
                      <w:rFonts w:hint="default" w:ascii="Times New Roman" w:hAnsi="Times New Roman" w:eastAsia="宋体" w:cs="Times New Roman"/>
                      <w:kern w:val="2"/>
                      <w:sz w:val="21"/>
                      <w:szCs w:val="21"/>
                      <w:vertAlign w:val="superscript"/>
                      <w:lang w:bidi="ar"/>
                    </w:rPr>
                    <w:t>3</w:t>
                  </w:r>
                  <w:r>
                    <w:rPr>
                      <w:rFonts w:hint="default" w:ascii="Times New Roman" w:hAnsi="Times New Roman" w:eastAsia="宋体" w:cs="Times New Roman"/>
                      <w:kern w:val="2"/>
                      <w:sz w:val="21"/>
                      <w:szCs w:val="21"/>
                      <w:lang w:bidi="ar"/>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1111"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19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3224" w:type="dxa"/>
                  <w:tcBorders>
                    <w:tl2br w:val="nil"/>
                    <w:tr2bl w:val="nil"/>
                  </w:tcBorders>
                  <w:shd w:val="clear" w:color="auto" w:fill="auto"/>
                  <w:vAlign w:val="center"/>
                </w:tcPr>
                <w:p>
                  <w:pPr>
                    <w:pStyle w:val="25"/>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2"/>
                      <w:sz w:val="21"/>
                      <w:szCs w:val="21"/>
                      <w:lang w:bidi="ar"/>
                    </w:rPr>
                  </w:pPr>
                  <w:r>
                    <w:rPr>
                      <w:rFonts w:hint="default" w:ascii="Times New Roman" w:hAnsi="Times New Roman" w:eastAsia="宋体" w:cs="Times New Roman"/>
                      <w:kern w:val="2"/>
                      <w:sz w:val="21"/>
                      <w:szCs w:val="21"/>
                      <w:lang w:bidi="ar"/>
                    </w:rPr>
                    <w:t>监控点</w:t>
                  </w:r>
                </w:p>
              </w:tc>
              <w:tc>
                <w:tcPr>
                  <w:tcW w:w="1872" w:type="dxa"/>
                  <w:tcBorders>
                    <w:tl2br w:val="nil"/>
                    <w:tr2bl w:val="nil"/>
                  </w:tcBorders>
                  <w:shd w:val="clear" w:color="auto" w:fill="auto"/>
                  <w:vAlign w:val="center"/>
                </w:tcPr>
                <w:p>
                  <w:pPr>
                    <w:pStyle w:val="25"/>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kern w:val="2"/>
                      <w:sz w:val="21"/>
                      <w:szCs w:val="21"/>
                      <w:lang w:bidi="ar"/>
                    </w:rPr>
                    <w:t>浓度</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1111" w:type="dxa"/>
                  <w:tcBorders>
                    <w:tl2br w:val="nil"/>
                    <w:tr2bl w:val="nil"/>
                  </w:tcBorders>
                  <w:shd w:val="clear" w:color="auto" w:fill="auto"/>
                  <w:vAlign w:val="center"/>
                </w:tcPr>
                <w:p>
                  <w:pPr>
                    <w:pStyle w:val="25"/>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kern w:val="2"/>
                      <w:sz w:val="21"/>
                      <w:szCs w:val="21"/>
                      <w:lang w:bidi="ar"/>
                    </w:rPr>
                    <w:t>1</w:t>
                  </w:r>
                </w:p>
              </w:tc>
              <w:tc>
                <w:tcPr>
                  <w:tcW w:w="1917" w:type="dxa"/>
                  <w:tcBorders>
                    <w:tl2br w:val="nil"/>
                    <w:tr2bl w:val="nil"/>
                  </w:tcBorders>
                  <w:shd w:val="clear" w:color="auto" w:fill="auto"/>
                  <w:vAlign w:val="center"/>
                </w:tcPr>
                <w:p>
                  <w:pPr>
                    <w:pStyle w:val="25"/>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kern w:val="2"/>
                      <w:sz w:val="21"/>
                      <w:szCs w:val="21"/>
                      <w:lang w:bidi="ar"/>
                    </w:rPr>
                    <w:t>颗粒物</w:t>
                  </w:r>
                </w:p>
              </w:tc>
              <w:tc>
                <w:tcPr>
                  <w:tcW w:w="3224" w:type="dxa"/>
                  <w:tcBorders>
                    <w:tl2br w:val="nil"/>
                    <w:tr2bl w:val="nil"/>
                  </w:tcBorders>
                  <w:shd w:val="clear" w:color="auto" w:fill="auto"/>
                  <w:vAlign w:val="center"/>
                </w:tcPr>
                <w:p>
                  <w:pPr>
                    <w:pStyle w:val="25"/>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2"/>
                      <w:sz w:val="21"/>
                      <w:szCs w:val="21"/>
                      <w:lang w:bidi="ar"/>
                    </w:rPr>
                  </w:pPr>
                  <w:r>
                    <w:rPr>
                      <w:rFonts w:hint="default" w:ascii="Times New Roman" w:hAnsi="Times New Roman" w:eastAsia="宋体" w:cs="Times New Roman"/>
                      <w:kern w:val="2"/>
                      <w:sz w:val="21"/>
                      <w:szCs w:val="21"/>
                      <w:lang w:bidi="ar"/>
                    </w:rPr>
                    <w:t>周界外浓度最高点</w:t>
                  </w:r>
                </w:p>
              </w:tc>
              <w:tc>
                <w:tcPr>
                  <w:tcW w:w="1872" w:type="dxa"/>
                  <w:tcBorders>
                    <w:tl2br w:val="nil"/>
                    <w:tr2bl w:val="nil"/>
                  </w:tcBorders>
                  <w:shd w:val="clear" w:color="auto" w:fill="auto"/>
                  <w:vAlign w:val="center"/>
                </w:tcPr>
                <w:p>
                  <w:pPr>
                    <w:pStyle w:val="25"/>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kern w:val="2"/>
                      <w:sz w:val="21"/>
                      <w:szCs w:val="21"/>
                      <w:lang w:bidi="ar"/>
                    </w:rPr>
                    <w:t>1.0</w:t>
                  </w:r>
                </w:p>
              </w:tc>
            </w:tr>
          </w:tbl>
          <w:p>
            <w:pPr>
              <w:pStyle w:val="4"/>
              <w:keepNext w:val="0"/>
              <w:keepLines w:val="0"/>
              <w:suppressLineNumbers w:val="0"/>
              <w:spacing w:before="120" w:beforeLines="50" w:beforeAutospacing="0" w:after="0" w:afterAutospacing="0"/>
              <w:ind w:left="0" w:right="0"/>
              <w:rPr>
                <w:rFonts w:hint="default"/>
              </w:rPr>
            </w:pPr>
            <w:r>
              <w:rPr>
                <w:rFonts w:hint="default"/>
              </w:rPr>
              <w:t>废水排放标准</w:t>
            </w:r>
          </w:p>
          <w:p>
            <w:pPr>
              <w:pStyle w:val="42"/>
              <w:keepNext w:val="0"/>
              <w:keepLines w:val="0"/>
              <w:suppressLineNumbers w:val="0"/>
              <w:spacing w:before="0" w:beforeAutospacing="0" w:after="0" w:afterAutospacing="0"/>
              <w:ind w:left="0" w:right="0" w:firstLine="480"/>
              <w:rPr>
                <w:rFonts w:hint="default" w:ascii="Times New Roman" w:hAnsi="Times New Roman" w:eastAsia="宋体" w:cs="Times New Roman"/>
                <w:highlight w:val="none"/>
                <w:lang w:eastAsia="zh-CN"/>
              </w:rPr>
            </w:pPr>
            <w:r>
              <w:rPr>
                <w:rFonts w:hint="default" w:ascii="Times New Roman" w:hAnsi="Times New Roman" w:eastAsia="宋体" w:cs="Times New Roman"/>
              </w:rPr>
              <w:t>项目</w:t>
            </w:r>
            <w:r>
              <w:rPr>
                <w:rFonts w:hint="default" w:ascii="Times New Roman" w:hAnsi="Times New Roman" w:eastAsia="宋体" w:cs="Times New Roman"/>
                <w:highlight w:val="none"/>
              </w:rPr>
              <w:t>纯水制备系统产生的浓水</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清洗废水、漂洗废水</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lang w:val="en-US" w:eastAsia="zh-CN"/>
              </w:rPr>
              <w:t>地面拖洗废水、膜反冲洗水</w:t>
            </w:r>
            <w:r>
              <w:rPr>
                <w:rFonts w:hint="default" w:ascii="Times New Roman" w:hAnsi="Times New Roman" w:eastAsia="宋体" w:cs="Times New Roman"/>
                <w:highlight w:val="none"/>
              </w:rPr>
              <w:t>及生活污水经</w:t>
            </w:r>
            <w:r>
              <w:rPr>
                <w:rFonts w:hint="default" w:ascii="Times New Roman" w:hAnsi="Times New Roman" w:eastAsia="宋体" w:cs="Times New Roman"/>
                <w:highlight w:val="none"/>
                <w:lang w:val="en-US" w:eastAsia="zh-CN"/>
              </w:rPr>
              <w:t>厂区污水</w:t>
            </w:r>
            <w:r>
              <w:rPr>
                <w:rFonts w:hint="default" w:ascii="Times New Roman" w:hAnsi="Times New Roman" w:eastAsia="宋体" w:cs="Times New Roman"/>
                <w:highlight w:val="none"/>
              </w:rPr>
              <w:t>处理设施处理后接入市政污水</w:t>
            </w:r>
            <w:r>
              <w:rPr>
                <w:rFonts w:hint="default" w:ascii="Times New Roman" w:hAnsi="Times New Roman" w:eastAsia="宋体" w:cs="Times New Roman"/>
                <w:sz w:val="24"/>
                <w:szCs w:val="24"/>
                <w:highlight w:val="none"/>
              </w:rPr>
              <w:t>管网</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进入霞浦县污水处理厂统一处理</w:t>
            </w:r>
            <w:r>
              <w:rPr>
                <w:rFonts w:hint="default" w:ascii="Times New Roman" w:hAnsi="Times New Roman" w:eastAsia="宋体" w:cs="Times New Roman"/>
                <w:sz w:val="24"/>
                <w:szCs w:val="24"/>
                <w:highlight w:val="none"/>
              </w:rPr>
              <w:t>。各</w:t>
            </w:r>
            <w:r>
              <w:rPr>
                <w:rFonts w:hint="default" w:ascii="Times New Roman" w:hAnsi="Times New Roman" w:eastAsia="宋体" w:cs="Times New Roman"/>
                <w:highlight w:val="none"/>
              </w:rPr>
              <w:t>污染物排放执行《污水综合排放标准》（GB8978-1996）表4中三级标准，氨氮</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lang w:val="en-US" w:eastAsia="zh-CN"/>
              </w:rPr>
              <w:t>总磷</w:t>
            </w:r>
            <w:r>
              <w:rPr>
                <w:rFonts w:hint="default" w:ascii="Times New Roman" w:hAnsi="Times New Roman" w:eastAsia="宋体" w:cs="Times New Roman"/>
                <w:highlight w:val="none"/>
              </w:rPr>
              <w:t>参照执行《污水排入城镇下水道水质标准》(GB/T31962-2015)表1的B等级标准</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项目废水排放要求同时满足霞浦县污水处理厂进水水质</w:t>
            </w:r>
            <w:r>
              <w:rPr>
                <w:rFonts w:hint="default" w:ascii="Times New Roman" w:hAnsi="Times New Roman" w:eastAsia="宋体" w:cs="Times New Roman"/>
                <w:highlight w:val="none"/>
                <w:lang w:val="en-US" w:eastAsia="zh-CN"/>
              </w:rPr>
              <w:t>要求</w:t>
            </w:r>
            <w:r>
              <w:rPr>
                <w:rFonts w:hint="default" w:ascii="Times New Roman" w:hAnsi="Times New Roman" w:eastAsia="宋体" w:cs="Times New Roman"/>
                <w:highlight w:val="none"/>
                <w:lang w:eastAsia="zh-CN"/>
              </w:rPr>
              <w:t>。</w:t>
            </w:r>
          </w:p>
          <w:p>
            <w:pPr>
              <w:pStyle w:val="42"/>
              <w:keepNext w:val="0"/>
              <w:keepLines w:val="0"/>
              <w:suppressLineNumbers w:val="0"/>
              <w:spacing w:before="0" w:beforeAutospacing="0" w:after="0" w:afterAutospacing="0"/>
              <w:ind w:left="0" w:right="0" w:firstLine="48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项目废水预处理达标后，</w:t>
            </w:r>
            <w:r>
              <w:rPr>
                <w:rFonts w:hint="default" w:ascii="Times New Roman" w:hAnsi="Times New Roman" w:eastAsia="宋体" w:cs="Times New Roman"/>
                <w:color w:val="auto"/>
                <w:sz w:val="24"/>
                <w:szCs w:val="24"/>
                <w:highlight w:val="none"/>
                <w:lang w:val="en-US" w:eastAsia="zh-CN"/>
              </w:rPr>
              <w:t>进入霞浦县污水处理厂统一处理</w:t>
            </w:r>
            <w:r>
              <w:rPr>
                <w:rFonts w:hint="default" w:ascii="Times New Roman" w:hAnsi="Times New Roman" w:eastAsia="宋体" w:cs="Times New Roman"/>
                <w:sz w:val="24"/>
                <w:szCs w:val="24"/>
                <w:highlight w:val="none"/>
              </w:rPr>
              <w:t>。</w:t>
            </w:r>
            <w:r>
              <w:rPr>
                <w:rFonts w:hint="default" w:ascii="Times New Roman" w:hAnsi="Times New Roman" w:eastAsia="宋体" w:cs="Times New Roman"/>
                <w:highlight w:val="none"/>
                <w:lang w:val="en-US" w:eastAsia="zh-CN"/>
              </w:rPr>
              <w:t>最终排入福宁湾海域。霞浦县污水处理厂外排尾水水质执行《城镇污水处理厂污染物排放标准》（GB18918-2002）一级A标准。</w:t>
            </w:r>
          </w:p>
          <w:p>
            <w:pPr>
              <w:pStyle w:val="42"/>
              <w:keepNext w:val="0"/>
              <w:keepLines w:val="0"/>
              <w:suppressLineNumbers w:val="0"/>
              <w:spacing w:before="0" w:beforeAutospacing="0" w:after="0" w:afterAutospacing="0"/>
              <w:ind w:left="0" w:right="0" w:firstLine="48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rPr>
              <w:t>标准详见</w:t>
            </w: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REF _Ref11605 \n \h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表16</w:t>
            </w:r>
            <w:r>
              <w:rPr>
                <w:rFonts w:hint="default" w:ascii="Times New Roman" w:hAnsi="Times New Roman" w:eastAsia="宋体" w:cs="Times New Roman"/>
                <w:highlight w:val="none"/>
              </w:rPr>
              <w:fldChar w:fldCharType="end"/>
            </w:r>
            <w:r>
              <w:rPr>
                <w:rFonts w:hint="default" w:ascii="Times New Roman" w:hAnsi="Times New Roman" w:eastAsia="宋体" w:cs="Times New Roman"/>
                <w:highlight w:val="none"/>
              </w:rPr>
              <w:t>。</w:t>
            </w:r>
          </w:p>
          <w:p>
            <w:pPr>
              <w:pStyle w:val="36"/>
              <w:keepNext w:val="0"/>
              <w:keepLines w:val="0"/>
              <w:suppressLineNumbers w:val="0"/>
              <w:bidi w:val="0"/>
              <w:spacing w:before="0" w:beforeAutospacing="0" w:after="0" w:afterAutospacing="0"/>
              <w:ind w:right="0"/>
              <w:rPr>
                <w:rFonts w:hint="default" w:ascii="Times New Roman" w:hAnsi="Times New Roman" w:eastAsia="宋体" w:cs="Times New Roman"/>
                <w:highlight w:val="none"/>
              </w:rPr>
            </w:pPr>
            <w:bookmarkStart w:id="30" w:name="_Ref11605"/>
            <w:r>
              <w:rPr>
                <w:rFonts w:hint="default" w:ascii="Times New Roman" w:hAnsi="Times New Roman" w:eastAsia="宋体" w:cs="Times New Roman"/>
                <w:highlight w:val="none"/>
              </w:rPr>
              <w:t>项目</w:t>
            </w:r>
            <w:r>
              <w:rPr>
                <w:rFonts w:hint="default" w:ascii="Times New Roman" w:hAnsi="Times New Roman" w:eastAsia="宋体" w:cs="Times New Roman"/>
                <w:highlight w:val="none"/>
                <w:lang w:val="en-US" w:eastAsia="zh-CN"/>
              </w:rPr>
              <w:t>生产废水</w:t>
            </w:r>
            <w:r>
              <w:rPr>
                <w:rFonts w:hint="default" w:ascii="Times New Roman" w:hAnsi="Times New Roman" w:eastAsia="宋体" w:cs="Times New Roman"/>
                <w:highlight w:val="none"/>
              </w:rPr>
              <w:t xml:space="preserve">排放执行标准 </w:t>
            </w:r>
            <w:bookmarkEnd w:id="30"/>
          </w:p>
          <w:tbl>
            <w:tblPr>
              <w:tblStyle w:val="27"/>
              <w:tblW w:w="8124" w:type="dxa"/>
              <w:jc w:val="center"/>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
            <w:tblGrid>
              <w:gridCol w:w="2363"/>
              <w:gridCol w:w="496"/>
              <w:gridCol w:w="660"/>
              <w:gridCol w:w="728"/>
              <w:gridCol w:w="531"/>
              <w:gridCol w:w="642"/>
              <w:gridCol w:w="1342"/>
              <w:gridCol w:w="706"/>
              <w:gridCol w:w="656"/>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tblHeader/>
                <w:jc w:val="center"/>
              </w:trPr>
              <w:tc>
                <w:tcPr>
                  <w:tcW w:w="2363" w:type="dxa"/>
                  <w:vMerge w:val="restart"/>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项目</w:t>
                  </w:r>
                </w:p>
              </w:tc>
              <w:tc>
                <w:tcPr>
                  <w:tcW w:w="5761" w:type="dxa"/>
                  <w:gridSpan w:val="8"/>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排放浓度mg/L</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tblHeader/>
                <w:jc w:val="center"/>
              </w:trPr>
              <w:tc>
                <w:tcPr>
                  <w:tcW w:w="2363" w:type="dxa"/>
                  <w:vMerge w:val="continue"/>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p>
              </w:tc>
              <w:tc>
                <w:tcPr>
                  <w:tcW w:w="496"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pH</w:t>
                  </w:r>
                </w:p>
              </w:tc>
              <w:tc>
                <w:tcPr>
                  <w:tcW w:w="660"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COD</w:t>
                  </w:r>
                </w:p>
              </w:tc>
              <w:tc>
                <w:tcPr>
                  <w:tcW w:w="728"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BOD</w:t>
                  </w:r>
                  <w:r>
                    <w:rPr>
                      <w:rFonts w:hint="default" w:ascii="Times New Roman" w:hAnsi="Times New Roman" w:eastAsia="宋体" w:cs="Times New Roman"/>
                      <w:sz w:val="21"/>
                      <w:szCs w:val="21"/>
                      <w:highlight w:val="none"/>
                      <w:vertAlign w:val="subscript"/>
                    </w:rPr>
                    <w:t>5</w:t>
                  </w:r>
                </w:p>
              </w:tc>
              <w:tc>
                <w:tcPr>
                  <w:tcW w:w="531"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SS</w:t>
                  </w:r>
                </w:p>
              </w:tc>
              <w:tc>
                <w:tcPr>
                  <w:tcW w:w="642"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石油类</w:t>
                  </w:r>
                </w:p>
              </w:tc>
              <w:tc>
                <w:tcPr>
                  <w:tcW w:w="1342"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阴离子表面活性剂（LAS）</w:t>
                  </w:r>
                </w:p>
              </w:tc>
              <w:tc>
                <w:tcPr>
                  <w:tcW w:w="706"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氨氮</w:t>
                  </w:r>
                </w:p>
              </w:tc>
              <w:tc>
                <w:tcPr>
                  <w:tcW w:w="656"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总磷</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tblHeader/>
                <w:jc w:val="center"/>
              </w:trPr>
              <w:tc>
                <w:tcPr>
                  <w:tcW w:w="2363"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GB8978-1996 表4中三级标准</w:t>
                  </w:r>
                </w:p>
              </w:tc>
              <w:tc>
                <w:tcPr>
                  <w:tcW w:w="496"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6-9</w:t>
                  </w:r>
                </w:p>
              </w:tc>
              <w:tc>
                <w:tcPr>
                  <w:tcW w:w="660"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500</w:t>
                  </w:r>
                </w:p>
              </w:tc>
              <w:tc>
                <w:tcPr>
                  <w:tcW w:w="728"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300</w:t>
                  </w:r>
                </w:p>
              </w:tc>
              <w:tc>
                <w:tcPr>
                  <w:tcW w:w="531"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400</w:t>
                  </w:r>
                </w:p>
              </w:tc>
              <w:tc>
                <w:tcPr>
                  <w:tcW w:w="642"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20</w:t>
                  </w:r>
                </w:p>
              </w:tc>
              <w:tc>
                <w:tcPr>
                  <w:tcW w:w="1342"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20</w:t>
                  </w:r>
                </w:p>
              </w:tc>
              <w:tc>
                <w:tcPr>
                  <w:tcW w:w="706"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45*</w:t>
                  </w:r>
                </w:p>
              </w:tc>
              <w:tc>
                <w:tcPr>
                  <w:tcW w:w="656"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8</w:t>
                  </w:r>
                  <w:r>
                    <w:rPr>
                      <w:rFonts w:hint="default" w:ascii="Times New Roman" w:hAnsi="Times New Roman" w:eastAsia="宋体" w:cs="Times New Roman"/>
                      <w:sz w:val="21"/>
                      <w:szCs w:val="21"/>
                      <w:highlight w:val="none"/>
                    </w:rPr>
                    <w:t>*</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tblHeader/>
                <w:jc w:val="center"/>
              </w:trPr>
              <w:tc>
                <w:tcPr>
                  <w:tcW w:w="2363"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霞浦县污水处理厂进水水质指标</w:t>
                  </w:r>
                </w:p>
              </w:tc>
              <w:tc>
                <w:tcPr>
                  <w:tcW w:w="496"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6-9</w:t>
                  </w:r>
                </w:p>
              </w:tc>
              <w:tc>
                <w:tcPr>
                  <w:tcW w:w="660"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300</w:t>
                  </w:r>
                </w:p>
              </w:tc>
              <w:tc>
                <w:tcPr>
                  <w:tcW w:w="728"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150</w:t>
                  </w:r>
                </w:p>
              </w:tc>
              <w:tc>
                <w:tcPr>
                  <w:tcW w:w="531"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250</w:t>
                  </w:r>
                </w:p>
              </w:tc>
              <w:tc>
                <w:tcPr>
                  <w:tcW w:w="642"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342"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06"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25</w:t>
                  </w:r>
                </w:p>
              </w:tc>
              <w:tc>
                <w:tcPr>
                  <w:tcW w:w="656"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6</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tblHeader/>
                <w:jc w:val="center"/>
              </w:trPr>
              <w:tc>
                <w:tcPr>
                  <w:tcW w:w="2363"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本项目废水排放</w:t>
                  </w:r>
                  <w:r>
                    <w:rPr>
                      <w:rFonts w:hint="default" w:ascii="Times New Roman" w:hAnsi="Times New Roman" w:eastAsia="宋体" w:cs="Times New Roman"/>
                      <w:sz w:val="21"/>
                      <w:szCs w:val="21"/>
                      <w:highlight w:val="none"/>
                      <w:lang w:val="en-US" w:eastAsia="zh-CN"/>
                    </w:rPr>
                    <w:t>标准</w:t>
                  </w:r>
                </w:p>
              </w:tc>
              <w:tc>
                <w:tcPr>
                  <w:tcW w:w="496"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6-9</w:t>
                  </w:r>
                </w:p>
              </w:tc>
              <w:tc>
                <w:tcPr>
                  <w:tcW w:w="660"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sz w:val="21"/>
                      <w:szCs w:val="21"/>
                      <w:highlight w:val="none"/>
                      <w:lang w:val="en-US" w:eastAsia="zh-CN"/>
                    </w:rPr>
                    <w:t>300</w:t>
                  </w:r>
                </w:p>
              </w:tc>
              <w:tc>
                <w:tcPr>
                  <w:tcW w:w="728"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150</w:t>
                  </w:r>
                </w:p>
              </w:tc>
              <w:tc>
                <w:tcPr>
                  <w:tcW w:w="531"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250</w:t>
                  </w:r>
                </w:p>
              </w:tc>
              <w:tc>
                <w:tcPr>
                  <w:tcW w:w="642"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20</w:t>
                  </w:r>
                </w:p>
              </w:tc>
              <w:tc>
                <w:tcPr>
                  <w:tcW w:w="1342"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20</w:t>
                  </w:r>
                </w:p>
              </w:tc>
              <w:tc>
                <w:tcPr>
                  <w:tcW w:w="706"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25</w:t>
                  </w:r>
                </w:p>
              </w:tc>
              <w:tc>
                <w:tcPr>
                  <w:tcW w:w="656"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6</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tblHeader/>
                <w:jc w:val="center"/>
              </w:trPr>
              <w:tc>
                <w:tcPr>
                  <w:tcW w:w="2363"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sz w:val="21"/>
                      <w:szCs w:val="21"/>
                      <w:highlight w:val="none"/>
                      <w:lang w:val="en-US" w:eastAsia="zh-CN"/>
                    </w:rPr>
                    <w:t>GB18918-2002中一级A标准</w:t>
                  </w:r>
                </w:p>
              </w:tc>
              <w:tc>
                <w:tcPr>
                  <w:tcW w:w="496"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6-9</w:t>
                  </w:r>
                </w:p>
              </w:tc>
              <w:tc>
                <w:tcPr>
                  <w:tcW w:w="660"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50</w:t>
                  </w:r>
                </w:p>
              </w:tc>
              <w:tc>
                <w:tcPr>
                  <w:tcW w:w="728"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10</w:t>
                  </w:r>
                </w:p>
              </w:tc>
              <w:tc>
                <w:tcPr>
                  <w:tcW w:w="531"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10</w:t>
                  </w:r>
                </w:p>
              </w:tc>
              <w:tc>
                <w:tcPr>
                  <w:tcW w:w="642"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w:t>
                  </w:r>
                </w:p>
              </w:tc>
              <w:tc>
                <w:tcPr>
                  <w:tcW w:w="1342"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0.5</w:t>
                  </w:r>
                </w:p>
              </w:tc>
              <w:tc>
                <w:tcPr>
                  <w:tcW w:w="706"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5</w:t>
                  </w:r>
                </w:p>
              </w:tc>
              <w:tc>
                <w:tcPr>
                  <w:tcW w:w="656" w:type="dxa"/>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0.5</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tblHeader/>
                <w:jc w:val="center"/>
              </w:trPr>
              <w:tc>
                <w:tcPr>
                  <w:tcW w:w="8124" w:type="dxa"/>
                  <w:gridSpan w:val="9"/>
                  <w:tcMar>
                    <w:top w:w="0" w:type="dxa"/>
                    <w:left w:w="108" w:type="dxa"/>
                    <w:bottom w:w="0" w:type="dxa"/>
                    <w:right w:w="108" w:type="dxa"/>
                  </w:tcMar>
                  <w:vAlign w:val="center"/>
                </w:tcPr>
                <w:p>
                  <w:pPr>
                    <w:pStyle w:val="37"/>
                    <w:keepNext w:val="0"/>
                    <w:keepLines w:val="0"/>
                    <w:suppressLineNumbers w:val="0"/>
                    <w:spacing w:before="0" w:beforeAutospacing="0" w:after="0" w:afterAutospacing="0"/>
                    <w:ind w:right="0"/>
                    <w:jc w:val="lef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备注：“*”参照执行《污水排入城镇下水道水质标准》(GB/T31962-2015)表1的B等级标准</w:t>
                  </w:r>
                </w:p>
              </w:tc>
            </w:tr>
          </w:tbl>
          <w:p>
            <w:pPr>
              <w:pStyle w:val="4"/>
              <w:keepNext w:val="0"/>
              <w:keepLines w:val="0"/>
              <w:suppressLineNumbers w:val="0"/>
              <w:spacing w:before="120" w:beforeLines="50" w:beforeAutospacing="0" w:after="0" w:afterAutospacing="0"/>
              <w:ind w:left="0" w:right="0"/>
              <w:rPr>
                <w:rFonts w:hint="default"/>
              </w:rPr>
            </w:pPr>
            <w:r>
              <w:rPr>
                <w:rFonts w:hint="default"/>
              </w:rPr>
              <w:t>噪声排放标准</w:t>
            </w:r>
          </w:p>
          <w:p>
            <w:pPr>
              <w:pStyle w:val="42"/>
              <w:keepNext w:val="0"/>
              <w:keepLines w:val="0"/>
              <w:suppressLineNumbers w:val="0"/>
              <w:spacing w:before="0" w:beforeAutospacing="0" w:after="0" w:afterAutospacing="0"/>
              <w:ind w:left="0" w:right="0" w:firstLine="480"/>
              <w:rPr>
                <w:rFonts w:hint="default" w:ascii="Times New Roman" w:hAnsi="Times New Roman" w:eastAsia="宋体" w:cs="Times New Roman"/>
              </w:rPr>
            </w:pPr>
            <w:r>
              <w:rPr>
                <w:rFonts w:hint="default" w:ascii="Times New Roman" w:hAnsi="Times New Roman" w:eastAsia="宋体" w:cs="Times New Roman"/>
              </w:rPr>
              <w:t>本项目厂界噪声执行《工业企业厂界环境噪声排放标准》(GB12348-2008)中的3类标准。</w:t>
            </w:r>
          </w:p>
          <w:p>
            <w:pPr>
              <w:pStyle w:val="36"/>
              <w:keepNext w:val="0"/>
              <w:keepLines w:val="0"/>
              <w:suppressLineNumbers w:val="0"/>
              <w:bidi w:val="0"/>
              <w:spacing w:before="0" w:beforeAutospacing="0" w:after="0" w:afterAutospacing="0"/>
              <w:ind w:right="0"/>
              <w:rPr>
                <w:rFonts w:hint="default" w:ascii="Times New Roman" w:hAnsi="Times New Roman" w:eastAsia="宋体" w:cs="Times New Roman"/>
              </w:rPr>
            </w:pPr>
            <w:r>
              <w:rPr>
                <w:rFonts w:hint="default" w:ascii="Times New Roman" w:hAnsi="Times New Roman" w:eastAsia="宋体" w:cs="Times New Roman"/>
              </w:rPr>
              <w:t xml:space="preserve">《工业企业厂界环境噪声排放标准》(GB12348-2008)(摘录) </w:t>
            </w:r>
          </w:p>
          <w:tbl>
            <w:tblPr>
              <w:tblStyle w:val="27"/>
              <w:tblW w:w="812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08"/>
              <w:gridCol w:w="2708"/>
              <w:gridCol w:w="270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70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类 别</w:t>
                  </w:r>
                </w:p>
              </w:tc>
              <w:tc>
                <w:tcPr>
                  <w:tcW w:w="270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昼 间</w:t>
                  </w:r>
                </w:p>
              </w:tc>
              <w:tc>
                <w:tcPr>
                  <w:tcW w:w="2705"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夜 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270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3类</w:t>
                  </w:r>
                </w:p>
              </w:tc>
              <w:tc>
                <w:tcPr>
                  <w:tcW w:w="270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65</w:t>
                  </w:r>
                  <w:r>
                    <w:rPr>
                      <w:rFonts w:hint="default" w:ascii="Times New Roman" w:hAnsi="Times New Roman" w:eastAsia="宋体" w:cs="Times New Roman"/>
                      <w:sz w:val="21"/>
                      <w:szCs w:val="21"/>
                    </w:rPr>
                    <w:t>dB(A)</w:t>
                  </w:r>
                </w:p>
              </w:tc>
              <w:tc>
                <w:tcPr>
                  <w:tcW w:w="2705"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55</w:t>
                  </w:r>
                  <w:r>
                    <w:rPr>
                      <w:rFonts w:hint="default" w:ascii="Times New Roman" w:hAnsi="Times New Roman" w:eastAsia="宋体" w:cs="Times New Roman"/>
                      <w:sz w:val="21"/>
                      <w:szCs w:val="21"/>
                    </w:rPr>
                    <w:t>dB(A)</w:t>
                  </w:r>
                </w:p>
              </w:tc>
            </w:tr>
          </w:tbl>
          <w:p>
            <w:pPr>
              <w:pStyle w:val="4"/>
              <w:keepNext w:val="0"/>
              <w:keepLines w:val="0"/>
              <w:suppressLineNumbers w:val="0"/>
              <w:spacing w:before="120" w:beforeLines="50" w:beforeAutospacing="0" w:after="0" w:afterAutospacing="0"/>
              <w:ind w:left="0" w:right="0"/>
              <w:rPr>
                <w:rFonts w:hint="default"/>
              </w:rPr>
            </w:pPr>
            <w:r>
              <w:rPr>
                <w:rFonts w:hint="default"/>
              </w:rPr>
              <w:t>固体废物执行标准</w:t>
            </w:r>
          </w:p>
          <w:p>
            <w:pPr>
              <w:pStyle w:val="42"/>
              <w:keepNext w:val="0"/>
              <w:keepLines w:val="0"/>
              <w:suppressLineNumbers w:val="0"/>
              <w:spacing w:before="0" w:beforeAutospacing="0" w:after="0" w:afterAutospacing="0" w:line="360" w:lineRule="auto"/>
              <w:ind w:left="0" w:right="0" w:firstLine="480"/>
              <w:rPr>
                <w:rFonts w:hint="default"/>
              </w:rPr>
            </w:pPr>
            <w:r>
              <w:rPr>
                <w:rFonts w:hint="default" w:ascii="Times New Roman" w:hAnsi="Times New Roman" w:eastAsia="宋体" w:cs="Times New Roman"/>
              </w:rPr>
              <w:t>本项目一般工业固体废物执行</w:t>
            </w:r>
            <w:r>
              <w:rPr>
                <w:rFonts w:hint="default" w:ascii="Times New Roman" w:hAnsi="Times New Roman" w:eastAsia="宋体" w:cs="Times New Roman"/>
                <w:color w:val="auto"/>
              </w:rPr>
              <w:t>《一般工业固体废物贮存和填埋污染控制标准》（GB18599-2020）</w:t>
            </w:r>
            <w:r>
              <w:rPr>
                <w:rFonts w:hint="default" w:ascii="Times New Roman" w:hAnsi="Times New Roman" w:eastAsia="宋体" w:cs="Times New Roman"/>
              </w:rPr>
              <w:t>；危险废物执行《危险废物贮存污染控制标准》（GB18597-2023）相关要求。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76" w:hRule="atLeast"/>
          <w:jc w:val="center"/>
        </w:trPr>
        <w:tc>
          <w:tcPr>
            <w:tcW w:w="721"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kern w:val="0"/>
                <w:szCs w:val="21"/>
                <w:highlight w:val="none"/>
              </w:rPr>
            </w:pPr>
            <w:r>
              <w:rPr>
                <w:rFonts w:hint="eastAsia" w:ascii="宋体" w:hAnsi="宋体" w:cs="宋体"/>
                <w:kern w:val="0"/>
                <w:szCs w:val="21"/>
                <w:highlight w:val="none"/>
              </w:rPr>
              <w:t>总量</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kern w:val="0"/>
                <w:szCs w:val="21"/>
                <w:highlight w:val="none"/>
              </w:rPr>
            </w:pPr>
            <w:r>
              <w:rPr>
                <w:rFonts w:hint="eastAsia" w:ascii="宋体" w:hAnsi="宋体" w:cs="宋体"/>
                <w:kern w:val="0"/>
                <w:szCs w:val="21"/>
                <w:highlight w:val="none"/>
              </w:rPr>
              <w:t>控制</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kern w:val="0"/>
                <w:szCs w:val="21"/>
                <w:highlight w:val="none"/>
              </w:rPr>
            </w:pPr>
            <w:r>
              <w:rPr>
                <w:rFonts w:hint="eastAsia" w:ascii="宋体" w:hAnsi="宋体" w:cs="宋体"/>
                <w:kern w:val="0"/>
                <w:szCs w:val="21"/>
                <w:highlight w:val="none"/>
              </w:rPr>
              <w:t>指标</w:t>
            </w:r>
          </w:p>
        </w:tc>
        <w:tc>
          <w:tcPr>
            <w:tcW w:w="8340" w:type="dxa"/>
            <w:vAlign w:val="center"/>
          </w:tcPr>
          <w:p>
            <w:pPr>
              <w:pStyle w:val="4"/>
              <w:keepNext w:val="0"/>
              <w:keepLines w:val="0"/>
              <w:suppressLineNumbers w:val="0"/>
              <w:spacing w:before="0" w:beforeAutospacing="0" w:after="0" w:afterAutospacing="0"/>
              <w:ind w:left="0" w:right="0"/>
              <w:rPr>
                <w:rFonts w:hint="default"/>
                <w:color w:val="auto"/>
                <w:highlight w:val="none"/>
              </w:rPr>
            </w:pPr>
            <w:bookmarkStart w:id="31" w:name="_Toc24101"/>
            <w:bookmarkStart w:id="32" w:name="_Toc551"/>
            <w:bookmarkStart w:id="33" w:name="_Toc18142"/>
            <w:bookmarkStart w:id="34" w:name="_Toc22536"/>
            <w:r>
              <w:rPr>
                <w:rFonts w:hint="default"/>
                <w:color w:val="auto"/>
                <w:highlight w:val="none"/>
              </w:rPr>
              <w:t>总量控制因子</w:t>
            </w:r>
            <w:bookmarkEnd w:id="31"/>
            <w:bookmarkEnd w:id="32"/>
            <w:bookmarkEnd w:id="33"/>
            <w:bookmarkEnd w:id="34"/>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根据《福建省</w:t>
            </w:r>
            <w:r>
              <w:rPr>
                <w:rFonts w:hint="eastAsia" w:cs="Times New Roman"/>
                <w:highlight w:val="none"/>
                <w:lang w:eastAsia="zh-CN"/>
              </w:rPr>
              <w:t>“</w:t>
            </w:r>
            <w:r>
              <w:rPr>
                <w:rFonts w:hint="default" w:ascii="Times New Roman" w:hAnsi="Times New Roman" w:eastAsia="宋体" w:cs="Times New Roman"/>
                <w:highlight w:val="none"/>
              </w:rPr>
              <w:t>十四五</w:t>
            </w:r>
            <w:r>
              <w:rPr>
                <w:rFonts w:hint="eastAsia" w:cs="Times New Roman"/>
                <w:highlight w:val="none"/>
                <w:lang w:eastAsia="zh-CN"/>
              </w:rPr>
              <w:t>”</w:t>
            </w:r>
            <w:r>
              <w:rPr>
                <w:rFonts w:hint="default" w:ascii="Times New Roman" w:hAnsi="Times New Roman" w:eastAsia="宋体" w:cs="Times New Roman"/>
                <w:highlight w:val="none"/>
              </w:rPr>
              <w:t>生态环境保护规划》（闽政办〔2021〕59号）、《福建省人民政府关于印发福建省</w:t>
            </w:r>
            <w:r>
              <w:rPr>
                <w:rFonts w:hint="eastAsia" w:cs="Times New Roman"/>
                <w:highlight w:val="none"/>
                <w:lang w:eastAsia="zh-CN"/>
              </w:rPr>
              <w:t>“</w:t>
            </w:r>
            <w:r>
              <w:rPr>
                <w:rFonts w:hint="default" w:ascii="Times New Roman" w:hAnsi="Times New Roman" w:eastAsia="宋体" w:cs="Times New Roman"/>
                <w:highlight w:val="none"/>
              </w:rPr>
              <w:t>十四五</w:t>
            </w:r>
            <w:r>
              <w:rPr>
                <w:rFonts w:hint="eastAsia" w:cs="Times New Roman"/>
                <w:highlight w:val="none"/>
                <w:lang w:eastAsia="zh-CN"/>
              </w:rPr>
              <w:t>”</w:t>
            </w:r>
            <w:r>
              <w:rPr>
                <w:rFonts w:hint="default" w:ascii="Times New Roman" w:hAnsi="Times New Roman" w:eastAsia="宋体" w:cs="Times New Roman"/>
                <w:highlight w:val="none"/>
              </w:rPr>
              <w:t>节能减排综合性工作方案的通知》(闽政[2022]17号)，有关主要污染物排放总量控制计划的要求，结合本项目排污特征，确定本项目总量控制因子为COD、氨氮。</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根据《福建省环保厅关于进一步加快推进排污权有偿使用和交易工作的意见》（闽环发[2015]6号）中相关规定</w:t>
            </w:r>
            <w:r>
              <w:rPr>
                <w:rFonts w:hint="eastAsia" w:cs="Times New Roman"/>
                <w:highlight w:val="none"/>
                <w:lang w:eastAsia="zh-CN"/>
              </w:rPr>
              <w:t>“</w:t>
            </w:r>
            <w:r>
              <w:rPr>
                <w:rFonts w:hint="default" w:ascii="Times New Roman" w:hAnsi="Times New Roman" w:eastAsia="宋体" w:cs="Times New Roman"/>
                <w:highlight w:val="none"/>
              </w:rPr>
              <w:t>对于水污染物，仅核定工业废水部分</w:t>
            </w:r>
            <w:r>
              <w:rPr>
                <w:rFonts w:hint="eastAsia" w:cs="Times New Roman"/>
                <w:highlight w:val="none"/>
                <w:lang w:eastAsia="zh-CN"/>
              </w:rPr>
              <w:t>”</w:t>
            </w:r>
            <w:r>
              <w:rPr>
                <w:rFonts w:hint="default" w:ascii="Times New Roman" w:hAnsi="Times New Roman" w:eastAsia="宋体" w:cs="Times New Roman"/>
                <w:highlight w:val="none"/>
              </w:rPr>
              <w:t>，因此，本项目生活污水中COD、氨氮无需购买总量。</w:t>
            </w:r>
          </w:p>
          <w:p>
            <w:pPr>
              <w:pStyle w:val="42"/>
              <w:keepNext w:val="0"/>
              <w:keepLines w:val="0"/>
              <w:suppressLineNumbers w:val="0"/>
              <w:bidi w:val="0"/>
              <w:spacing w:before="0" w:beforeAutospacing="0" w:after="0" w:afterAutospacing="0" w:line="360" w:lineRule="auto"/>
              <w:ind w:left="0" w:right="0"/>
              <w:rPr>
                <w:rFonts w:hint="default" w:ascii="Times New Roman" w:hAnsi="Times New Roman" w:eastAsia="宋体" w:cs="Times New Roman"/>
                <w:color w:val="auto"/>
                <w:highlight w:val="none"/>
              </w:rPr>
            </w:pPr>
            <w:r>
              <w:rPr>
                <w:rFonts w:hint="default" w:ascii="Times New Roman" w:hAnsi="Times New Roman" w:eastAsia="宋体" w:cs="Times New Roman"/>
                <w:highlight w:val="none"/>
              </w:rPr>
              <w:t>生活污水经化粪池处理后，</w:t>
            </w:r>
            <w:r>
              <w:rPr>
                <w:rFonts w:hint="default" w:ascii="Times New Roman" w:hAnsi="Times New Roman" w:eastAsia="宋体" w:cs="Times New Roman"/>
                <w:color w:val="auto"/>
                <w:sz w:val="24"/>
                <w:szCs w:val="24"/>
                <w:highlight w:val="none"/>
                <w:lang w:val="en-US" w:eastAsia="zh-CN"/>
              </w:rPr>
              <w:t>进入霞浦县污水处理厂统一处理，</w:t>
            </w:r>
            <w:r>
              <w:rPr>
                <w:rFonts w:hint="default" w:ascii="Times New Roman" w:hAnsi="Times New Roman" w:eastAsia="宋体" w:cs="Times New Roman"/>
                <w:highlight w:val="none"/>
              </w:rPr>
              <w:t>不进行总量控制</w:t>
            </w: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lang w:val="en-US" w:eastAsia="zh-CN"/>
              </w:rPr>
              <w:t>清洗废水、膜反冲洗废水经预处理+NP膜过滤+NF膜过滤处理；漂洗废水、纯水制备浓水、地面拖洗废水和膜反冲洗水经预处理+UF膜过滤+NF膜过滤处理。以上生产废水经厂内污水处理设施处理达标后，</w:t>
            </w:r>
            <w:r>
              <w:rPr>
                <w:rFonts w:hint="default" w:ascii="Times New Roman" w:hAnsi="Times New Roman" w:eastAsia="宋体" w:cs="Times New Roman"/>
                <w:color w:val="auto"/>
                <w:sz w:val="24"/>
                <w:szCs w:val="24"/>
                <w:highlight w:val="none"/>
                <w:lang w:val="en-US" w:eastAsia="zh-CN"/>
              </w:rPr>
              <w:t>纳入霞浦县污水处理厂统一处理</w:t>
            </w:r>
            <w:r>
              <w:rPr>
                <w:rFonts w:hint="default" w:ascii="Times New Roman" w:hAnsi="Times New Roman" w:eastAsia="宋体" w:cs="Times New Roman"/>
                <w:color w:val="auto"/>
                <w:highlight w:val="none"/>
                <w:lang w:val="en-US" w:eastAsia="zh-CN"/>
              </w:rPr>
              <w:t>。</w:t>
            </w:r>
            <w:r>
              <w:rPr>
                <w:rFonts w:hint="eastAsia" w:cs="Times New Roman"/>
                <w:color w:val="auto"/>
                <w:highlight w:val="none"/>
                <w:lang w:val="en-US" w:eastAsia="zh-CN"/>
              </w:rPr>
              <w:t>废水总量控制指标按照霞浦县污水处理厂出水水质进行核算（COD 50mg/L，氨氮 5mg/L），</w:t>
            </w:r>
            <w:r>
              <w:rPr>
                <w:rFonts w:hint="default" w:ascii="Times New Roman" w:hAnsi="Times New Roman" w:eastAsia="宋体" w:cs="Times New Roman"/>
                <w:color w:val="auto"/>
                <w:highlight w:val="none"/>
              </w:rPr>
              <w:t>水污染物总量控制指标</w:t>
            </w:r>
            <w:r>
              <w:rPr>
                <w:rFonts w:hint="eastAsia" w:cs="Times New Roman"/>
                <w:color w:val="auto"/>
                <w:highlight w:val="none"/>
                <w:lang w:val="en-US" w:eastAsia="zh-CN"/>
              </w:rPr>
              <w:t>具体</w:t>
            </w:r>
            <w:r>
              <w:rPr>
                <w:rFonts w:hint="default" w:ascii="Times New Roman" w:hAnsi="Times New Roman" w:eastAsia="宋体" w:cs="Times New Roman"/>
                <w:color w:val="auto"/>
                <w:highlight w:val="none"/>
              </w:rPr>
              <w:t>见下表。</w:t>
            </w:r>
          </w:p>
          <w:p>
            <w:pPr>
              <w:pStyle w:val="36"/>
              <w:keepNext w:val="0"/>
              <w:keepLines w:val="0"/>
              <w:suppressLineNumbers w:val="0"/>
              <w:bidi w:val="0"/>
              <w:spacing w:before="0" w:beforeAutospacing="0" w:after="0" w:afterAutospacing="0" w:line="240" w:lineRule="auto"/>
              <w:ind w:right="0"/>
              <w:rPr>
                <w:rFonts w:hint="default"/>
                <w:color w:val="auto"/>
                <w:highlight w:val="none"/>
              </w:rPr>
            </w:pPr>
            <w:bookmarkStart w:id="35" w:name="_Ref2992"/>
            <w:r>
              <w:rPr>
                <w:rFonts w:hint="default"/>
                <w:color w:val="auto"/>
                <w:highlight w:val="none"/>
              </w:rPr>
              <w:t>本项目生产废水总量控制指标一览表</w:t>
            </w:r>
            <w:bookmarkEnd w:id="35"/>
          </w:p>
          <w:tbl>
            <w:tblPr>
              <w:tblStyle w:val="27"/>
              <w:tblW w:w="797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1965"/>
              <w:gridCol w:w="2711"/>
              <w:gridCol w:w="210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0"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项目</w:t>
                  </w:r>
                </w:p>
              </w:tc>
              <w:tc>
                <w:tcPr>
                  <w:tcW w:w="1965"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霞浦县</w:t>
                  </w:r>
                  <w:r>
                    <w:rPr>
                      <w:rFonts w:hint="default" w:ascii="Times New Roman" w:hAnsi="Times New Roman" w:eastAsia="宋体" w:cs="Times New Roman"/>
                      <w:sz w:val="21"/>
                      <w:szCs w:val="21"/>
                      <w:highlight w:val="none"/>
                    </w:rPr>
                    <w:t>污水处理厂排放浓度(mg/L)</w:t>
                  </w:r>
                </w:p>
              </w:tc>
              <w:tc>
                <w:tcPr>
                  <w:tcW w:w="271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本项目排放量(t/a)</w:t>
                  </w:r>
                </w:p>
              </w:tc>
              <w:tc>
                <w:tcPr>
                  <w:tcW w:w="2105"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建议控制指标排放量（t/a）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0"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废水量</w:t>
                  </w:r>
                </w:p>
              </w:tc>
              <w:tc>
                <w:tcPr>
                  <w:tcW w:w="1965"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271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39160.3</w:t>
                  </w:r>
                </w:p>
              </w:tc>
              <w:tc>
                <w:tcPr>
                  <w:tcW w:w="2105"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0"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COD</w:t>
                  </w:r>
                </w:p>
              </w:tc>
              <w:tc>
                <w:tcPr>
                  <w:tcW w:w="1965"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50</w:t>
                  </w:r>
                </w:p>
              </w:tc>
              <w:tc>
                <w:tcPr>
                  <w:tcW w:w="271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39160.3</w:t>
                  </w:r>
                  <w:r>
                    <w:rPr>
                      <w:rFonts w:hint="default" w:ascii="Times New Roman" w:hAnsi="Times New Roman" w:eastAsia="宋体" w:cs="Times New Roman"/>
                      <w:sz w:val="21"/>
                      <w:szCs w:val="21"/>
                      <w:highlight w:val="none"/>
                      <w:lang w:val="en-US" w:eastAsia="zh-CN"/>
                    </w:rPr>
                    <w:t>×50</w:t>
                  </w: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val="en-US" w:eastAsia="zh-CN"/>
                    </w:rPr>
                    <w:t>10</w:t>
                  </w:r>
                  <w:r>
                    <w:rPr>
                      <w:rFonts w:hint="default" w:ascii="Times New Roman" w:hAnsi="Times New Roman" w:eastAsia="宋体" w:cs="Times New Roman"/>
                      <w:sz w:val="21"/>
                      <w:szCs w:val="21"/>
                      <w:highlight w:val="none"/>
                      <w:vertAlign w:val="superscript"/>
                      <w:lang w:val="en-US" w:eastAsia="zh-CN"/>
                    </w:rPr>
                    <w:t>6</w:t>
                  </w:r>
                  <w:r>
                    <w:rPr>
                      <w:rFonts w:hint="default" w:ascii="Times New Roman" w:hAnsi="Times New Roman" w:eastAsia="宋体" w:cs="Times New Roman"/>
                      <w:sz w:val="21"/>
                      <w:szCs w:val="21"/>
                      <w:highlight w:val="none"/>
                      <w:lang w:val="en-US" w:eastAsia="zh-CN"/>
                    </w:rPr>
                    <w:t>=</w:t>
                  </w:r>
                  <w:r>
                    <w:rPr>
                      <w:rFonts w:hint="eastAsia" w:cs="Times New Roman"/>
                      <w:sz w:val="21"/>
                      <w:szCs w:val="21"/>
                      <w:highlight w:val="none"/>
                      <w:lang w:val="en-US" w:eastAsia="zh-CN"/>
                    </w:rPr>
                    <w:t>1.958</w:t>
                  </w:r>
                </w:p>
              </w:tc>
              <w:tc>
                <w:tcPr>
                  <w:tcW w:w="2105"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color w:val="auto"/>
                      <w:sz w:val="21"/>
                      <w:szCs w:val="21"/>
                      <w:highlight w:val="none"/>
                      <w:lang w:val="en-US"/>
                    </w:rPr>
                  </w:pPr>
                  <w:r>
                    <w:rPr>
                      <w:rFonts w:hint="eastAsia" w:cs="Times New Roman"/>
                      <w:color w:val="auto"/>
                      <w:sz w:val="21"/>
                      <w:szCs w:val="21"/>
                      <w:highlight w:val="none"/>
                      <w:lang w:val="en-US" w:eastAsia="zh-CN"/>
                    </w:rPr>
                    <w:t>1.958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0"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NH</w:t>
                  </w:r>
                  <w:r>
                    <w:rPr>
                      <w:rFonts w:hint="default" w:ascii="Times New Roman" w:hAnsi="Times New Roman" w:eastAsia="宋体" w:cs="Times New Roman"/>
                      <w:sz w:val="21"/>
                      <w:szCs w:val="21"/>
                      <w:highlight w:val="none"/>
                      <w:vertAlign w:val="subscript"/>
                    </w:rPr>
                    <w:t>3</w:t>
                  </w:r>
                  <w:r>
                    <w:rPr>
                      <w:rFonts w:hint="default" w:ascii="Times New Roman" w:hAnsi="Times New Roman" w:eastAsia="宋体" w:cs="Times New Roman"/>
                      <w:sz w:val="21"/>
                      <w:szCs w:val="21"/>
                      <w:highlight w:val="none"/>
                    </w:rPr>
                    <w:t>-N</w:t>
                  </w:r>
                </w:p>
              </w:tc>
              <w:tc>
                <w:tcPr>
                  <w:tcW w:w="1965"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val="en-US" w:eastAsia="zh-CN"/>
                    </w:rPr>
                    <w:t>5</w:t>
                  </w:r>
                </w:p>
              </w:tc>
              <w:tc>
                <w:tcPr>
                  <w:tcW w:w="271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39160.3</w:t>
                  </w:r>
                  <w:r>
                    <w:rPr>
                      <w:rFonts w:hint="default" w:ascii="Times New Roman" w:hAnsi="Times New Roman" w:eastAsia="宋体" w:cs="Times New Roman"/>
                      <w:sz w:val="21"/>
                      <w:szCs w:val="21"/>
                      <w:highlight w:val="none"/>
                      <w:lang w:val="en-US" w:eastAsia="zh-CN"/>
                    </w:rPr>
                    <w:t>×5</w:t>
                  </w: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val="en-US" w:eastAsia="zh-CN"/>
                    </w:rPr>
                    <w:t>10</w:t>
                  </w:r>
                  <w:r>
                    <w:rPr>
                      <w:rFonts w:hint="default" w:ascii="Times New Roman" w:hAnsi="Times New Roman" w:eastAsia="宋体" w:cs="Times New Roman"/>
                      <w:sz w:val="21"/>
                      <w:szCs w:val="21"/>
                      <w:highlight w:val="none"/>
                      <w:vertAlign w:val="superscript"/>
                      <w:lang w:val="en-US" w:eastAsia="zh-CN"/>
                    </w:rPr>
                    <w:t>6</w:t>
                  </w:r>
                  <w:r>
                    <w:rPr>
                      <w:rFonts w:hint="default" w:ascii="Times New Roman" w:hAnsi="Times New Roman" w:eastAsia="宋体" w:cs="Times New Roman"/>
                      <w:sz w:val="21"/>
                      <w:szCs w:val="21"/>
                      <w:highlight w:val="none"/>
                      <w:lang w:val="en-US" w:eastAsia="zh-CN"/>
                    </w:rPr>
                    <w:t>=</w:t>
                  </w:r>
                  <w:r>
                    <w:rPr>
                      <w:rFonts w:hint="eastAsia" w:cs="Times New Roman"/>
                      <w:sz w:val="21"/>
                      <w:szCs w:val="21"/>
                      <w:highlight w:val="none"/>
                      <w:lang w:val="en-US" w:eastAsia="zh-CN"/>
                    </w:rPr>
                    <w:t>0.196</w:t>
                  </w:r>
                </w:p>
              </w:tc>
              <w:tc>
                <w:tcPr>
                  <w:tcW w:w="2105"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color w:val="auto"/>
                      <w:sz w:val="21"/>
                      <w:szCs w:val="21"/>
                      <w:highlight w:val="none"/>
                      <w:lang w:val="en-US"/>
                    </w:rPr>
                  </w:pPr>
                  <w:r>
                    <w:rPr>
                      <w:rFonts w:hint="eastAsia" w:cs="Times New Roman"/>
                      <w:color w:val="auto"/>
                      <w:sz w:val="21"/>
                      <w:szCs w:val="21"/>
                      <w:highlight w:val="none"/>
                      <w:lang w:val="en-US" w:eastAsia="zh-CN"/>
                    </w:rPr>
                    <w:t>0.196</w:t>
                  </w:r>
                </w:p>
              </w:tc>
            </w:tr>
          </w:tbl>
          <w:p>
            <w:pPr>
              <w:pStyle w:val="42"/>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line="360" w:lineRule="auto"/>
              <w:ind w:left="0" w:right="0"/>
              <w:textAlignment w:val="auto"/>
              <w:rPr>
                <w:rFonts w:hint="default"/>
                <w:highlight w:val="none"/>
                <w:lang w:val="en-US" w:eastAsia="zh-CN"/>
              </w:rPr>
            </w:pPr>
            <w:r>
              <w:rPr>
                <w:rFonts w:hint="default"/>
                <w:color w:val="auto"/>
                <w:highlight w:val="none"/>
              </w:rPr>
              <w:t>由</w:t>
            </w:r>
            <w:r>
              <w:rPr>
                <w:rFonts w:hint="eastAsia"/>
                <w:color w:val="auto"/>
                <w:highlight w:val="none"/>
              </w:rPr>
              <w:t>上表</w:t>
            </w:r>
            <w:r>
              <w:rPr>
                <w:rFonts w:hint="default"/>
                <w:color w:val="auto"/>
                <w:highlight w:val="none"/>
              </w:rPr>
              <w:t>可知，本项目废水</w:t>
            </w:r>
            <w:r>
              <w:rPr>
                <w:rFonts w:hint="eastAsia"/>
                <w:color w:val="auto"/>
                <w:highlight w:val="none"/>
              </w:rPr>
              <w:t>总量控制</w:t>
            </w:r>
            <w:r>
              <w:rPr>
                <w:rFonts w:hint="default"/>
                <w:color w:val="auto"/>
                <w:highlight w:val="none"/>
              </w:rPr>
              <w:t>指标COD排放量为</w:t>
            </w:r>
            <w:r>
              <w:rPr>
                <w:rFonts w:hint="eastAsia"/>
                <w:color w:val="auto"/>
                <w:highlight w:val="none"/>
                <w:lang w:val="en-US" w:eastAsia="zh-CN"/>
              </w:rPr>
              <w:t>1.958</w:t>
            </w:r>
            <w:r>
              <w:rPr>
                <w:rFonts w:hint="default"/>
                <w:color w:val="auto"/>
                <w:highlight w:val="none"/>
              </w:rPr>
              <w:t>t/a、NH</w:t>
            </w:r>
            <w:r>
              <w:rPr>
                <w:rFonts w:hint="default"/>
                <w:color w:val="auto"/>
                <w:highlight w:val="none"/>
                <w:vertAlign w:val="subscript"/>
              </w:rPr>
              <w:t>3</w:t>
            </w:r>
            <w:r>
              <w:rPr>
                <w:rFonts w:hint="default"/>
                <w:color w:val="auto"/>
                <w:highlight w:val="none"/>
              </w:rPr>
              <w:t>-N排放量为</w:t>
            </w:r>
            <w:r>
              <w:rPr>
                <w:rFonts w:hint="eastAsia"/>
                <w:color w:val="auto"/>
                <w:highlight w:val="none"/>
                <w:lang w:val="en-US" w:eastAsia="zh-CN"/>
              </w:rPr>
              <w:t>0.196</w:t>
            </w:r>
            <w:r>
              <w:rPr>
                <w:rFonts w:hint="default"/>
                <w:color w:val="auto"/>
                <w:highlight w:val="none"/>
              </w:rPr>
              <w:t>t/a</w:t>
            </w:r>
            <w:r>
              <w:rPr>
                <w:rFonts w:hint="eastAsia"/>
                <w:color w:val="auto"/>
                <w:highlight w:val="none"/>
                <w:lang w:eastAsia="zh-CN"/>
              </w:rPr>
              <w:t>，</w:t>
            </w:r>
            <w:r>
              <w:rPr>
                <w:rFonts w:hint="eastAsia"/>
                <w:highlight w:val="none"/>
                <w:lang w:val="en-US" w:eastAsia="zh-CN"/>
              </w:rPr>
              <w:t>根据《进一步加快推进排污权有偿使用和交易工作的意见》（闽环发〔2015〕6号），建设单位应通过福建省排污权交易平台购买废水主要污染物排放总量。</w:t>
            </w:r>
          </w:p>
        </w:tc>
      </w:tr>
    </w:tbl>
    <w:p>
      <w:pPr>
        <w:pStyle w:val="3"/>
        <w:rPr>
          <w:rFonts w:ascii="黑体" w:hAnsi="黑体"/>
          <w:snapToGrid w:val="0"/>
        </w:rPr>
      </w:pPr>
      <w:r>
        <w:rPr>
          <w:rFonts w:ascii="黑体" w:hAnsi="黑体"/>
          <w:snapToGrid w:val="0"/>
          <w:sz w:val="36"/>
          <w:szCs w:val="36"/>
        </w:rPr>
        <w:br w:type="page"/>
      </w:r>
      <w:r>
        <w:rPr>
          <w:rFonts w:hint="eastAsia" w:ascii="黑体" w:hAnsi="黑体"/>
          <w:snapToGrid w:val="0"/>
        </w:rPr>
        <w:t>主要环境影响和保护措施</w:t>
      </w:r>
    </w:p>
    <w:tbl>
      <w:tblPr>
        <w:tblStyle w:val="27"/>
        <w:tblW w:w="89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58"/>
        <w:gridCol w:w="86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07" w:hRule="atLeast"/>
          <w:jc w:val="center"/>
        </w:trPr>
        <w:tc>
          <w:tcPr>
            <w:tcW w:w="358" w:type="dxa"/>
            <w:tcMar>
              <w:left w:w="28" w:type="dxa"/>
              <w:right w:w="28" w:type="dxa"/>
            </w:tcMar>
            <w:vAlign w:val="center"/>
          </w:tcPr>
          <w:p>
            <w:pPr>
              <w:pStyle w:val="25"/>
              <w:keepNext w:val="0"/>
              <w:keepLines w:val="0"/>
              <w:suppressLineNumbers w:val="0"/>
              <w:adjustRightInd w:val="0"/>
              <w:snapToGrid w:val="0"/>
              <w:spacing w:before="0" w:beforeAutospacing="0" w:after="0" w:afterAutospacing="0"/>
              <w:ind w:left="0" w:right="0"/>
              <w:jc w:val="center"/>
              <w:rPr>
                <w:rFonts w:hint="default" w:cs="宋体"/>
                <w:kern w:val="2"/>
                <w:sz w:val="21"/>
                <w:szCs w:val="21"/>
              </w:rPr>
            </w:pPr>
            <w:r>
              <w:rPr>
                <w:rFonts w:hint="eastAsia" w:cs="宋体"/>
                <w:kern w:val="2"/>
                <w:sz w:val="21"/>
                <w:szCs w:val="21"/>
              </w:rPr>
              <w:t>施工</w:t>
            </w:r>
          </w:p>
          <w:p>
            <w:pPr>
              <w:pStyle w:val="25"/>
              <w:keepNext w:val="0"/>
              <w:keepLines w:val="0"/>
              <w:suppressLineNumbers w:val="0"/>
              <w:adjustRightInd w:val="0"/>
              <w:snapToGrid w:val="0"/>
              <w:spacing w:before="0" w:beforeAutospacing="0" w:after="0" w:afterAutospacing="0"/>
              <w:ind w:left="0" w:right="0"/>
              <w:jc w:val="center"/>
              <w:rPr>
                <w:rFonts w:hint="default" w:cs="宋体"/>
                <w:kern w:val="2"/>
                <w:sz w:val="21"/>
                <w:szCs w:val="21"/>
              </w:rPr>
            </w:pPr>
            <w:r>
              <w:rPr>
                <w:rFonts w:hint="eastAsia" w:cs="宋体"/>
                <w:kern w:val="2"/>
                <w:sz w:val="21"/>
                <w:szCs w:val="21"/>
              </w:rPr>
              <w:t>期环</w:t>
            </w:r>
          </w:p>
          <w:p>
            <w:pPr>
              <w:pStyle w:val="25"/>
              <w:keepNext w:val="0"/>
              <w:keepLines w:val="0"/>
              <w:suppressLineNumbers w:val="0"/>
              <w:adjustRightInd w:val="0"/>
              <w:snapToGrid w:val="0"/>
              <w:spacing w:before="0" w:beforeAutospacing="0" w:after="0" w:afterAutospacing="0"/>
              <w:ind w:left="0" w:right="0"/>
              <w:jc w:val="center"/>
              <w:rPr>
                <w:rFonts w:hint="default" w:cs="宋体"/>
                <w:kern w:val="2"/>
                <w:sz w:val="21"/>
                <w:szCs w:val="21"/>
              </w:rPr>
            </w:pPr>
            <w:r>
              <w:rPr>
                <w:rFonts w:hint="eastAsia" w:cs="宋体"/>
                <w:kern w:val="2"/>
                <w:sz w:val="21"/>
                <w:szCs w:val="21"/>
              </w:rPr>
              <w:t>境保</w:t>
            </w:r>
          </w:p>
          <w:p>
            <w:pPr>
              <w:pStyle w:val="25"/>
              <w:keepNext w:val="0"/>
              <w:keepLines w:val="0"/>
              <w:suppressLineNumbers w:val="0"/>
              <w:adjustRightInd w:val="0"/>
              <w:snapToGrid w:val="0"/>
              <w:spacing w:before="0" w:beforeAutospacing="0" w:after="0" w:afterAutospacing="0"/>
              <w:ind w:left="0" w:right="0"/>
              <w:jc w:val="center"/>
              <w:rPr>
                <w:rFonts w:hint="default" w:cs="宋体"/>
                <w:kern w:val="2"/>
                <w:sz w:val="21"/>
                <w:szCs w:val="21"/>
              </w:rPr>
            </w:pPr>
            <w:r>
              <w:rPr>
                <w:rFonts w:hint="eastAsia" w:cs="宋体"/>
                <w:kern w:val="2"/>
                <w:sz w:val="21"/>
                <w:szCs w:val="21"/>
              </w:rPr>
              <w:t>护措</w:t>
            </w:r>
          </w:p>
          <w:p>
            <w:pPr>
              <w:pStyle w:val="25"/>
              <w:keepNext w:val="0"/>
              <w:keepLines w:val="0"/>
              <w:suppressLineNumbers w:val="0"/>
              <w:adjustRightInd w:val="0"/>
              <w:snapToGrid w:val="0"/>
              <w:spacing w:before="0" w:beforeAutospacing="0" w:after="0" w:afterAutospacing="0"/>
              <w:ind w:left="0" w:right="0"/>
              <w:jc w:val="center"/>
              <w:rPr>
                <w:rFonts w:hint="default" w:cs="宋体"/>
                <w:bCs/>
                <w:kern w:val="2"/>
                <w:sz w:val="21"/>
                <w:szCs w:val="21"/>
              </w:rPr>
            </w:pPr>
            <w:r>
              <w:rPr>
                <w:rFonts w:hint="eastAsia" w:cs="宋体"/>
                <w:kern w:val="2"/>
                <w:sz w:val="21"/>
                <w:szCs w:val="21"/>
              </w:rPr>
              <w:t>施</w:t>
            </w:r>
          </w:p>
        </w:tc>
        <w:tc>
          <w:tcPr>
            <w:tcW w:w="8623" w:type="dxa"/>
            <w:vAlign w:val="center"/>
          </w:tcPr>
          <w:p>
            <w:pPr>
              <w:pStyle w:val="42"/>
              <w:keepNext w:val="0"/>
              <w:keepLines w:val="0"/>
              <w:suppressLineNumbers w:val="0"/>
              <w:spacing w:before="0" w:beforeAutospacing="0" w:after="0" w:afterAutospacing="0"/>
              <w:ind w:left="0" w:right="0" w:firstLine="480"/>
              <w:rPr>
                <w:rFonts w:hint="default" w:ascii="Times New Roman" w:hAnsi="Times New Roman" w:eastAsia="宋体" w:cs="Times New Roman"/>
                <w:color w:val="auto"/>
              </w:rPr>
            </w:pPr>
            <w:r>
              <w:rPr>
                <w:rFonts w:hint="default" w:ascii="Times New Roman" w:hAnsi="Times New Roman" w:eastAsia="宋体" w:cs="Times New Roman"/>
                <w:color w:val="auto"/>
              </w:rPr>
              <w:t>项目</w:t>
            </w:r>
            <w:r>
              <w:rPr>
                <w:rFonts w:hint="eastAsia" w:cs="Times New Roman"/>
                <w:color w:val="auto"/>
                <w:lang w:val="en-US" w:eastAsia="zh-CN"/>
              </w:rPr>
              <w:t>租赁</w:t>
            </w:r>
            <w:r>
              <w:rPr>
                <w:rFonts w:hint="default" w:ascii="Times New Roman" w:hAnsi="Times New Roman" w:eastAsia="宋体" w:cs="Times New Roman"/>
                <w:color w:val="auto"/>
              </w:rPr>
              <w:t>已建厂房进行改造生产，</w:t>
            </w:r>
            <w:r>
              <w:rPr>
                <w:rFonts w:hint="eastAsia" w:cs="Times New Roman"/>
                <w:color w:val="auto"/>
                <w:lang w:val="en-US" w:eastAsia="zh-CN"/>
              </w:rPr>
              <w:t>施工期</w:t>
            </w:r>
            <w:r>
              <w:rPr>
                <w:rFonts w:hint="default" w:ascii="Times New Roman" w:hAnsi="Times New Roman" w:eastAsia="宋体" w:cs="Times New Roman"/>
                <w:bCs/>
                <w:color w:val="auto"/>
                <w:highlight w:val="none"/>
                <w:lang w:val="en-US" w:eastAsia="zh-CN"/>
              </w:rPr>
              <w:t>于</w:t>
            </w:r>
            <w:r>
              <w:rPr>
                <w:rFonts w:hint="eastAsia" w:cs="Times New Roman"/>
                <w:bCs/>
                <w:color w:val="auto"/>
                <w:highlight w:val="none"/>
                <w:lang w:val="en-US" w:eastAsia="zh-CN"/>
              </w:rPr>
              <w:t>厂区北侧空地建设一座</w:t>
            </w:r>
            <w:r>
              <w:rPr>
                <w:rFonts w:hint="default" w:ascii="Times New Roman" w:hAnsi="Times New Roman" w:eastAsia="宋体" w:cs="Times New Roman"/>
                <w:bCs/>
                <w:color w:val="auto"/>
                <w:highlight w:val="none"/>
                <w:lang w:val="en-US" w:eastAsia="zh-CN"/>
              </w:rPr>
              <w:t>铝壳废边清洗</w:t>
            </w:r>
            <w:r>
              <w:rPr>
                <w:rFonts w:hint="eastAsia" w:cs="Times New Roman"/>
                <w:bCs/>
                <w:color w:val="auto"/>
                <w:highlight w:val="none"/>
                <w:lang w:val="en-US" w:eastAsia="zh-CN"/>
              </w:rPr>
              <w:t>车间</w:t>
            </w:r>
            <w:r>
              <w:rPr>
                <w:rFonts w:hint="default" w:ascii="Times New Roman" w:hAnsi="Times New Roman" w:eastAsia="宋体" w:cs="Times New Roman"/>
                <w:bCs/>
                <w:color w:val="auto"/>
                <w:highlight w:val="none"/>
                <w:lang w:val="en-US" w:eastAsia="zh-CN"/>
              </w:rPr>
              <w:t>，建设厂区面积为342</w:t>
            </w:r>
            <w:r>
              <w:rPr>
                <w:rFonts w:hint="eastAsia" w:ascii="Times New Roman" w:hAnsi="Times New Roman" w:eastAsia="宋体" w:cs="Times New Roman"/>
                <w:bCs/>
                <w:color w:val="auto"/>
                <w:highlight w:val="none"/>
                <w:lang w:val="en-US" w:eastAsia="zh-CN"/>
              </w:rPr>
              <w:t>m</w:t>
            </w:r>
            <w:r>
              <w:rPr>
                <w:rFonts w:hint="eastAsia" w:ascii="Times New Roman" w:hAnsi="Times New Roman" w:eastAsia="宋体" w:cs="Times New Roman"/>
                <w:bCs/>
                <w:color w:val="auto"/>
                <w:highlight w:val="none"/>
                <w:vertAlign w:val="superscript"/>
                <w:lang w:val="en-US" w:eastAsia="zh-CN"/>
              </w:rPr>
              <w:t>2</w:t>
            </w:r>
            <w:r>
              <w:rPr>
                <w:rFonts w:hint="eastAsia" w:ascii="Times New Roman" w:hAnsi="Times New Roman" w:eastAsia="宋体" w:cs="Times New Roman"/>
                <w:bCs/>
                <w:color w:val="auto"/>
                <w:highlight w:val="none"/>
                <w:lang w:val="en-US" w:eastAsia="zh-CN"/>
              </w:rPr>
              <w:t>。同时存在</w:t>
            </w:r>
            <w:r>
              <w:rPr>
                <w:rFonts w:hint="default" w:ascii="Times New Roman" w:hAnsi="Times New Roman" w:eastAsia="宋体" w:cs="Times New Roman"/>
                <w:bCs/>
                <w:color w:val="auto"/>
              </w:rPr>
              <w:t>设备安装、调试阶段产生的</w:t>
            </w:r>
            <w:r>
              <w:rPr>
                <w:rFonts w:hint="eastAsia" w:ascii="Times New Roman" w:hAnsi="Times New Roman" w:eastAsia="宋体" w:cs="Times New Roman"/>
                <w:bCs/>
                <w:color w:val="auto"/>
                <w:lang w:val="en-US" w:eastAsia="zh-CN"/>
              </w:rPr>
              <w:t>噪声等</w:t>
            </w:r>
            <w:r>
              <w:rPr>
                <w:rFonts w:hint="default" w:ascii="Times New Roman" w:hAnsi="Times New Roman" w:eastAsia="宋体" w:cs="Times New Roman"/>
                <w:bCs/>
                <w:color w:val="auto"/>
              </w:rPr>
              <w:t>环境问题</w:t>
            </w:r>
            <w:r>
              <w:rPr>
                <w:rFonts w:hint="eastAsia" w:ascii="Times New Roman" w:hAnsi="Times New Roman" w:eastAsia="宋体" w:cs="Times New Roman"/>
                <w:bCs/>
                <w:color w:val="auto"/>
                <w:lang w:eastAsia="zh-CN"/>
              </w:rPr>
              <w:t>。</w:t>
            </w:r>
            <w:r>
              <w:rPr>
                <w:rFonts w:hint="eastAsia" w:ascii="Times New Roman" w:hAnsi="Times New Roman" w:eastAsia="宋体" w:cs="Times New Roman"/>
                <w:bCs/>
                <w:color w:val="auto"/>
                <w:lang w:val="en-US" w:eastAsia="zh-CN"/>
              </w:rPr>
              <w:t>项目</w:t>
            </w:r>
            <w:r>
              <w:rPr>
                <w:rFonts w:hint="eastAsia" w:cs="Times New Roman"/>
                <w:bCs/>
                <w:color w:val="auto"/>
                <w:lang w:val="en-US" w:eastAsia="zh-CN"/>
              </w:rPr>
              <w:t>施工简单，工期短</w:t>
            </w:r>
            <w:r>
              <w:rPr>
                <w:rFonts w:hint="eastAsia" w:cs="Times New Roman"/>
                <w:bCs/>
                <w:color w:val="auto"/>
                <w:lang w:eastAsia="zh-CN"/>
              </w:rPr>
              <w:t>；</w:t>
            </w:r>
            <w:r>
              <w:rPr>
                <w:rFonts w:hint="default" w:ascii="Times New Roman" w:hAnsi="Times New Roman" w:eastAsia="宋体" w:cs="Times New Roman"/>
                <w:bCs/>
                <w:color w:val="auto"/>
              </w:rPr>
              <w:t>随着设备安装、调试完毕后，项目施工期也将结束，施工期环境影响也随</w:t>
            </w:r>
            <w:r>
              <w:rPr>
                <w:rFonts w:hint="eastAsia" w:cs="Times New Roman"/>
                <w:bCs/>
                <w:color w:val="auto"/>
                <w:lang w:eastAsia="zh-CN"/>
              </w:rPr>
              <w:t>之</w:t>
            </w:r>
            <w:r>
              <w:rPr>
                <w:rFonts w:hint="default" w:ascii="Times New Roman" w:hAnsi="Times New Roman" w:eastAsia="宋体" w:cs="Times New Roman"/>
                <w:bCs/>
                <w:color w:val="auto"/>
              </w:rPr>
              <w:t>消失，对周边环境影响较</w:t>
            </w:r>
            <w:r>
              <w:rPr>
                <w:rFonts w:hint="default" w:ascii="Times New Roman" w:hAnsi="Times New Roman" w:eastAsia="宋体" w:cs="Times New Roman"/>
                <w:bCs/>
                <w:color w:val="auto"/>
                <w:highlight w:val="none"/>
              </w:rPr>
              <w:t>小。</w:t>
            </w:r>
          </w:p>
          <w:p>
            <w:pPr>
              <w:pStyle w:val="4"/>
              <w:keepNext w:val="0"/>
              <w:keepLines w:val="0"/>
              <w:suppressLineNumbers w:val="0"/>
              <w:bidi w:val="0"/>
              <w:spacing w:before="0" w:beforeAutospacing="0" w:after="0" w:afterAutospacing="0"/>
              <w:ind w:left="0" w:right="0"/>
              <w:rPr>
                <w:rFonts w:hint="default"/>
              </w:rPr>
            </w:pPr>
            <w:r>
              <w:rPr>
                <w:rFonts w:hint="default"/>
              </w:rPr>
              <w:t>施工扬尘</w:t>
            </w:r>
          </w:p>
          <w:p>
            <w:pPr>
              <w:pStyle w:val="42"/>
              <w:keepNext w:val="0"/>
              <w:keepLines w:val="0"/>
              <w:suppressLineNumbers w:val="0"/>
              <w:spacing w:before="0" w:beforeAutospacing="0" w:after="0" w:afterAutospacing="0" w:line="360" w:lineRule="auto"/>
              <w:ind w:left="0" w:right="0" w:firstLine="480"/>
              <w:rPr>
                <w:rFonts w:hint="default"/>
                <w:lang w:val="en-US" w:eastAsia="zh-CN"/>
              </w:rPr>
            </w:pPr>
            <w:r>
              <w:rPr>
                <w:rFonts w:hint="eastAsia" w:cs="Times New Roman"/>
                <w:bCs/>
                <w:color w:val="auto"/>
                <w:highlight w:val="none"/>
                <w:lang w:val="en-US" w:eastAsia="zh-CN"/>
              </w:rPr>
              <w:t>项目施工</w:t>
            </w:r>
            <w:r>
              <w:rPr>
                <w:rFonts w:hint="eastAsia"/>
                <w:lang w:val="en-US" w:eastAsia="zh-CN"/>
              </w:rPr>
              <w:t>扬尘污染防治措施如下：</w:t>
            </w:r>
          </w:p>
          <w:p>
            <w:pPr>
              <w:pStyle w:val="76"/>
              <w:keepNext w:val="0"/>
              <w:keepLines w:val="0"/>
              <w:suppressLineNumbers w:val="0"/>
              <w:spacing w:before="0" w:beforeAutospacing="0" w:afterAutospacing="0" w:line="360" w:lineRule="auto"/>
              <w:ind w:right="0" w:firstLine="480" w:firstLineChars="20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（1）</w:t>
            </w:r>
            <w:r>
              <w:rPr>
                <w:rFonts w:hint="default" w:ascii="Times New Roman" w:hAnsi="Times New Roman" w:eastAsia="宋体" w:cs="Times New Roman"/>
                <w:color w:val="auto"/>
                <w:lang w:val="en-US" w:eastAsia="zh-CN"/>
              </w:rPr>
              <w:t>施工单位应采取择时施工、洒水抑尘、冲洗地面和车辆等有效防尘降尘措施。</w:t>
            </w:r>
          </w:p>
          <w:p>
            <w:pPr>
              <w:pStyle w:val="76"/>
              <w:keepNext w:val="0"/>
              <w:keepLines w:val="0"/>
              <w:suppressLineNumbers w:val="0"/>
              <w:spacing w:before="0" w:beforeAutospacing="0" w:afterAutospacing="0" w:line="360" w:lineRule="auto"/>
              <w:ind w:right="0" w:firstLine="480" w:firstLineChars="20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w:t>
            </w:r>
            <w:r>
              <w:rPr>
                <w:rFonts w:hint="eastAsia" w:cs="Times New Roman"/>
                <w:color w:val="auto"/>
                <w:lang w:val="en-US" w:eastAsia="zh-CN"/>
              </w:rPr>
              <w:t>2</w:t>
            </w:r>
            <w:r>
              <w:rPr>
                <w:rFonts w:hint="default" w:ascii="Times New Roman" w:hAnsi="Times New Roman" w:eastAsia="宋体" w:cs="Times New Roman"/>
                <w:color w:val="auto"/>
              </w:rPr>
              <w:t>）</w:t>
            </w:r>
            <w:r>
              <w:rPr>
                <w:rFonts w:hint="default" w:ascii="Times New Roman" w:hAnsi="Times New Roman" w:eastAsia="宋体" w:cs="Times New Roman"/>
                <w:color w:val="auto"/>
                <w:lang w:val="en-US" w:eastAsia="zh-CN"/>
              </w:rPr>
              <w:t>施工单位应当在施工工地公示扬尘污染防治措施、负责人、扬尘监督管理主管部门等信息。</w:t>
            </w:r>
          </w:p>
          <w:p>
            <w:pPr>
              <w:pStyle w:val="76"/>
              <w:keepNext w:val="0"/>
              <w:keepLines w:val="0"/>
              <w:suppressLineNumbers w:val="0"/>
              <w:spacing w:before="0" w:beforeAutospacing="0" w:afterAutospacing="0" w:line="360" w:lineRule="auto"/>
              <w:ind w:right="0" w:firstLine="480" w:firstLineChars="20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w:t>
            </w:r>
            <w:r>
              <w:rPr>
                <w:rFonts w:hint="eastAsia" w:cs="Times New Roman"/>
                <w:color w:val="auto"/>
                <w:lang w:val="en-US" w:eastAsia="zh-CN"/>
              </w:rPr>
              <w:t>3</w:t>
            </w:r>
            <w:r>
              <w:rPr>
                <w:rFonts w:hint="default" w:ascii="Times New Roman" w:hAnsi="Times New Roman" w:eastAsia="宋体" w:cs="Times New Roman"/>
                <w:color w:val="auto"/>
              </w:rPr>
              <w:t>）</w:t>
            </w:r>
            <w:r>
              <w:rPr>
                <w:rFonts w:hint="default" w:ascii="Times New Roman" w:hAnsi="Times New Roman" w:eastAsia="宋体" w:cs="Times New Roman"/>
                <w:color w:val="auto"/>
                <w:lang w:val="en-US" w:eastAsia="zh-CN"/>
              </w:rPr>
              <w:t>出工地的物料、垃圾运输车辆，应按照批准的路线和时间进行物料、渣土、垃圾的运输，采用密闭车斗，并保证物料不遗撒外漏，尽可能减少运输扬尘对沿线居民的影响。特别是车辆经过居民的道路，要求对道路积极洒水，防止运输扬尘。</w:t>
            </w:r>
          </w:p>
          <w:p>
            <w:pPr>
              <w:pStyle w:val="76"/>
              <w:keepNext w:val="0"/>
              <w:keepLines w:val="0"/>
              <w:suppressLineNumbers w:val="0"/>
              <w:spacing w:before="0" w:beforeAutospacing="0" w:afterAutospacing="0" w:line="360" w:lineRule="auto"/>
              <w:ind w:right="0" w:firstLine="480" w:firstLineChars="20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w:t>
            </w:r>
            <w:r>
              <w:rPr>
                <w:rFonts w:hint="eastAsia" w:cs="Times New Roman"/>
                <w:color w:val="auto"/>
                <w:lang w:val="en-US" w:eastAsia="zh-CN"/>
              </w:rPr>
              <w:t>4</w:t>
            </w:r>
            <w:r>
              <w:rPr>
                <w:rFonts w:hint="default" w:ascii="Times New Roman" w:hAnsi="Times New Roman" w:eastAsia="宋体" w:cs="Times New Roman"/>
                <w:color w:val="auto"/>
              </w:rPr>
              <w:t>）</w:t>
            </w:r>
            <w:r>
              <w:rPr>
                <w:rFonts w:hint="default" w:ascii="Times New Roman" w:hAnsi="Times New Roman" w:eastAsia="宋体" w:cs="Times New Roman"/>
                <w:color w:val="auto"/>
                <w:lang w:val="en-US" w:eastAsia="zh-CN"/>
              </w:rPr>
              <w:t>施工场地出口设洗车平台，进出场车辆在此清洗轮胎及车身，防止将工地泥土带入道路。</w:t>
            </w:r>
          </w:p>
          <w:p>
            <w:pPr>
              <w:pStyle w:val="76"/>
              <w:keepNext w:val="0"/>
              <w:keepLines w:val="0"/>
              <w:suppressLineNumbers w:val="0"/>
              <w:spacing w:before="0" w:beforeAutospacing="0" w:afterAutospacing="0" w:line="360" w:lineRule="auto"/>
              <w:ind w:right="0" w:firstLine="480" w:firstLineChars="20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w:t>
            </w:r>
            <w:r>
              <w:rPr>
                <w:rFonts w:hint="eastAsia" w:cs="Times New Roman"/>
                <w:color w:val="auto"/>
                <w:lang w:val="en-US" w:eastAsia="zh-CN"/>
              </w:rPr>
              <w:t>5</w:t>
            </w:r>
            <w:r>
              <w:rPr>
                <w:rFonts w:hint="default" w:ascii="Times New Roman" w:hAnsi="Times New Roman" w:eastAsia="宋体" w:cs="Times New Roman"/>
                <w:color w:val="auto"/>
              </w:rPr>
              <w:t>）</w:t>
            </w:r>
            <w:r>
              <w:rPr>
                <w:rFonts w:hint="default" w:ascii="Times New Roman" w:hAnsi="Times New Roman" w:eastAsia="宋体" w:cs="Times New Roman"/>
                <w:color w:val="auto"/>
                <w:lang w:val="en-US" w:eastAsia="zh-CN"/>
              </w:rPr>
              <w:t>施工过程中，产生的弃料及其他建筑垃圾，应及时清运并平整压实，防止尘土飞扬。</w:t>
            </w:r>
          </w:p>
          <w:p>
            <w:pPr>
              <w:pStyle w:val="76"/>
              <w:keepNext w:val="0"/>
              <w:keepLines w:val="0"/>
              <w:suppressLineNumbers w:val="0"/>
              <w:spacing w:before="0" w:beforeAutospacing="0" w:afterAutospacing="0" w:line="360" w:lineRule="auto"/>
              <w:ind w:right="0" w:firstLine="480" w:firstLineChars="200"/>
              <w:rPr>
                <w:rFonts w:hint="default" w:ascii="宋体" w:hAnsi="宋体" w:eastAsia="宋体" w:cs="宋体"/>
                <w:color w:val="auto"/>
                <w:lang w:val="en-US" w:eastAsia="zh-CN"/>
              </w:rPr>
            </w:pPr>
            <w:r>
              <w:rPr>
                <w:rFonts w:hint="default" w:ascii="Times New Roman" w:hAnsi="Times New Roman" w:eastAsia="宋体" w:cs="Times New Roman"/>
                <w:color w:val="auto"/>
              </w:rPr>
              <w:t>（</w:t>
            </w:r>
            <w:r>
              <w:rPr>
                <w:rFonts w:hint="eastAsia" w:cs="Times New Roman"/>
                <w:color w:val="auto"/>
                <w:lang w:val="en-US" w:eastAsia="zh-CN"/>
              </w:rPr>
              <w:t>6</w:t>
            </w:r>
            <w:r>
              <w:rPr>
                <w:rFonts w:hint="default" w:ascii="Times New Roman" w:hAnsi="Times New Roman" w:eastAsia="宋体" w:cs="Times New Roman"/>
                <w:color w:val="auto"/>
              </w:rPr>
              <w:t>）</w:t>
            </w:r>
            <w:r>
              <w:rPr>
                <w:rFonts w:hint="default" w:ascii="Times New Roman" w:hAnsi="Times New Roman" w:eastAsia="宋体" w:cs="Times New Roman"/>
                <w:color w:val="auto"/>
                <w:lang w:val="en-US" w:eastAsia="zh-CN"/>
              </w:rPr>
              <w:t>为控制施工期扬尘对周围环境的影响，项目施工过程中应依照《</w:t>
            </w:r>
            <w:r>
              <w:rPr>
                <w:rFonts w:hint="eastAsia" w:cs="Times New Roman"/>
                <w:color w:val="auto"/>
                <w:lang w:val="en-US" w:eastAsia="zh-CN"/>
              </w:rPr>
              <w:t>建设</w:t>
            </w:r>
            <w:r>
              <w:rPr>
                <w:rFonts w:hint="default" w:ascii="Times New Roman" w:hAnsi="Times New Roman" w:eastAsia="宋体" w:cs="Times New Roman"/>
                <w:color w:val="auto"/>
                <w:lang w:val="en-US" w:eastAsia="zh-CN"/>
              </w:rPr>
              <w:t>施工现场环境与卫生标准》(JGJ</w:t>
            </w:r>
            <w:r>
              <w:rPr>
                <w:rFonts w:hint="eastAsia" w:cs="Times New Roman"/>
                <w:color w:val="auto"/>
                <w:lang w:val="en-US" w:eastAsia="zh-CN"/>
              </w:rPr>
              <w:t xml:space="preserve"> </w:t>
            </w:r>
            <w:r>
              <w:rPr>
                <w:rFonts w:hint="default" w:ascii="Times New Roman" w:hAnsi="Times New Roman" w:eastAsia="宋体" w:cs="Times New Roman"/>
                <w:color w:val="auto"/>
                <w:lang w:val="en-US" w:eastAsia="zh-CN"/>
              </w:rPr>
              <w:t>146-20</w:t>
            </w:r>
            <w:r>
              <w:rPr>
                <w:rFonts w:hint="eastAsia" w:cs="Times New Roman"/>
                <w:color w:val="auto"/>
                <w:lang w:val="en-US" w:eastAsia="zh-CN"/>
              </w:rPr>
              <w:t>13</w:t>
            </w:r>
            <w:r>
              <w:rPr>
                <w:rFonts w:hint="default" w:ascii="Times New Roman" w:hAnsi="Times New Roman" w:eastAsia="宋体" w:cs="Times New Roman"/>
                <w:color w:val="auto"/>
                <w:lang w:val="en-US" w:eastAsia="zh-CN"/>
              </w:rPr>
              <w:t>）和《防治城市扬尘污染技术规范》(HJ/T393-2007）有关规定，采用</w:t>
            </w:r>
            <w:r>
              <w:rPr>
                <w:rFonts w:hint="eastAsia" w:cs="Times New Roman"/>
                <w:color w:val="auto"/>
                <w:lang w:val="en-US" w:eastAsia="zh-CN"/>
              </w:rPr>
              <w:t>“</w:t>
            </w:r>
            <w:r>
              <w:rPr>
                <w:rFonts w:hint="default" w:ascii="Times New Roman" w:hAnsi="Times New Roman" w:eastAsia="宋体" w:cs="Times New Roman"/>
                <w:color w:val="auto"/>
                <w:lang w:val="en-US" w:eastAsia="zh-CN"/>
              </w:rPr>
              <w:t>湿式施工作业</w:t>
            </w:r>
            <w:r>
              <w:rPr>
                <w:rFonts w:hint="eastAsia" w:cs="Times New Roman"/>
                <w:color w:val="auto"/>
                <w:lang w:val="en-US" w:eastAsia="zh-CN"/>
              </w:rPr>
              <w:t>”</w:t>
            </w:r>
            <w:r>
              <w:rPr>
                <w:rFonts w:hint="default" w:ascii="Times New Roman" w:hAnsi="Times New Roman" w:eastAsia="宋体" w:cs="Times New Roman"/>
                <w:color w:val="auto"/>
                <w:lang w:val="en-US" w:eastAsia="zh-CN"/>
              </w:rPr>
              <w:t>，对施工现场易产生扬尘的作业面（点）、道路等进行洒水降尘，在大风日加大洒水量及洒水次数。</w:t>
            </w:r>
          </w:p>
          <w:p>
            <w:pPr>
              <w:pStyle w:val="4"/>
              <w:keepNext w:val="0"/>
              <w:keepLines w:val="0"/>
              <w:suppressLineNumbers w:val="0"/>
              <w:bidi w:val="0"/>
              <w:spacing w:before="0" w:beforeAutospacing="0" w:after="0" w:afterAutospacing="0"/>
              <w:ind w:left="0" w:right="0"/>
              <w:rPr>
                <w:rFonts w:hint="default"/>
              </w:rPr>
            </w:pPr>
            <w:r>
              <w:rPr>
                <w:rFonts w:hint="default"/>
              </w:rPr>
              <w:t>废水</w:t>
            </w:r>
          </w:p>
          <w:p>
            <w:pPr>
              <w:pStyle w:val="42"/>
              <w:keepNext w:val="0"/>
              <w:keepLines w:val="0"/>
              <w:suppressLineNumbers w:val="0"/>
              <w:spacing w:before="0" w:beforeAutospacing="0" w:after="0" w:afterAutospacing="0"/>
              <w:ind w:left="0" w:right="0" w:firstLine="480"/>
              <w:rPr>
                <w:rFonts w:hint="default" w:ascii="Times New Roman" w:hAnsi="Times New Roman" w:eastAsia="宋体" w:cs="Times New Roman"/>
              </w:rPr>
            </w:pPr>
            <w:r>
              <w:rPr>
                <w:rFonts w:hint="eastAsia" w:ascii="Times New Roman" w:hAnsi="Times New Roman" w:cs="Times New Roman"/>
              </w:rPr>
              <w:t>（</w:t>
            </w:r>
            <w:r>
              <w:rPr>
                <w:rFonts w:hint="default" w:ascii="Times New Roman" w:hAnsi="Times New Roman" w:cs="Times New Roman"/>
              </w:rPr>
              <w:t>1</w:t>
            </w:r>
            <w:r>
              <w:rPr>
                <w:rFonts w:hint="eastAsia" w:ascii="Times New Roman" w:hAnsi="Times New Roman" w:cs="Times New Roman"/>
              </w:rPr>
              <w:t>）</w:t>
            </w:r>
            <w:r>
              <w:rPr>
                <w:rFonts w:hint="default" w:ascii="Times New Roman" w:hAnsi="Times New Roman" w:eastAsia="宋体" w:cs="Times New Roman"/>
              </w:rPr>
              <w:t>施工期生产废水包括</w:t>
            </w:r>
            <w:r>
              <w:rPr>
                <w:rFonts w:hint="eastAsia"/>
              </w:rPr>
              <w:t>土石方填筑和混凝土养护废水、砼搅拌系统冲洗废水</w:t>
            </w:r>
            <w:r>
              <w:rPr>
                <w:rFonts w:hint="eastAsia"/>
                <w:lang w:val="en-US" w:eastAsia="zh-CN"/>
              </w:rPr>
              <w:t>等</w:t>
            </w:r>
            <w:r>
              <w:rPr>
                <w:rFonts w:hint="default" w:ascii="Times New Roman" w:hAnsi="Times New Roman" w:eastAsia="宋体" w:cs="Times New Roman"/>
              </w:rPr>
              <w:t>，主要含pH、COD、SS等。经沉淀处理后回用于施工场地洒水。</w:t>
            </w:r>
          </w:p>
          <w:p>
            <w:pPr>
              <w:pStyle w:val="76"/>
              <w:keepNext w:val="0"/>
              <w:keepLines w:val="0"/>
              <w:suppressLineNumbers w:val="0"/>
              <w:spacing w:before="0" w:beforeAutospacing="0" w:afterAutospacing="0" w:line="360" w:lineRule="auto"/>
              <w:ind w:right="0" w:firstLine="480" w:firstLineChars="200"/>
              <w:rPr>
                <w:rFonts w:hint="eastAsia" w:ascii="宋体" w:hAnsi="宋体" w:eastAsia="宋体" w:cs="宋体"/>
                <w:color w:val="auto"/>
              </w:rPr>
            </w:pPr>
            <w:r>
              <w:rPr>
                <w:rFonts w:hint="default" w:ascii="Times New Roman" w:hAnsi="Times New Roman" w:eastAsia="宋体" w:cs="Times New Roman"/>
              </w:rPr>
              <w:t>（2）</w:t>
            </w:r>
            <w:r>
              <w:rPr>
                <w:rFonts w:hint="eastAsia" w:ascii="宋体" w:hAnsi="宋体" w:eastAsia="宋体" w:cs="宋体"/>
                <w:sz w:val="24"/>
                <w:szCs w:val="24"/>
                <w:highlight w:val="none"/>
                <w:lang w:val="en-US" w:eastAsia="zh-CN"/>
              </w:rPr>
              <w:t>施工人员均不在场内食宿，施工期间产生的</w:t>
            </w:r>
            <w:r>
              <w:rPr>
                <w:rFonts w:hint="eastAsia" w:ascii="宋体" w:hAnsi="宋体" w:eastAsia="宋体" w:cs="宋体"/>
              </w:rPr>
              <w:t>生活污水经化粪池处理</w:t>
            </w:r>
            <w:r>
              <w:rPr>
                <w:rFonts w:hint="eastAsia" w:ascii="宋体" w:hAnsi="宋体" w:eastAsia="宋体" w:cs="宋体"/>
                <w:lang w:val="en-US" w:eastAsia="zh-CN"/>
              </w:rPr>
              <w:t>达标</w:t>
            </w:r>
            <w:r>
              <w:rPr>
                <w:rFonts w:hint="eastAsia" w:ascii="宋体" w:hAnsi="宋体" w:eastAsia="宋体" w:cs="宋体"/>
              </w:rPr>
              <w:t>后接入霞浦县经济开发区市政污水管网，排入霞浦县污水处理厂处理。</w:t>
            </w:r>
          </w:p>
          <w:p>
            <w:pPr>
              <w:pStyle w:val="4"/>
              <w:keepNext w:val="0"/>
              <w:keepLines w:val="0"/>
              <w:suppressLineNumbers w:val="0"/>
              <w:bidi w:val="0"/>
              <w:spacing w:before="0" w:beforeAutospacing="0" w:after="0" w:afterAutospacing="0"/>
              <w:ind w:left="0" w:right="0"/>
              <w:rPr>
                <w:rFonts w:hint="default"/>
              </w:rPr>
            </w:pPr>
            <w:r>
              <w:rPr>
                <w:rFonts w:hint="default"/>
              </w:rPr>
              <w:t>噪声</w:t>
            </w:r>
          </w:p>
          <w:p>
            <w:pPr>
              <w:pStyle w:val="76"/>
              <w:keepNext w:val="0"/>
              <w:keepLines w:val="0"/>
              <w:suppressLineNumbers w:val="0"/>
              <w:spacing w:before="0" w:beforeAutospacing="0" w:afterAutospacing="0" w:line="360" w:lineRule="auto"/>
              <w:ind w:right="0"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施工噪声对周围环境的影响是暂时的，也将随施工期的结束而自动消除，但由于施工时噪声值较大，为了最大限度地减轻施工噪声对环境的不良影响，必须采取相应的噪声控制措施。本评价结合不同施工阶段的噪声污染提出适当的防治措施。</w:t>
            </w:r>
          </w:p>
          <w:p>
            <w:pPr>
              <w:pStyle w:val="76"/>
              <w:keepNext w:val="0"/>
              <w:keepLines w:val="0"/>
              <w:suppressLineNumbers w:val="0"/>
              <w:spacing w:before="0" w:beforeAutospacing="0" w:afterAutospacing="0" w:line="360" w:lineRule="auto"/>
              <w:ind w:right="0"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（1）原则上禁止夜间及午间施工，如因特殊情况确需在夜间及午间作业的，必须报经</w:t>
            </w:r>
            <w:r>
              <w:rPr>
                <w:rFonts w:hint="default" w:ascii="Times New Roman" w:hAnsi="Times New Roman" w:eastAsia="宋体" w:cs="Times New Roman"/>
                <w:color w:val="auto"/>
                <w:lang w:val="en-US" w:eastAsia="zh-CN"/>
              </w:rPr>
              <w:t>生态</w:t>
            </w:r>
            <w:r>
              <w:rPr>
                <w:rFonts w:hint="default" w:ascii="Times New Roman" w:hAnsi="Times New Roman" w:eastAsia="宋体" w:cs="Times New Roman"/>
                <w:color w:val="auto"/>
              </w:rPr>
              <w:t>环境部门批准，并予以公告。</w:t>
            </w:r>
          </w:p>
          <w:p>
            <w:pPr>
              <w:pStyle w:val="76"/>
              <w:keepNext w:val="0"/>
              <w:keepLines w:val="0"/>
              <w:suppressLineNumbers w:val="0"/>
              <w:spacing w:before="0" w:beforeAutospacing="0" w:afterAutospacing="0" w:line="360" w:lineRule="auto"/>
              <w:ind w:right="0"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（2）淘汰落后设备和工艺，采用先进工艺和低噪设备；结构阶段应尽量使用商品砼。</w:t>
            </w:r>
          </w:p>
          <w:p>
            <w:pPr>
              <w:pStyle w:val="76"/>
              <w:keepNext w:val="0"/>
              <w:keepLines w:val="0"/>
              <w:suppressLineNumbers w:val="0"/>
              <w:spacing w:before="0" w:beforeAutospacing="0" w:afterAutospacing="0" w:line="360" w:lineRule="auto"/>
              <w:ind w:right="0"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w:t>
            </w:r>
            <w:r>
              <w:rPr>
                <w:rFonts w:hint="default" w:ascii="Times New Roman" w:hAnsi="Times New Roman" w:eastAsia="宋体" w:cs="Times New Roman"/>
                <w:color w:val="auto"/>
                <w:lang w:val="en-US" w:eastAsia="zh-CN"/>
              </w:rPr>
              <w:t>3</w:t>
            </w:r>
            <w:r>
              <w:rPr>
                <w:rFonts w:hint="default" w:ascii="Times New Roman" w:hAnsi="Times New Roman" w:eastAsia="宋体" w:cs="Times New Roman"/>
                <w:color w:val="auto"/>
              </w:rPr>
              <w:t>）加强监督管理。建设单位应在施工期设立施工期环境管理监督小组，该小组成员包括：施工单位的环保监察员、监理工程师和建设单位的环境管理人员。该小组主要职责是：①落实施工场地内外有关施工活动的各项污染防治措施的实施；②审查施工单位的施工技术措施是否符合国家有关法规和要求，是否符合工程设计方案的环境保护目标，必要时协助施工单位进行修改和补充；③对施工人员进行环境保护法规和污染控制技术措施方面的培训。</w:t>
            </w:r>
          </w:p>
          <w:p>
            <w:pPr>
              <w:pStyle w:val="76"/>
              <w:keepNext w:val="0"/>
              <w:keepLines w:val="0"/>
              <w:suppressLineNumbers w:val="0"/>
              <w:spacing w:before="0" w:beforeAutospacing="0" w:afterAutospacing="0" w:line="360" w:lineRule="auto"/>
              <w:ind w:right="0"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w:t>
            </w:r>
            <w:r>
              <w:rPr>
                <w:rFonts w:hint="default" w:ascii="Times New Roman" w:hAnsi="Times New Roman" w:eastAsia="宋体" w:cs="Times New Roman"/>
                <w:color w:val="auto"/>
                <w:lang w:val="en-US" w:eastAsia="zh-CN"/>
              </w:rPr>
              <w:t>4</w:t>
            </w:r>
            <w:r>
              <w:rPr>
                <w:rFonts w:hint="default" w:ascii="Times New Roman" w:hAnsi="Times New Roman" w:eastAsia="宋体" w:cs="Times New Roman"/>
                <w:color w:val="auto"/>
              </w:rPr>
              <w:t>）施工车辆在行驶途中经过敏感路段时，应限制行车速度，夜间禁鸣喇叭。施工场地的车辆出入地点应尽量远离敏感目标，车辆出入现场时应低速、禁鸣。</w:t>
            </w:r>
          </w:p>
          <w:p>
            <w:pPr>
              <w:pStyle w:val="76"/>
              <w:keepNext w:val="0"/>
              <w:keepLines w:val="0"/>
              <w:suppressLineNumbers w:val="0"/>
              <w:spacing w:before="0" w:beforeAutospacing="0" w:afterAutospacing="0" w:line="360" w:lineRule="auto"/>
              <w:ind w:right="0" w:firstLine="480" w:firstLineChars="200"/>
              <w:rPr>
                <w:rFonts w:hint="default" w:hAnsi="Times New Roman"/>
                <w:color w:val="auto"/>
              </w:rPr>
            </w:pPr>
            <w:r>
              <w:rPr>
                <w:rFonts w:hint="default" w:ascii="Times New Roman" w:hAnsi="Times New Roman" w:eastAsia="宋体" w:cs="Times New Roman"/>
                <w:color w:val="auto"/>
              </w:rPr>
              <w:t>（</w:t>
            </w:r>
            <w:r>
              <w:rPr>
                <w:rFonts w:hint="default" w:ascii="Times New Roman" w:hAnsi="Times New Roman" w:eastAsia="宋体" w:cs="Times New Roman"/>
                <w:color w:val="auto"/>
                <w:lang w:val="en-US" w:eastAsia="zh-CN"/>
              </w:rPr>
              <w:t>5</w:t>
            </w:r>
            <w:r>
              <w:rPr>
                <w:rFonts w:hint="default" w:ascii="Times New Roman" w:hAnsi="Times New Roman" w:eastAsia="宋体" w:cs="Times New Roman"/>
                <w:color w:val="auto"/>
              </w:rPr>
              <w:t>）严格按照操作规程使用各类机械；禁止运转不正常、噪声超标的设备进场，定期维护设备。</w:t>
            </w:r>
          </w:p>
          <w:p>
            <w:pPr>
              <w:pStyle w:val="4"/>
              <w:keepNext w:val="0"/>
              <w:keepLines w:val="0"/>
              <w:suppressLineNumbers w:val="0"/>
              <w:bidi w:val="0"/>
              <w:spacing w:before="0" w:beforeAutospacing="0" w:after="0" w:afterAutospacing="0"/>
              <w:ind w:left="0" w:right="0"/>
              <w:rPr>
                <w:rFonts w:hint="default"/>
              </w:rPr>
            </w:pPr>
            <w:r>
              <w:rPr>
                <w:rFonts w:hint="default"/>
              </w:rPr>
              <w:t>固体废物</w:t>
            </w:r>
          </w:p>
          <w:p>
            <w:pPr>
              <w:pStyle w:val="25"/>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firstLineChars="200"/>
              <w:rPr>
                <w:rFonts w:hint="default" w:ascii="Times New Roman" w:hAnsi="Times New Roman" w:eastAsia="宋体" w:cs="Times New Roman"/>
              </w:rPr>
            </w:pPr>
            <w:r>
              <w:rPr>
                <w:rFonts w:hint="default" w:ascii="Times New Roman" w:hAnsi="Times New Roman" w:eastAsia="宋体" w:cs="Times New Roman"/>
                <w:szCs w:val="24"/>
                <w:lang w:bidi="ar"/>
              </w:rPr>
              <w:t>施工期间，施工现场会产生建筑施工垃圾和施工人员的生活垃圾。</w:t>
            </w:r>
          </w:p>
          <w:p>
            <w:pPr>
              <w:pStyle w:val="25"/>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firstLineChars="200"/>
              <w:rPr>
                <w:rFonts w:hint="default" w:ascii="Times New Roman" w:hAnsi="Times New Roman" w:eastAsia="宋体" w:cs="Times New Roman"/>
              </w:rPr>
            </w:pPr>
            <w:r>
              <w:rPr>
                <w:rFonts w:hint="default" w:ascii="Times New Roman" w:hAnsi="Times New Roman" w:eastAsia="宋体" w:cs="Times New Roman"/>
                <w:szCs w:val="24"/>
                <w:lang w:bidi="ar"/>
              </w:rPr>
              <w:t>（1）建筑垃圾主要是拆除的建筑模板、建筑材料下脚料、断残钢筋头、破钢管、包装袋、废旧设备等，建筑施工垃圾应分类收集，回收再利用，不能利用的运往城建部门指定地点场所统一处置。不能回收利用的建筑施工垃圾应采用封闭车辆运输，按城市卫生管理条例有关规定进行处置，不能随意抛弃、转移和扩散。</w:t>
            </w:r>
          </w:p>
          <w:p>
            <w:pPr>
              <w:pStyle w:val="25"/>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szCs w:val="24"/>
                <w:lang w:bidi="ar"/>
              </w:rPr>
            </w:pPr>
            <w:r>
              <w:rPr>
                <w:rFonts w:hint="default" w:ascii="Times New Roman" w:hAnsi="Times New Roman" w:eastAsia="宋体" w:cs="Times New Roman"/>
                <w:szCs w:val="24"/>
                <w:lang w:bidi="ar"/>
              </w:rPr>
              <w:t>（2）不能利用的碎砖、混凝土块等废料经集中收集后，由建设单位委托</w:t>
            </w:r>
            <w:r>
              <w:rPr>
                <w:rFonts w:hint="default" w:ascii="Times New Roman" w:hAnsi="Times New Roman" w:eastAsia="宋体" w:cs="Times New Roman"/>
                <w:szCs w:val="24"/>
                <w:lang w:val="en-US" w:eastAsia="zh-CN" w:bidi="ar"/>
              </w:rPr>
              <w:t>渣土</w:t>
            </w:r>
            <w:r>
              <w:rPr>
                <w:rFonts w:hint="default" w:ascii="Times New Roman" w:hAnsi="Times New Roman" w:eastAsia="宋体" w:cs="Times New Roman"/>
                <w:szCs w:val="24"/>
                <w:lang w:bidi="ar"/>
              </w:rPr>
              <w:t>公司运往指定地点统一处置。</w:t>
            </w:r>
          </w:p>
          <w:p>
            <w:pPr>
              <w:pStyle w:val="25"/>
              <w:keepNext w:val="0"/>
              <w:keepLines w:val="0"/>
              <w:widowControl w:val="0"/>
              <w:suppressLineNumbers w:val="0"/>
              <w:spacing w:before="0" w:beforeAutospacing="0" w:after="0" w:afterAutospacing="0" w:line="360" w:lineRule="auto"/>
              <w:ind w:left="0" w:right="0" w:firstLine="480" w:firstLineChars="200"/>
              <w:jc w:val="both"/>
              <w:rPr>
                <w:rFonts w:hint="default"/>
                <w:bCs/>
                <w:color w:val="auto"/>
              </w:rPr>
            </w:pPr>
            <w:r>
              <w:rPr>
                <w:rFonts w:hint="default" w:ascii="Times New Roman" w:hAnsi="Times New Roman" w:eastAsia="宋体" w:cs="Times New Roman"/>
                <w:kern w:val="0"/>
                <w:lang w:bidi="ar"/>
              </w:rPr>
              <w:t>（3）施工人员产</w:t>
            </w:r>
            <w:r>
              <w:rPr>
                <w:rFonts w:hint="default" w:ascii="Times New Roman" w:hAnsi="Times New Roman" w:eastAsia="宋体" w:cs="Times New Roman"/>
              </w:rPr>
              <w:t>生的生活垃圾需要定点收集，由环卫部门统一处置。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57" w:hRule="atLeast"/>
          <w:jc w:val="center"/>
        </w:trPr>
        <w:tc>
          <w:tcPr>
            <w:tcW w:w="358" w:type="dxa"/>
            <w:tcMar>
              <w:left w:w="28" w:type="dxa"/>
              <w:right w:w="2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运营</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期环</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境影</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响和</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保护</w:t>
            </w:r>
          </w:p>
          <w:p>
            <w:pPr>
              <w:pStyle w:val="25"/>
              <w:keepNext w:val="0"/>
              <w:keepLines w:val="0"/>
              <w:suppressLineNumbers w:val="0"/>
              <w:adjustRightInd w:val="0"/>
              <w:snapToGrid w:val="0"/>
              <w:spacing w:before="0" w:beforeAutospacing="0" w:after="0" w:afterAutospacing="0"/>
              <w:ind w:left="0" w:right="0"/>
              <w:jc w:val="center"/>
              <w:rPr>
                <w:rFonts w:hint="eastAsia" w:cs="宋体"/>
                <w:kern w:val="2"/>
                <w:sz w:val="21"/>
                <w:szCs w:val="21"/>
              </w:rPr>
            </w:pPr>
            <w:r>
              <w:rPr>
                <w:rFonts w:hint="eastAsia" w:cs="宋体"/>
                <w:bCs/>
                <w:szCs w:val="21"/>
              </w:rPr>
              <w:t>措施</w:t>
            </w:r>
          </w:p>
        </w:tc>
        <w:tc>
          <w:tcPr>
            <w:tcW w:w="8623" w:type="dxa"/>
            <w:vAlign w:val="center"/>
          </w:tcPr>
          <w:p>
            <w:pPr>
              <w:pStyle w:val="4"/>
              <w:keepNext w:val="0"/>
              <w:keepLines w:val="0"/>
              <w:numPr>
                <w:ilvl w:val="1"/>
                <w:numId w:val="9"/>
              </w:numPr>
              <w:suppressLineNumbers w:val="0"/>
              <w:spacing w:before="0" w:beforeAutospacing="0" w:after="0" w:afterAutospacing="0"/>
              <w:ind w:left="0" w:right="0"/>
              <w:rPr>
                <w:rFonts w:hint="default"/>
              </w:rPr>
            </w:pPr>
            <w:r>
              <w:rPr>
                <w:rFonts w:hint="eastAsia"/>
              </w:rPr>
              <w:t>大气</w:t>
            </w:r>
          </w:p>
          <w:p>
            <w:pPr>
              <w:pStyle w:val="42"/>
              <w:keepNext w:val="0"/>
              <w:keepLines w:val="0"/>
              <w:suppressLineNumbers w:val="0"/>
              <w:spacing w:before="0" w:beforeAutospacing="0" w:after="0" w:afterAutospacing="0"/>
              <w:ind w:left="0" w:right="0" w:firstLine="480"/>
              <w:rPr>
                <w:rFonts w:hint="default" w:ascii="Times New Roman" w:hAnsi="Times New Roman" w:eastAsia="宋体" w:cs="Times New Roman"/>
              </w:rPr>
            </w:pPr>
            <w:r>
              <w:rPr>
                <w:rFonts w:hint="default" w:ascii="Times New Roman" w:hAnsi="Times New Roman" w:eastAsia="宋体" w:cs="Times New Roman"/>
              </w:rPr>
              <w:t>根据工艺分析，本项目切边工序会有一定量的金属粉尘产生，由于拉伸工序使工件表面存有拉伸油，有一定的湿度，金属粉尘绝大部分吸附在工件表面，且粉尘质量较大，沉降较快，因此，只有极少部分较细小的颗粒物会在空气中短暂停留后沉降至地面。</w:t>
            </w:r>
            <w:r>
              <w:rPr>
                <w:rFonts w:hint="default" w:ascii="Times New Roman" w:hAnsi="Times New Roman" w:eastAsia="宋体" w:cs="Times New Roman"/>
                <w:lang w:val="en-US" w:eastAsia="zh-CN"/>
              </w:rPr>
              <w:t>根据《大气污染物综合排放标准》（GB16297-1996）复核</w:t>
            </w:r>
            <w:r>
              <w:rPr>
                <w:rFonts w:hint="eastAsia" w:cs="Times New Roman"/>
                <w:lang w:val="en-US" w:eastAsia="zh-CN"/>
              </w:rPr>
              <w:t>调研</w:t>
            </w:r>
            <w:r>
              <w:rPr>
                <w:rFonts w:hint="default" w:ascii="Times New Roman" w:hAnsi="Times New Roman" w:eastAsia="宋体" w:cs="Times New Roman"/>
                <w:lang w:val="en-US" w:eastAsia="zh-CN"/>
              </w:rPr>
              <w:t>和国家环保总局《大气污染物排放达标技术指南》课题调查资料表，</w:t>
            </w:r>
            <w:r>
              <w:rPr>
                <w:rFonts w:hint="eastAsia" w:cs="Times New Roman"/>
                <w:lang w:val="en-US" w:eastAsia="zh-CN"/>
              </w:rPr>
              <w:t>调研</w:t>
            </w:r>
            <w:r>
              <w:rPr>
                <w:rFonts w:hint="default" w:ascii="Times New Roman" w:hAnsi="Times New Roman" w:eastAsia="宋体" w:cs="Times New Roman"/>
                <w:lang w:val="en-US" w:eastAsia="zh-CN"/>
              </w:rPr>
              <w:t>的6个机加工企业，由于金属颗粒物质量较重，且有车间厂房阻拦，颗粒物散落范围很小，自然沉降后多在机加工车床周围5m以内，飘逸至外环境的金属颗粒物非常少。</w:t>
            </w:r>
            <w:r>
              <w:rPr>
                <w:rFonts w:hint="default" w:ascii="Times New Roman" w:hAnsi="Times New Roman" w:eastAsia="宋体" w:cs="Times New Roman"/>
              </w:rPr>
              <w:t>故金属粉尘对周边大气环境影响很小。本次评价仅进行定性分析。</w:t>
            </w:r>
          </w:p>
          <w:p>
            <w:pPr>
              <w:pStyle w:val="71"/>
              <w:keepNext w:val="0"/>
              <w:keepLines w:val="0"/>
              <w:suppressLineNumbers w:val="0"/>
              <w:spacing w:before="0" w:beforeAutospacing="0" w:after="0" w:afterAutospacing="0"/>
              <w:ind w:left="0" w:right="0" w:firstLine="480"/>
              <w:rPr>
                <w:rFonts w:hint="default" w:ascii="Times New Roman" w:hAnsi="Times New Roman" w:eastAsia="宋体" w:cs="Times New Roman"/>
              </w:rPr>
            </w:pPr>
            <w:r>
              <w:rPr>
                <w:rFonts w:hint="default" w:ascii="Times New Roman" w:hAnsi="Times New Roman" w:eastAsia="宋体" w:cs="Times New Roman"/>
              </w:rPr>
              <w:t>根据《排污单位自行监测技术指南 总则》（HJ 819-2017）及建设单位自身情况，对项目废气污染源制定监测计划，本项目废气污染源监测计划如下表所示。</w:t>
            </w:r>
          </w:p>
          <w:p>
            <w:pPr>
              <w:pStyle w:val="36"/>
              <w:keepNext w:val="0"/>
              <w:keepLines w:val="0"/>
              <w:suppressLineNumbers w:val="0"/>
              <w:bidi w:val="0"/>
              <w:spacing w:before="0" w:beforeAutospacing="0" w:after="0" w:afterAutospacing="0"/>
              <w:ind w:right="0"/>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大气</w:t>
            </w:r>
            <w:r>
              <w:rPr>
                <w:rFonts w:hint="default" w:ascii="Times New Roman" w:hAnsi="Times New Roman" w:eastAsia="宋体" w:cs="Times New Roman"/>
                <w:highlight w:val="none"/>
              </w:rPr>
              <w:t>污染源监测计划</w:t>
            </w:r>
          </w:p>
          <w:tbl>
            <w:tblPr>
              <w:tblStyle w:val="27"/>
              <w:tblW w:w="8407" w:type="dxa"/>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635"/>
              <w:gridCol w:w="717"/>
              <w:gridCol w:w="1354"/>
              <w:gridCol w:w="1259"/>
              <w:gridCol w:w="3132"/>
              <w:gridCol w:w="1310"/>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635"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717" w:type="dxa"/>
                  <w:tcBorders>
                    <w:tl2br w:val="nil"/>
                    <w:tr2bl w:val="nil"/>
                  </w:tcBorders>
                  <w:tcMar>
                    <w:left w:w="6" w:type="dxa"/>
                    <w:right w:w="6"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对象</w:t>
                  </w:r>
                </w:p>
              </w:tc>
              <w:tc>
                <w:tcPr>
                  <w:tcW w:w="1354" w:type="dxa"/>
                  <w:tcBorders>
                    <w:tl2br w:val="nil"/>
                    <w:tr2bl w:val="nil"/>
                  </w:tcBorders>
                  <w:tcMar>
                    <w:left w:w="6" w:type="dxa"/>
                    <w:right w:w="6"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监测点位</w:t>
                  </w:r>
                </w:p>
              </w:tc>
              <w:tc>
                <w:tcPr>
                  <w:tcW w:w="1259" w:type="dxa"/>
                  <w:tcBorders>
                    <w:tl2br w:val="nil"/>
                    <w:tr2bl w:val="nil"/>
                  </w:tcBorders>
                  <w:tcMar>
                    <w:left w:w="6" w:type="dxa"/>
                    <w:right w:w="6"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监测项目</w:t>
                  </w:r>
                </w:p>
              </w:tc>
              <w:tc>
                <w:tcPr>
                  <w:tcW w:w="3132" w:type="dxa"/>
                  <w:tcBorders>
                    <w:tl2br w:val="nil"/>
                    <w:tr2bl w:val="nil"/>
                  </w:tcBorders>
                  <w:tcMar>
                    <w:left w:w="6" w:type="dxa"/>
                    <w:right w:w="6"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执行标准</w:t>
                  </w:r>
                </w:p>
              </w:tc>
              <w:tc>
                <w:tcPr>
                  <w:tcW w:w="1310" w:type="dxa"/>
                  <w:tcBorders>
                    <w:tl2br w:val="nil"/>
                    <w:tr2bl w:val="nil"/>
                  </w:tcBorders>
                  <w:tcMar>
                    <w:left w:w="6" w:type="dxa"/>
                    <w:right w:w="6"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监测频次</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635"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717" w:type="dxa"/>
                  <w:tcBorders>
                    <w:tl2br w:val="nil"/>
                    <w:tr2bl w:val="nil"/>
                  </w:tcBorders>
                  <w:tcMar>
                    <w:left w:w="6" w:type="dxa"/>
                    <w:right w:w="6"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无组织废气</w:t>
                  </w:r>
                </w:p>
              </w:tc>
              <w:tc>
                <w:tcPr>
                  <w:tcW w:w="1354" w:type="dxa"/>
                  <w:tcBorders>
                    <w:tl2br w:val="nil"/>
                    <w:tr2bl w:val="nil"/>
                  </w:tcBorders>
                  <w:tcMar>
                    <w:left w:w="6" w:type="dxa"/>
                    <w:right w:w="6"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en-US"/>
                    </w:rPr>
                    <w:t>厂界无组织监控点</w:t>
                  </w:r>
                </w:p>
              </w:tc>
              <w:tc>
                <w:tcPr>
                  <w:tcW w:w="1259" w:type="dxa"/>
                  <w:tcBorders>
                    <w:tl2br w:val="nil"/>
                    <w:tr2bl w:val="nil"/>
                  </w:tcBorders>
                  <w:tcMar>
                    <w:left w:w="6" w:type="dxa"/>
                    <w:right w:w="6"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颗粒物</w:t>
                  </w:r>
                </w:p>
              </w:tc>
              <w:tc>
                <w:tcPr>
                  <w:tcW w:w="3132" w:type="dxa"/>
                  <w:tcBorders>
                    <w:tl2br w:val="nil"/>
                    <w:tr2bl w:val="nil"/>
                  </w:tcBorders>
                  <w:tcMar>
                    <w:left w:w="6" w:type="dxa"/>
                    <w:right w:w="6" w:type="dxa"/>
                  </w:tcMar>
                  <w:vAlign w:val="center"/>
                </w:tcPr>
                <w:p>
                  <w:pPr>
                    <w:pStyle w:val="77"/>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《大气污染物综合排放标准》（GB 16297-1996）表2中相应标准</w:t>
                  </w:r>
                </w:p>
              </w:tc>
              <w:tc>
                <w:tcPr>
                  <w:tcW w:w="1310" w:type="dxa"/>
                  <w:tcBorders>
                    <w:tl2br w:val="nil"/>
                    <w:tr2bl w:val="nil"/>
                  </w:tcBorders>
                  <w:tcMar>
                    <w:left w:w="6" w:type="dxa"/>
                    <w:right w:w="6" w:type="dxa"/>
                  </w:tcMar>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1次/年</w:t>
                  </w:r>
                </w:p>
              </w:tc>
            </w:tr>
          </w:tbl>
          <w:p>
            <w:pPr>
              <w:pStyle w:val="4"/>
              <w:keepNext w:val="0"/>
              <w:keepLines w:val="0"/>
              <w:numPr>
                <w:ilvl w:val="1"/>
                <w:numId w:val="9"/>
              </w:numPr>
              <w:suppressLineNumbers w:val="0"/>
              <w:spacing w:before="120" w:beforeLines="50" w:beforeAutospacing="0" w:after="0" w:afterAutospacing="0"/>
              <w:ind w:left="0" w:right="0"/>
              <w:rPr>
                <w:rFonts w:hint="default"/>
              </w:rPr>
            </w:pPr>
            <w:r>
              <w:rPr>
                <w:rFonts w:hint="eastAsia"/>
              </w:rPr>
              <w:t>废水</w:t>
            </w:r>
          </w:p>
          <w:p>
            <w:pPr>
              <w:pStyle w:val="5"/>
              <w:numPr>
                <w:ilvl w:val="2"/>
                <w:numId w:val="9"/>
              </w:numPr>
              <w:suppressLineNumbers w:val="0"/>
              <w:spacing w:before="0" w:beforeAutospacing="0" w:after="0" w:afterAutospacing="0"/>
              <w:ind w:right="0"/>
              <w:rPr>
                <w:rFonts w:hint="default" w:ascii="Times New Roman" w:hAnsi="Times New Roman" w:eastAsia="宋体" w:cs="Times New Roman"/>
              </w:rPr>
            </w:pPr>
            <w:r>
              <w:rPr>
                <w:rFonts w:hint="default" w:ascii="Times New Roman" w:hAnsi="Times New Roman" w:eastAsia="宋体" w:cs="Times New Roman"/>
              </w:rPr>
              <w:t>废水源强分析</w:t>
            </w:r>
          </w:p>
          <w:p>
            <w:pPr>
              <w:pStyle w:val="42"/>
              <w:keepNext w:val="0"/>
              <w:keepLines w:val="0"/>
              <w:numPr>
                <w:ilvl w:val="0"/>
                <w:numId w:val="10"/>
              </w:numPr>
              <w:suppressLineNumbers w:val="0"/>
              <w:spacing w:before="0" w:beforeAutospacing="0" w:after="0" w:afterAutospacing="0"/>
              <w:ind w:left="0" w:right="0" w:firstLine="480"/>
              <w:rPr>
                <w:rFonts w:hint="default" w:ascii="Times New Roman" w:hAnsi="Times New Roman" w:eastAsia="宋体" w:cs="Times New Roman"/>
                <w:color w:val="auto"/>
              </w:rPr>
            </w:pPr>
            <w:r>
              <w:rPr>
                <w:rFonts w:hint="default" w:ascii="Times New Roman" w:hAnsi="Times New Roman" w:eastAsia="宋体" w:cs="Times New Roman"/>
                <w:color w:val="auto"/>
              </w:rPr>
              <w:t>生产废水</w:t>
            </w:r>
          </w:p>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textAlignment w:val="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rPr>
              <w:t>项目生产废水主要有清洗废水</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漂洗废水</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lang w:val="en-US" w:eastAsia="zh-CN"/>
              </w:rPr>
              <w:t>地面拖洗废水、膜反冲洗废水、纯水制备浓水</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lang w:val="en-US" w:eastAsia="zh-CN"/>
              </w:rPr>
              <w:t>其中</w:t>
            </w:r>
            <w:r>
              <w:rPr>
                <w:rFonts w:hint="default" w:ascii="Times New Roman" w:hAnsi="Times New Roman" w:eastAsia="宋体" w:cs="Times New Roman"/>
                <w:highlight w:val="none"/>
              </w:rPr>
              <w:t>清洗废水</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lang w:val="en-US" w:eastAsia="zh-CN"/>
              </w:rPr>
              <w:t>膜反冲洗废水</w:t>
            </w:r>
            <w:r>
              <w:rPr>
                <w:rFonts w:hint="default" w:ascii="Times New Roman" w:hAnsi="Times New Roman" w:eastAsia="宋体" w:cs="Times New Roman"/>
                <w:highlight w:val="none"/>
              </w:rPr>
              <w:t>主要污染因子有pH、SS、COD、BOD、氨氮、石油类、LAS等</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lang w:val="en-US" w:eastAsia="zh-CN"/>
              </w:rPr>
              <w:t>石油类及COD浓水较高。经预处理（除油-除渣-pH调节）+NP膜过滤+NF膜过滤处理。</w:t>
            </w:r>
          </w:p>
          <w:p>
            <w:pPr>
              <w:pStyle w:val="42"/>
              <w:keepNext w:val="0"/>
              <w:keepLines w:val="0"/>
              <w:suppressLineNumbers w:val="0"/>
              <w:bidi w:val="0"/>
              <w:spacing w:before="0" w:beforeAutospacing="0" w:after="0" w:afterAutospacing="0"/>
              <w:ind w:left="0" w:right="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rPr>
              <w:t>漂洗废水</w:t>
            </w:r>
            <w:r>
              <w:rPr>
                <w:rFonts w:hint="default" w:ascii="Times New Roman" w:hAnsi="Times New Roman" w:eastAsia="宋体" w:cs="Times New Roman"/>
                <w:highlight w:val="none"/>
                <w:lang w:val="en-US" w:eastAsia="zh-CN"/>
              </w:rPr>
              <w:t>主要污染因子</w:t>
            </w:r>
            <w:r>
              <w:rPr>
                <w:rFonts w:hint="default" w:ascii="Times New Roman" w:hAnsi="Times New Roman" w:eastAsia="宋体" w:cs="Times New Roman"/>
                <w:highlight w:val="none"/>
              </w:rPr>
              <w:t>有pH、SS、COD、BOD、氨氮、石油类、LAS等</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lang w:val="en-US" w:eastAsia="zh-CN"/>
              </w:rPr>
              <w:t>石油类及COD浓水较低；地面拖洗废水主要污染因子</w:t>
            </w:r>
            <w:r>
              <w:rPr>
                <w:rFonts w:hint="default" w:ascii="Times New Roman" w:hAnsi="Times New Roman" w:eastAsia="宋体" w:cs="Times New Roman"/>
                <w:highlight w:val="none"/>
              </w:rPr>
              <w:t>有SS、COD</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石油类</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lang w:val="en-US" w:eastAsia="zh-CN"/>
              </w:rPr>
              <w:t>纯水制备浓水主要污染因子为</w:t>
            </w:r>
            <w:r>
              <w:rPr>
                <w:rFonts w:hint="default" w:ascii="Times New Roman" w:hAnsi="Times New Roman" w:eastAsia="宋体" w:cs="Times New Roman"/>
                <w:highlight w:val="none"/>
              </w:rPr>
              <w:t>SS、COD</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lang w:val="en-US" w:eastAsia="zh-CN"/>
              </w:rPr>
              <w:t>盐分。三股废水浓度相对较低，经预处理（除渣+保安过滤器）+UF膜过滤+NF膜过滤处理。</w:t>
            </w:r>
          </w:p>
          <w:p>
            <w:pPr>
              <w:pStyle w:val="42"/>
              <w:keepNext w:val="0"/>
              <w:keepLines w:val="0"/>
              <w:suppressLineNumbers w:val="0"/>
              <w:bidi w:val="0"/>
              <w:spacing w:before="0" w:beforeAutospacing="0" w:after="0" w:afterAutospacing="0"/>
              <w:ind w:left="0" w:right="0"/>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以上废水经预处理达标后，由同一个排放口进入园区污水管网，纳入霞浦县污水处理厂统一处理，</w:t>
            </w:r>
            <w:r>
              <w:rPr>
                <w:rFonts w:hint="default" w:ascii="Times New Roman" w:hAnsi="Times New Roman" w:eastAsia="宋体" w:cs="Times New Roman"/>
                <w:highlight w:val="none"/>
              </w:rPr>
              <w:t>达标排放。</w:t>
            </w:r>
          </w:p>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textAlignment w:val="auto"/>
              <w:rPr>
                <w:rFonts w:hint="default" w:ascii="Times New Roman" w:hAnsi="Times New Roman" w:eastAsia="宋体" w:cs="Times New Roman"/>
              </w:rPr>
            </w:pPr>
            <w:r>
              <w:rPr>
                <w:rFonts w:hint="default" w:ascii="Times New Roman" w:hAnsi="Times New Roman" w:eastAsia="宋体" w:cs="Times New Roman"/>
              </w:rPr>
              <w:t>项目生产废水参照《宁德震裕汽车部件有限公司年产1.2亿件新能源汽车锂电池壳体改扩建项目竣工环境保护验收报告》废水</w:t>
            </w:r>
            <w:r>
              <w:rPr>
                <w:rFonts w:hint="default" w:ascii="Times New Roman" w:hAnsi="Times New Roman" w:eastAsia="宋体" w:cs="Times New Roman"/>
                <w:lang w:val="en-US" w:eastAsia="zh-CN"/>
              </w:rPr>
              <w:t>监测数据</w:t>
            </w:r>
            <w:r>
              <w:rPr>
                <w:rFonts w:hint="default" w:ascii="Times New Roman" w:hAnsi="Times New Roman" w:eastAsia="宋体" w:cs="Times New Roman"/>
              </w:rPr>
              <w:t>。本项目废水源强类比宁德震裕汽车部件有限公司年产1.2亿件新能源汽车锂电池壳体改扩建项目可行性分析如下表所示。</w:t>
            </w:r>
          </w:p>
          <w:p>
            <w:pPr>
              <w:pStyle w:val="36"/>
              <w:keepNext w:val="0"/>
              <w:keepLines w:val="0"/>
              <w:suppressLineNumbers w:val="0"/>
              <w:bidi w:val="0"/>
              <w:spacing w:before="0" w:beforeAutospacing="0" w:after="0" w:afterAutospacing="0"/>
              <w:ind w:right="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废水源强类比可行性分析</w:t>
            </w:r>
          </w:p>
          <w:p>
            <w:pPr>
              <w:pStyle w:val="42"/>
              <w:keepNext w:val="0"/>
              <w:keepLines w:val="0"/>
              <w:suppressLineNumbers w:val="0"/>
              <w:spacing w:before="120" w:beforeLines="50" w:beforeAutospacing="0" w:after="0" w:afterAutospacing="0" w:line="360" w:lineRule="auto"/>
              <w:ind w:left="0" w:right="0" w:firstLine="48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涉及商业机密</w:t>
            </w:r>
          </w:p>
          <w:p>
            <w:pPr>
              <w:pStyle w:val="42"/>
              <w:keepNext w:val="0"/>
              <w:keepLines w:val="0"/>
              <w:suppressLineNumbers w:val="0"/>
              <w:spacing w:before="120" w:beforeLines="50" w:beforeAutospacing="0" w:after="0" w:afterAutospacing="0" w:line="360" w:lineRule="auto"/>
              <w:ind w:left="0" w:right="0" w:firstLine="480"/>
              <w:rPr>
                <w:rFonts w:hint="default" w:ascii="Times New Roman" w:hAnsi="Times New Roman" w:eastAsia="宋体" w:cs="Times New Roman"/>
                <w:lang w:val="en-US" w:eastAsia="zh-CN"/>
              </w:rPr>
            </w:pPr>
            <w:r>
              <w:rPr>
                <w:rFonts w:hint="default" w:ascii="Times New Roman" w:hAnsi="Times New Roman" w:eastAsia="宋体" w:cs="Times New Roman"/>
              </w:rPr>
              <w:t>出于保守考虑，本项目清洗废水、漂洗废水产生浓度取宁德震裕汽车部件有限公司厂内污水处理站进口处清洗废水、漂洗废水水质检测结果最高值，具体见下表</w:t>
            </w:r>
            <w:r>
              <w:rPr>
                <w:rFonts w:hint="default" w:ascii="Times New Roman" w:hAnsi="Times New Roman" w:eastAsia="宋体" w:cs="Times New Roman"/>
                <w:lang w:eastAsia="zh-CN"/>
              </w:rPr>
              <w:t>，</w:t>
            </w:r>
            <w:r>
              <w:rPr>
                <w:rFonts w:hint="default" w:ascii="Times New Roman" w:hAnsi="Times New Roman" w:eastAsia="宋体" w:cs="Times New Roman"/>
                <w:highlight w:val="none"/>
                <w:lang w:val="en-US" w:eastAsia="zh-CN"/>
              </w:rPr>
              <w:t>具体水质监测结果见附件7</w:t>
            </w:r>
            <w:r>
              <w:rPr>
                <w:rFonts w:hint="default" w:ascii="Times New Roman" w:hAnsi="Times New Roman" w:eastAsia="宋体" w:cs="Times New Roman"/>
                <w:highlight w:val="none"/>
              </w:rPr>
              <w:t>。</w:t>
            </w:r>
            <w:r>
              <w:rPr>
                <w:rFonts w:hint="default" w:ascii="Times New Roman" w:hAnsi="Times New Roman" w:eastAsia="宋体" w:cs="Times New Roman"/>
                <w:highlight w:val="none"/>
                <w:lang w:val="en-US" w:eastAsia="zh-CN"/>
              </w:rPr>
              <w:t>同</w:t>
            </w:r>
            <w:r>
              <w:rPr>
                <w:rFonts w:hint="default" w:ascii="Times New Roman" w:hAnsi="Times New Roman" w:eastAsia="宋体" w:cs="Times New Roman"/>
                <w:lang w:val="en-US" w:eastAsia="zh-CN"/>
              </w:rPr>
              <w:t>时根据污水处理设施厂家提供的该废水处理设施实际运行的进出口监测报告（见附件8），本项目水质优于厂家提供的进口水质，保守考虑，本项目清洗废水排放口水质参照污水处理设施厂家提供的废水处理设施实际运行的出口监测数据。本项目漂洗废水处理工艺优于</w:t>
            </w:r>
            <w:r>
              <w:rPr>
                <w:rFonts w:hint="default" w:ascii="Times New Roman" w:hAnsi="Times New Roman" w:eastAsia="宋体" w:cs="Times New Roman"/>
              </w:rPr>
              <w:t>宁德震裕汽车部件有限公司</w:t>
            </w:r>
            <w:r>
              <w:rPr>
                <w:rFonts w:hint="default" w:ascii="Times New Roman" w:hAnsi="Times New Roman" w:eastAsia="宋体" w:cs="Times New Roman"/>
                <w:lang w:val="en-US" w:eastAsia="zh-CN"/>
              </w:rPr>
              <w:t>漂洗废水处理工艺，以不利情况考虑，本项目漂洗废水处理出口水质参考</w:t>
            </w:r>
            <w:r>
              <w:rPr>
                <w:rFonts w:hint="default" w:ascii="Times New Roman" w:hAnsi="Times New Roman" w:eastAsia="宋体" w:cs="Times New Roman"/>
              </w:rPr>
              <w:t>德震裕汽车部件有限公司</w:t>
            </w:r>
            <w:r>
              <w:rPr>
                <w:rFonts w:hint="default" w:ascii="Times New Roman" w:hAnsi="Times New Roman" w:eastAsia="宋体" w:cs="Times New Roman"/>
                <w:lang w:eastAsia="zh-CN"/>
              </w:rPr>
              <w:t>。</w:t>
            </w:r>
            <w:r>
              <w:rPr>
                <w:rFonts w:hint="default" w:ascii="Times New Roman" w:hAnsi="Times New Roman" w:eastAsia="宋体" w:cs="Times New Roman"/>
                <w:lang w:val="en-US" w:eastAsia="zh-CN"/>
              </w:rPr>
              <w:t>具体见下表。</w:t>
            </w:r>
          </w:p>
          <w:p>
            <w:pPr>
              <w:pStyle w:val="36"/>
              <w:keepNext w:val="0"/>
              <w:keepLines w:val="0"/>
              <w:suppressLineNumbers w:val="0"/>
              <w:bidi w:val="0"/>
              <w:spacing w:before="0" w:beforeAutospacing="0" w:after="0" w:afterAutospacing="0" w:line="360" w:lineRule="auto"/>
              <w:ind w:right="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项目生产废水产生及排放源强一览表</w:t>
            </w:r>
          </w:p>
          <w:tbl>
            <w:tblPr>
              <w:tblStyle w:val="2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3"/>
              <w:gridCol w:w="634"/>
              <w:gridCol w:w="780"/>
              <w:gridCol w:w="825"/>
              <w:gridCol w:w="1000"/>
              <w:gridCol w:w="973"/>
              <w:gridCol w:w="757"/>
              <w:gridCol w:w="731"/>
              <w:gridCol w:w="709"/>
              <w:gridCol w:w="735"/>
              <w:gridCol w:w="8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dxa"/>
                  <w:vMerge w:val="restart"/>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工序</w:t>
                  </w:r>
                </w:p>
              </w:tc>
              <w:tc>
                <w:tcPr>
                  <w:tcW w:w="634" w:type="dxa"/>
                  <w:vMerge w:val="restart"/>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污染源</w:t>
                  </w:r>
                </w:p>
              </w:tc>
              <w:tc>
                <w:tcPr>
                  <w:tcW w:w="780" w:type="dxa"/>
                  <w:vMerge w:val="restart"/>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w:t>
                  </w:r>
                </w:p>
              </w:tc>
              <w:tc>
                <w:tcPr>
                  <w:tcW w:w="2798" w:type="dxa"/>
                  <w:gridSpan w:val="3"/>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污染物产生</w:t>
                  </w:r>
                </w:p>
              </w:tc>
              <w:tc>
                <w:tcPr>
                  <w:tcW w:w="1488" w:type="dxa"/>
                  <w:gridSpan w:val="2"/>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治理措施</w:t>
                  </w:r>
                </w:p>
              </w:tc>
              <w:tc>
                <w:tcPr>
                  <w:tcW w:w="2264" w:type="dxa"/>
                  <w:gridSpan w:val="3"/>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634"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80"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82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废水量</w:t>
                  </w:r>
                  <w:r>
                    <w:rPr>
                      <w:rFonts w:hint="default" w:ascii="Times New Roman" w:hAnsi="Times New Roman" w:eastAsia="宋体" w:cs="Times New Roman"/>
                      <w:sz w:val="21"/>
                      <w:szCs w:val="21"/>
                      <w:lang w:val="en-US" w:eastAsia="zh-CN"/>
                    </w:rPr>
                    <w:t>t</w:t>
                  </w:r>
                  <w:r>
                    <w:rPr>
                      <w:rFonts w:hint="default" w:ascii="Times New Roman" w:hAnsi="Times New Roman" w:eastAsia="宋体" w:cs="Times New Roman"/>
                      <w:sz w:val="21"/>
                      <w:szCs w:val="21"/>
                    </w:rPr>
                    <w:t>/a</w:t>
                  </w:r>
                </w:p>
              </w:tc>
              <w:tc>
                <w:tcPr>
                  <w:tcW w:w="100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浓度mg/L</w:t>
                  </w:r>
                </w:p>
              </w:tc>
              <w:tc>
                <w:tcPr>
                  <w:tcW w:w="973"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产生量t/a</w:t>
                  </w:r>
                </w:p>
              </w:tc>
              <w:tc>
                <w:tcPr>
                  <w:tcW w:w="757"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工艺</w:t>
                  </w:r>
                </w:p>
              </w:tc>
              <w:tc>
                <w:tcPr>
                  <w:tcW w:w="731"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效率%</w:t>
                  </w:r>
                </w:p>
              </w:tc>
              <w:tc>
                <w:tcPr>
                  <w:tcW w:w="709"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废水量</w:t>
                  </w:r>
                  <w:r>
                    <w:rPr>
                      <w:rFonts w:hint="default" w:ascii="Times New Roman" w:hAnsi="Times New Roman" w:eastAsia="宋体" w:cs="Times New Roman"/>
                      <w:sz w:val="21"/>
                      <w:szCs w:val="21"/>
                      <w:lang w:val="en-US" w:eastAsia="zh-CN"/>
                    </w:rPr>
                    <w:t>t</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a</w:t>
                  </w:r>
                </w:p>
              </w:tc>
              <w:tc>
                <w:tcPr>
                  <w:tcW w:w="73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浓度mg/L</w:t>
                  </w:r>
                </w:p>
              </w:tc>
              <w:tc>
                <w:tcPr>
                  <w:tcW w:w="82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dxa"/>
                  <w:vMerge w:val="restart"/>
                  <w:tcBorders>
                    <w:tl2br w:val="nil"/>
                    <w:tr2bl w:val="nil"/>
                  </w:tcBorders>
                  <w:vAlign w:val="center"/>
                </w:tcPr>
                <w:p>
                  <w:pPr>
                    <w:pStyle w:val="37"/>
                    <w:keepNext w:val="0"/>
                    <w:keepLines w:val="0"/>
                    <w:suppressLineNumbers w:val="0"/>
                    <w:bidi w:val="0"/>
                    <w:spacing w:before="0" w:beforeAutospacing="0" w:after="0" w:afterAutospacing="0"/>
                    <w:ind w:right="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清洗</w:t>
                  </w:r>
                  <w:r>
                    <w:rPr>
                      <w:rFonts w:hint="eastAsia" w:cs="Times New Roman"/>
                      <w:sz w:val="21"/>
                      <w:szCs w:val="21"/>
                      <w:lang w:eastAsia="zh-CN"/>
                    </w:rPr>
                    <w:t>、</w:t>
                  </w:r>
                  <w:r>
                    <w:rPr>
                      <w:rFonts w:hint="default" w:ascii="Times New Roman" w:hAnsi="Times New Roman" w:eastAsia="宋体" w:cs="Times New Roman"/>
                      <w:sz w:val="21"/>
                      <w:szCs w:val="21"/>
                      <w:lang w:val="en-US" w:eastAsia="zh-CN"/>
                    </w:rPr>
                    <w:t>膜反冲洗废水</w:t>
                  </w:r>
                </w:p>
              </w:tc>
              <w:tc>
                <w:tcPr>
                  <w:tcW w:w="634" w:type="dxa"/>
                  <w:vMerge w:val="restart"/>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清洗废水</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膜反冲洗废水</w:t>
                  </w:r>
                </w:p>
              </w:tc>
              <w:tc>
                <w:tcPr>
                  <w:tcW w:w="78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w:t>
                  </w:r>
                </w:p>
              </w:tc>
              <w:tc>
                <w:tcPr>
                  <w:tcW w:w="825" w:type="dxa"/>
                  <w:vMerge w:val="restart"/>
                  <w:tcBorders>
                    <w:tl2br w:val="nil"/>
                    <w:tr2bl w:val="nil"/>
                  </w:tcBorders>
                  <w:vAlign w:val="center"/>
                </w:tcPr>
                <w:p>
                  <w:pPr>
                    <w:pStyle w:val="37"/>
                    <w:keepNext w:val="0"/>
                    <w:keepLines w:val="0"/>
                    <w:suppressLineNumbers w:val="0"/>
                    <w:bidi w:val="0"/>
                    <w:spacing w:before="0" w:beforeAutospacing="0" w:after="0" w:afterAutospacing="0"/>
                    <w:ind w:left="0" w:leftChars="0" w:right="0" w:firstLine="0" w:firstLineChars="0"/>
                    <w:rPr>
                      <w:rFonts w:hint="default" w:ascii="Times New Roman" w:hAnsi="Times New Roman" w:eastAsia="宋体" w:cs="Times New Roman"/>
                      <w:sz w:val="21"/>
                      <w:szCs w:val="21"/>
                      <w:lang w:val="en-US" w:eastAsia="zh-CN"/>
                    </w:rPr>
                  </w:pPr>
                  <w:r>
                    <w:rPr>
                      <w:rFonts w:hint="default"/>
                      <w:lang w:val="en-US" w:eastAsia="zh-CN"/>
                    </w:rPr>
                    <w:t>4401</w:t>
                  </w:r>
                </w:p>
              </w:tc>
              <w:tc>
                <w:tcPr>
                  <w:tcW w:w="100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973"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r>
                    <w:rPr>
                      <w:rStyle w:val="110"/>
                      <w:rFonts w:eastAsia="宋体"/>
                      <w:lang w:val="en-US" w:eastAsia="zh-CN" w:bidi="ar"/>
                    </w:rPr>
                    <w:t>/</w:t>
                  </w:r>
                </w:p>
              </w:tc>
              <w:tc>
                <w:tcPr>
                  <w:tcW w:w="757" w:type="dxa"/>
                  <w:vMerge w:val="restart"/>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预处理（除油-除渣-pH调节）+NP膜过滤+NF膜过滤</w:t>
                  </w:r>
                </w:p>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highlight w:val="none"/>
                    </w:rPr>
                  </w:pPr>
                </w:p>
              </w:tc>
              <w:tc>
                <w:tcPr>
                  <w:tcW w:w="731"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w:t>
                  </w:r>
                </w:p>
              </w:tc>
              <w:tc>
                <w:tcPr>
                  <w:tcW w:w="709" w:type="dxa"/>
                  <w:vMerge w:val="restart"/>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rPr>
                  </w:pPr>
                  <w:r>
                    <w:rPr>
                      <w:rFonts w:hint="default"/>
                      <w:lang w:val="en-US" w:eastAsia="zh-CN"/>
                    </w:rPr>
                    <w:t>4401</w:t>
                  </w:r>
                </w:p>
              </w:tc>
              <w:tc>
                <w:tcPr>
                  <w:tcW w:w="73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p>
              </w:tc>
              <w:tc>
                <w:tcPr>
                  <w:tcW w:w="82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634"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8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w:t>
                  </w:r>
                </w:p>
              </w:tc>
              <w:tc>
                <w:tcPr>
                  <w:tcW w:w="825"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100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973"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lang w:val="en-US"/>
                    </w:rPr>
                  </w:pPr>
                  <w:r>
                    <w:rPr>
                      <w:rFonts w:hint="default" w:ascii="Times New Roman" w:hAnsi="Times New Roman" w:eastAsia="宋体" w:cs="Times New Roman"/>
                      <w:i w:val="0"/>
                      <w:iCs w:val="0"/>
                      <w:color w:val="000000"/>
                      <w:kern w:val="0"/>
                      <w:sz w:val="21"/>
                      <w:szCs w:val="21"/>
                      <w:u w:val="none"/>
                      <w:lang w:val="en-US" w:eastAsia="zh-CN" w:bidi="ar"/>
                    </w:rPr>
                    <w:t xml:space="preserve">260.539 </w:t>
                  </w:r>
                </w:p>
              </w:tc>
              <w:tc>
                <w:tcPr>
                  <w:tcW w:w="757"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31"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99.5</w:t>
                  </w:r>
                </w:p>
              </w:tc>
              <w:tc>
                <w:tcPr>
                  <w:tcW w:w="709"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p>
              </w:tc>
              <w:tc>
                <w:tcPr>
                  <w:tcW w:w="73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p>
              </w:tc>
              <w:tc>
                <w:tcPr>
                  <w:tcW w:w="82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lang w:val="en-US" w:eastAsia="zh-CN"/>
                    </w:rPr>
                    <w:t xml:space="preserve">1.303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634"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8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BOD</w:t>
                  </w:r>
                  <w:r>
                    <w:rPr>
                      <w:rFonts w:hint="default" w:ascii="Times New Roman" w:hAnsi="Times New Roman" w:eastAsia="宋体" w:cs="Times New Roman"/>
                      <w:sz w:val="21"/>
                      <w:szCs w:val="21"/>
                      <w:vertAlign w:val="subscript"/>
                    </w:rPr>
                    <w:t>5</w:t>
                  </w:r>
                </w:p>
              </w:tc>
              <w:tc>
                <w:tcPr>
                  <w:tcW w:w="825"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100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973"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57.213 </w:t>
                  </w:r>
                </w:p>
              </w:tc>
              <w:tc>
                <w:tcPr>
                  <w:tcW w:w="757"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31"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99.8</w:t>
                  </w:r>
                </w:p>
              </w:tc>
              <w:tc>
                <w:tcPr>
                  <w:tcW w:w="709"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p>
              </w:tc>
              <w:tc>
                <w:tcPr>
                  <w:tcW w:w="73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p>
              </w:tc>
              <w:tc>
                <w:tcPr>
                  <w:tcW w:w="82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lang w:val="en-US" w:eastAsia="zh-CN"/>
                    </w:rPr>
                    <w:t xml:space="preserve">0.114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634"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8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SS</w:t>
                  </w:r>
                </w:p>
              </w:tc>
              <w:tc>
                <w:tcPr>
                  <w:tcW w:w="825"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100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973"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26.406 </w:t>
                  </w:r>
                </w:p>
              </w:tc>
              <w:tc>
                <w:tcPr>
                  <w:tcW w:w="757"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31"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99.7</w:t>
                  </w:r>
                </w:p>
              </w:tc>
              <w:tc>
                <w:tcPr>
                  <w:tcW w:w="709"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p>
              </w:tc>
              <w:tc>
                <w:tcPr>
                  <w:tcW w:w="73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p>
              </w:tc>
              <w:tc>
                <w:tcPr>
                  <w:tcW w:w="82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lang w:val="en-US" w:eastAsia="zh-CN"/>
                    </w:rPr>
                    <w:t xml:space="preserve">0.079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634"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8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氨氮</w:t>
                  </w:r>
                </w:p>
              </w:tc>
              <w:tc>
                <w:tcPr>
                  <w:tcW w:w="825"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100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973"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2.275 </w:t>
                  </w:r>
                </w:p>
              </w:tc>
              <w:tc>
                <w:tcPr>
                  <w:tcW w:w="757"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31"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99.6</w:t>
                  </w:r>
                </w:p>
              </w:tc>
              <w:tc>
                <w:tcPr>
                  <w:tcW w:w="709"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p>
              </w:tc>
              <w:tc>
                <w:tcPr>
                  <w:tcW w:w="73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p>
              </w:tc>
              <w:tc>
                <w:tcPr>
                  <w:tcW w:w="82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lang w:val="en-US" w:eastAsia="zh-CN"/>
                    </w:rPr>
                    <w:t xml:space="preserve">0.009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634"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8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石油类</w:t>
                  </w:r>
                </w:p>
              </w:tc>
              <w:tc>
                <w:tcPr>
                  <w:tcW w:w="825"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100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973"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5.413 </w:t>
                  </w:r>
                </w:p>
              </w:tc>
              <w:tc>
                <w:tcPr>
                  <w:tcW w:w="757"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31"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99.9</w:t>
                  </w:r>
                </w:p>
              </w:tc>
              <w:tc>
                <w:tcPr>
                  <w:tcW w:w="709"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p>
              </w:tc>
              <w:tc>
                <w:tcPr>
                  <w:tcW w:w="73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p>
              </w:tc>
              <w:tc>
                <w:tcPr>
                  <w:tcW w:w="82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lang w:val="en-US" w:eastAsia="zh-CN"/>
                    </w:rPr>
                    <w:t xml:space="preserve">0.005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634"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8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LAS</w:t>
                  </w:r>
                </w:p>
              </w:tc>
              <w:tc>
                <w:tcPr>
                  <w:tcW w:w="825"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100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973"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0.094 </w:t>
                  </w:r>
                </w:p>
              </w:tc>
              <w:tc>
                <w:tcPr>
                  <w:tcW w:w="757"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31"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96.5</w:t>
                  </w:r>
                </w:p>
              </w:tc>
              <w:tc>
                <w:tcPr>
                  <w:tcW w:w="709"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p>
              </w:tc>
              <w:tc>
                <w:tcPr>
                  <w:tcW w:w="73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p>
              </w:tc>
              <w:tc>
                <w:tcPr>
                  <w:tcW w:w="82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lang w:val="en-US" w:eastAsia="zh-CN"/>
                    </w:rPr>
                    <w:t xml:space="preserve">0.003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634"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8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总磷</w:t>
                  </w:r>
                </w:p>
              </w:tc>
              <w:tc>
                <w:tcPr>
                  <w:tcW w:w="825"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100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p>
              </w:tc>
              <w:tc>
                <w:tcPr>
                  <w:tcW w:w="973"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0.091 </w:t>
                  </w:r>
                </w:p>
              </w:tc>
              <w:tc>
                <w:tcPr>
                  <w:tcW w:w="757"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31"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85.4</w:t>
                  </w:r>
                </w:p>
              </w:tc>
              <w:tc>
                <w:tcPr>
                  <w:tcW w:w="709"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p>
              </w:tc>
              <w:tc>
                <w:tcPr>
                  <w:tcW w:w="73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p>
              </w:tc>
              <w:tc>
                <w:tcPr>
                  <w:tcW w:w="82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 xml:space="preserve">0.013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dxa"/>
                  <w:vMerge w:val="restart"/>
                  <w:tcBorders>
                    <w:tl2br w:val="nil"/>
                    <w:tr2bl w:val="nil"/>
                  </w:tcBorders>
                  <w:vAlign w:val="center"/>
                </w:tcPr>
                <w:p>
                  <w:pPr>
                    <w:pStyle w:val="37"/>
                    <w:keepNext w:val="0"/>
                    <w:keepLines w:val="0"/>
                    <w:suppressLineNumbers w:val="0"/>
                    <w:bidi w:val="0"/>
                    <w:spacing w:before="0" w:beforeAutospacing="0" w:after="0" w:afterAutospacing="0"/>
                    <w:ind w:right="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漂洗</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拖地、纯水制备</w:t>
                  </w:r>
                </w:p>
              </w:tc>
              <w:tc>
                <w:tcPr>
                  <w:tcW w:w="634" w:type="dxa"/>
                  <w:vMerge w:val="restart"/>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漂洗废水</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地面拖洗废水、浓水</w:t>
                  </w:r>
                </w:p>
              </w:tc>
              <w:tc>
                <w:tcPr>
                  <w:tcW w:w="78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w:t>
                  </w:r>
                </w:p>
              </w:tc>
              <w:tc>
                <w:tcPr>
                  <w:tcW w:w="825" w:type="dxa"/>
                  <w:vMerge w:val="restart"/>
                  <w:tcBorders>
                    <w:tl2br w:val="nil"/>
                    <w:tr2bl w:val="nil"/>
                  </w:tcBorders>
                  <w:vAlign w:val="center"/>
                </w:tcPr>
                <w:p>
                  <w:pPr>
                    <w:pStyle w:val="37"/>
                    <w:keepNext w:val="0"/>
                    <w:keepLines w:val="0"/>
                    <w:suppressLineNumbers w:val="0"/>
                    <w:bidi w:val="0"/>
                    <w:spacing w:before="0" w:beforeAutospacing="0" w:after="0" w:afterAutospacing="0"/>
                    <w:ind w:left="0" w:leftChars="0" w:right="0" w:firstLine="0" w:firstLineChars="0"/>
                    <w:rPr>
                      <w:rFonts w:hint="default" w:ascii="Times New Roman" w:hAnsi="Times New Roman" w:eastAsia="宋体" w:cs="Times New Roman"/>
                      <w:sz w:val="21"/>
                      <w:szCs w:val="21"/>
                      <w:lang w:val="en-US" w:eastAsia="zh-CN"/>
                    </w:rPr>
                  </w:pPr>
                  <w:r>
                    <w:rPr>
                      <w:rFonts w:hint="default"/>
                      <w:lang w:val="en-US" w:eastAsia="zh-CN"/>
                    </w:rPr>
                    <w:t>34759.3</w:t>
                  </w:r>
                </w:p>
              </w:tc>
              <w:tc>
                <w:tcPr>
                  <w:tcW w:w="100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973"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w:t>
                  </w:r>
                </w:p>
              </w:tc>
              <w:tc>
                <w:tcPr>
                  <w:tcW w:w="757" w:type="dxa"/>
                  <w:vMerge w:val="restart"/>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b w:val="0"/>
                      <w:bCs w:val="0"/>
                      <w:sz w:val="21"/>
                      <w:szCs w:val="21"/>
                      <w:highlight w:val="none"/>
                      <w:lang w:val="en-US" w:eastAsia="zh-CN"/>
                    </w:rPr>
                    <w:t>经预处理（除渣+保安过滤器）+UF</w:t>
                  </w:r>
                  <w:r>
                    <w:rPr>
                      <w:rFonts w:hint="default" w:ascii="Times New Roman" w:hAnsi="Times New Roman" w:eastAsia="宋体" w:cs="Times New Roman"/>
                      <w:sz w:val="21"/>
                      <w:szCs w:val="21"/>
                      <w:highlight w:val="none"/>
                      <w:lang w:val="en-US" w:eastAsia="zh-CN"/>
                    </w:rPr>
                    <w:t>膜过滤+NF膜过滤</w:t>
                  </w:r>
                </w:p>
              </w:tc>
              <w:tc>
                <w:tcPr>
                  <w:tcW w:w="731"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w:t>
                  </w:r>
                </w:p>
              </w:tc>
              <w:tc>
                <w:tcPr>
                  <w:tcW w:w="709" w:type="dxa"/>
                  <w:vMerge w:val="restart"/>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rPr>
                  </w:pPr>
                  <w:r>
                    <w:rPr>
                      <w:rFonts w:hint="default"/>
                      <w:lang w:val="en-US" w:eastAsia="zh-CN"/>
                    </w:rPr>
                    <w:t>34759.3</w:t>
                  </w:r>
                </w:p>
              </w:tc>
              <w:tc>
                <w:tcPr>
                  <w:tcW w:w="73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p>
              </w:tc>
              <w:tc>
                <w:tcPr>
                  <w:tcW w:w="82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634"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8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w:t>
                  </w:r>
                </w:p>
              </w:tc>
              <w:tc>
                <w:tcPr>
                  <w:tcW w:w="825"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100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973"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19.118 </w:t>
                  </w:r>
                </w:p>
              </w:tc>
              <w:tc>
                <w:tcPr>
                  <w:tcW w:w="757"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31"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709"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p>
              </w:tc>
              <w:tc>
                <w:tcPr>
                  <w:tcW w:w="73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p>
              </w:tc>
              <w:tc>
                <w:tcPr>
                  <w:tcW w:w="82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rPr>
                  </w:pPr>
                  <w:r>
                    <w:rPr>
                      <w:rFonts w:hint="default"/>
                      <w:lang w:val="en-US" w:eastAsia="zh-CN"/>
                    </w:rPr>
                    <w:t xml:space="preserve">9.559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634"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8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BOD</w:t>
                  </w:r>
                  <w:r>
                    <w:rPr>
                      <w:rFonts w:hint="default" w:ascii="Times New Roman" w:hAnsi="Times New Roman" w:eastAsia="宋体" w:cs="Times New Roman"/>
                      <w:sz w:val="21"/>
                      <w:szCs w:val="21"/>
                      <w:vertAlign w:val="subscript"/>
                    </w:rPr>
                    <w:t>5</w:t>
                  </w:r>
                </w:p>
              </w:tc>
              <w:tc>
                <w:tcPr>
                  <w:tcW w:w="825"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100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973"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5.214 </w:t>
                  </w:r>
                </w:p>
              </w:tc>
              <w:tc>
                <w:tcPr>
                  <w:tcW w:w="757"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31"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45.3</w:t>
                  </w:r>
                </w:p>
              </w:tc>
              <w:tc>
                <w:tcPr>
                  <w:tcW w:w="709"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p>
              </w:tc>
              <w:tc>
                <w:tcPr>
                  <w:tcW w:w="73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p>
              </w:tc>
              <w:tc>
                <w:tcPr>
                  <w:tcW w:w="82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rPr>
                  </w:pPr>
                  <w:r>
                    <w:rPr>
                      <w:rFonts w:hint="default"/>
                      <w:lang w:val="en-US" w:eastAsia="zh-CN"/>
                    </w:rPr>
                    <w:t xml:space="preserve">2.850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634"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8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SS</w:t>
                  </w:r>
                </w:p>
              </w:tc>
              <w:tc>
                <w:tcPr>
                  <w:tcW w:w="825"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100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973"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3.059 </w:t>
                  </w:r>
                </w:p>
              </w:tc>
              <w:tc>
                <w:tcPr>
                  <w:tcW w:w="757"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31"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42.0</w:t>
                  </w:r>
                </w:p>
              </w:tc>
              <w:tc>
                <w:tcPr>
                  <w:tcW w:w="709"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p>
              </w:tc>
              <w:tc>
                <w:tcPr>
                  <w:tcW w:w="73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p>
              </w:tc>
              <w:tc>
                <w:tcPr>
                  <w:tcW w:w="82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rPr>
                  </w:pPr>
                  <w:r>
                    <w:rPr>
                      <w:rFonts w:hint="default"/>
                      <w:lang w:val="en-US" w:eastAsia="zh-CN"/>
                    </w:rPr>
                    <w:t xml:space="preserve">1.773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634"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8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氨氮</w:t>
                  </w:r>
                </w:p>
              </w:tc>
              <w:tc>
                <w:tcPr>
                  <w:tcW w:w="825"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100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973"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0.133 </w:t>
                  </w:r>
                </w:p>
              </w:tc>
              <w:tc>
                <w:tcPr>
                  <w:tcW w:w="757"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31"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21.5</w:t>
                  </w:r>
                </w:p>
              </w:tc>
              <w:tc>
                <w:tcPr>
                  <w:tcW w:w="709"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p>
              </w:tc>
              <w:tc>
                <w:tcPr>
                  <w:tcW w:w="73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p>
              </w:tc>
              <w:tc>
                <w:tcPr>
                  <w:tcW w:w="82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rPr>
                  </w:pPr>
                  <w:r>
                    <w:rPr>
                      <w:rFonts w:hint="default"/>
                      <w:lang w:val="en-US" w:eastAsia="zh-CN"/>
                    </w:rPr>
                    <w:t xml:space="preserve">0.104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634"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8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石油类</w:t>
                  </w:r>
                </w:p>
              </w:tc>
              <w:tc>
                <w:tcPr>
                  <w:tcW w:w="825"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100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973"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lang w:val="en-US"/>
                    </w:rPr>
                  </w:pPr>
                  <w:r>
                    <w:rPr>
                      <w:rFonts w:hint="default" w:ascii="Times New Roman" w:hAnsi="Times New Roman" w:eastAsia="宋体" w:cs="Times New Roman"/>
                      <w:i w:val="0"/>
                      <w:iCs w:val="0"/>
                      <w:color w:val="000000"/>
                      <w:kern w:val="0"/>
                      <w:sz w:val="21"/>
                      <w:szCs w:val="21"/>
                      <w:u w:val="none"/>
                      <w:lang w:val="en-US" w:eastAsia="zh-CN" w:bidi="ar"/>
                    </w:rPr>
                    <w:t xml:space="preserve">0.695 </w:t>
                  </w:r>
                </w:p>
              </w:tc>
              <w:tc>
                <w:tcPr>
                  <w:tcW w:w="757"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31"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99.7</w:t>
                  </w:r>
                </w:p>
              </w:tc>
              <w:tc>
                <w:tcPr>
                  <w:tcW w:w="709"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p>
              </w:tc>
              <w:tc>
                <w:tcPr>
                  <w:tcW w:w="73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p>
              </w:tc>
              <w:tc>
                <w:tcPr>
                  <w:tcW w:w="82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lang w:val="en-US" w:eastAsia="zh-CN"/>
                    </w:rPr>
                    <w:t xml:space="preserve">0.002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634"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8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LAS</w:t>
                  </w:r>
                </w:p>
              </w:tc>
              <w:tc>
                <w:tcPr>
                  <w:tcW w:w="825"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100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973"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lang w:val="en-US"/>
                    </w:rPr>
                  </w:pPr>
                  <w:r>
                    <w:rPr>
                      <w:rFonts w:hint="default" w:ascii="Times New Roman" w:hAnsi="Times New Roman" w:eastAsia="宋体" w:cs="Times New Roman"/>
                      <w:i w:val="0"/>
                      <w:iCs w:val="0"/>
                      <w:color w:val="000000"/>
                      <w:kern w:val="0"/>
                      <w:sz w:val="21"/>
                      <w:szCs w:val="21"/>
                      <w:u w:val="none"/>
                      <w:lang w:val="en-US" w:eastAsia="zh-CN" w:bidi="ar"/>
                    </w:rPr>
                    <w:t xml:space="preserve">0.110 </w:t>
                  </w:r>
                </w:p>
              </w:tc>
              <w:tc>
                <w:tcPr>
                  <w:tcW w:w="757"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31"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32.0</w:t>
                  </w:r>
                </w:p>
              </w:tc>
              <w:tc>
                <w:tcPr>
                  <w:tcW w:w="709"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p>
              </w:tc>
              <w:tc>
                <w:tcPr>
                  <w:tcW w:w="73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p>
              </w:tc>
              <w:tc>
                <w:tcPr>
                  <w:tcW w:w="82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lang w:val="en-US" w:eastAsia="zh-CN"/>
                    </w:rPr>
                    <w:t xml:space="preserve">0.075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634"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8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总磷</w:t>
                  </w:r>
                </w:p>
              </w:tc>
              <w:tc>
                <w:tcPr>
                  <w:tcW w:w="825"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100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p>
              </w:tc>
              <w:tc>
                <w:tcPr>
                  <w:tcW w:w="973"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0.019 </w:t>
                  </w:r>
                </w:p>
              </w:tc>
              <w:tc>
                <w:tcPr>
                  <w:tcW w:w="757"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31"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38.9</w:t>
                  </w:r>
                </w:p>
              </w:tc>
              <w:tc>
                <w:tcPr>
                  <w:tcW w:w="709"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p>
              </w:tc>
              <w:tc>
                <w:tcPr>
                  <w:tcW w:w="73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p>
              </w:tc>
              <w:tc>
                <w:tcPr>
                  <w:tcW w:w="82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 xml:space="preserve">0.011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7" w:type="dxa"/>
                  <w:gridSpan w:val="2"/>
                  <w:vMerge w:val="restart"/>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综合废水（总排放口）</w:t>
                  </w:r>
                </w:p>
              </w:tc>
              <w:tc>
                <w:tcPr>
                  <w:tcW w:w="780" w:type="dxa"/>
                  <w:tcBorders>
                    <w:tl2br w:val="nil"/>
                    <w:tr2bl w:val="nil"/>
                  </w:tcBorders>
                  <w:vAlign w:val="center"/>
                </w:tcPr>
                <w:p>
                  <w:pPr>
                    <w:pStyle w:val="37"/>
                    <w:keepNext w:val="0"/>
                    <w:keepLines w:val="0"/>
                    <w:suppressLineNumbers w:val="0"/>
                    <w:bidi w:val="0"/>
                    <w:spacing w:before="0" w:beforeAutospacing="0" w:after="0" w:afterAutospacing="0"/>
                    <w:ind w:left="0" w:leftChars="0" w:right="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w:t>
                  </w:r>
                </w:p>
              </w:tc>
              <w:tc>
                <w:tcPr>
                  <w:tcW w:w="825" w:type="dxa"/>
                  <w:vMerge w:val="restart"/>
                  <w:tcBorders>
                    <w:tl2br w:val="nil"/>
                    <w:tr2bl w:val="nil"/>
                  </w:tcBorders>
                  <w:vAlign w:val="center"/>
                </w:tcPr>
                <w:p>
                  <w:pPr>
                    <w:pStyle w:val="37"/>
                    <w:keepNext w:val="0"/>
                    <w:keepLines w:val="0"/>
                    <w:suppressLineNumbers w:val="0"/>
                    <w:bidi w:val="0"/>
                    <w:spacing w:before="0" w:beforeAutospacing="0" w:after="0" w:afterAutospacing="0"/>
                    <w:ind w:left="0" w:leftChars="0" w:right="0" w:firstLine="0" w:firstLineChars="0"/>
                    <w:rPr>
                      <w:rFonts w:hint="default" w:ascii="Times New Roman" w:hAnsi="Times New Roman" w:eastAsia="宋体" w:cs="Times New Roman"/>
                      <w:sz w:val="21"/>
                      <w:szCs w:val="21"/>
                      <w:lang w:val="en-US" w:eastAsia="zh-CN"/>
                    </w:rPr>
                  </w:pPr>
                  <w:r>
                    <w:rPr>
                      <w:rFonts w:hint="default"/>
                      <w:lang w:val="en-US" w:eastAsia="zh-CN"/>
                    </w:rPr>
                    <w:t>39160.3</w:t>
                  </w:r>
                </w:p>
              </w:tc>
              <w:tc>
                <w:tcPr>
                  <w:tcW w:w="100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rPr>
                  </w:pPr>
                </w:p>
              </w:tc>
              <w:tc>
                <w:tcPr>
                  <w:tcW w:w="973"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488" w:type="dxa"/>
                  <w:gridSpan w:val="2"/>
                  <w:vMerge w:val="restart"/>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清洗废水</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highlight w:val="none"/>
                      <w:lang w:val="en-US" w:eastAsia="zh-CN"/>
                    </w:rPr>
                    <w:t>膜反冲洗废水预处理（除油-除渣-pH调节）+NP膜过滤+NF膜过滤；</w:t>
                  </w:r>
                  <w:r>
                    <w:rPr>
                      <w:rFonts w:hint="default" w:ascii="Times New Roman" w:hAnsi="Times New Roman" w:eastAsia="宋体" w:cs="Times New Roman"/>
                      <w:sz w:val="21"/>
                      <w:szCs w:val="21"/>
                      <w:highlight w:val="none"/>
                    </w:rPr>
                    <w:t>漂洗废水</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地面拖洗废水、浓水</w:t>
                  </w:r>
                  <w:r>
                    <w:rPr>
                      <w:rFonts w:hint="default" w:ascii="Times New Roman" w:hAnsi="Times New Roman" w:eastAsia="宋体" w:cs="Times New Roman"/>
                      <w:b w:val="0"/>
                      <w:bCs w:val="0"/>
                      <w:sz w:val="21"/>
                      <w:szCs w:val="21"/>
                      <w:highlight w:val="none"/>
                      <w:lang w:val="en-US" w:eastAsia="zh-CN"/>
                    </w:rPr>
                    <w:t>经预处理（除渣+保安过滤器）+UF</w:t>
                  </w:r>
                  <w:r>
                    <w:rPr>
                      <w:rFonts w:hint="default" w:ascii="Times New Roman" w:hAnsi="Times New Roman" w:eastAsia="宋体" w:cs="Times New Roman"/>
                      <w:sz w:val="21"/>
                      <w:szCs w:val="21"/>
                      <w:highlight w:val="none"/>
                      <w:lang w:val="en-US" w:eastAsia="zh-CN"/>
                    </w:rPr>
                    <w:t>膜过滤+NF膜过滤</w:t>
                  </w:r>
                </w:p>
              </w:tc>
              <w:tc>
                <w:tcPr>
                  <w:tcW w:w="709" w:type="dxa"/>
                  <w:vMerge w:val="restart"/>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39160.3</w:t>
                  </w:r>
                </w:p>
              </w:tc>
              <w:tc>
                <w:tcPr>
                  <w:tcW w:w="73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p>
              </w:tc>
              <w:tc>
                <w:tcPr>
                  <w:tcW w:w="82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7" w:type="dxa"/>
                  <w:gridSpan w:val="2"/>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80" w:type="dxa"/>
                  <w:tcBorders>
                    <w:tl2br w:val="nil"/>
                    <w:tr2bl w:val="nil"/>
                  </w:tcBorders>
                  <w:vAlign w:val="center"/>
                </w:tcPr>
                <w:p>
                  <w:pPr>
                    <w:pStyle w:val="37"/>
                    <w:keepNext w:val="0"/>
                    <w:keepLines w:val="0"/>
                    <w:suppressLineNumbers w:val="0"/>
                    <w:bidi w:val="0"/>
                    <w:spacing w:before="0" w:beforeAutospacing="0" w:after="0" w:afterAutospacing="0"/>
                    <w:ind w:left="0" w:leftChars="0" w:right="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w:t>
                  </w:r>
                </w:p>
              </w:tc>
              <w:tc>
                <w:tcPr>
                  <w:tcW w:w="825"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p>
              </w:tc>
              <w:tc>
                <w:tcPr>
                  <w:tcW w:w="100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973" w:type="dxa"/>
                  <w:tcBorders>
                    <w:tl2br w:val="nil"/>
                    <w:tr2bl w:val="nil"/>
                  </w:tcBorders>
                  <w:vAlign w:val="center"/>
                </w:tcPr>
                <w:p>
                  <w:pPr>
                    <w:pStyle w:val="37"/>
                    <w:keepNext w:val="0"/>
                    <w:keepLines w:val="0"/>
                    <w:suppressLineNumbers w:val="0"/>
                    <w:bidi w:val="0"/>
                    <w:spacing w:before="0" w:beforeAutospacing="0" w:after="0" w:afterAutospacing="0"/>
                    <w:ind w:left="0" w:leftChars="0" w:right="0" w:rightChars="0" w:firstLine="0" w:firstLineChars="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488" w:type="dxa"/>
                  <w:gridSpan w:val="2"/>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p>
              </w:tc>
              <w:tc>
                <w:tcPr>
                  <w:tcW w:w="709"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p>
              </w:tc>
              <w:tc>
                <w:tcPr>
                  <w:tcW w:w="73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p>
              </w:tc>
              <w:tc>
                <w:tcPr>
                  <w:tcW w:w="82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 xml:space="preserve">10.862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7" w:type="dxa"/>
                  <w:gridSpan w:val="2"/>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80" w:type="dxa"/>
                  <w:tcBorders>
                    <w:tl2br w:val="nil"/>
                    <w:tr2bl w:val="nil"/>
                  </w:tcBorders>
                  <w:vAlign w:val="center"/>
                </w:tcPr>
                <w:p>
                  <w:pPr>
                    <w:pStyle w:val="37"/>
                    <w:keepNext w:val="0"/>
                    <w:keepLines w:val="0"/>
                    <w:suppressLineNumbers w:val="0"/>
                    <w:bidi w:val="0"/>
                    <w:spacing w:before="0" w:beforeAutospacing="0" w:after="0" w:afterAutospacing="0"/>
                    <w:ind w:left="0" w:leftChars="0" w:right="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BOD</w:t>
                  </w:r>
                </w:p>
              </w:tc>
              <w:tc>
                <w:tcPr>
                  <w:tcW w:w="825"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p>
              </w:tc>
              <w:tc>
                <w:tcPr>
                  <w:tcW w:w="100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973" w:type="dxa"/>
                  <w:tcBorders>
                    <w:tl2br w:val="nil"/>
                    <w:tr2bl w:val="nil"/>
                  </w:tcBorders>
                  <w:vAlign w:val="center"/>
                </w:tcPr>
                <w:p>
                  <w:pPr>
                    <w:pStyle w:val="37"/>
                    <w:keepNext w:val="0"/>
                    <w:keepLines w:val="0"/>
                    <w:suppressLineNumbers w:val="0"/>
                    <w:bidi w:val="0"/>
                    <w:spacing w:before="0" w:beforeAutospacing="0" w:after="0" w:afterAutospacing="0"/>
                    <w:ind w:left="0" w:leftChars="0" w:right="0" w:rightChars="0" w:firstLine="0" w:firstLineChars="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488" w:type="dxa"/>
                  <w:gridSpan w:val="2"/>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p>
              </w:tc>
              <w:tc>
                <w:tcPr>
                  <w:tcW w:w="709"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p>
              </w:tc>
              <w:tc>
                <w:tcPr>
                  <w:tcW w:w="73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p>
              </w:tc>
              <w:tc>
                <w:tcPr>
                  <w:tcW w:w="82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 xml:space="preserve">2.965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7" w:type="dxa"/>
                  <w:gridSpan w:val="2"/>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80" w:type="dxa"/>
                  <w:tcBorders>
                    <w:tl2br w:val="nil"/>
                    <w:tr2bl w:val="nil"/>
                  </w:tcBorders>
                  <w:vAlign w:val="center"/>
                </w:tcPr>
                <w:p>
                  <w:pPr>
                    <w:pStyle w:val="37"/>
                    <w:keepNext w:val="0"/>
                    <w:keepLines w:val="0"/>
                    <w:suppressLineNumbers w:val="0"/>
                    <w:bidi w:val="0"/>
                    <w:spacing w:before="0" w:beforeAutospacing="0" w:after="0" w:afterAutospacing="0"/>
                    <w:ind w:left="0" w:leftChars="0" w:right="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SS</w:t>
                  </w:r>
                </w:p>
              </w:tc>
              <w:tc>
                <w:tcPr>
                  <w:tcW w:w="825"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p>
              </w:tc>
              <w:tc>
                <w:tcPr>
                  <w:tcW w:w="100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973" w:type="dxa"/>
                  <w:tcBorders>
                    <w:tl2br w:val="nil"/>
                    <w:tr2bl w:val="nil"/>
                  </w:tcBorders>
                  <w:vAlign w:val="center"/>
                </w:tcPr>
                <w:p>
                  <w:pPr>
                    <w:pStyle w:val="37"/>
                    <w:keepNext w:val="0"/>
                    <w:keepLines w:val="0"/>
                    <w:suppressLineNumbers w:val="0"/>
                    <w:bidi w:val="0"/>
                    <w:spacing w:before="0" w:beforeAutospacing="0" w:after="0" w:afterAutospacing="0"/>
                    <w:ind w:left="0" w:leftChars="0" w:right="0" w:rightChars="0" w:firstLine="0" w:firstLineChars="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488" w:type="dxa"/>
                  <w:gridSpan w:val="2"/>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p>
              </w:tc>
              <w:tc>
                <w:tcPr>
                  <w:tcW w:w="709"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p>
              </w:tc>
              <w:tc>
                <w:tcPr>
                  <w:tcW w:w="73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p>
              </w:tc>
              <w:tc>
                <w:tcPr>
                  <w:tcW w:w="82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 xml:space="preserve">1.852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7" w:type="dxa"/>
                  <w:gridSpan w:val="2"/>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80" w:type="dxa"/>
                  <w:tcBorders>
                    <w:tl2br w:val="nil"/>
                    <w:tr2bl w:val="nil"/>
                  </w:tcBorders>
                  <w:vAlign w:val="center"/>
                </w:tcPr>
                <w:p>
                  <w:pPr>
                    <w:pStyle w:val="37"/>
                    <w:keepNext w:val="0"/>
                    <w:keepLines w:val="0"/>
                    <w:suppressLineNumbers w:val="0"/>
                    <w:bidi w:val="0"/>
                    <w:spacing w:before="0" w:beforeAutospacing="0" w:after="0" w:afterAutospacing="0"/>
                    <w:ind w:left="0" w:leftChars="0" w:right="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氨氮</w:t>
                  </w:r>
                </w:p>
              </w:tc>
              <w:tc>
                <w:tcPr>
                  <w:tcW w:w="825"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p>
              </w:tc>
              <w:tc>
                <w:tcPr>
                  <w:tcW w:w="100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973" w:type="dxa"/>
                  <w:tcBorders>
                    <w:tl2br w:val="nil"/>
                    <w:tr2bl w:val="nil"/>
                  </w:tcBorders>
                  <w:vAlign w:val="center"/>
                </w:tcPr>
                <w:p>
                  <w:pPr>
                    <w:pStyle w:val="37"/>
                    <w:keepNext w:val="0"/>
                    <w:keepLines w:val="0"/>
                    <w:suppressLineNumbers w:val="0"/>
                    <w:bidi w:val="0"/>
                    <w:spacing w:before="0" w:beforeAutospacing="0" w:after="0" w:afterAutospacing="0"/>
                    <w:ind w:left="0" w:leftChars="0" w:right="0" w:rightChars="0" w:firstLine="0" w:firstLineChars="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488" w:type="dxa"/>
                  <w:gridSpan w:val="2"/>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p>
              </w:tc>
              <w:tc>
                <w:tcPr>
                  <w:tcW w:w="709"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p>
              </w:tc>
              <w:tc>
                <w:tcPr>
                  <w:tcW w:w="73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p>
              </w:tc>
              <w:tc>
                <w:tcPr>
                  <w:tcW w:w="82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 xml:space="preserve">0.113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7" w:type="dxa"/>
                  <w:gridSpan w:val="2"/>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80" w:type="dxa"/>
                  <w:tcBorders>
                    <w:tl2br w:val="nil"/>
                    <w:tr2bl w:val="nil"/>
                  </w:tcBorders>
                  <w:vAlign w:val="center"/>
                </w:tcPr>
                <w:p>
                  <w:pPr>
                    <w:pStyle w:val="37"/>
                    <w:keepNext w:val="0"/>
                    <w:keepLines w:val="0"/>
                    <w:suppressLineNumbers w:val="0"/>
                    <w:bidi w:val="0"/>
                    <w:spacing w:before="0" w:beforeAutospacing="0" w:after="0" w:afterAutospacing="0"/>
                    <w:ind w:left="0" w:leftChars="0" w:right="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石油类</w:t>
                  </w:r>
                </w:p>
              </w:tc>
              <w:tc>
                <w:tcPr>
                  <w:tcW w:w="825"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p>
              </w:tc>
              <w:tc>
                <w:tcPr>
                  <w:tcW w:w="100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973" w:type="dxa"/>
                  <w:tcBorders>
                    <w:tl2br w:val="nil"/>
                    <w:tr2bl w:val="nil"/>
                  </w:tcBorders>
                  <w:vAlign w:val="center"/>
                </w:tcPr>
                <w:p>
                  <w:pPr>
                    <w:pStyle w:val="37"/>
                    <w:keepNext w:val="0"/>
                    <w:keepLines w:val="0"/>
                    <w:suppressLineNumbers w:val="0"/>
                    <w:bidi w:val="0"/>
                    <w:spacing w:before="0" w:beforeAutospacing="0" w:after="0" w:afterAutospacing="0"/>
                    <w:ind w:left="0" w:leftChars="0" w:right="0" w:rightChars="0" w:firstLine="0" w:firstLineChars="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488" w:type="dxa"/>
                  <w:gridSpan w:val="2"/>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p>
              </w:tc>
              <w:tc>
                <w:tcPr>
                  <w:tcW w:w="709"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p>
              </w:tc>
              <w:tc>
                <w:tcPr>
                  <w:tcW w:w="73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p>
              </w:tc>
              <w:tc>
                <w:tcPr>
                  <w:tcW w:w="82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 xml:space="preserve">0.007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7" w:type="dxa"/>
                  <w:gridSpan w:val="2"/>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80" w:type="dxa"/>
                  <w:tcBorders>
                    <w:tl2br w:val="nil"/>
                    <w:tr2bl w:val="nil"/>
                  </w:tcBorders>
                  <w:vAlign w:val="center"/>
                </w:tcPr>
                <w:p>
                  <w:pPr>
                    <w:pStyle w:val="37"/>
                    <w:keepNext w:val="0"/>
                    <w:keepLines w:val="0"/>
                    <w:suppressLineNumbers w:val="0"/>
                    <w:bidi w:val="0"/>
                    <w:spacing w:before="0" w:beforeAutospacing="0" w:after="0" w:afterAutospacing="0"/>
                    <w:ind w:left="0" w:leftChars="0" w:right="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LAS</w:t>
                  </w:r>
                </w:p>
              </w:tc>
              <w:tc>
                <w:tcPr>
                  <w:tcW w:w="825"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p>
              </w:tc>
              <w:tc>
                <w:tcPr>
                  <w:tcW w:w="100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973" w:type="dxa"/>
                  <w:tcBorders>
                    <w:tl2br w:val="nil"/>
                    <w:tr2bl w:val="nil"/>
                  </w:tcBorders>
                  <w:vAlign w:val="center"/>
                </w:tcPr>
                <w:p>
                  <w:pPr>
                    <w:pStyle w:val="37"/>
                    <w:keepNext w:val="0"/>
                    <w:keepLines w:val="0"/>
                    <w:suppressLineNumbers w:val="0"/>
                    <w:bidi w:val="0"/>
                    <w:spacing w:before="0" w:beforeAutospacing="0" w:after="0" w:afterAutospacing="0"/>
                    <w:ind w:left="0" w:leftChars="0" w:right="0" w:rightChars="0" w:firstLine="0" w:firstLineChars="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488" w:type="dxa"/>
                  <w:gridSpan w:val="2"/>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p>
              </w:tc>
              <w:tc>
                <w:tcPr>
                  <w:tcW w:w="709"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p>
              </w:tc>
              <w:tc>
                <w:tcPr>
                  <w:tcW w:w="73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p>
              </w:tc>
              <w:tc>
                <w:tcPr>
                  <w:tcW w:w="82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 xml:space="preserve">0.078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7" w:type="dxa"/>
                  <w:gridSpan w:val="2"/>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p>
              </w:tc>
              <w:tc>
                <w:tcPr>
                  <w:tcW w:w="780" w:type="dxa"/>
                  <w:tcBorders>
                    <w:tl2br w:val="nil"/>
                    <w:tr2bl w:val="nil"/>
                  </w:tcBorders>
                  <w:vAlign w:val="center"/>
                </w:tcPr>
                <w:p>
                  <w:pPr>
                    <w:pStyle w:val="37"/>
                    <w:keepNext w:val="0"/>
                    <w:keepLines w:val="0"/>
                    <w:suppressLineNumbers w:val="0"/>
                    <w:bidi w:val="0"/>
                    <w:spacing w:before="0" w:beforeAutospacing="0" w:after="0" w:afterAutospacing="0"/>
                    <w:ind w:left="0" w:leftChars="0" w:right="0" w:firstLine="0" w:firstLineChars="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总磷</w:t>
                  </w:r>
                </w:p>
              </w:tc>
              <w:tc>
                <w:tcPr>
                  <w:tcW w:w="825"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p>
              </w:tc>
              <w:tc>
                <w:tcPr>
                  <w:tcW w:w="100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p>
              </w:tc>
              <w:tc>
                <w:tcPr>
                  <w:tcW w:w="973" w:type="dxa"/>
                  <w:tcBorders>
                    <w:tl2br w:val="nil"/>
                    <w:tr2bl w:val="nil"/>
                  </w:tcBorders>
                  <w:vAlign w:val="center"/>
                </w:tcPr>
                <w:p>
                  <w:pPr>
                    <w:pStyle w:val="37"/>
                    <w:keepNext w:val="0"/>
                    <w:keepLines w:val="0"/>
                    <w:suppressLineNumbers w:val="0"/>
                    <w:bidi w:val="0"/>
                    <w:spacing w:before="0" w:beforeAutospacing="0" w:after="0" w:afterAutospacing="0"/>
                    <w:ind w:left="0" w:leftChars="0" w:right="0" w:rightChars="0" w:firstLine="0" w:firstLineChars="0"/>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sz w:val="21"/>
                      <w:szCs w:val="21"/>
                      <w:lang w:val="en-US" w:eastAsia="zh-CN"/>
                    </w:rPr>
                    <w:t>/</w:t>
                  </w:r>
                </w:p>
              </w:tc>
              <w:tc>
                <w:tcPr>
                  <w:tcW w:w="1488" w:type="dxa"/>
                  <w:gridSpan w:val="2"/>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p>
              </w:tc>
              <w:tc>
                <w:tcPr>
                  <w:tcW w:w="709"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p>
              </w:tc>
              <w:tc>
                <w:tcPr>
                  <w:tcW w:w="73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p>
              </w:tc>
              <w:tc>
                <w:tcPr>
                  <w:tcW w:w="82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 xml:space="preserve">0.025 </w:t>
                  </w:r>
                </w:p>
              </w:tc>
            </w:tr>
          </w:tbl>
          <w:p>
            <w:pPr>
              <w:pStyle w:val="42"/>
              <w:keepNext w:val="0"/>
              <w:keepLines w:val="0"/>
              <w:pageBreakBefore w:val="0"/>
              <w:widowControl w:val="0"/>
              <w:numPr>
                <w:ilvl w:val="0"/>
                <w:numId w:val="10"/>
              </w:numPr>
              <w:suppressLineNumbers w:val="0"/>
              <w:kinsoku/>
              <w:wordWrap/>
              <w:overflowPunct/>
              <w:topLinePunct w:val="0"/>
              <w:autoSpaceDE/>
              <w:autoSpaceDN/>
              <w:bidi w:val="0"/>
              <w:adjustRightInd/>
              <w:snapToGrid/>
              <w:spacing w:before="157" w:beforeLines="50" w:beforeAutospacing="0" w:after="0" w:afterAutospacing="0"/>
              <w:ind w:left="0" w:leftChars="0" w:right="0" w:firstLine="240" w:firstLineChars="100"/>
              <w:textAlignment w:val="auto"/>
              <w:rPr>
                <w:rFonts w:hint="default" w:ascii="Times New Roman" w:hAnsi="Times New Roman" w:eastAsia="宋体" w:cs="Times New Roman"/>
              </w:rPr>
            </w:pPr>
            <w:r>
              <w:rPr>
                <w:rFonts w:hint="default" w:ascii="Times New Roman" w:hAnsi="Times New Roman" w:eastAsia="宋体" w:cs="Times New Roman"/>
              </w:rPr>
              <w:t>生活污水</w:t>
            </w:r>
          </w:p>
          <w:p>
            <w:pPr>
              <w:pStyle w:val="42"/>
              <w:keepNext w:val="0"/>
              <w:keepLines w:val="0"/>
              <w:suppressLineNumbers w:val="0"/>
              <w:spacing w:before="0" w:beforeAutospacing="0" w:after="0" w:afterAutospacing="0"/>
              <w:ind w:left="0" w:right="0" w:firstLine="480"/>
              <w:rPr>
                <w:rFonts w:hint="default" w:ascii="Times New Roman" w:hAnsi="Times New Roman" w:eastAsia="宋体" w:cs="Times New Roman"/>
                <w:highlight w:val="none"/>
              </w:rPr>
            </w:pPr>
            <w:r>
              <w:rPr>
                <w:rFonts w:hint="default" w:ascii="Times New Roman" w:hAnsi="Times New Roman" w:eastAsia="宋体" w:cs="Times New Roman"/>
              </w:rPr>
              <w:t>参考根据《给排水设计手册》</w:t>
            </w:r>
            <w:r>
              <w:rPr>
                <w:rFonts w:hint="eastAsia" w:cs="Times New Roman"/>
                <w:lang w:eastAsia="zh-CN"/>
              </w:rPr>
              <w:t>（</w:t>
            </w:r>
            <w:r>
              <w:rPr>
                <w:rFonts w:hint="default" w:ascii="Times New Roman" w:hAnsi="Times New Roman" w:eastAsia="宋体" w:cs="Times New Roman"/>
              </w:rPr>
              <w:t>第五册城镇排水</w:t>
            </w:r>
            <w:r>
              <w:rPr>
                <w:rFonts w:hint="eastAsia" w:cs="Times New Roman"/>
                <w:lang w:eastAsia="zh-CN"/>
              </w:rPr>
              <w:t>）</w:t>
            </w:r>
            <w:r>
              <w:rPr>
                <w:rFonts w:hint="default" w:ascii="Times New Roman" w:hAnsi="Times New Roman" w:eastAsia="宋体" w:cs="Times New Roman"/>
              </w:rPr>
              <w:t>)典型生活污水水质示例，项目生活污水中主要污染指标浓度取值为COD 350mg/L、BOD</w:t>
            </w:r>
            <w:r>
              <w:rPr>
                <w:rFonts w:hint="default" w:ascii="Times New Roman" w:hAnsi="Times New Roman" w:eastAsia="宋体" w:cs="Times New Roman"/>
                <w:vertAlign w:val="subscript"/>
              </w:rPr>
              <w:t>5</w:t>
            </w:r>
            <w:r>
              <w:rPr>
                <w:rFonts w:hint="default" w:ascii="Times New Roman" w:hAnsi="Times New Roman" w:eastAsia="宋体" w:cs="Times New Roman"/>
              </w:rPr>
              <w:t xml:space="preserve"> 200mg/L、SS 220mg/L、氨氮35mg/L，生活污水经化粪池处理达《污水综合排放标准》（GB8978-1996）表4中三级标准（其中氨氮执行《污水排入城镇下水道水质标准》（GBT31962-2015）表1的B等级标准）后接入霞</w:t>
            </w:r>
            <w:r>
              <w:rPr>
                <w:rFonts w:hint="default" w:ascii="Times New Roman" w:hAnsi="Times New Roman" w:eastAsia="宋体" w:cs="Times New Roman"/>
                <w:highlight w:val="none"/>
              </w:rPr>
              <w:t>浦县经济开发区市政污水管网，排入霞浦县污水处理厂处理。《常用污水处理设备及去除率》，化粪池对生活污水的处理效率一般为COD：15%、BOD</w:t>
            </w:r>
            <w:r>
              <w:rPr>
                <w:rFonts w:hint="default" w:ascii="Times New Roman" w:hAnsi="Times New Roman" w:eastAsia="宋体" w:cs="Times New Roman"/>
                <w:highlight w:val="none"/>
                <w:vertAlign w:val="subscript"/>
              </w:rPr>
              <w:t>5</w:t>
            </w:r>
            <w:r>
              <w:rPr>
                <w:rFonts w:hint="default" w:ascii="Times New Roman" w:hAnsi="Times New Roman" w:eastAsia="宋体" w:cs="Times New Roman"/>
                <w:highlight w:val="none"/>
              </w:rPr>
              <w:t>：9%、SS：30%、氨氮：3%，则生活污水产生量及排放量见</w:t>
            </w: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REF _Ref17461 \n \h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表22</w:t>
            </w:r>
            <w:r>
              <w:rPr>
                <w:rFonts w:hint="default" w:ascii="Times New Roman" w:hAnsi="Times New Roman" w:eastAsia="宋体" w:cs="Times New Roman"/>
                <w:highlight w:val="none"/>
              </w:rPr>
              <w:fldChar w:fldCharType="end"/>
            </w:r>
            <w:r>
              <w:rPr>
                <w:rFonts w:hint="default" w:ascii="Times New Roman" w:hAnsi="Times New Roman" w:eastAsia="宋体" w:cs="Times New Roman"/>
                <w:highlight w:val="none"/>
              </w:rPr>
              <w:t>。</w:t>
            </w:r>
          </w:p>
          <w:p>
            <w:pPr>
              <w:pStyle w:val="36"/>
              <w:keepNext w:val="0"/>
              <w:keepLines w:val="0"/>
              <w:suppressLineNumbers w:val="0"/>
              <w:bidi w:val="0"/>
              <w:spacing w:before="0" w:beforeAutospacing="0" w:after="0" w:afterAutospacing="0"/>
              <w:ind w:right="0"/>
              <w:rPr>
                <w:rFonts w:hint="default" w:ascii="Times New Roman" w:hAnsi="Times New Roman" w:eastAsia="宋体" w:cs="Times New Roman"/>
                <w:highlight w:val="none"/>
                <w:lang w:val="en-US" w:eastAsia="zh-CN"/>
              </w:rPr>
            </w:pPr>
            <w:bookmarkStart w:id="36" w:name="_Ref17461"/>
            <w:r>
              <w:rPr>
                <w:rFonts w:hint="default" w:ascii="Times New Roman" w:hAnsi="Times New Roman" w:eastAsia="宋体" w:cs="Times New Roman"/>
                <w:highlight w:val="none"/>
                <w:lang w:val="en-US" w:eastAsia="zh-CN"/>
              </w:rPr>
              <w:t>生活污水产生及排放源强一览表</w:t>
            </w:r>
            <w:bookmarkEnd w:id="36"/>
          </w:p>
          <w:tbl>
            <w:tblPr>
              <w:tblStyle w:val="27"/>
              <w:tblW w:w="8404"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3"/>
              <w:gridCol w:w="1746"/>
              <w:gridCol w:w="1894"/>
              <w:gridCol w:w="1936"/>
              <w:gridCol w:w="19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73" w:type="dxa"/>
                  <w:vMerge w:val="restart"/>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w:t>
                  </w:r>
                </w:p>
              </w:tc>
              <w:tc>
                <w:tcPr>
                  <w:tcW w:w="3640" w:type="dxa"/>
                  <w:gridSpan w:val="2"/>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产生情况</w:t>
                  </w:r>
                </w:p>
              </w:tc>
              <w:tc>
                <w:tcPr>
                  <w:tcW w:w="3891" w:type="dxa"/>
                  <w:gridSpan w:val="2"/>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73" w:type="dxa"/>
                  <w:vMerge w:val="continue"/>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p>
              </w:tc>
              <w:tc>
                <w:tcPr>
                  <w:tcW w:w="174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产生浓度，mg/L</w:t>
                  </w:r>
                </w:p>
              </w:tc>
              <w:tc>
                <w:tcPr>
                  <w:tcW w:w="1894"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产生量，t/a</w:t>
                  </w:r>
                </w:p>
              </w:tc>
              <w:tc>
                <w:tcPr>
                  <w:tcW w:w="193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排放浓度，mg/L</w:t>
                  </w:r>
                </w:p>
              </w:tc>
              <w:tc>
                <w:tcPr>
                  <w:tcW w:w="1955"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73"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废水量</w:t>
                  </w:r>
                </w:p>
              </w:tc>
              <w:tc>
                <w:tcPr>
                  <w:tcW w:w="174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89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24</w:t>
                  </w:r>
                  <w:r>
                    <w:rPr>
                      <w:rFonts w:hint="default" w:ascii="Times New Roman" w:hAnsi="Times New Roman" w:eastAsia="宋体" w:cs="Times New Roman"/>
                      <w:sz w:val="21"/>
                      <w:szCs w:val="21"/>
                      <w:lang w:val="en-US" w:eastAsia="zh-CN"/>
                    </w:rPr>
                    <w:t>00</w:t>
                  </w:r>
                </w:p>
              </w:tc>
              <w:tc>
                <w:tcPr>
                  <w:tcW w:w="193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95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24</w:t>
                  </w:r>
                  <w:r>
                    <w:rPr>
                      <w:rFonts w:hint="default" w:ascii="Times New Roman" w:hAnsi="Times New Roman" w:eastAsia="宋体" w:cs="Times New Roman"/>
                      <w:sz w:val="21"/>
                      <w:szCs w:val="21"/>
                      <w:lang w:val="en-US" w:eastAsia="zh-CN"/>
                    </w:rPr>
                    <w:t>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73"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w:t>
                  </w:r>
                </w:p>
              </w:tc>
              <w:tc>
                <w:tcPr>
                  <w:tcW w:w="174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350</w:t>
                  </w:r>
                </w:p>
              </w:tc>
              <w:tc>
                <w:tcPr>
                  <w:tcW w:w="189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0.8</w:t>
                  </w:r>
                  <w:r>
                    <w:rPr>
                      <w:rFonts w:hint="default" w:ascii="Times New Roman" w:hAnsi="Times New Roman" w:eastAsia="宋体" w:cs="Times New Roman"/>
                      <w:sz w:val="21"/>
                      <w:szCs w:val="21"/>
                      <w:lang w:val="en-US" w:eastAsia="zh-CN"/>
                    </w:rPr>
                    <w:t>40</w:t>
                  </w:r>
                </w:p>
              </w:tc>
              <w:tc>
                <w:tcPr>
                  <w:tcW w:w="193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300</w:t>
                  </w:r>
                </w:p>
              </w:tc>
              <w:tc>
                <w:tcPr>
                  <w:tcW w:w="195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0.7</w:t>
                  </w:r>
                  <w:r>
                    <w:rPr>
                      <w:rFonts w:hint="default" w:ascii="Times New Roman" w:hAnsi="Times New Roman" w:eastAsia="宋体" w:cs="Times New Roman"/>
                      <w:sz w:val="21"/>
                      <w:szCs w:val="21"/>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73"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BOD</w:t>
                  </w:r>
                  <w:r>
                    <w:rPr>
                      <w:rFonts w:hint="default" w:ascii="Times New Roman" w:hAnsi="Times New Roman" w:eastAsia="宋体" w:cs="Times New Roman"/>
                      <w:sz w:val="21"/>
                      <w:szCs w:val="21"/>
                      <w:vertAlign w:val="subscript"/>
                    </w:rPr>
                    <w:t>5</w:t>
                  </w:r>
                </w:p>
              </w:tc>
              <w:tc>
                <w:tcPr>
                  <w:tcW w:w="174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200</w:t>
                  </w:r>
                </w:p>
              </w:tc>
              <w:tc>
                <w:tcPr>
                  <w:tcW w:w="189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0.4</w:t>
                  </w:r>
                  <w:r>
                    <w:rPr>
                      <w:rFonts w:hint="default" w:ascii="Times New Roman" w:hAnsi="Times New Roman" w:eastAsia="宋体" w:cs="Times New Roman"/>
                      <w:sz w:val="21"/>
                      <w:szCs w:val="21"/>
                      <w:lang w:val="en-US" w:eastAsia="zh-CN"/>
                    </w:rPr>
                    <w:t>80</w:t>
                  </w:r>
                </w:p>
              </w:tc>
              <w:tc>
                <w:tcPr>
                  <w:tcW w:w="193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182</w:t>
                  </w:r>
                </w:p>
              </w:tc>
              <w:tc>
                <w:tcPr>
                  <w:tcW w:w="195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0.4</w:t>
                  </w:r>
                  <w:r>
                    <w:rPr>
                      <w:rFonts w:hint="default" w:ascii="Times New Roman" w:hAnsi="Times New Roman" w:eastAsia="宋体" w:cs="Times New Roman"/>
                      <w:sz w:val="21"/>
                      <w:szCs w:val="21"/>
                      <w:lang w:val="en-US" w:eastAsia="zh-CN"/>
                    </w:rPr>
                    <w:t>37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73"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-N</w:t>
                  </w:r>
                </w:p>
              </w:tc>
              <w:tc>
                <w:tcPr>
                  <w:tcW w:w="174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w:t>
                  </w:r>
                </w:p>
              </w:tc>
              <w:tc>
                <w:tcPr>
                  <w:tcW w:w="189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0.08</w:t>
                  </w:r>
                  <w:r>
                    <w:rPr>
                      <w:rFonts w:hint="default" w:ascii="Times New Roman" w:hAnsi="Times New Roman" w:eastAsia="宋体" w:cs="Times New Roman"/>
                      <w:sz w:val="21"/>
                      <w:szCs w:val="21"/>
                      <w:lang w:val="en-US" w:eastAsia="zh-CN"/>
                    </w:rPr>
                    <w:t>4</w:t>
                  </w:r>
                </w:p>
              </w:tc>
              <w:tc>
                <w:tcPr>
                  <w:tcW w:w="193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34</w:t>
                  </w:r>
                </w:p>
              </w:tc>
              <w:tc>
                <w:tcPr>
                  <w:tcW w:w="195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0.0</w:t>
                  </w:r>
                  <w:r>
                    <w:rPr>
                      <w:rFonts w:hint="default" w:ascii="Times New Roman" w:hAnsi="Times New Roman" w:eastAsia="宋体" w:cs="Times New Roman"/>
                      <w:sz w:val="21"/>
                      <w:szCs w:val="21"/>
                      <w:lang w:val="en-US" w:eastAsia="zh-CN"/>
                    </w:rPr>
                    <w:t>82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73"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SS</w:t>
                  </w:r>
                </w:p>
              </w:tc>
              <w:tc>
                <w:tcPr>
                  <w:tcW w:w="174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220</w:t>
                  </w:r>
                </w:p>
              </w:tc>
              <w:tc>
                <w:tcPr>
                  <w:tcW w:w="189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0.5</w:t>
                  </w:r>
                  <w:r>
                    <w:rPr>
                      <w:rFonts w:hint="default" w:ascii="Times New Roman" w:hAnsi="Times New Roman" w:eastAsia="宋体" w:cs="Times New Roman"/>
                      <w:sz w:val="21"/>
                      <w:szCs w:val="21"/>
                      <w:lang w:val="en-US" w:eastAsia="zh-CN"/>
                    </w:rPr>
                    <w:t>28</w:t>
                  </w:r>
                </w:p>
              </w:tc>
              <w:tc>
                <w:tcPr>
                  <w:tcW w:w="193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154</w:t>
                  </w:r>
                </w:p>
              </w:tc>
              <w:tc>
                <w:tcPr>
                  <w:tcW w:w="195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0.3</w:t>
                  </w:r>
                  <w:r>
                    <w:rPr>
                      <w:rFonts w:hint="default" w:ascii="Times New Roman" w:hAnsi="Times New Roman" w:eastAsia="宋体" w:cs="Times New Roman"/>
                      <w:sz w:val="21"/>
                      <w:szCs w:val="21"/>
                      <w:lang w:val="en-US" w:eastAsia="zh-CN"/>
                    </w:rPr>
                    <w:t>69</w:t>
                  </w:r>
                </w:p>
              </w:tc>
            </w:tr>
          </w:tbl>
          <w:p>
            <w:pPr>
              <w:pStyle w:val="36"/>
              <w:keepNext w:val="0"/>
              <w:keepLines w:val="0"/>
              <w:numPr>
                <w:ilvl w:val="0"/>
                <w:numId w:val="10"/>
              </w:numPr>
              <w:suppressLineNumbers w:val="0"/>
              <w:spacing w:before="120" w:beforeLines="50" w:beforeAutospacing="0" w:after="0" w:afterAutospacing="0" w:line="360" w:lineRule="auto"/>
              <w:ind w:left="0" w:right="0" w:firstLine="480"/>
              <w:jc w:val="both"/>
              <w:rPr>
                <w:rFonts w:hint="default" w:ascii="Times New Roman" w:hAnsi="Times New Roman" w:cs="Times New Roman"/>
                <w:b w:val="0"/>
                <w:bCs/>
              </w:rPr>
            </w:pPr>
            <w:r>
              <w:rPr>
                <w:rFonts w:hint="default" w:ascii="Times New Roman" w:hAnsi="Times New Roman" w:cs="Times New Roman"/>
                <w:b w:val="0"/>
                <w:bCs/>
              </w:rPr>
              <w:t>项目废水排放口情况</w:t>
            </w:r>
          </w:p>
          <w:p>
            <w:pPr>
              <w:pStyle w:val="42"/>
              <w:keepNext w:val="0"/>
              <w:keepLines w:val="0"/>
              <w:suppressLineNumbers w:val="0"/>
              <w:bidi w:val="0"/>
              <w:spacing w:before="0" w:beforeAutospacing="0" w:after="0" w:afterAutospacing="0" w:line="360" w:lineRule="auto"/>
              <w:ind w:left="0" w:right="0"/>
              <w:rPr>
                <w:rFonts w:hint="default" w:ascii="Times New Roman" w:hAnsi="Times New Roman" w:cs="Times New Roman"/>
              </w:rPr>
            </w:pPr>
            <w:r>
              <w:rPr>
                <w:rFonts w:hint="default" w:ascii="Times New Roman" w:hAnsi="Times New Roman" w:cs="Times New Roman"/>
              </w:rPr>
              <w:t>项目废水排放口信息详见下表。</w:t>
            </w:r>
          </w:p>
          <w:p>
            <w:pPr>
              <w:pStyle w:val="36"/>
              <w:keepNext w:val="0"/>
              <w:keepLines w:val="0"/>
              <w:suppressLineNumbers w:val="0"/>
              <w:bidi w:val="0"/>
              <w:spacing w:before="0" w:beforeAutospacing="0" w:after="0" w:afterAutospacing="0" w:line="360" w:lineRule="auto"/>
              <w:ind w:right="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废水排放口情况表</w:t>
            </w:r>
          </w:p>
          <w:tbl>
            <w:tblPr>
              <w:tblStyle w:val="27"/>
              <w:tblW w:w="8404"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8"/>
              <w:gridCol w:w="1696"/>
              <w:gridCol w:w="997"/>
              <w:gridCol w:w="1882"/>
              <w:gridCol w:w="2150"/>
              <w:gridCol w:w="75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928"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sz w:val="21"/>
                      <w:szCs w:val="21"/>
                      <w:highlight w:val="none"/>
                    </w:rPr>
                    <w:t>编号</w:t>
                  </w:r>
                </w:p>
              </w:tc>
              <w:tc>
                <w:tcPr>
                  <w:tcW w:w="1696"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sz w:val="21"/>
                      <w:szCs w:val="21"/>
                      <w:highlight w:val="none"/>
                    </w:rPr>
                    <w:t>名称</w:t>
                  </w:r>
                </w:p>
              </w:tc>
              <w:tc>
                <w:tcPr>
                  <w:tcW w:w="997"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sz w:val="21"/>
                      <w:szCs w:val="21"/>
                      <w:highlight w:val="none"/>
                    </w:rPr>
                    <w:t>类型</w:t>
                  </w:r>
                </w:p>
              </w:tc>
              <w:tc>
                <w:tcPr>
                  <w:tcW w:w="1882"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sz w:val="21"/>
                      <w:szCs w:val="21"/>
                      <w:highlight w:val="none"/>
                    </w:rPr>
                    <w:t>地理坐标</w:t>
                  </w:r>
                </w:p>
              </w:tc>
              <w:tc>
                <w:tcPr>
                  <w:tcW w:w="2150"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sz w:val="21"/>
                      <w:szCs w:val="21"/>
                      <w:highlight w:val="none"/>
                    </w:rPr>
                    <w:t>污染因子</w:t>
                  </w:r>
                </w:p>
              </w:tc>
              <w:tc>
                <w:tcPr>
                  <w:tcW w:w="751"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排放</w:t>
                  </w:r>
                </w:p>
                <w:p>
                  <w:pPr>
                    <w:pStyle w:val="37"/>
                    <w:keepNext w:val="0"/>
                    <w:keepLines w:val="0"/>
                    <w:suppressLineNumbers w:val="0"/>
                    <w:spacing w:before="0" w:beforeAutospacing="0" w:after="0" w:afterAutospacing="0"/>
                    <w:ind w:right="0"/>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sz w:val="21"/>
                      <w:szCs w:val="21"/>
                      <w:highlight w:val="none"/>
                    </w:rPr>
                    <w:t>规律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928"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sz w:val="21"/>
                      <w:szCs w:val="21"/>
                      <w:highlight w:val="none"/>
                    </w:rPr>
                    <w:t>DW001</w:t>
                  </w:r>
                </w:p>
              </w:tc>
              <w:tc>
                <w:tcPr>
                  <w:tcW w:w="1696"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sz w:val="21"/>
                      <w:szCs w:val="21"/>
                      <w:highlight w:val="none"/>
                    </w:rPr>
                    <w:t>生活污水排放口</w:t>
                  </w:r>
                </w:p>
              </w:tc>
              <w:tc>
                <w:tcPr>
                  <w:tcW w:w="99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一般排放口</w:t>
                  </w:r>
                </w:p>
              </w:tc>
              <w:tc>
                <w:tcPr>
                  <w:tcW w:w="1882"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120°</w:t>
                  </w:r>
                  <w:r>
                    <w:rPr>
                      <w:rFonts w:hint="eastAsia" w:cs="Times New Roman"/>
                      <w:sz w:val="21"/>
                      <w:szCs w:val="21"/>
                      <w:highlight w:val="none"/>
                      <w:lang w:val="en-US" w:eastAsia="zh-CN"/>
                    </w:rPr>
                    <w:t>0</w:t>
                  </w:r>
                  <w:r>
                    <w:rPr>
                      <w:rFonts w:hint="default" w:ascii="Times New Roman" w:hAnsi="Times New Roman" w:eastAsia="宋体" w:cs="Times New Roman"/>
                      <w:sz w:val="21"/>
                      <w:szCs w:val="21"/>
                      <w:highlight w:val="none"/>
                    </w:rPr>
                    <w:t>1′9.009″E</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26°51′14.377″N</w:t>
                  </w:r>
                </w:p>
              </w:tc>
              <w:tc>
                <w:tcPr>
                  <w:tcW w:w="2150"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kern w:val="0"/>
                      <w:sz w:val="21"/>
                      <w:szCs w:val="21"/>
                      <w:highlight w:val="none"/>
                      <w:lang w:val="en-US" w:eastAsia="zh-CN"/>
                    </w:rPr>
                  </w:pPr>
                  <w:r>
                    <w:rPr>
                      <w:rFonts w:hint="default" w:ascii="Times New Roman" w:hAnsi="Times New Roman" w:eastAsia="宋体" w:cs="Times New Roman"/>
                      <w:sz w:val="21"/>
                      <w:szCs w:val="21"/>
                      <w:highlight w:val="none"/>
                    </w:rPr>
                    <w:t>pH、COD、BOD</w:t>
                  </w:r>
                  <w:r>
                    <w:rPr>
                      <w:rFonts w:hint="default" w:ascii="Times New Roman" w:hAnsi="Times New Roman" w:eastAsia="宋体" w:cs="Times New Roman"/>
                      <w:sz w:val="21"/>
                      <w:szCs w:val="21"/>
                      <w:highlight w:val="none"/>
                      <w:vertAlign w:val="subscript"/>
                    </w:rPr>
                    <w:t>5</w:t>
                  </w: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val="en-US" w:eastAsia="zh-CN"/>
                    </w:rPr>
                    <w:t>氨氮、SS</w:t>
                  </w:r>
                </w:p>
              </w:tc>
              <w:tc>
                <w:tcPr>
                  <w:tcW w:w="751"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sz w:val="21"/>
                      <w:szCs w:val="21"/>
                      <w:highlight w:val="none"/>
                    </w:rPr>
                    <w:t>连续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928"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DW002</w:t>
                  </w:r>
                </w:p>
              </w:tc>
              <w:tc>
                <w:tcPr>
                  <w:tcW w:w="1696"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生产废水排放口</w:t>
                  </w:r>
                </w:p>
              </w:tc>
              <w:tc>
                <w:tcPr>
                  <w:tcW w:w="99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一般排放口</w:t>
                  </w:r>
                </w:p>
              </w:tc>
              <w:tc>
                <w:tcPr>
                  <w:tcW w:w="1882"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120°</w:t>
                  </w:r>
                  <w:r>
                    <w:rPr>
                      <w:rFonts w:hint="eastAsia" w:cs="Times New Roman"/>
                      <w:sz w:val="21"/>
                      <w:szCs w:val="21"/>
                      <w:lang w:val="en-US" w:eastAsia="zh-CN"/>
                    </w:rPr>
                    <w:t>0</w:t>
                  </w:r>
                  <w:r>
                    <w:rPr>
                      <w:rFonts w:hint="default" w:ascii="Times New Roman" w:hAnsi="Times New Roman" w:eastAsia="宋体" w:cs="Times New Roman"/>
                      <w:sz w:val="21"/>
                      <w:szCs w:val="21"/>
                    </w:rPr>
                    <w:t>1′11.148″E</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26°51′16.603″N</w:t>
                  </w:r>
                </w:p>
              </w:tc>
              <w:tc>
                <w:tcPr>
                  <w:tcW w:w="2150" w:type="dxa"/>
                  <w:tcBorders>
                    <w:tl2br w:val="nil"/>
                    <w:tr2bl w:val="nil"/>
                  </w:tcBorders>
                  <w:vAlign w:val="center"/>
                </w:tcPr>
                <w:p>
                  <w:pPr>
                    <w:keepNext w:val="0"/>
                    <w:keepLines w:val="0"/>
                    <w:suppressLineNumbers w:val="0"/>
                    <w:autoSpaceDN w:val="0"/>
                    <w:spacing w:before="0" w:beforeAutospacing="0" w:after="0" w:afterAutospacing="0"/>
                    <w:ind w:left="0" w:right="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rPr>
                    <w:t>pH、COD、BOD</w:t>
                  </w:r>
                  <w:r>
                    <w:rPr>
                      <w:rFonts w:hint="default" w:ascii="Times New Roman" w:hAnsi="Times New Roman" w:eastAsia="宋体" w:cs="Times New Roman"/>
                      <w:sz w:val="21"/>
                      <w:szCs w:val="21"/>
                      <w:vertAlign w:val="subscript"/>
                    </w:rPr>
                    <w:t>5</w:t>
                  </w:r>
                  <w:r>
                    <w:rPr>
                      <w:rFonts w:hint="default" w:ascii="Times New Roman" w:hAnsi="Times New Roman" w:eastAsia="宋体" w:cs="Times New Roman"/>
                      <w:sz w:val="21"/>
                      <w:szCs w:val="21"/>
                    </w:rPr>
                    <w:t>、SS、</w:t>
                  </w:r>
                  <w:r>
                    <w:rPr>
                      <w:rFonts w:hint="default" w:ascii="Times New Roman" w:hAnsi="Times New Roman" w:eastAsia="宋体" w:cs="Times New Roman"/>
                      <w:sz w:val="21"/>
                      <w:szCs w:val="21"/>
                      <w:lang w:val="en-US" w:eastAsia="zh-CN"/>
                    </w:rPr>
                    <w:t>氨氮、</w:t>
                  </w:r>
                  <w:r>
                    <w:rPr>
                      <w:rFonts w:hint="default" w:ascii="Times New Roman" w:hAnsi="Times New Roman" w:eastAsia="宋体" w:cs="Times New Roman"/>
                      <w:sz w:val="21"/>
                      <w:szCs w:val="21"/>
                    </w:rPr>
                    <w:t>石油类、</w:t>
                  </w:r>
                  <w:r>
                    <w:rPr>
                      <w:rFonts w:hint="default" w:ascii="Times New Roman" w:hAnsi="Times New Roman" w:eastAsia="宋体" w:cs="Times New Roman"/>
                      <w:sz w:val="21"/>
                      <w:szCs w:val="21"/>
                      <w:lang w:val="en-US" w:eastAsia="zh-CN"/>
                    </w:rPr>
                    <w:t>LAS、总磷</w:t>
                  </w:r>
                </w:p>
              </w:tc>
              <w:tc>
                <w:tcPr>
                  <w:tcW w:w="751" w:type="dxa"/>
                  <w:tcBorders>
                    <w:tl2br w:val="nil"/>
                    <w:tr2bl w:val="nil"/>
                  </w:tcBorders>
                  <w:vAlign w:val="center"/>
                </w:tcPr>
                <w:p>
                  <w:pPr>
                    <w:pStyle w:val="37"/>
                    <w:keepNext w:val="0"/>
                    <w:keepLines w:val="0"/>
                    <w:suppressLineNumbers w:val="0"/>
                    <w:spacing w:before="0" w:beforeAutospacing="0" w:after="0" w:afterAutospacing="0"/>
                    <w:ind w:right="0"/>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连续</w:t>
                  </w:r>
                </w:p>
              </w:tc>
            </w:tr>
          </w:tbl>
          <w:p>
            <w:pPr>
              <w:pStyle w:val="42"/>
              <w:keepNext w:val="0"/>
              <w:keepLines w:val="0"/>
              <w:suppressLineNumbers w:val="0"/>
              <w:bidi w:val="0"/>
              <w:spacing w:before="0" w:beforeAutospacing="0" w:after="0" w:afterAutospacing="0"/>
              <w:ind w:left="0" w:right="0"/>
              <w:rPr>
                <w:rFonts w:hint="eastAsia"/>
                <w:lang w:eastAsia="zh-CN"/>
              </w:rPr>
            </w:pPr>
          </w:p>
          <w:p>
            <w:pPr>
              <w:pStyle w:val="5"/>
              <w:numPr>
                <w:ilvl w:val="2"/>
                <w:numId w:val="9"/>
              </w:numPr>
              <w:suppressLineNumbers w:val="0"/>
              <w:spacing w:before="120" w:beforeLines="50" w:beforeAutospacing="0" w:after="0" w:afterAutospacing="0" w:line="360" w:lineRule="auto"/>
              <w:ind w:right="0"/>
              <w:rPr>
                <w:rFonts w:hint="default" w:ascii="Times New Roman" w:hAnsi="Times New Roman" w:cs="Times New Roman"/>
              </w:rPr>
            </w:pPr>
            <w:r>
              <w:rPr>
                <w:rFonts w:hint="default" w:ascii="Times New Roman" w:hAnsi="Times New Roman" w:cs="Times New Roman"/>
              </w:rPr>
              <w:t>废水治理措施可行性分析</w:t>
            </w:r>
          </w:p>
          <w:p>
            <w:pPr>
              <w:pStyle w:val="42"/>
              <w:keepNext w:val="0"/>
              <w:keepLines w:val="0"/>
              <w:suppressLineNumbers w:val="0"/>
              <w:bidi w:val="0"/>
              <w:spacing w:before="0" w:beforeAutospacing="0" w:after="0" w:afterAutospacing="0"/>
              <w:ind w:left="0" w:right="0"/>
              <w:rPr>
                <w:rFonts w:hint="default"/>
              </w:rPr>
            </w:pPr>
            <w:r>
              <w:rPr>
                <w:rFonts w:hint="eastAsia"/>
                <w:lang w:eastAsia="zh-CN"/>
              </w:rPr>
              <w:t>（</w:t>
            </w:r>
            <w:r>
              <w:rPr>
                <w:rFonts w:hint="eastAsia"/>
                <w:lang w:val="en-US" w:eastAsia="zh-CN"/>
              </w:rPr>
              <w:t>1</w:t>
            </w:r>
            <w:r>
              <w:rPr>
                <w:rFonts w:hint="eastAsia"/>
                <w:lang w:eastAsia="zh-CN"/>
              </w:rPr>
              <w:t>）</w:t>
            </w:r>
            <w:r>
              <w:rPr>
                <w:rFonts w:hint="default"/>
              </w:rPr>
              <w:t>生产废水治理措施</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cs="Times New Roman"/>
                <w:highlight w:val="none"/>
              </w:rPr>
            </w:pPr>
            <w:r>
              <w:rPr>
                <w:rFonts w:hint="default" w:ascii="Times New Roman" w:hAnsi="Times New Roman" w:cs="Times New Roman"/>
                <w:highlight w:val="none"/>
              </w:rPr>
              <w:t>本项目生产废水采用的治理措施及排放去向见下表。</w:t>
            </w:r>
          </w:p>
          <w:p>
            <w:pPr>
              <w:pStyle w:val="36"/>
              <w:keepNext w:val="0"/>
              <w:keepLines w:val="0"/>
              <w:suppressLineNumbers w:val="0"/>
              <w:bidi w:val="0"/>
              <w:spacing w:before="0" w:beforeAutospacing="0" w:after="0" w:afterAutospacing="0" w:line="360" w:lineRule="auto"/>
              <w:ind w:right="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生产废水分类处置措施一览表</w:t>
            </w:r>
          </w:p>
          <w:tbl>
            <w:tblPr>
              <w:tblStyle w:val="27"/>
              <w:tblW w:w="840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21"/>
              <w:gridCol w:w="62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1"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废水种类</w:t>
                  </w:r>
                </w:p>
              </w:tc>
              <w:tc>
                <w:tcPr>
                  <w:tcW w:w="6286"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治理措施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1"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1"/>
                      <w:szCs w:val="21"/>
                      <w:highlight w:val="none"/>
                      <w:lang w:val="en-US" w:eastAsia="zh-CN"/>
                    </w:rPr>
                  </w:pPr>
                  <w:r>
                    <w:rPr>
                      <w:rFonts w:hint="default" w:ascii="Times New Roman" w:hAnsi="Times New Roman" w:eastAsia="宋体" w:cs="Times New Roman"/>
                      <w:color w:val="000000"/>
                      <w:kern w:val="0"/>
                      <w:sz w:val="21"/>
                      <w:szCs w:val="21"/>
                      <w:highlight w:val="none"/>
                    </w:rPr>
                    <w:t>清洗废水</w:t>
                  </w:r>
                  <w:r>
                    <w:rPr>
                      <w:rFonts w:hint="default" w:ascii="Times New Roman" w:hAnsi="Times New Roman" w:eastAsia="宋体" w:cs="Times New Roman"/>
                      <w:color w:val="000000"/>
                      <w:kern w:val="0"/>
                      <w:sz w:val="21"/>
                      <w:szCs w:val="21"/>
                      <w:highlight w:val="none"/>
                      <w:lang w:eastAsia="zh-CN"/>
                    </w:rPr>
                    <w:t>、</w:t>
                  </w:r>
                  <w:r>
                    <w:rPr>
                      <w:rFonts w:hint="default" w:ascii="Times New Roman" w:hAnsi="Times New Roman" w:eastAsia="宋体" w:cs="Times New Roman"/>
                      <w:color w:val="000000"/>
                      <w:kern w:val="0"/>
                      <w:sz w:val="21"/>
                      <w:szCs w:val="21"/>
                      <w:highlight w:val="none"/>
                      <w:lang w:val="en-US" w:eastAsia="zh-CN"/>
                    </w:rPr>
                    <w:t>膜反冲洗废水</w:t>
                  </w:r>
                </w:p>
              </w:tc>
              <w:tc>
                <w:tcPr>
                  <w:tcW w:w="6286"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sz w:val="21"/>
                      <w:szCs w:val="21"/>
                      <w:highlight w:val="none"/>
                      <w:lang w:val="en-US" w:eastAsia="zh-CN"/>
                    </w:rPr>
                    <w:t>预处理（除油-除渣-pH调节）+NP膜过滤+NF膜过滤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1"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1"/>
                      <w:szCs w:val="21"/>
                      <w:highlight w:val="none"/>
                      <w:lang w:val="en-US" w:eastAsia="zh-CN"/>
                    </w:rPr>
                  </w:pPr>
                  <w:r>
                    <w:rPr>
                      <w:rFonts w:hint="default" w:ascii="Times New Roman" w:hAnsi="Times New Roman" w:eastAsia="宋体" w:cs="Times New Roman"/>
                      <w:color w:val="000000"/>
                      <w:kern w:val="0"/>
                      <w:sz w:val="21"/>
                      <w:szCs w:val="21"/>
                      <w:highlight w:val="none"/>
                    </w:rPr>
                    <w:t>漂洗废水</w:t>
                  </w:r>
                  <w:r>
                    <w:rPr>
                      <w:rFonts w:hint="default" w:ascii="Times New Roman" w:hAnsi="Times New Roman" w:eastAsia="宋体" w:cs="Times New Roman"/>
                      <w:color w:val="000000"/>
                      <w:kern w:val="0"/>
                      <w:sz w:val="21"/>
                      <w:szCs w:val="21"/>
                      <w:highlight w:val="none"/>
                      <w:lang w:eastAsia="zh-CN"/>
                    </w:rPr>
                    <w:t>、</w:t>
                  </w:r>
                  <w:r>
                    <w:rPr>
                      <w:rFonts w:hint="default" w:ascii="Times New Roman" w:hAnsi="Times New Roman" w:eastAsia="宋体" w:cs="Times New Roman"/>
                      <w:color w:val="000000"/>
                      <w:kern w:val="0"/>
                      <w:sz w:val="21"/>
                      <w:szCs w:val="21"/>
                      <w:highlight w:val="none"/>
                      <w:lang w:val="en-US" w:eastAsia="zh-CN"/>
                    </w:rPr>
                    <w:t>地面拖洗废水、纯水制备浓水</w:t>
                  </w:r>
                </w:p>
              </w:tc>
              <w:tc>
                <w:tcPr>
                  <w:tcW w:w="6286"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b w:val="0"/>
                      <w:bCs w:val="0"/>
                      <w:sz w:val="21"/>
                      <w:szCs w:val="21"/>
                      <w:highlight w:val="none"/>
                      <w:lang w:val="en-US" w:eastAsia="zh-CN"/>
                    </w:rPr>
                    <w:t>预处理（除渣+保安过滤器）+UF</w:t>
                  </w:r>
                  <w:r>
                    <w:rPr>
                      <w:rFonts w:hint="default" w:ascii="Times New Roman" w:hAnsi="Times New Roman" w:eastAsia="宋体" w:cs="Times New Roman"/>
                      <w:sz w:val="21"/>
                      <w:szCs w:val="21"/>
                      <w:highlight w:val="none"/>
                      <w:lang w:val="en-US" w:eastAsia="zh-CN"/>
                    </w:rPr>
                    <w:t>膜过滤+NF膜过滤</w:t>
                  </w:r>
                </w:p>
              </w:tc>
            </w:tr>
          </w:tbl>
          <w:p>
            <w:pPr>
              <w:pStyle w:val="42"/>
              <w:keepNext w:val="0"/>
              <w:keepLines w:val="0"/>
              <w:numPr>
                <w:ilvl w:val="0"/>
                <w:numId w:val="0"/>
              </w:numPr>
              <w:suppressLineNumbers w:val="0"/>
              <w:spacing w:before="120" w:beforeLines="50" w:beforeAutospacing="0" w:after="0" w:afterAutospacing="0"/>
              <w:ind w:left="420" w:leftChars="200" w:right="0" w:rightChars="0"/>
              <w:rPr>
                <w:rFonts w:hint="default"/>
                <w:highlight w:val="none"/>
              </w:rPr>
            </w:pPr>
            <w:r>
              <w:rPr>
                <w:rFonts w:hint="eastAsia"/>
                <w:highlight w:val="none"/>
                <w:lang w:eastAsia="zh-CN"/>
              </w:rPr>
              <w:t>（</w:t>
            </w:r>
            <w:r>
              <w:rPr>
                <w:rFonts w:hint="eastAsia"/>
                <w:highlight w:val="none"/>
                <w:lang w:val="en-US" w:eastAsia="zh-CN"/>
              </w:rPr>
              <w:t>2</w:t>
            </w:r>
            <w:r>
              <w:rPr>
                <w:rFonts w:hint="eastAsia"/>
                <w:highlight w:val="none"/>
                <w:lang w:eastAsia="zh-CN"/>
              </w:rPr>
              <w:t>）</w:t>
            </w:r>
            <w:r>
              <w:rPr>
                <w:rFonts w:hint="eastAsia"/>
                <w:highlight w:val="none"/>
              </w:rPr>
              <w:t>治理措施可行性分析</w:t>
            </w:r>
          </w:p>
          <w:p>
            <w:pPr>
              <w:pStyle w:val="42"/>
              <w:keepNext w:val="0"/>
              <w:keepLines w:val="0"/>
              <w:suppressLineNumbers w:val="0"/>
              <w:spacing w:before="0" w:beforeAutospacing="0" w:after="0" w:afterAutospacing="0"/>
              <w:ind w:left="0" w:right="0" w:firstLine="480"/>
              <w:rPr>
                <w:rFonts w:hint="eastAsia"/>
                <w:highlight w:val="none"/>
              </w:rPr>
            </w:pPr>
            <w:r>
              <w:rPr>
                <w:rFonts w:hint="default"/>
                <w:highlight w:val="none"/>
              </w:rPr>
              <w:fldChar w:fldCharType="begin"/>
            </w:r>
            <w:r>
              <w:rPr>
                <w:rFonts w:hint="default"/>
                <w:highlight w:val="none"/>
              </w:rPr>
              <w:instrText xml:space="preserve"> = 1 \* GB3 \* MERGEFORMAT </w:instrText>
            </w:r>
            <w:r>
              <w:rPr>
                <w:rFonts w:hint="default"/>
                <w:highlight w:val="none"/>
              </w:rPr>
              <w:fldChar w:fldCharType="separate"/>
            </w:r>
            <w:r>
              <w:rPr>
                <w:rFonts w:hint="default"/>
                <w:highlight w:val="none"/>
              </w:rPr>
              <w:t>①</w:t>
            </w:r>
            <w:r>
              <w:rPr>
                <w:rFonts w:hint="default"/>
                <w:highlight w:val="none"/>
              </w:rPr>
              <w:fldChar w:fldCharType="end"/>
            </w:r>
            <w:r>
              <w:rPr>
                <w:rFonts w:hint="eastAsia"/>
                <w:highlight w:val="none"/>
              </w:rPr>
              <w:t>厂内污水处理设施工艺简述</w:t>
            </w:r>
          </w:p>
          <w:p>
            <w:pPr>
              <w:pStyle w:val="42"/>
              <w:keepNext w:val="0"/>
              <w:keepLines w:val="0"/>
              <w:suppressLineNumbers w:val="0"/>
              <w:spacing w:before="0" w:beforeAutospacing="0" w:after="0" w:afterAutospacing="0"/>
              <w:ind w:left="0" w:right="0" w:firstLine="480"/>
              <w:rPr>
                <w:rFonts w:hint="default" w:eastAsia="宋体"/>
                <w:highlight w:val="none"/>
                <w:lang w:val="en-US" w:eastAsia="zh-CN"/>
              </w:rPr>
            </w:pPr>
            <w:r>
              <w:rPr>
                <w:rFonts w:hint="eastAsia"/>
                <w:highlight w:val="none"/>
                <w:lang w:val="en-US" w:eastAsia="zh-CN"/>
              </w:rPr>
              <w:t>涉及商业机密</w:t>
            </w:r>
          </w:p>
          <w:p>
            <w:pPr>
              <w:pStyle w:val="38"/>
              <w:keepNext w:val="0"/>
              <w:keepLines w:val="0"/>
              <w:numPr>
                <w:ilvl w:val="8"/>
                <w:numId w:val="9"/>
              </w:numPr>
              <w:suppressLineNumbers w:val="0"/>
              <w:bidi w:val="0"/>
              <w:spacing w:before="0" w:beforeAutospacing="0" w:after="0" w:afterAutospacing="0" w:line="360" w:lineRule="auto"/>
              <w:ind w:right="0"/>
              <w:rPr>
                <w:rFonts w:hint="default" w:ascii="Times New Roman" w:hAnsi="Times New Roman" w:eastAsia="宋体" w:cs="Times New Roman"/>
                <w:highlight w:val="none"/>
              </w:rPr>
            </w:pPr>
            <w:r>
              <w:rPr>
                <w:rFonts w:hint="default" w:ascii="Times New Roman" w:hAnsi="Times New Roman" w:eastAsia="宋体" w:cs="Times New Roman"/>
                <w:highlight w:val="none"/>
              </w:rPr>
              <w:t>项目污水处理设施工艺流程</w:t>
            </w:r>
          </w:p>
          <w:p>
            <w:pPr>
              <w:pStyle w:val="42"/>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b/>
                <w:bCs/>
                <w:highlight w:val="none"/>
                <w:lang w:val="en-US" w:eastAsia="zh-CN"/>
              </w:rPr>
            </w:pPr>
            <w:r>
              <w:rPr>
                <w:rFonts w:hint="default" w:ascii="Times New Roman" w:hAnsi="Times New Roman" w:eastAsia="宋体" w:cs="Times New Roman"/>
                <w:b/>
                <w:bCs/>
                <w:highlight w:val="none"/>
                <w:lang w:val="en-US" w:eastAsia="zh-CN"/>
              </w:rPr>
              <w:t>清洗废水、膜反冲洗废水处理系统：</w:t>
            </w:r>
          </w:p>
          <w:p>
            <w:pPr>
              <w:pStyle w:val="42"/>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rPr>
            </w:pPr>
            <w:r>
              <w:rPr>
                <w:rFonts w:hint="default" w:ascii="Times New Roman" w:hAnsi="Times New Roman" w:eastAsia="宋体" w:cs="Times New Roman"/>
                <w:b/>
                <w:bCs/>
                <w:highlight w:val="none"/>
              </w:rPr>
              <w:t>预处理系统：</w:t>
            </w:r>
            <w:r>
              <w:rPr>
                <w:rFonts w:hint="default" w:ascii="Times New Roman" w:hAnsi="Times New Roman" w:eastAsia="宋体" w:cs="Times New Roman"/>
                <w:highlight w:val="none"/>
                <w:lang w:val="en-US" w:eastAsia="zh-CN"/>
              </w:rPr>
              <w:t>清洗废水、膜反冲洗废水进入原水池收集，利用提升泵打入预处理槽，在加酸后，调节</w:t>
            </w:r>
            <w:r>
              <w:rPr>
                <w:rFonts w:hint="eastAsia" w:cs="Times New Roman"/>
                <w:highlight w:val="none"/>
                <w:lang w:val="en-US" w:eastAsia="zh-CN"/>
              </w:rPr>
              <w:t>pH值</w:t>
            </w:r>
            <w:r>
              <w:rPr>
                <w:rFonts w:hint="default" w:ascii="Times New Roman" w:hAnsi="Times New Roman" w:eastAsia="宋体" w:cs="Times New Roman"/>
                <w:highlight w:val="none"/>
                <w:lang w:val="en-US" w:eastAsia="zh-CN"/>
              </w:rPr>
              <w:t>至6-9之间。</w:t>
            </w:r>
            <w:r>
              <w:rPr>
                <w:rFonts w:hint="default" w:ascii="Times New Roman" w:hAnsi="Times New Roman" w:eastAsia="宋体" w:cs="Times New Roman"/>
              </w:rPr>
              <w:t>在预处理槽</w:t>
            </w:r>
            <w:r>
              <w:rPr>
                <w:rFonts w:hint="default" w:ascii="Times New Roman" w:hAnsi="Times New Roman" w:eastAsia="宋体" w:cs="Times New Roman"/>
                <w:color w:val="000000"/>
              </w:rPr>
              <w:t>利用</w:t>
            </w:r>
            <w:r>
              <w:rPr>
                <w:rFonts w:hint="default" w:ascii="Times New Roman" w:hAnsi="Times New Roman" w:eastAsia="宋体" w:cs="Times New Roman"/>
              </w:rPr>
              <w:t>撇油器将表面浮油刮出，并单独收集；同时滤网将大的金属颗粒，杂物过滤出来。</w:t>
            </w:r>
          </w:p>
          <w:p>
            <w:pPr>
              <w:pStyle w:val="42"/>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highlight w:val="none"/>
                <w:lang w:val="en-US" w:eastAsia="zh-CN"/>
              </w:rPr>
            </w:pPr>
            <w:r>
              <w:rPr>
                <w:rFonts w:hint="default" w:ascii="Times New Roman" w:hAnsi="Times New Roman" w:eastAsia="宋体" w:cs="Times New Roman"/>
                <w:b/>
                <w:bCs/>
                <w:highlight w:val="none"/>
                <w:lang w:val="en-US" w:eastAsia="zh-CN"/>
              </w:rPr>
              <w:t>NP膜过滤：</w:t>
            </w:r>
            <w:r>
              <w:rPr>
                <w:rFonts w:hint="default" w:ascii="Times New Roman" w:hAnsi="Times New Roman" w:eastAsia="宋体" w:cs="Times New Roman"/>
                <w:highlight w:val="none"/>
                <w:lang w:val="en-US" w:eastAsia="zh-CN"/>
              </w:rPr>
              <w:t>预处理槽内废液由提升泵经过保安过滤器后送入设备水箱内，再由纳米平面膜循环泵加压后进入一级纳米平面膜（NP膜）模组过滤，浓缩液回到纳米平面膜循环桶，循环处理后浓缩液排到浓缩液池。此道工艺的主要作用是去除废水中的大颗粒污染物、胶体、大分子污染物等，使废水满足进入下一级膜系统的水质要求，此道工艺对后续反渗透系统的使用寿命具有重要影响。</w:t>
            </w:r>
          </w:p>
          <w:p>
            <w:pPr>
              <w:pStyle w:val="42"/>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其主要功能是通过纳米级微孔截留废水中99%以上的乳化油、60%以上溶解油和截留99%以上的悬浮物（SS）及大分子污染物、胶体污染物。</w:t>
            </w:r>
          </w:p>
          <w:p>
            <w:pPr>
              <w:pStyle w:val="42"/>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平板纳米膜分离技术具有占地面积小、出水水质好、自动化程度高等特点。</w:t>
            </w:r>
          </w:p>
          <w:p>
            <w:pPr>
              <w:pStyle w:val="42"/>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b/>
                <w:bCs/>
                <w:highlight w:val="none"/>
                <w:lang w:val="en-US" w:eastAsia="zh-CN"/>
              </w:rPr>
            </w:pPr>
            <w:r>
              <w:rPr>
                <w:rFonts w:hint="default" w:ascii="Times New Roman" w:hAnsi="Times New Roman" w:eastAsia="宋体" w:cs="Times New Roman"/>
                <w:b/>
                <w:bCs/>
                <w:highlight w:val="none"/>
                <w:lang w:val="en-US" w:eastAsia="zh-CN"/>
              </w:rPr>
              <w:t>NF膜过滤：</w:t>
            </w:r>
            <w:r>
              <w:rPr>
                <w:rFonts w:hint="default" w:ascii="Times New Roman" w:hAnsi="Times New Roman" w:eastAsia="宋体" w:cs="Times New Roman"/>
                <w:b w:val="0"/>
                <w:bCs w:val="0"/>
                <w:highlight w:val="none"/>
                <w:lang w:val="en-US" w:eastAsia="zh-CN"/>
              </w:rPr>
              <w:t>纳滤</w:t>
            </w:r>
            <w:r>
              <w:rPr>
                <w:rFonts w:hint="default" w:ascii="Times New Roman" w:hAnsi="Times New Roman" w:eastAsia="宋体" w:cs="Times New Roman"/>
                <w:highlight w:val="none"/>
                <w:lang w:val="en-US" w:eastAsia="zh-CN"/>
              </w:rPr>
              <w:t>（Nanofiltration，NF）膜是一种介于超滤和反渗透之间的一种膜分离技术，主要去除一个纳米左右的溶质粒子，截留分子量在200～1000道尔顿，孔径＜2nm，分离</w:t>
            </w:r>
            <w:r>
              <w:rPr>
                <w:rFonts w:hint="default" w:ascii="Times New Roman" w:hAnsi="Times New Roman" w:eastAsia="宋体" w:cs="Times New Roman"/>
                <w:b w:val="0"/>
                <w:bCs w:val="0"/>
                <w:highlight w:val="none"/>
                <w:lang w:val="en-US" w:eastAsia="zh-CN"/>
              </w:rPr>
              <w:t>对象的粒径量级在纳米级。与其他膜分离过程比较，纳滤的一个优点是能截留透过超滤膜的小分子量的有机物，又能透析反渗透膜所截留的部分无机盐——也就是能使</w:t>
            </w:r>
            <w:r>
              <w:rPr>
                <w:rFonts w:hint="eastAsia" w:cs="Times New Roman"/>
                <w:b w:val="0"/>
                <w:bCs w:val="0"/>
                <w:highlight w:val="none"/>
                <w:lang w:val="en-US" w:eastAsia="zh-CN"/>
              </w:rPr>
              <w:t>“</w:t>
            </w:r>
            <w:r>
              <w:rPr>
                <w:rFonts w:hint="default" w:ascii="Times New Roman" w:hAnsi="Times New Roman" w:eastAsia="宋体" w:cs="Times New Roman"/>
                <w:b w:val="0"/>
                <w:bCs w:val="0"/>
                <w:highlight w:val="none"/>
                <w:lang w:val="en-US" w:eastAsia="zh-CN"/>
              </w:rPr>
              <w:t>浓缩</w:t>
            </w:r>
            <w:r>
              <w:rPr>
                <w:rFonts w:hint="eastAsia" w:cs="Times New Roman"/>
                <w:b w:val="0"/>
                <w:bCs w:val="0"/>
                <w:highlight w:val="none"/>
                <w:lang w:val="en-US" w:eastAsia="zh-CN"/>
              </w:rPr>
              <w:t>”</w:t>
            </w:r>
            <w:r>
              <w:rPr>
                <w:rFonts w:hint="default" w:ascii="Times New Roman" w:hAnsi="Times New Roman" w:eastAsia="宋体" w:cs="Times New Roman"/>
                <w:b w:val="0"/>
                <w:bCs w:val="0"/>
                <w:highlight w:val="none"/>
                <w:lang w:val="en-US" w:eastAsia="zh-CN"/>
              </w:rPr>
              <w:t>与脱盐同步进行。</w:t>
            </w:r>
            <w:r>
              <w:rPr>
                <w:rFonts w:hint="default" w:ascii="Times New Roman" w:hAnsi="Times New Roman" w:eastAsia="宋体" w:cs="Times New Roman"/>
                <w:highlight w:val="none"/>
                <w:lang w:val="en-US" w:eastAsia="zh-CN"/>
              </w:rPr>
              <w:t>主要功能是脱盐，去小分子物质，在本工艺中可实现废水水质提标。</w:t>
            </w:r>
          </w:p>
          <w:p>
            <w:pPr>
              <w:pStyle w:val="42"/>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b/>
                <w:bCs/>
                <w:highlight w:val="none"/>
                <w:lang w:val="en-US" w:eastAsia="zh-CN"/>
              </w:rPr>
            </w:pPr>
            <w:r>
              <w:rPr>
                <w:rFonts w:hint="default" w:ascii="Times New Roman" w:hAnsi="Times New Roman" w:eastAsia="宋体" w:cs="Times New Roman"/>
                <w:b/>
                <w:bCs/>
                <w:highlight w:val="none"/>
                <w:lang w:val="en-US" w:eastAsia="zh-CN"/>
              </w:rPr>
              <w:t>漂洗废水、地面拖洗废水、纯水制备浓水处理系统：</w:t>
            </w:r>
          </w:p>
          <w:p>
            <w:pPr>
              <w:pStyle w:val="42"/>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b w:val="0"/>
                <w:bCs w:val="0"/>
                <w:highlight w:val="none"/>
                <w:lang w:val="en-US" w:eastAsia="zh-CN"/>
              </w:rPr>
            </w:pPr>
            <w:r>
              <w:rPr>
                <w:rFonts w:hint="default" w:ascii="Times New Roman" w:hAnsi="Times New Roman" w:eastAsia="宋体" w:cs="Times New Roman"/>
                <w:b/>
                <w:bCs/>
                <w:highlight w:val="none"/>
                <w:lang w:val="en-US" w:eastAsia="zh-CN"/>
              </w:rPr>
              <w:t>UF膜过滤：</w:t>
            </w:r>
            <w:r>
              <w:rPr>
                <w:rFonts w:hint="default" w:ascii="Times New Roman" w:hAnsi="Times New Roman" w:eastAsia="宋体" w:cs="Times New Roman"/>
                <w:b w:val="0"/>
                <w:bCs w:val="0"/>
                <w:highlight w:val="none"/>
                <w:lang w:val="en-US" w:eastAsia="zh-CN"/>
              </w:rPr>
              <w:t>超滤膜筛分过程，以膜两侧的压力差为驱动力，以超滤膜为过滤介质，在一定的压力下，当原液流过膜表面时，超滤膜表面密布的许多细小的微孔只允许水及小分子物质通过而成为透过液，而原液中体积大于膜表面微孔径的物质则被截留在膜的进液侧，成为浓缩液，因而实现对原液的净化、分离和浓缩的目的。每米长的超滤膜丝管壁上约有60亿个0.01微米的微孔，其孔径只允许水分子、水中的有益矿物质和微量元素通过，而目前已知世界最小细菌的体积在0.2微米，因此细菌以及比细菌体积大得多的胶体、铁锈、悬浮物、泥沙、大分子有机物等都能被超滤膜截留下来，从而实现了净化过程。</w:t>
            </w:r>
          </w:p>
          <w:p>
            <w:pPr>
              <w:pStyle w:val="42"/>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b/>
                <w:bCs/>
                <w:highlight w:val="none"/>
                <w:lang w:val="en-US" w:eastAsia="zh-CN"/>
              </w:rPr>
            </w:pPr>
            <w:r>
              <w:rPr>
                <w:rFonts w:hint="default" w:ascii="Times New Roman" w:hAnsi="Times New Roman" w:eastAsia="宋体" w:cs="Times New Roman"/>
                <w:b/>
                <w:bCs/>
                <w:highlight w:val="none"/>
                <w:lang w:val="en-US" w:eastAsia="zh-CN"/>
              </w:rPr>
              <w:t>NF膜过滤：</w:t>
            </w:r>
            <w:r>
              <w:rPr>
                <w:rFonts w:hint="default" w:ascii="Times New Roman" w:hAnsi="Times New Roman" w:eastAsia="宋体" w:cs="Times New Roman"/>
                <w:b w:val="0"/>
                <w:bCs w:val="0"/>
                <w:highlight w:val="none"/>
                <w:lang w:val="en-US" w:eastAsia="zh-CN"/>
              </w:rPr>
              <w:t>纳滤</w:t>
            </w:r>
            <w:r>
              <w:rPr>
                <w:rFonts w:hint="default" w:ascii="Times New Roman" w:hAnsi="Times New Roman" w:eastAsia="宋体" w:cs="Times New Roman"/>
                <w:highlight w:val="none"/>
                <w:lang w:val="en-US" w:eastAsia="zh-CN"/>
              </w:rPr>
              <w:t>（Nanofiltration，NF）膜是一种介于超滤和反渗透之间的一种膜分离技术，主要去除一个纳米左右的溶质粒子，截留分子量在200～1000道尔顿，孔径＜2nm，分离</w:t>
            </w:r>
            <w:r>
              <w:rPr>
                <w:rFonts w:hint="default" w:ascii="Times New Roman" w:hAnsi="Times New Roman" w:eastAsia="宋体" w:cs="Times New Roman"/>
                <w:b w:val="0"/>
                <w:bCs w:val="0"/>
                <w:highlight w:val="none"/>
                <w:lang w:val="en-US" w:eastAsia="zh-CN"/>
              </w:rPr>
              <w:t>对象的粒径量级在纳米级。与其他膜分离过程比较，纳滤的一个优点是能截留透过超滤膜的小分子量的有机物，又能透析反渗透膜所截留的部分无机盐——也就是能使</w:t>
            </w:r>
            <w:r>
              <w:rPr>
                <w:rFonts w:hint="eastAsia" w:cs="Times New Roman"/>
                <w:b w:val="0"/>
                <w:bCs w:val="0"/>
                <w:highlight w:val="none"/>
                <w:lang w:val="en-US" w:eastAsia="zh-CN"/>
              </w:rPr>
              <w:t>“</w:t>
            </w:r>
            <w:r>
              <w:rPr>
                <w:rFonts w:hint="default" w:ascii="Times New Roman" w:hAnsi="Times New Roman" w:eastAsia="宋体" w:cs="Times New Roman"/>
                <w:b w:val="0"/>
                <w:bCs w:val="0"/>
                <w:highlight w:val="none"/>
                <w:lang w:val="en-US" w:eastAsia="zh-CN"/>
              </w:rPr>
              <w:t>浓缩</w:t>
            </w:r>
            <w:r>
              <w:rPr>
                <w:rFonts w:hint="eastAsia" w:cs="Times New Roman"/>
                <w:b w:val="0"/>
                <w:bCs w:val="0"/>
                <w:highlight w:val="none"/>
                <w:lang w:val="en-US" w:eastAsia="zh-CN"/>
              </w:rPr>
              <w:t>”</w:t>
            </w:r>
            <w:r>
              <w:rPr>
                <w:rFonts w:hint="default" w:ascii="Times New Roman" w:hAnsi="Times New Roman" w:eastAsia="宋体" w:cs="Times New Roman"/>
                <w:b w:val="0"/>
                <w:bCs w:val="0"/>
                <w:highlight w:val="none"/>
                <w:lang w:val="en-US" w:eastAsia="zh-CN"/>
              </w:rPr>
              <w:t>与脱盐同步进行。</w:t>
            </w:r>
            <w:r>
              <w:rPr>
                <w:rFonts w:hint="default" w:ascii="Times New Roman" w:hAnsi="Times New Roman" w:eastAsia="宋体" w:cs="Times New Roman"/>
                <w:highlight w:val="none"/>
                <w:lang w:val="en-US" w:eastAsia="zh-CN"/>
              </w:rPr>
              <w:t>主要功能是脱盐，去小分子物质，在本工艺中可实现废水水质提标。</w:t>
            </w:r>
          </w:p>
          <w:p>
            <w:pPr>
              <w:pStyle w:val="42"/>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highlight w:val="none"/>
                <w:lang w:val="en-US"/>
              </w:rPr>
            </w:pPr>
            <w:r>
              <w:rPr>
                <w:rFonts w:hint="default" w:ascii="Times New Roman" w:hAnsi="Times New Roman" w:eastAsia="宋体" w:cs="Times New Roman"/>
                <w:b/>
                <w:bCs/>
                <w:highlight w:val="none"/>
                <w:lang w:val="en-US" w:eastAsia="zh-CN"/>
              </w:rPr>
              <w:t>含油的浓缩液：</w:t>
            </w:r>
            <w:r>
              <w:rPr>
                <w:rFonts w:hint="default" w:ascii="Times New Roman" w:hAnsi="Times New Roman" w:eastAsia="宋体" w:cs="Times New Roman"/>
                <w:highlight w:val="none"/>
                <w:lang w:val="en-US" w:eastAsia="zh-CN"/>
              </w:rPr>
              <w:t>浓缩液进入</w:t>
            </w:r>
            <w:r>
              <w:rPr>
                <w:rFonts w:hint="eastAsia" w:cs="Times New Roman"/>
                <w:highlight w:val="none"/>
                <w:lang w:val="en-US" w:eastAsia="zh-CN"/>
              </w:rPr>
              <w:t>MVR浓缩（</w:t>
            </w:r>
            <w:r>
              <w:rPr>
                <w:rFonts w:hint="default" w:ascii="Times New Roman" w:hAnsi="Times New Roman" w:eastAsia="宋体" w:cs="Times New Roman"/>
                <w:highlight w:val="none"/>
                <w:lang w:val="en-US" w:eastAsia="zh-CN"/>
              </w:rPr>
              <w:t>比斯特热系统</w:t>
            </w:r>
            <w:r>
              <w:rPr>
                <w:rFonts w:hint="eastAsia" w:cs="Times New Roman"/>
                <w:highlight w:val="none"/>
                <w:lang w:val="en-US" w:eastAsia="zh-CN"/>
              </w:rPr>
              <w:t>），加热至160</w:t>
            </w:r>
            <w:r>
              <w:rPr>
                <w:rFonts w:hint="default" w:ascii="Times New Roman" w:hAnsi="Times New Roman" w:eastAsia="宋体" w:cs="Times New Roman"/>
                <w:sz w:val="24"/>
                <w:szCs w:val="24"/>
                <w:highlight w:val="none"/>
              </w:rPr>
              <w:t>℃</w:t>
            </w:r>
            <w:r>
              <w:rPr>
                <w:rFonts w:hint="eastAsia" w:cs="Times New Roman"/>
                <w:highlight w:val="none"/>
                <w:lang w:val="en-US" w:eastAsia="zh-CN"/>
              </w:rPr>
              <w:t>进行蒸发</w:t>
            </w:r>
            <w:r>
              <w:rPr>
                <w:rFonts w:hint="default"/>
                <w:highlight w:val="none"/>
              </w:rPr>
              <w:commentReference w:id="10"/>
            </w:r>
            <w:r>
              <w:rPr>
                <w:rFonts w:hint="eastAsia" w:cs="Times New Roman"/>
                <w:highlight w:val="none"/>
                <w:lang w:val="en-US" w:eastAsia="zh-CN"/>
              </w:rPr>
              <w:t>浓缩，而拉伸油的闪点为240</w:t>
            </w:r>
            <w:r>
              <w:rPr>
                <w:rFonts w:hint="default" w:ascii="Times New Roman" w:hAnsi="Times New Roman" w:eastAsia="宋体" w:cs="Times New Roman"/>
                <w:sz w:val="24"/>
                <w:szCs w:val="24"/>
                <w:highlight w:val="none"/>
              </w:rPr>
              <w:t>℃</w:t>
            </w:r>
            <w:r>
              <w:rPr>
                <w:rFonts w:hint="eastAsia" w:ascii="Times New Roman" w:hAnsi="Times New Roman" w:cs="Times New Roman"/>
                <w:sz w:val="24"/>
                <w:szCs w:val="24"/>
                <w:highlight w:val="none"/>
                <w:lang w:eastAsia="zh-CN"/>
              </w:rPr>
              <w:t>，</w:t>
            </w:r>
            <w:r>
              <w:rPr>
                <w:rFonts w:hint="eastAsia" w:ascii="Times New Roman" w:hAnsi="Times New Roman" w:cs="Times New Roman"/>
                <w:sz w:val="24"/>
                <w:szCs w:val="24"/>
                <w:highlight w:val="none"/>
                <w:lang w:val="en-US" w:eastAsia="zh-CN"/>
              </w:rPr>
              <w:t>蒸发性较弱，蒸发浓缩过程中几乎不会产生废气，主要为水蒸气。而水蒸气</w:t>
            </w:r>
            <w:r>
              <w:rPr>
                <w:rFonts w:hint="eastAsia" w:cs="Times New Roman"/>
                <w:highlight w:val="none"/>
                <w:lang w:val="en-US" w:eastAsia="zh-CN"/>
              </w:rPr>
              <w:t>冷凝水则进入污水设施前端再次处理。经浓缩后的</w:t>
            </w:r>
            <w:r>
              <w:rPr>
                <w:rFonts w:hint="default" w:ascii="Times New Roman" w:hAnsi="Times New Roman" w:eastAsia="宋体" w:cs="Times New Roman"/>
                <w:highlight w:val="none"/>
                <w:lang w:val="en-US" w:eastAsia="zh-CN"/>
              </w:rPr>
              <w:t>废油渣暂存在危废仓，定期委托有资质单位处置。</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 2 \* GB3 \* MERGEFORMAT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②</w:t>
            </w:r>
            <w:r>
              <w:rPr>
                <w:rFonts w:hint="default" w:ascii="Times New Roman" w:hAnsi="Times New Roman" w:eastAsia="宋体" w:cs="Times New Roman"/>
                <w:highlight w:val="none"/>
              </w:rPr>
              <w:fldChar w:fldCharType="end"/>
            </w:r>
            <w:r>
              <w:rPr>
                <w:rFonts w:hint="default" w:ascii="Times New Roman" w:hAnsi="Times New Roman" w:eastAsia="宋体" w:cs="Times New Roman"/>
                <w:highlight w:val="none"/>
              </w:rPr>
              <w:t>生产废水处理设施效果分析</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项目设置2套污水处理设施，1套用于处理清洗废水和膜反冲洗废水，处理能力为25t/d，采用</w:t>
            </w:r>
            <w:r>
              <w:rPr>
                <w:rFonts w:hint="eastAsia" w:cs="Times New Roman"/>
                <w:color w:val="auto"/>
                <w:highlight w:val="none"/>
                <w:lang w:val="en-US" w:eastAsia="zh-CN"/>
              </w:rPr>
              <w:t>“</w:t>
            </w:r>
            <w:r>
              <w:rPr>
                <w:rFonts w:hint="default" w:ascii="Times New Roman" w:hAnsi="Times New Roman" w:eastAsia="宋体" w:cs="Times New Roman"/>
                <w:color w:val="auto"/>
                <w:highlight w:val="none"/>
                <w:lang w:val="en-US" w:eastAsia="zh-CN"/>
              </w:rPr>
              <w:t>预处理（除油-除渣-pH调节）+NP膜过滤+NF膜过滤</w:t>
            </w:r>
            <w:r>
              <w:rPr>
                <w:rFonts w:hint="eastAsia" w:cs="Times New Roman"/>
                <w:color w:val="auto"/>
                <w:highlight w:val="none"/>
                <w:lang w:val="en-US" w:eastAsia="zh-CN"/>
              </w:rPr>
              <w:t>”</w:t>
            </w:r>
            <w:r>
              <w:rPr>
                <w:rFonts w:hint="default" w:ascii="Times New Roman" w:hAnsi="Times New Roman" w:eastAsia="宋体" w:cs="Times New Roman"/>
                <w:color w:val="auto"/>
                <w:highlight w:val="none"/>
                <w:lang w:val="en-US" w:eastAsia="zh-CN"/>
              </w:rPr>
              <w:t>工艺；1套用于处理漂洗废水、纯水制备浓水和地面拖洗废水，处理能力为140t/d，采用</w:t>
            </w:r>
            <w:r>
              <w:rPr>
                <w:rFonts w:hint="eastAsia" w:cs="Times New Roman"/>
                <w:color w:val="auto"/>
                <w:highlight w:val="none"/>
                <w:lang w:val="en-US" w:eastAsia="zh-CN"/>
              </w:rPr>
              <w:t>“</w:t>
            </w:r>
            <w:r>
              <w:rPr>
                <w:rFonts w:hint="default" w:ascii="Times New Roman" w:hAnsi="Times New Roman" w:eastAsia="宋体" w:cs="Times New Roman"/>
                <w:color w:val="auto"/>
                <w:highlight w:val="none"/>
                <w:lang w:val="en-US" w:eastAsia="zh-CN"/>
              </w:rPr>
              <w:t>预处理（除渣+保安过滤器）+UF膜过滤+NF膜过滤</w:t>
            </w:r>
            <w:r>
              <w:rPr>
                <w:rFonts w:hint="eastAsia" w:cs="Times New Roman"/>
                <w:color w:val="auto"/>
                <w:highlight w:val="none"/>
                <w:lang w:val="en-US" w:eastAsia="zh-CN"/>
              </w:rPr>
              <w:t>”</w:t>
            </w:r>
            <w:r>
              <w:rPr>
                <w:rFonts w:hint="default" w:ascii="Times New Roman" w:hAnsi="Times New Roman" w:eastAsia="宋体" w:cs="Times New Roman"/>
                <w:color w:val="auto"/>
                <w:highlight w:val="none"/>
                <w:lang w:val="en-US" w:eastAsia="zh-CN"/>
              </w:rPr>
              <w:t>工艺。</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清洗废水和膜反冲洗废水日最大产生量是</w:t>
            </w:r>
            <w:r>
              <w:rPr>
                <w:rFonts w:hint="eastAsia" w:cs="Times New Roman"/>
                <w:color w:val="auto"/>
                <w:highlight w:val="none"/>
                <w:lang w:val="en-US" w:eastAsia="zh-CN"/>
              </w:rPr>
              <w:t>17.1</w:t>
            </w:r>
            <w:r>
              <w:rPr>
                <w:rFonts w:hint="default" w:ascii="Times New Roman" w:hAnsi="Times New Roman" w:eastAsia="宋体" w:cs="Times New Roman"/>
                <w:color w:val="auto"/>
                <w:highlight w:val="none"/>
                <w:lang w:val="en-US" w:eastAsia="zh-CN"/>
              </w:rPr>
              <w:t>t，配套污水处理设施处理能力为25t/d。漂洗废水、纯水制备浓水和地面拖洗废水产生量为</w:t>
            </w:r>
            <w:r>
              <w:rPr>
                <w:rFonts w:hint="eastAsia" w:cs="Times New Roman"/>
                <w:color w:val="auto"/>
                <w:highlight w:val="none"/>
                <w:lang w:val="en-US" w:eastAsia="zh-CN"/>
              </w:rPr>
              <w:t>116.16</w:t>
            </w:r>
            <w:r>
              <w:rPr>
                <w:rFonts w:hint="default" w:ascii="Times New Roman" w:hAnsi="Times New Roman" w:eastAsia="宋体" w:cs="Times New Roman"/>
                <w:color w:val="auto"/>
                <w:highlight w:val="none"/>
                <w:lang w:val="en-US" w:eastAsia="zh-CN"/>
              </w:rPr>
              <w:t>t/d，配套污水处理设施处理能力为140t/d。对应污水处理站配套有调节池，项目废水经调节池水质水量调节后进入厂区污水处理设施处理。项目污水设施处理能力可满足项目要求。</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highlight w:val="none"/>
              </w:rPr>
            </w:pPr>
            <w:r>
              <w:rPr>
                <w:rFonts w:hint="default" w:ascii="Times New Roman" w:hAnsi="Times New Roman" w:eastAsia="宋体" w:cs="Times New Roman"/>
                <w:color w:val="auto"/>
                <w:highlight w:val="none"/>
                <w:lang w:val="en-US" w:eastAsia="zh-CN"/>
              </w:rPr>
              <w:t>根据符家瑞等人著《我国城镇污水再生利用技术</w:t>
            </w:r>
            <w:r>
              <w:rPr>
                <w:rFonts w:hint="eastAsia" w:cs="Times New Roman"/>
                <w:color w:val="auto"/>
                <w:highlight w:val="none"/>
                <w:lang w:val="en-US" w:eastAsia="zh-CN"/>
              </w:rPr>
              <w:t>研</w:t>
            </w:r>
            <w:r>
              <w:rPr>
                <w:rFonts w:hint="default" w:ascii="Times New Roman" w:hAnsi="Times New Roman" w:eastAsia="宋体" w:cs="Times New Roman"/>
                <w:color w:val="auto"/>
                <w:highlight w:val="none"/>
                <w:lang w:val="en-US" w:eastAsia="zh-CN"/>
              </w:rPr>
              <w:t>究进展》（工业水处理2021年1月第41卷第1期）可知：膜处理具有出水水质高、有机质和盐透过率低等特点，广泛用于污水脱盐回用工艺中。对电导率、氨氮、总氮的去除率分别为97.5%、95.7%、94.4%，TOC去除率近100%。</w:t>
            </w:r>
            <w:r>
              <w:rPr>
                <w:rFonts w:hint="default" w:ascii="Times New Roman" w:hAnsi="Times New Roman" w:eastAsia="宋体" w:cs="Times New Roman"/>
                <w:color w:val="auto"/>
                <w:highlight w:val="none"/>
              </w:rPr>
              <w:t>根据江苏安绿新能源科技有限公司设计方案及其提供的废水水质监测报告，</w:t>
            </w:r>
            <w:r>
              <w:rPr>
                <w:rFonts w:hint="default" w:ascii="Times New Roman" w:hAnsi="Times New Roman" w:eastAsia="宋体" w:cs="Times New Roman"/>
                <w:color w:val="auto"/>
                <w:highlight w:val="none"/>
                <w:lang w:val="en-US" w:eastAsia="zh-CN"/>
              </w:rPr>
              <w:t>废水</w:t>
            </w:r>
            <w:r>
              <w:rPr>
                <w:rFonts w:hint="default" w:ascii="Times New Roman" w:hAnsi="Times New Roman" w:eastAsia="宋体" w:cs="Times New Roman"/>
                <w:color w:val="auto"/>
                <w:highlight w:val="none"/>
              </w:rPr>
              <w:t>经膜</w:t>
            </w:r>
            <w:r>
              <w:rPr>
                <w:rFonts w:hint="default" w:ascii="Times New Roman" w:hAnsi="Times New Roman" w:eastAsia="宋体" w:cs="Times New Roman"/>
                <w:color w:val="auto"/>
                <w:highlight w:val="none"/>
                <w:lang w:val="en-US" w:eastAsia="zh-CN"/>
              </w:rPr>
              <w:t>组系统</w:t>
            </w:r>
            <w:r>
              <w:rPr>
                <w:rFonts w:hint="default" w:ascii="Times New Roman" w:hAnsi="Times New Roman" w:eastAsia="宋体" w:cs="Times New Roman"/>
                <w:color w:val="auto"/>
                <w:highlight w:val="none"/>
              </w:rPr>
              <w:t>处理，COD、氨氮去除率高达99%以上，</w:t>
            </w:r>
            <w:r>
              <w:rPr>
                <w:rFonts w:hint="default" w:ascii="Times New Roman" w:hAnsi="Times New Roman" w:eastAsia="宋体" w:cs="Times New Roman"/>
                <w:color w:val="auto"/>
                <w:highlight w:val="none"/>
                <w:lang w:val="en-US" w:eastAsia="zh-CN"/>
              </w:rPr>
              <w:t>项目生产废水经</w:t>
            </w:r>
            <w:r>
              <w:rPr>
                <w:rFonts w:hint="default" w:ascii="Times New Roman" w:hAnsi="Times New Roman" w:eastAsia="宋体" w:cs="Times New Roman"/>
                <w:color w:val="auto"/>
                <w:highlight w:val="none"/>
              </w:rPr>
              <w:t>膜过滤</w:t>
            </w:r>
            <w:r>
              <w:rPr>
                <w:rFonts w:hint="default" w:ascii="Times New Roman" w:hAnsi="Times New Roman" w:eastAsia="宋体" w:cs="Times New Roman"/>
                <w:color w:val="auto"/>
                <w:highlight w:val="none"/>
                <w:lang w:val="en-US" w:eastAsia="zh-CN"/>
              </w:rPr>
              <w:t>处理后出</w:t>
            </w:r>
            <w:r>
              <w:rPr>
                <w:rFonts w:hint="default" w:ascii="Times New Roman" w:hAnsi="Times New Roman" w:eastAsia="宋体" w:cs="Times New Roman"/>
                <w:color w:val="auto"/>
                <w:highlight w:val="none"/>
              </w:rPr>
              <w:t>水水质</w:t>
            </w:r>
            <w:r>
              <w:rPr>
                <w:rFonts w:hint="default" w:ascii="Times New Roman" w:hAnsi="Times New Roman" w:eastAsia="宋体" w:cs="Times New Roman"/>
                <w:highlight w:val="none"/>
              </w:rPr>
              <w:t>可达到</w:t>
            </w:r>
            <w:r>
              <w:rPr>
                <w:rFonts w:hint="default" w:ascii="Times New Roman" w:hAnsi="Times New Roman" w:eastAsia="宋体" w:cs="Times New Roman"/>
                <w:color w:val="auto"/>
                <w:highlight w:val="none"/>
              </w:rPr>
              <w:t>《污水综合排放标准》（GB8978-1996）表4中的三级标准限值要求（</w:t>
            </w:r>
            <w:r>
              <w:rPr>
                <w:rFonts w:hint="default" w:ascii="Times New Roman" w:hAnsi="Times New Roman" w:eastAsia="宋体" w:cs="Times New Roman"/>
                <w:color w:val="auto"/>
                <w:highlight w:val="none"/>
                <w:lang w:val="en-US" w:eastAsia="zh-CN"/>
              </w:rPr>
              <w:t>TP、</w:t>
            </w:r>
            <w:r>
              <w:rPr>
                <w:rFonts w:hint="default" w:ascii="Times New Roman" w:hAnsi="Times New Roman" w:eastAsia="宋体" w:cs="Times New Roman"/>
                <w:color w:val="auto"/>
                <w:highlight w:val="none"/>
              </w:rPr>
              <w:t>NH</w:t>
            </w:r>
            <w:r>
              <w:rPr>
                <w:rFonts w:hint="default" w:ascii="Times New Roman" w:hAnsi="Times New Roman" w:eastAsia="宋体" w:cs="Times New Roman"/>
                <w:color w:val="auto"/>
                <w:highlight w:val="none"/>
                <w:vertAlign w:val="subscript"/>
              </w:rPr>
              <w:t>3</w:t>
            </w:r>
            <w:r>
              <w:rPr>
                <w:rFonts w:hint="default" w:ascii="Times New Roman" w:hAnsi="Times New Roman" w:eastAsia="宋体" w:cs="Times New Roman"/>
                <w:color w:val="auto"/>
                <w:highlight w:val="none"/>
              </w:rPr>
              <w:t>-N满足《污水排入城镇下水道水质标准》（GB/T31962-2015）表1中的B等级标准）</w:t>
            </w: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rPr>
              <w:t>同时</w:t>
            </w:r>
            <w:r>
              <w:rPr>
                <w:rFonts w:hint="default" w:ascii="Times New Roman" w:hAnsi="Times New Roman" w:eastAsia="宋体" w:cs="Times New Roman"/>
                <w:color w:val="auto"/>
                <w:highlight w:val="none"/>
                <w:lang w:val="en-US" w:eastAsia="zh-CN"/>
              </w:rPr>
              <w:t>满足霞浦县污水处理厂进水水质要求，</w:t>
            </w:r>
            <w:r>
              <w:rPr>
                <w:rFonts w:hint="default" w:ascii="Times New Roman" w:hAnsi="Times New Roman" w:eastAsia="宋体" w:cs="Times New Roman"/>
                <w:color w:val="auto"/>
                <w:highlight w:val="none"/>
              </w:rPr>
              <w:t>可以做到达标排放。</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综上所述，项目厂区污水处理站规模及采用的处理工艺可行。</w:t>
            </w:r>
          </w:p>
          <w:p>
            <w:pPr>
              <w:pStyle w:val="5"/>
              <w:numPr>
                <w:ilvl w:val="2"/>
                <w:numId w:val="9"/>
              </w:numPr>
              <w:suppressLineNumbers w:val="0"/>
              <w:spacing w:before="120" w:beforeLines="50" w:beforeAutospacing="0" w:after="0" w:afterAutospacing="0" w:line="360" w:lineRule="auto"/>
              <w:ind w:right="0"/>
              <w:rPr>
                <w:rFonts w:hint="default" w:ascii="Times New Roman" w:hAnsi="Times New Roman" w:eastAsia="宋体" w:cs="Times New Roman"/>
              </w:rPr>
            </w:pPr>
            <w:r>
              <w:rPr>
                <w:rFonts w:hint="default" w:ascii="Times New Roman" w:hAnsi="Times New Roman" w:eastAsia="宋体" w:cs="Times New Roman"/>
              </w:rPr>
              <w:t>项目废水纳入霞浦县污水处理厂可行性分析</w:t>
            </w:r>
          </w:p>
          <w:p>
            <w:pPr>
              <w:pStyle w:val="42"/>
              <w:keepNext w:val="0"/>
              <w:keepLines w:val="0"/>
              <w:numPr>
                <w:ilvl w:val="0"/>
                <w:numId w:val="11"/>
              </w:numPr>
              <w:suppressLineNumbers w:val="0"/>
              <w:spacing w:before="0" w:beforeAutospacing="0" w:after="0" w:afterAutospacing="0" w:line="360" w:lineRule="auto"/>
              <w:ind w:left="0" w:right="0" w:firstLine="48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霞浦县污水处理厂概述</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napToGrid w:val="0"/>
                <w:color w:val="auto"/>
                <w:szCs w:val="24"/>
                <w:highlight w:val="none"/>
                <w:lang w:val="en-US" w:eastAsia="zh-CN" w:bidi="ar"/>
              </w:rPr>
            </w:pPr>
            <w:r>
              <w:rPr>
                <w:rFonts w:hint="default" w:ascii="Times New Roman" w:hAnsi="Times New Roman" w:eastAsia="宋体" w:cs="Times New Roman"/>
                <w:color w:val="auto"/>
                <w:highlight w:val="none"/>
              </w:rPr>
              <w:t>霞浦县城市污水处理厂位于福建省宁德市霞浦县松港街道利埕村。霞浦县城市污水处理厂一期工程日处理污水2万吨，二期工程日处理污水2万吨</w:t>
            </w: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lang w:val="en-US" w:eastAsia="zh-CN"/>
              </w:rPr>
              <w:t>三期工程</w:t>
            </w:r>
            <w:r>
              <w:rPr>
                <w:rFonts w:hint="default" w:ascii="Times New Roman" w:hAnsi="Times New Roman" w:eastAsia="宋体" w:cs="Times New Roman"/>
                <w:color w:val="auto"/>
                <w:highlight w:val="none"/>
              </w:rPr>
              <w:t>日处理污水</w:t>
            </w:r>
            <w:r>
              <w:rPr>
                <w:rFonts w:hint="default" w:ascii="Times New Roman" w:hAnsi="Times New Roman" w:eastAsia="宋体" w:cs="Times New Roman"/>
                <w:color w:val="auto"/>
                <w:highlight w:val="none"/>
                <w:lang w:val="en-US" w:eastAsia="zh-CN"/>
              </w:rPr>
              <w:t>4</w:t>
            </w:r>
            <w:r>
              <w:rPr>
                <w:rFonts w:hint="default" w:ascii="Times New Roman" w:hAnsi="Times New Roman" w:eastAsia="宋体" w:cs="Times New Roman"/>
                <w:color w:val="auto"/>
                <w:highlight w:val="none"/>
              </w:rPr>
              <w:t>万吨</w:t>
            </w: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lang w:val="en-US" w:eastAsia="zh-CN"/>
              </w:rPr>
              <w:t>拟建</w:t>
            </w: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rPr>
              <w:t>。</w:t>
            </w:r>
            <w:r>
              <w:rPr>
                <w:rFonts w:hint="default" w:ascii="Times New Roman" w:hAnsi="Times New Roman" w:eastAsia="宋体" w:cs="Times New Roman"/>
                <w:color w:val="auto"/>
                <w:highlight w:val="none"/>
                <w:lang w:val="en-US" w:eastAsia="zh-CN"/>
              </w:rPr>
              <w:t>现实际进入霞浦县</w:t>
            </w:r>
            <w:r>
              <w:rPr>
                <w:rFonts w:hint="eastAsia" w:cs="Times New Roman"/>
                <w:color w:val="auto"/>
                <w:highlight w:val="none"/>
                <w:lang w:val="en-US" w:eastAsia="zh-CN"/>
              </w:rPr>
              <w:t>污水处理厂</w:t>
            </w:r>
            <w:r>
              <w:rPr>
                <w:rFonts w:hint="default" w:ascii="Times New Roman" w:hAnsi="Times New Roman" w:eastAsia="宋体" w:cs="Times New Roman"/>
                <w:color w:val="auto"/>
                <w:highlight w:val="none"/>
                <w:lang w:val="en-US" w:eastAsia="zh-CN"/>
              </w:rPr>
              <w:t>的水量已超出污水厂处理能力，霞浦县污水处理厂现状处理能力不足。根据霞浦县人民政府专题会议纪要</w:t>
            </w:r>
            <w:r>
              <w:rPr>
                <w:rFonts w:hint="eastAsia" w:cs="Times New Roman"/>
                <w:color w:val="auto"/>
                <w:highlight w:val="none"/>
                <w:lang w:val="en-US" w:eastAsia="zh-CN"/>
              </w:rPr>
              <w:t>“</w:t>
            </w:r>
            <w:r>
              <w:rPr>
                <w:rFonts w:hint="default" w:ascii="Times New Roman" w:hAnsi="Times New Roman" w:eastAsia="宋体" w:cs="Times New Roman"/>
                <w:color w:val="auto"/>
                <w:highlight w:val="none"/>
                <w:lang w:val="en-US" w:eastAsia="zh-CN"/>
              </w:rPr>
              <w:t>关于砚究建设护城河应急污水处理设施有关事宜的纪要</w:t>
            </w:r>
            <w:r>
              <w:rPr>
                <w:rFonts w:hint="eastAsia" w:cs="Times New Roman"/>
                <w:color w:val="auto"/>
                <w:highlight w:val="none"/>
                <w:lang w:val="en-US" w:eastAsia="zh-CN"/>
              </w:rPr>
              <w:t>”</w:t>
            </w:r>
            <w:r>
              <w:rPr>
                <w:rFonts w:hint="default" w:ascii="Times New Roman" w:hAnsi="Times New Roman" w:eastAsia="宋体" w:cs="Times New Roman"/>
                <w:color w:val="auto"/>
                <w:highlight w:val="none"/>
                <w:lang w:val="en-US" w:eastAsia="zh-CN"/>
              </w:rPr>
              <w:t>【2022】192号，详见附件</w:t>
            </w:r>
            <w:r>
              <w:rPr>
                <w:rFonts w:hint="eastAsia" w:cs="Times New Roman"/>
                <w:color w:val="auto"/>
                <w:highlight w:val="none"/>
                <w:lang w:val="en-US" w:eastAsia="zh-CN"/>
              </w:rPr>
              <w:t>9</w:t>
            </w:r>
            <w:r>
              <w:rPr>
                <w:rFonts w:hint="default" w:ascii="Times New Roman" w:hAnsi="Times New Roman" w:eastAsia="宋体" w:cs="Times New Roman"/>
                <w:color w:val="auto"/>
                <w:highlight w:val="none"/>
                <w:lang w:val="en-US" w:eastAsia="zh-CN"/>
              </w:rPr>
              <w:t>，原则同意由县城投公司作为业主，在空海大道与护城河交汇处建设临时污水处理设施，确保2023年2月底前投入运营，运营期限暂定2年（污水三期未投产前运营期自然顺延，最少一年）。日污水处理量约2万吨，尾水出水指标执行</w:t>
            </w:r>
            <w:r>
              <w:rPr>
                <w:rFonts w:hint="default" w:ascii="Times New Roman" w:hAnsi="Times New Roman" w:eastAsia="宋体" w:cs="Times New Roman"/>
                <w:snapToGrid w:val="0"/>
                <w:color w:val="auto"/>
                <w:szCs w:val="24"/>
                <w:highlight w:val="none"/>
                <w:lang w:bidi="ar"/>
              </w:rPr>
              <w:t>《城镇污水处理厂污染物排放标准》(GB18918-2002)一级A排放标准</w:t>
            </w:r>
            <w:r>
              <w:rPr>
                <w:rFonts w:hint="default" w:ascii="Times New Roman" w:hAnsi="Times New Roman" w:eastAsia="宋体" w:cs="Times New Roman"/>
                <w:snapToGrid w:val="0"/>
                <w:color w:val="auto"/>
                <w:szCs w:val="24"/>
                <w:highlight w:val="none"/>
                <w:lang w:eastAsia="zh-CN" w:bidi="ar"/>
              </w:rPr>
              <w:t>。</w:t>
            </w:r>
            <w:r>
              <w:rPr>
                <w:rFonts w:hint="eastAsia" w:cs="Times New Roman"/>
                <w:snapToGrid w:val="0"/>
                <w:color w:val="auto"/>
                <w:szCs w:val="24"/>
                <w:highlight w:val="none"/>
                <w:lang w:val="en-US" w:eastAsia="zh-CN" w:bidi="ar"/>
              </w:rPr>
              <w:t>目前</w:t>
            </w:r>
            <w:r>
              <w:rPr>
                <w:rFonts w:hint="default" w:ascii="Times New Roman" w:hAnsi="Times New Roman" w:eastAsia="宋体" w:cs="Times New Roman"/>
                <w:color w:val="auto"/>
                <w:highlight w:val="none"/>
                <w:lang w:val="en-US" w:eastAsia="zh-CN"/>
              </w:rPr>
              <w:t>护城河应急污水处理设施</w:t>
            </w:r>
            <w:r>
              <w:rPr>
                <w:rFonts w:hint="eastAsia" w:cs="Times New Roman"/>
                <w:color w:val="auto"/>
                <w:highlight w:val="none"/>
                <w:lang w:val="en-US" w:eastAsia="zh-CN"/>
              </w:rPr>
              <w:t>已建成稳定运行</w:t>
            </w:r>
            <w:r>
              <w:rPr>
                <w:rFonts w:hint="default" w:ascii="Times New Roman" w:hAnsi="Times New Roman" w:eastAsia="宋体" w:cs="Times New Roman"/>
                <w:color w:val="auto"/>
                <w:highlight w:val="none"/>
                <w:lang w:val="en-US" w:eastAsia="zh-CN"/>
              </w:rPr>
              <w:t>，霞浦县污水处理厂和护城河应急污水处理设施</w:t>
            </w:r>
            <w:r>
              <w:rPr>
                <w:rFonts w:hint="default" w:ascii="Times New Roman" w:hAnsi="Times New Roman" w:eastAsia="宋体" w:cs="Times New Roman"/>
                <w:color w:val="auto"/>
                <w:highlight w:val="none"/>
              </w:rPr>
              <w:t>日</w:t>
            </w:r>
            <w:r>
              <w:rPr>
                <w:rFonts w:hint="default" w:ascii="Times New Roman" w:hAnsi="Times New Roman" w:eastAsia="宋体" w:cs="Times New Roman"/>
                <w:color w:val="auto"/>
                <w:highlight w:val="none"/>
                <w:lang w:val="en-US" w:eastAsia="zh-CN"/>
              </w:rPr>
              <w:t>总处理能力为6万吨。</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highlight w:val="none"/>
                <w:lang w:val="en-US" w:eastAsia="zh-CN"/>
              </w:rPr>
              <w:t>同时，</w:t>
            </w:r>
            <w:r>
              <w:rPr>
                <w:rFonts w:hint="default" w:ascii="Times New Roman" w:hAnsi="Times New Roman" w:eastAsia="宋体" w:cs="Times New Roman"/>
                <w:color w:val="auto"/>
                <w:highlight w:val="none"/>
              </w:rPr>
              <w:t>霞浦县污水厂三期及配套设施建设项目</w:t>
            </w:r>
            <w:r>
              <w:rPr>
                <w:rFonts w:hint="default" w:ascii="Times New Roman" w:hAnsi="Times New Roman" w:eastAsia="宋体" w:cs="Times New Roman"/>
                <w:color w:val="auto"/>
                <w:highlight w:val="none"/>
                <w:lang w:val="en-US" w:eastAsia="zh-CN"/>
              </w:rPr>
              <w:t>已于2022年7月6日取得项目批复宁（霞环评〔2022〕15号），</w:t>
            </w:r>
            <w:r>
              <w:rPr>
                <w:rFonts w:hint="default" w:ascii="Times New Roman" w:hAnsi="Times New Roman" w:eastAsia="宋体" w:cs="Times New Roman"/>
                <w:color w:val="auto"/>
                <w:highlight w:val="none"/>
              </w:rPr>
              <w:t>日处理污水</w:t>
            </w:r>
            <w:r>
              <w:rPr>
                <w:rFonts w:hint="default" w:ascii="Times New Roman" w:hAnsi="Times New Roman" w:eastAsia="宋体" w:cs="Times New Roman"/>
                <w:color w:val="auto"/>
                <w:highlight w:val="none"/>
                <w:lang w:val="en-US" w:eastAsia="zh-CN"/>
              </w:rPr>
              <w:t>4</w:t>
            </w:r>
            <w:r>
              <w:rPr>
                <w:rFonts w:hint="default" w:ascii="Times New Roman" w:hAnsi="Times New Roman" w:eastAsia="宋体" w:cs="Times New Roman"/>
                <w:color w:val="auto"/>
                <w:highlight w:val="none"/>
              </w:rPr>
              <w:t>万吨</w:t>
            </w: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lang w:val="en-US" w:eastAsia="zh-CN"/>
              </w:rPr>
              <w:t>待</w:t>
            </w:r>
            <w:r>
              <w:rPr>
                <w:rFonts w:hint="default" w:ascii="Times New Roman" w:hAnsi="Times New Roman" w:eastAsia="宋体" w:cs="Times New Roman"/>
                <w:color w:val="auto"/>
                <w:highlight w:val="none"/>
              </w:rPr>
              <w:t>霞浦县污水厂三期</w:t>
            </w:r>
            <w:r>
              <w:rPr>
                <w:rFonts w:hint="default" w:ascii="Times New Roman" w:hAnsi="Times New Roman" w:eastAsia="宋体" w:cs="Times New Roman"/>
                <w:color w:val="auto"/>
                <w:highlight w:val="none"/>
                <w:lang w:val="en-US" w:eastAsia="zh-CN"/>
              </w:rPr>
              <w:t>建设完成后，将有足够的处理能力处理霞浦</w:t>
            </w:r>
            <w:r>
              <w:rPr>
                <w:rFonts w:hint="default" w:ascii="Times New Roman" w:hAnsi="Times New Roman" w:eastAsia="宋体" w:cs="Times New Roman"/>
                <w:color w:val="auto"/>
                <w:sz w:val="24"/>
                <w:szCs w:val="24"/>
                <w:highlight w:val="none"/>
              </w:rPr>
              <w:t>县城规划区内居住小区的生活污水</w:t>
            </w:r>
            <w:r>
              <w:rPr>
                <w:rFonts w:hint="default" w:ascii="Times New Roman" w:hAnsi="Times New Roman" w:eastAsia="宋体" w:cs="Times New Roman"/>
                <w:color w:val="auto"/>
                <w:sz w:val="24"/>
                <w:szCs w:val="24"/>
                <w:highlight w:val="none"/>
                <w:lang w:val="en-US" w:eastAsia="zh-CN"/>
              </w:rPr>
              <w:t>及</w:t>
            </w:r>
            <w:r>
              <w:rPr>
                <w:rFonts w:hint="default" w:ascii="Times New Roman" w:hAnsi="Times New Roman" w:eastAsia="宋体" w:cs="Times New Roman"/>
                <w:color w:val="auto"/>
                <w:sz w:val="24"/>
                <w:szCs w:val="24"/>
                <w:highlight w:val="none"/>
              </w:rPr>
              <w:t>霞浦经济开发区区内企业</w:t>
            </w:r>
            <w:r>
              <w:rPr>
                <w:rFonts w:hint="default" w:ascii="Times New Roman" w:hAnsi="Times New Roman" w:eastAsia="宋体" w:cs="Times New Roman"/>
                <w:color w:val="auto"/>
                <w:sz w:val="24"/>
                <w:szCs w:val="24"/>
                <w:highlight w:val="none"/>
                <w:lang w:val="en-US" w:eastAsia="zh-CN"/>
              </w:rPr>
              <w:t>生活污水和生产废水。</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napToGrid w:val="0"/>
                <w:szCs w:val="24"/>
                <w:lang w:bidi="ar"/>
              </w:rPr>
            </w:pPr>
            <w:r>
              <w:rPr>
                <w:rFonts w:hint="default" w:ascii="Times New Roman" w:hAnsi="Times New Roman" w:eastAsia="宋体" w:cs="Times New Roman"/>
                <w:highlight w:val="none"/>
              </w:rPr>
              <w:t>霞浦县污水处理厂采用CAST二级生化处理</w:t>
            </w:r>
            <w:r>
              <w:rPr>
                <w:rFonts w:hint="default" w:ascii="Times New Roman" w:hAnsi="Times New Roman" w:eastAsia="宋体" w:cs="Times New Roman"/>
              </w:rPr>
              <w:t>工艺，并增加应急中和调节</w:t>
            </w:r>
            <w:r>
              <w:rPr>
                <w:rFonts w:hint="default" w:ascii="Times New Roman" w:hAnsi="Times New Roman" w:eastAsia="宋体" w:cs="Times New Roman"/>
                <w:lang w:val="en-US" w:eastAsia="zh-CN"/>
              </w:rPr>
              <w:t>池</w:t>
            </w:r>
            <w:r>
              <w:rPr>
                <w:rFonts w:hint="default" w:ascii="Times New Roman" w:hAnsi="Times New Roman" w:eastAsia="宋体" w:cs="Times New Roman"/>
              </w:rPr>
              <w:t>，二级深度处理，</w:t>
            </w:r>
            <w:r>
              <w:rPr>
                <w:rFonts w:hint="default" w:ascii="Times New Roman" w:hAnsi="Times New Roman" w:eastAsia="宋体" w:cs="Times New Roman"/>
                <w:snapToGrid w:val="0"/>
                <w:szCs w:val="24"/>
                <w:lang w:bidi="ar"/>
              </w:rPr>
              <w:t>出水执行《城镇污水处理厂污染物排放标准》(GB18918-2002)一级A排放标准，排污口位于罗汉溪。</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2"/>
                <w:highlight w:val="none"/>
                <w:lang w:bidi="ar"/>
              </w:rPr>
              <w:t>设计进水水质指标为COD 300</w:t>
            </w:r>
            <w:r>
              <w:rPr>
                <w:rFonts w:hint="default" w:ascii="Times New Roman" w:hAnsi="Times New Roman" w:eastAsia="宋体" w:cs="Times New Roman"/>
                <w:color w:val="auto"/>
                <w:szCs w:val="21"/>
                <w:highlight w:val="none"/>
              </w:rPr>
              <w:t>mg/L、BOD 150mg/L、SS 250mg/L、氨氮</w:t>
            </w:r>
            <w:r>
              <w:rPr>
                <w:rFonts w:hint="default" w:ascii="Times New Roman" w:hAnsi="Times New Roman" w:eastAsia="宋体" w:cs="Times New Roman"/>
                <w:color w:val="auto"/>
                <w:szCs w:val="21"/>
                <w:highlight w:val="none"/>
                <w:lang w:val="en-US" w:eastAsia="zh-CN"/>
              </w:rPr>
              <w:t>25</w:t>
            </w:r>
            <w:r>
              <w:rPr>
                <w:rFonts w:hint="default" w:ascii="Times New Roman" w:hAnsi="Times New Roman" w:eastAsia="宋体" w:cs="Times New Roman"/>
                <w:color w:val="auto"/>
                <w:szCs w:val="21"/>
                <w:highlight w:val="none"/>
              </w:rPr>
              <w:t>mg/L</w:t>
            </w: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highlight w:val="none"/>
                <w:lang w:val="en-US" w:eastAsia="zh-CN"/>
              </w:rPr>
              <w:t>TP 6mg/L</w:t>
            </w:r>
            <w:r>
              <w:rPr>
                <w:rFonts w:hint="default" w:ascii="Times New Roman" w:hAnsi="Times New Roman" w:eastAsia="宋体" w:cs="Times New Roman"/>
                <w:color w:val="auto"/>
                <w:szCs w:val="21"/>
                <w:highlight w:val="none"/>
              </w:rPr>
              <w:t>。</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Theme="minorEastAsia"/>
                <w:lang w:val="en-US"/>
              </w:rPr>
            </w:pPr>
            <w:r>
              <w:rPr>
                <w:rFonts w:hint="default" w:ascii="Times New Roman" w:hAnsi="Times New Roman" w:eastAsiaTheme="minorEastAsia"/>
              </w:rPr>
              <mc:AlternateContent>
                <mc:Choice Requires="wps">
                  <w:drawing>
                    <wp:anchor distT="0" distB="0" distL="114300" distR="114300" simplePos="0" relativeHeight="251661312" behindDoc="0" locked="0" layoutInCell="1" allowOverlap="1">
                      <wp:simplePos x="0" y="0"/>
                      <wp:positionH relativeFrom="column">
                        <wp:posOffset>245110</wp:posOffset>
                      </wp:positionH>
                      <wp:positionV relativeFrom="paragraph">
                        <wp:posOffset>1105535</wp:posOffset>
                      </wp:positionV>
                      <wp:extent cx="255905" cy="160655"/>
                      <wp:effectExtent l="0" t="0" r="10795" b="10795"/>
                      <wp:wrapNone/>
                      <wp:docPr id="201" name="Rectangle 139"/>
                      <wp:cNvGraphicFramePr/>
                      <a:graphic xmlns:a="http://schemas.openxmlformats.org/drawingml/2006/main">
                        <a:graphicData uri="http://schemas.microsoft.com/office/word/2010/wordprocessingShape">
                          <wps:wsp>
                            <wps:cNvSpPr>
                              <a:spLocks noChangeArrowheads="1"/>
                            </wps:cNvSpPr>
                            <wps:spPr bwMode="auto">
                              <a:xfrm>
                                <a:off x="0" y="0"/>
                                <a:ext cx="255905" cy="160655"/>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39" o:spid="_x0000_s1026" o:spt="1" style="position:absolute;left:0pt;margin-left:19.3pt;margin-top:87.05pt;height:12.65pt;width:20.15pt;z-index:251661312;mso-width-relative:page;mso-height-relative:page;" fillcolor="#FFFFFF" filled="t" stroked="f" coordsize="21600,21600" o:gfxdata="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CJfBTXAAAACQEAAA8A&#10;AAAAAAAAAQAgAAAAIgAAAGRycy9kb3ducmV2LnhtbFBLAQIUABQAAAAIAIdO4kCwqGE4GAIAADcE&#10;AAAOAAAAAAAAAAEAIAAAACYBAABkcnMvZTJvRG9jLnhtbFBLBQYAAAAABgAGAFkBAACwBQAAAAA=&#10;">
                      <v:fill on="t" focussize="0,0"/>
                      <v:stroke on="f"/>
                      <v:imagedata o:title=""/>
                      <o:lock v:ext="edit" aspectratio="f"/>
                      <v:textbox>
                        <w:txbxContent>
                          <w:p>
                            <w:pPr>
                              <w:jc w:val="center"/>
                            </w:pPr>
                          </w:p>
                        </w:txbxContent>
                      </v:textbox>
                    </v:rect>
                  </w:pict>
                </mc:Fallback>
              </mc:AlternateContent>
            </w:r>
            <w:r>
              <w:rPr>
                <w:rFonts w:hint="eastAsia" w:cs="Times New Roman"/>
                <w:color w:val="auto"/>
                <w:szCs w:val="21"/>
                <w:highlight w:val="none"/>
                <w:lang w:val="en-US" w:eastAsia="zh-CN"/>
              </w:rPr>
              <w:t>涉及商业机密</w:t>
            </w:r>
          </w:p>
          <w:p>
            <w:pPr>
              <w:pStyle w:val="38"/>
              <w:keepNext w:val="0"/>
              <w:keepLines w:val="0"/>
              <w:numPr>
                <w:ilvl w:val="8"/>
                <w:numId w:val="9"/>
              </w:numPr>
              <w:suppressLineNumbers w:val="0"/>
              <w:spacing w:before="0" w:beforeAutospacing="0" w:after="0" w:afterAutospacing="0" w:line="360" w:lineRule="auto"/>
              <w:ind w:right="0"/>
              <w:rPr>
                <w:rFonts w:hint="default" w:ascii="Times New Roman" w:hAnsi="Times New Roman" w:eastAsia="宋体" w:cs="Times New Roman"/>
                <w:snapToGrid w:val="0"/>
                <w:sz w:val="24"/>
                <w:szCs w:val="24"/>
                <w:lang w:bidi="ar"/>
              </w:rPr>
            </w:pPr>
            <w:r>
              <w:rPr>
                <w:rFonts w:hint="default" w:ascii="Times New Roman" w:hAnsi="Times New Roman" w:eastAsia="宋体" w:cs="Times New Roman"/>
                <w:bCs/>
                <w:color w:val="000000"/>
                <w:kern w:val="0"/>
                <w:sz w:val="24"/>
                <w:szCs w:val="24"/>
              </w:rPr>
              <w:t>霞浦县污水处理厂处理工艺流程图</w:t>
            </w:r>
          </w:p>
          <w:p>
            <w:pPr>
              <w:pStyle w:val="42"/>
              <w:keepNext w:val="0"/>
              <w:keepLines w:val="0"/>
              <w:numPr>
                <w:ilvl w:val="0"/>
                <w:numId w:val="11"/>
              </w:numPr>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接管可行性分析</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项目位于霞浦经济开发区大沙片区，</w:t>
            </w:r>
            <w:r>
              <w:rPr>
                <w:rFonts w:hint="default" w:ascii="Times New Roman" w:hAnsi="Times New Roman" w:eastAsia="宋体" w:cs="Times New Roman"/>
                <w:kern w:val="0"/>
                <w:sz w:val="24"/>
                <w:szCs w:val="24"/>
                <w:highlight w:val="none"/>
                <w:lang w:bidi="ar"/>
              </w:rPr>
              <w:t>霞浦经济开发区处于霞浦县污水处理厂服务范围。</w:t>
            </w:r>
            <w:r>
              <w:rPr>
                <w:rFonts w:hint="default" w:ascii="Times New Roman" w:hAnsi="Times New Roman" w:eastAsia="宋体" w:cs="Times New Roman"/>
                <w:sz w:val="24"/>
                <w:szCs w:val="24"/>
                <w:highlight w:val="none"/>
                <w:lang w:bidi="ar"/>
              </w:rPr>
              <w:t>根据《霞浦县污水处理厂二期扩建及配套管网工程可行性</w:t>
            </w:r>
            <w:r>
              <w:rPr>
                <w:rFonts w:hint="eastAsia" w:cs="Times New Roman"/>
                <w:sz w:val="24"/>
                <w:szCs w:val="24"/>
                <w:highlight w:val="none"/>
                <w:lang w:eastAsia="zh-CN" w:bidi="ar"/>
              </w:rPr>
              <w:t>研</w:t>
            </w:r>
            <w:r>
              <w:rPr>
                <w:rFonts w:hint="default" w:ascii="Times New Roman" w:hAnsi="Times New Roman" w:eastAsia="宋体" w:cs="Times New Roman"/>
                <w:sz w:val="24"/>
                <w:szCs w:val="24"/>
                <w:highlight w:val="none"/>
                <w:lang w:bidi="ar"/>
              </w:rPr>
              <w:t>究报告》管网布局方案，霞浦经济开发区的大沙工业组团的内部污水管网系统已基本建成，在大沙工业组团东南部建有一座工业污水处理站，二期扩建配套污水管网主要考虑建设污水主干管以工业污水处理站为起点，将该片区污水输送至污水处理厂，同时在小沙工业组团内部敷设污水支管。</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霞浦经济开发区污水接入工程的污水干管起点为大沙片区的金属制品污水处理站，向北沿现状海堤内侧敷设至尾岭山，再沿尾岭山东侧山脚向北敷设至赤岸大道，再沿赤岸大道向北敷设至三河提升泵站，管径在d600~d800之间。由于该干管埋设较深，部分管段需采用顶管施工。开发区污水经泵站提升后近期通过赤岸大道污水管网系统纳入污水处理厂（远期通过三河污水干管，再连接空海大道污水干管并最终接入污水处理厂）。</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highlight w:val="none"/>
              </w:rPr>
              <w:t>据现场调查，目前项目周边污水管道已铺设完成，厂区西侧工业路铺设有污水支管，南侧经开区大道路铺设有污水主管，项目污水设计接入厂区西侧工业路市政污水支管后，向南汇入经开区大道污水主管，经赤岸大道汇入园区污水提升泵站，最终汇入霞浦县污水处理厂处理。可见项目接管可行。</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sz w:val="24"/>
                <w:szCs w:val="24"/>
                <w:highlight w:val="none"/>
                <w:lang w:val="zh-CN"/>
              </w:rPr>
            </w:pPr>
            <w:r>
              <w:rPr>
                <w:rFonts w:hint="default" w:ascii="Times New Roman" w:hAnsi="Times New Roman" w:eastAsia="宋体" w:cs="Times New Roman"/>
                <w:sz w:val="24"/>
                <w:szCs w:val="24"/>
                <w:highlight w:val="none"/>
                <w:lang w:val="zh-CN" w:bidi="ar"/>
              </w:rPr>
              <w:t>（</w:t>
            </w:r>
            <w:r>
              <w:rPr>
                <w:rFonts w:hint="default" w:ascii="Times New Roman" w:hAnsi="Times New Roman" w:eastAsia="宋体" w:cs="Times New Roman"/>
                <w:sz w:val="24"/>
                <w:szCs w:val="24"/>
                <w:highlight w:val="none"/>
                <w:lang w:bidi="ar"/>
              </w:rPr>
              <w:t>3</w:t>
            </w:r>
            <w:r>
              <w:rPr>
                <w:rFonts w:hint="default" w:ascii="Times New Roman" w:hAnsi="Times New Roman" w:eastAsia="宋体" w:cs="Times New Roman"/>
                <w:sz w:val="24"/>
                <w:szCs w:val="24"/>
                <w:highlight w:val="none"/>
                <w:lang w:val="zh-CN" w:bidi="ar"/>
              </w:rPr>
              <w:t>）</w:t>
            </w:r>
            <w:r>
              <w:rPr>
                <w:rFonts w:hint="default" w:ascii="Times New Roman" w:hAnsi="Times New Roman" w:eastAsia="宋体" w:cs="Times New Roman"/>
                <w:sz w:val="24"/>
                <w:szCs w:val="24"/>
                <w:highlight w:val="none"/>
                <w:lang w:bidi="ar"/>
              </w:rPr>
              <w:t>纳入污水处理厂</w:t>
            </w:r>
            <w:r>
              <w:rPr>
                <w:rFonts w:hint="default" w:ascii="Times New Roman" w:hAnsi="Times New Roman" w:eastAsia="宋体" w:cs="Times New Roman"/>
                <w:sz w:val="24"/>
                <w:szCs w:val="24"/>
                <w:highlight w:val="none"/>
                <w:lang w:val="zh-CN" w:bidi="ar"/>
              </w:rPr>
              <w:t>水质水量</w:t>
            </w:r>
            <w:r>
              <w:rPr>
                <w:rFonts w:hint="default" w:ascii="Times New Roman" w:hAnsi="Times New Roman" w:eastAsia="宋体" w:cs="Times New Roman"/>
                <w:sz w:val="24"/>
                <w:szCs w:val="24"/>
                <w:highlight w:val="none"/>
                <w:lang w:bidi="ar"/>
              </w:rPr>
              <w:t>可行性</w:t>
            </w:r>
            <w:r>
              <w:rPr>
                <w:rFonts w:hint="default" w:ascii="Times New Roman" w:hAnsi="Times New Roman" w:eastAsia="宋体" w:cs="Times New Roman"/>
                <w:sz w:val="24"/>
                <w:szCs w:val="24"/>
                <w:highlight w:val="none"/>
                <w:lang w:val="zh-CN" w:bidi="ar"/>
              </w:rPr>
              <w:t>分析</w:t>
            </w:r>
          </w:p>
          <w:p>
            <w:pPr>
              <w:keepNext w:val="0"/>
              <w:keepLines w:val="0"/>
              <w:suppressLineNumbers w:val="0"/>
              <w:spacing w:before="0" w:beforeAutospacing="0" w:after="0" w:afterAutospacing="0" w:line="360" w:lineRule="auto"/>
              <w:ind w:left="420" w:leftChars="200" w:right="0"/>
              <w:rPr>
                <w:rFonts w:hint="default" w:ascii="Times New Roman" w:hAnsi="Times New Roman" w:eastAsia="宋体" w:cs="Times New Roman"/>
                <w:sz w:val="24"/>
                <w:szCs w:val="24"/>
                <w:highlight w:val="none"/>
                <w:lang w:val="zh-CN"/>
              </w:rPr>
            </w:pPr>
            <w:r>
              <w:rPr>
                <w:rFonts w:hint="default" w:ascii="Times New Roman" w:hAnsi="Times New Roman" w:eastAsia="宋体" w:cs="Times New Roman"/>
                <w:sz w:val="24"/>
                <w:szCs w:val="24"/>
                <w:highlight w:val="none"/>
                <w:lang w:val="zh-CN" w:bidi="ar"/>
              </w:rPr>
              <w:fldChar w:fldCharType="begin"/>
            </w:r>
            <w:r>
              <w:rPr>
                <w:rFonts w:hint="default" w:ascii="Times New Roman" w:hAnsi="Times New Roman" w:eastAsia="宋体" w:cs="Times New Roman"/>
                <w:sz w:val="24"/>
                <w:szCs w:val="24"/>
                <w:highlight w:val="none"/>
                <w:lang w:val="zh-CN" w:bidi="ar"/>
              </w:rPr>
              <w:instrText xml:space="preserve"> = 1 \* GB3 \* MERGEFORMAT </w:instrText>
            </w:r>
            <w:r>
              <w:rPr>
                <w:rFonts w:hint="default" w:ascii="Times New Roman" w:hAnsi="Times New Roman" w:eastAsia="宋体" w:cs="Times New Roman"/>
                <w:sz w:val="24"/>
                <w:szCs w:val="24"/>
                <w:highlight w:val="none"/>
                <w:lang w:val="zh-CN" w:bidi="ar"/>
              </w:rPr>
              <w:fldChar w:fldCharType="separate"/>
            </w:r>
            <w:r>
              <w:rPr>
                <w:rFonts w:hint="default" w:ascii="Times New Roman" w:hAnsi="Times New Roman" w:eastAsia="宋体" w:cs="Times New Roman"/>
                <w:sz w:val="24"/>
                <w:szCs w:val="24"/>
                <w:highlight w:val="none"/>
              </w:rPr>
              <w:t>①</w:t>
            </w:r>
            <w:r>
              <w:rPr>
                <w:rFonts w:hint="default" w:ascii="Times New Roman" w:hAnsi="Times New Roman" w:eastAsia="宋体" w:cs="Times New Roman"/>
                <w:sz w:val="24"/>
                <w:szCs w:val="24"/>
                <w:highlight w:val="none"/>
                <w:lang w:val="zh-CN" w:bidi="ar"/>
              </w:rPr>
              <w:fldChar w:fldCharType="end"/>
            </w:r>
            <w:r>
              <w:rPr>
                <w:rFonts w:hint="default" w:ascii="Times New Roman" w:hAnsi="Times New Roman" w:eastAsia="宋体" w:cs="Times New Roman"/>
                <w:sz w:val="24"/>
                <w:szCs w:val="24"/>
                <w:highlight w:val="none"/>
                <w:lang w:val="zh-CN" w:bidi="ar"/>
              </w:rPr>
              <w:t>废水水量的影响分析</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auto"/>
                <w:sz w:val="24"/>
                <w:szCs w:val="24"/>
                <w:highlight w:val="none"/>
                <w:lang w:val="zh-CN"/>
              </w:rPr>
            </w:pPr>
            <w:r>
              <w:rPr>
                <w:rFonts w:hint="default" w:ascii="Times New Roman" w:hAnsi="Times New Roman" w:eastAsia="宋体" w:cs="Times New Roman"/>
                <w:color w:val="auto"/>
                <w:sz w:val="24"/>
                <w:szCs w:val="24"/>
                <w:highlight w:val="none"/>
              </w:rPr>
              <w:t>霞浦县污水处理厂现状处理规模为</w:t>
            </w:r>
            <w:r>
              <w:rPr>
                <w:rFonts w:hint="default" w:ascii="Times New Roman" w:hAnsi="Times New Roman" w:eastAsia="宋体"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rPr>
              <w:t>万t/d，</w:t>
            </w:r>
            <w:r>
              <w:rPr>
                <w:rFonts w:hint="default" w:ascii="Times New Roman" w:hAnsi="Times New Roman" w:eastAsia="宋体" w:cs="Times New Roman"/>
                <w:color w:val="auto"/>
                <w:sz w:val="24"/>
                <w:szCs w:val="24"/>
                <w:highlight w:val="none"/>
                <w:lang w:val="en-US" w:eastAsia="zh-CN"/>
              </w:rPr>
              <w:t>护城河应急污水处理设施处理能力为2万</w:t>
            </w:r>
            <w:r>
              <w:rPr>
                <w:rFonts w:hint="default" w:ascii="Times New Roman" w:hAnsi="Times New Roman" w:eastAsia="宋体" w:cs="Times New Roman"/>
                <w:color w:val="auto"/>
                <w:sz w:val="24"/>
                <w:szCs w:val="24"/>
                <w:highlight w:val="none"/>
              </w:rPr>
              <w:t>t/d</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目前实际处理量为</w:t>
            </w:r>
            <w:r>
              <w:rPr>
                <w:rFonts w:hint="default" w:ascii="Times New Roman" w:hAnsi="Times New Roman" w:eastAsia="宋体" w:cs="Times New Roman"/>
                <w:color w:val="auto"/>
                <w:sz w:val="24"/>
                <w:szCs w:val="24"/>
                <w:highlight w:val="none"/>
                <w:lang w:val="en-US" w:eastAsia="zh-CN"/>
              </w:rPr>
              <w:t>4.2</w:t>
            </w:r>
            <w:r>
              <w:rPr>
                <w:rFonts w:hint="default" w:ascii="Times New Roman" w:hAnsi="Times New Roman" w:eastAsia="宋体" w:cs="Times New Roman"/>
                <w:color w:val="auto"/>
                <w:sz w:val="24"/>
                <w:szCs w:val="24"/>
                <w:highlight w:val="none"/>
              </w:rPr>
              <w:t>万t/d，尚有</w:t>
            </w:r>
            <w:r>
              <w:rPr>
                <w:rFonts w:hint="default" w:ascii="Times New Roman" w:hAnsi="Times New Roman" w:eastAsia="宋体" w:cs="Times New Roman"/>
                <w:color w:val="auto"/>
                <w:sz w:val="24"/>
                <w:szCs w:val="24"/>
                <w:highlight w:val="none"/>
                <w:lang w:val="en-US" w:eastAsia="zh-CN"/>
              </w:rPr>
              <w:t>1.8</w:t>
            </w:r>
            <w:r>
              <w:rPr>
                <w:rFonts w:hint="default" w:ascii="Times New Roman" w:hAnsi="Times New Roman" w:eastAsia="宋体" w:cs="Times New Roman"/>
                <w:color w:val="auto"/>
                <w:sz w:val="24"/>
                <w:szCs w:val="24"/>
                <w:highlight w:val="none"/>
              </w:rPr>
              <w:t>万t/d左右的处理余量可以接纳污水。</w:t>
            </w:r>
            <w:r>
              <w:rPr>
                <w:rFonts w:hint="default" w:ascii="Times New Roman" w:hAnsi="Times New Roman" w:eastAsia="宋体" w:cs="Times New Roman"/>
                <w:color w:val="auto"/>
                <w:sz w:val="24"/>
                <w:szCs w:val="24"/>
                <w:highlight w:val="none"/>
                <w:lang w:val="zh-CN"/>
              </w:rPr>
              <w:t>本项目</w:t>
            </w:r>
            <w:r>
              <w:rPr>
                <w:rFonts w:hint="default" w:ascii="Times New Roman" w:hAnsi="Times New Roman" w:eastAsia="宋体" w:cs="Times New Roman"/>
                <w:color w:val="auto"/>
                <w:sz w:val="24"/>
                <w:szCs w:val="24"/>
                <w:highlight w:val="none"/>
              </w:rPr>
              <w:t>生活污水和生产废水</w:t>
            </w:r>
            <w:r>
              <w:rPr>
                <w:rFonts w:hint="default" w:ascii="Times New Roman" w:hAnsi="Times New Roman" w:eastAsia="宋体" w:cs="Times New Roman"/>
                <w:color w:val="auto"/>
                <w:sz w:val="24"/>
                <w:szCs w:val="24"/>
                <w:highlight w:val="none"/>
                <w:lang w:val="zh-CN"/>
              </w:rPr>
              <w:t>排放量</w:t>
            </w:r>
            <w:r>
              <w:rPr>
                <w:rFonts w:hint="default" w:ascii="Times New Roman" w:hAnsi="Times New Roman" w:eastAsia="宋体" w:cs="Times New Roman"/>
                <w:color w:val="auto"/>
                <w:sz w:val="24"/>
                <w:szCs w:val="24"/>
                <w:highlight w:val="none"/>
              </w:rPr>
              <w:t>为</w:t>
            </w:r>
            <w:r>
              <w:rPr>
                <w:rFonts w:hint="eastAsia" w:cs="Times New Roman"/>
                <w:color w:val="auto"/>
                <w:sz w:val="24"/>
                <w:szCs w:val="24"/>
                <w:highlight w:val="none"/>
                <w:lang w:val="en-US" w:eastAsia="zh-CN"/>
              </w:rPr>
              <w:t>143.26</w:t>
            </w:r>
            <w:r>
              <w:rPr>
                <w:rFonts w:hint="default" w:ascii="Times New Roman" w:hAnsi="Times New Roman" w:eastAsia="宋体" w:cs="Times New Roman"/>
                <w:color w:val="auto"/>
                <w:sz w:val="24"/>
                <w:szCs w:val="24"/>
                <w:highlight w:val="none"/>
                <w:lang w:val="en-US" w:eastAsia="zh-CN"/>
              </w:rPr>
              <w:t>t</w:t>
            </w:r>
            <w:r>
              <w:rPr>
                <w:rFonts w:hint="default" w:ascii="Times New Roman" w:hAnsi="Times New Roman" w:eastAsia="宋体" w:cs="Times New Roman"/>
                <w:color w:val="auto"/>
                <w:sz w:val="24"/>
                <w:szCs w:val="24"/>
                <w:highlight w:val="none"/>
                <w:lang w:val="zh-CN"/>
              </w:rPr>
              <w:t>/d，</w:t>
            </w:r>
            <w:r>
              <w:rPr>
                <w:rFonts w:hint="default" w:ascii="Times New Roman" w:hAnsi="Times New Roman" w:eastAsia="宋体" w:cs="Times New Roman"/>
                <w:color w:val="auto"/>
                <w:sz w:val="24"/>
                <w:szCs w:val="24"/>
                <w:highlight w:val="none"/>
              </w:rPr>
              <w:t>占</w:t>
            </w:r>
            <w:r>
              <w:rPr>
                <w:rFonts w:hint="default" w:ascii="Times New Roman" w:hAnsi="Times New Roman" w:eastAsia="宋体" w:cs="Times New Roman"/>
                <w:color w:val="auto"/>
                <w:sz w:val="24"/>
                <w:szCs w:val="24"/>
                <w:highlight w:val="none"/>
                <w:lang w:eastAsia="zh-CN"/>
              </w:rPr>
              <w:t>污水处理厂</w:t>
            </w:r>
            <w:r>
              <w:rPr>
                <w:rFonts w:hint="default" w:ascii="Times New Roman" w:hAnsi="Times New Roman" w:eastAsia="宋体" w:cs="Times New Roman"/>
                <w:color w:val="auto"/>
                <w:sz w:val="24"/>
                <w:szCs w:val="24"/>
                <w:highlight w:val="none"/>
              </w:rPr>
              <w:t>剩余处理规模的</w:t>
            </w:r>
            <w:r>
              <w:rPr>
                <w:rFonts w:hint="default" w:ascii="Times New Roman" w:hAnsi="Times New Roman" w:eastAsia="宋体" w:cs="Times New Roman"/>
                <w:color w:val="auto"/>
                <w:sz w:val="24"/>
                <w:szCs w:val="24"/>
                <w:highlight w:val="none"/>
                <w:lang w:val="en-US" w:eastAsia="zh-CN"/>
              </w:rPr>
              <w:t>0.8</w:t>
            </w:r>
            <w:r>
              <w:rPr>
                <w:rFonts w:hint="default" w:ascii="Times New Roman" w:hAnsi="Times New Roman" w:eastAsia="宋体" w:cs="Times New Roman"/>
                <w:color w:val="auto"/>
                <w:sz w:val="24"/>
                <w:szCs w:val="24"/>
                <w:highlight w:val="none"/>
              </w:rPr>
              <w:t>%，项目废水排入污水处理厂，不会对污水处理厂处理负荷产生影响。</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sz w:val="24"/>
                <w:szCs w:val="24"/>
                <w:highlight w:val="none"/>
                <w:lang w:val="zh-CN"/>
              </w:rPr>
            </w:pPr>
            <w:r>
              <w:rPr>
                <w:rFonts w:hint="default" w:ascii="Times New Roman" w:hAnsi="Times New Roman" w:eastAsia="宋体" w:cs="Times New Roman"/>
                <w:sz w:val="24"/>
                <w:szCs w:val="24"/>
                <w:highlight w:val="none"/>
                <w:lang w:bidi="ar"/>
              </w:rPr>
              <w:fldChar w:fldCharType="begin"/>
            </w:r>
            <w:r>
              <w:rPr>
                <w:rFonts w:hint="default" w:ascii="Times New Roman" w:hAnsi="Times New Roman" w:eastAsia="宋体" w:cs="Times New Roman"/>
                <w:sz w:val="24"/>
                <w:szCs w:val="24"/>
                <w:highlight w:val="none"/>
                <w:lang w:bidi="ar"/>
              </w:rPr>
              <w:instrText xml:space="preserve"> = 2 \* GB3 \* MERGEFORMAT </w:instrText>
            </w:r>
            <w:r>
              <w:rPr>
                <w:rFonts w:hint="default" w:ascii="Times New Roman" w:hAnsi="Times New Roman" w:eastAsia="宋体" w:cs="Times New Roman"/>
                <w:sz w:val="24"/>
                <w:szCs w:val="24"/>
                <w:highlight w:val="none"/>
                <w:lang w:bidi="ar"/>
              </w:rPr>
              <w:fldChar w:fldCharType="separate"/>
            </w:r>
            <w:r>
              <w:rPr>
                <w:rFonts w:hint="default" w:ascii="Times New Roman" w:hAnsi="Times New Roman" w:eastAsia="宋体" w:cs="Times New Roman"/>
                <w:sz w:val="24"/>
                <w:szCs w:val="24"/>
                <w:highlight w:val="none"/>
              </w:rPr>
              <w:t>②</w:t>
            </w:r>
            <w:r>
              <w:rPr>
                <w:rFonts w:hint="default" w:ascii="Times New Roman" w:hAnsi="Times New Roman" w:eastAsia="宋体" w:cs="Times New Roman"/>
                <w:sz w:val="24"/>
                <w:szCs w:val="24"/>
                <w:highlight w:val="none"/>
                <w:lang w:bidi="ar"/>
              </w:rPr>
              <w:fldChar w:fldCharType="end"/>
            </w:r>
            <w:r>
              <w:rPr>
                <w:rFonts w:hint="default" w:ascii="Times New Roman" w:hAnsi="Times New Roman" w:eastAsia="宋体" w:cs="Times New Roman"/>
                <w:sz w:val="24"/>
                <w:szCs w:val="24"/>
                <w:highlight w:val="none"/>
                <w:lang w:val="zh-CN" w:bidi="ar"/>
              </w:rPr>
              <w:t>废水水质的影响分析</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highlight w:val="none"/>
                <w:lang w:bidi="ar"/>
              </w:rPr>
            </w:pPr>
            <w:r>
              <w:rPr>
                <w:rFonts w:hint="default" w:ascii="Times New Roman" w:hAnsi="Times New Roman" w:eastAsia="宋体" w:cs="Times New Roman"/>
                <w:color w:val="auto"/>
                <w:sz w:val="24"/>
                <w:szCs w:val="24"/>
                <w:highlight w:val="none"/>
                <w:lang w:val="zh-CN" w:bidi="ar"/>
              </w:rPr>
              <w:t>本项目</w:t>
            </w:r>
            <w:r>
              <w:rPr>
                <w:rFonts w:hint="default" w:ascii="Times New Roman" w:hAnsi="Times New Roman" w:eastAsia="宋体" w:cs="Times New Roman"/>
                <w:color w:val="auto"/>
                <w:sz w:val="24"/>
                <w:szCs w:val="24"/>
                <w:highlight w:val="none"/>
                <w:lang w:bidi="ar"/>
              </w:rPr>
              <w:t>生产废水经污水处理设施处理后、生活污水</w:t>
            </w:r>
            <w:r>
              <w:rPr>
                <w:rFonts w:hint="default" w:ascii="Times New Roman" w:hAnsi="Times New Roman" w:eastAsia="宋体" w:cs="Times New Roman"/>
                <w:color w:val="auto"/>
                <w:sz w:val="24"/>
                <w:szCs w:val="24"/>
                <w:highlight w:val="none"/>
                <w:lang w:val="zh-CN" w:bidi="ar"/>
              </w:rPr>
              <w:t>经</w:t>
            </w:r>
            <w:r>
              <w:rPr>
                <w:rFonts w:hint="default" w:ascii="Times New Roman" w:hAnsi="Times New Roman" w:eastAsia="宋体" w:cs="Times New Roman"/>
                <w:color w:val="auto"/>
                <w:sz w:val="24"/>
                <w:szCs w:val="24"/>
                <w:highlight w:val="none"/>
                <w:lang w:bidi="ar"/>
              </w:rPr>
              <w:t>化粪池</w:t>
            </w:r>
            <w:r>
              <w:rPr>
                <w:rFonts w:hint="default" w:ascii="Times New Roman" w:hAnsi="Times New Roman" w:eastAsia="宋体" w:cs="Times New Roman"/>
                <w:color w:val="auto"/>
                <w:sz w:val="24"/>
                <w:szCs w:val="24"/>
                <w:highlight w:val="none"/>
                <w:lang w:val="zh-CN" w:bidi="ar"/>
              </w:rPr>
              <w:t>处理</w:t>
            </w:r>
            <w:r>
              <w:rPr>
                <w:rFonts w:hint="default" w:ascii="Times New Roman" w:hAnsi="Times New Roman" w:eastAsia="宋体" w:cs="Times New Roman"/>
                <w:color w:val="auto"/>
                <w:sz w:val="24"/>
                <w:szCs w:val="24"/>
                <w:highlight w:val="none"/>
                <w:lang w:bidi="ar"/>
              </w:rPr>
              <w:t>后主要污染物排放浓度均可满足可达《污</w:t>
            </w:r>
            <w:r>
              <w:rPr>
                <w:rFonts w:hint="default" w:ascii="Times New Roman" w:hAnsi="Times New Roman" w:eastAsia="宋体" w:cs="Times New Roman"/>
                <w:color w:val="auto"/>
                <w:position w:val="2"/>
                <w:sz w:val="24"/>
                <w:szCs w:val="24"/>
                <w:highlight w:val="none"/>
                <w:lang w:bidi="ar"/>
              </w:rPr>
              <w:t>水综合排放标准》(GB8978-1996)中的三级标准(其中</w:t>
            </w:r>
            <w:r>
              <w:rPr>
                <w:rFonts w:hint="default" w:ascii="Times New Roman" w:hAnsi="Times New Roman" w:eastAsia="宋体" w:cs="Times New Roman"/>
                <w:color w:val="auto"/>
                <w:position w:val="2"/>
                <w:sz w:val="24"/>
                <w:szCs w:val="24"/>
                <w:highlight w:val="none"/>
                <w:lang w:val="en-US" w:eastAsia="zh-CN" w:bidi="ar"/>
              </w:rPr>
              <w:t>TP、</w:t>
            </w:r>
            <w:r>
              <w:rPr>
                <w:rFonts w:hint="default" w:ascii="Times New Roman" w:hAnsi="Times New Roman" w:eastAsia="宋体" w:cs="Times New Roman"/>
                <w:color w:val="auto"/>
                <w:spacing w:val="-82"/>
                <w:position w:val="2"/>
                <w:sz w:val="24"/>
                <w:szCs w:val="24"/>
                <w:highlight w:val="none"/>
                <w:lang w:bidi="ar"/>
              </w:rPr>
              <w:t xml:space="preserve"> </w:t>
            </w:r>
            <w:r>
              <w:rPr>
                <w:rFonts w:hint="default" w:ascii="Times New Roman" w:hAnsi="Times New Roman" w:eastAsia="宋体" w:cs="Times New Roman"/>
                <w:color w:val="auto"/>
                <w:position w:val="2"/>
                <w:sz w:val="24"/>
                <w:szCs w:val="24"/>
                <w:highlight w:val="none"/>
                <w:lang w:bidi="ar"/>
              </w:rPr>
              <w:t>NH</w:t>
            </w:r>
            <w:r>
              <w:rPr>
                <w:rFonts w:hint="default" w:ascii="Times New Roman" w:hAnsi="Times New Roman" w:eastAsia="宋体" w:cs="Times New Roman"/>
                <w:color w:val="auto"/>
                <w:sz w:val="24"/>
                <w:szCs w:val="24"/>
                <w:highlight w:val="none"/>
                <w:vertAlign w:val="subscript"/>
                <w:lang w:bidi="ar"/>
              </w:rPr>
              <w:t>3</w:t>
            </w:r>
            <w:r>
              <w:rPr>
                <w:rFonts w:hint="default" w:ascii="Times New Roman" w:hAnsi="Times New Roman" w:eastAsia="宋体" w:cs="Times New Roman"/>
                <w:color w:val="auto"/>
                <w:position w:val="2"/>
                <w:sz w:val="24"/>
                <w:szCs w:val="24"/>
                <w:highlight w:val="none"/>
                <w:lang w:bidi="ar"/>
              </w:rPr>
              <w:t>-N</w:t>
            </w:r>
            <w:r>
              <w:rPr>
                <w:rFonts w:hint="default" w:ascii="Times New Roman" w:hAnsi="Times New Roman" w:eastAsia="宋体" w:cs="Times New Roman"/>
                <w:color w:val="auto"/>
                <w:spacing w:val="-21"/>
                <w:position w:val="2"/>
                <w:sz w:val="24"/>
                <w:szCs w:val="24"/>
                <w:highlight w:val="none"/>
                <w:lang w:bidi="ar"/>
              </w:rPr>
              <w:t xml:space="preserve"> </w:t>
            </w:r>
            <w:r>
              <w:rPr>
                <w:rFonts w:hint="default" w:ascii="Times New Roman" w:hAnsi="Times New Roman" w:eastAsia="宋体" w:cs="Times New Roman"/>
                <w:color w:val="auto"/>
                <w:spacing w:val="-3"/>
                <w:position w:val="2"/>
                <w:sz w:val="24"/>
                <w:szCs w:val="24"/>
                <w:highlight w:val="none"/>
                <w:lang w:bidi="ar"/>
              </w:rPr>
              <w:t>可达《污</w:t>
            </w:r>
            <w:r>
              <w:rPr>
                <w:rFonts w:hint="default" w:ascii="Times New Roman" w:hAnsi="Times New Roman" w:eastAsia="宋体" w:cs="Times New Roman"/>
                <w:color w:val="auto"/>
                <w:spacing w:val="-2"/>
                <w:sz w:val="24"/>
                <w:szCs w:val="24"/>
                <w:highlight w:val="none"/>
                <w:lang w:bidi="ar"/>
              </w:rPr>
              <w:t>水排入城镇下水道水质标准》(GB/T31962-2015)B等级标准限值)</w:t>
            </w:r>
            <w:r>
              <w:rPr>
                <w:rFonts w:hint="default" w:ascii="Times New Roman" w:hAnsi="Times New Roman" w:eastAsia="宋体" w:cs="Times New Roman"/>
                <w:color w:val="auto"/>
                <w:spacing w:val="-2"/>
                <w:sz w:val="24"/>
                <w:szCs w:val="24"/>
                <w:highlight w:val="none"/>
                <w:lang w:eastAsia="zh-CN" w:bidi="ar"/>
              </w:rPr>
              <w:t>，</w:t>
            </w:r>
            <w:r>
              <w:rPr>
                <w:rFonts w:hint="default" w:ascii="Times New Roman" w:hAnsi="Times New Roman" w:eastAsia="宋体" w:cs="Times New Roman"/>
                <w:color w:val="auto"/>
                <w:spacing w:val="-2"/>
                <w:sz w:val="24"/>
                <w:szCs w:val="24"/>
                <w:highlight w:val="none"/>
                <w:lang w:val="en-US" w:eastAsia="zh-CN" w:bidi="ar"/>
              </w:rPr>
              <w:t>同时符合</w:t>
            </w:r>
            <w:r>
              <w:rPr>
                <w:rFonts w:hint="default" w:ascii="Times New Roman" w:hAnsi="Times New Roman" w:eastAsia="宋体" w:cs="Times New Roman"/>
                <w:color w:val="auto"/>
                <w:sz w:val="24"/>
                <w:szCs w:val="24"/>
                <w:highlight w:val="none"/>
                <w:lang w:bidi="ar"/>
              </w:rPr>
              <w:t>霞浦县污水处理厂</w:t>
            </w:r>
            <w:r>
              <w:rPr>
                <w:rFonts w:hint="default" w:ascii="Times New Roman" w:hAnsi="Times New Roman" w:eastAsia="宋体" w:cs="Times New Roman"/>
                <w:color w:val="auto"/>
                <w:sz w:val="24"/>
                <w:szCs w:val="24"/>
                <w:highlight w:val="none"/>
                <w:lang w:val="zh-CN" w:bidi="ar"/>
              </w:rPr>
              <w:t>的</w:t>
            </w:r>
            <w:r>
              <w:rPr>
                <w:rFonts w:hint="default" w:ascii="Times New Roman" w:hAnsi="Times New Roman" w:eastAsia="宋体" w:cs="Times New Roman"/>
                <w:color w:val="auto"/>
                <w:sz w:val="24"/>
                <w:szCs w:val="24"/>
                <w:highlight w:val="none"/>
                <w:lang w:bidi="ar"/>
              </w:rPr>
              <w:t>进水水质要求</w:t>
            </w:r>
            <w:r>
              <w:rPr>
                <w:rFonts w:hint="default" w:ascii="Times New Roman" w:hAnsi="Times New Roman" w:eastAsia="宋体" w:cs="Times New Roman"/>
                <w:color w:val="auto"/>
                <w:sz w:val="24"/>
                <w:szCs w:val="24"/>
                <w:highlight w:val="none"/>
                <w:lang w:val="zh-CN" w:bidi="ar"/>
              </w:rPr>
              <w:t>，</w:t>
            </w:r>
            <w:r>
              <w:rPr>
                <w:rFonts w:hint="default" w:ascii="Times New Roman" w:hAnsi="Times New Roman" w:eastAsia="宋体" w:cs="Times New Roman"/>
                <w:color w:val="auto"/>
                <w:sz w:val="24"/>
                <w:szCs w:val="24"/>
                <w:highlight w:val="none"/>
                <w:lang w:bidi="ar"/>
              </w:rPr>
              <w:t>不会对</w:t>
            </w:r>
            <w:r>
              <w:rPr>
                <w:rFonts w:hint="default" w:ascii="Times New Roman" w:hAnsi="Times New Roman" w:eastAsia="宋体" w:cs="Times New Roman"/>
                <w:color w:val="auto"/>
                <w:sz w:val="24"/>
                <w:szCs w:val="24"/>
                <w:highlight w:val="none"/>
                <w:lang w:eastAsia="zh-CN" w:bidi="ar"/>
              </w:rPr>
              <w:t>污水处理厂</w:t>
            </w:r>
            <w:r>
              <w:rPr>
                <w:rFonts w:hint="default" w:ascii="Times New Roman" w:hAnsi="Times New Roman" w:eastAsia="宋体" w:cs="Times New Roman"/>
                <w:color w:val="auto"/>
                <w:sz w:val="24"/>
                <w:szCs w:val="24"/>
                <w:highlight w:val="none"/>
                <w:lang w:bidi="ar"/>
              </w:rPr>
              <w:t>水质负荷造成冲击。</w:t>
            </w:r>
          </w:p>
          <w:p>
            <w:pPr>
              <w:pStyle w:val="42"/>
              <w:keepNext w:val="0"/>
              <w:keepLines w:val="0"/>
              <w:suppressLineNumbers w:val="0"/>
              <w:bidi w:val="0"/>
              <w:spacing w:before="0" w:beforeAutospacing="0" w:after="0" w:afterAutospacing="0" w:line="360" w:lineRule="auto"/>
              <w:ind w:left="0" w:right="0"/>
              <w:rPr>
                <w:rFonts w:hint="default" w:ascii="Times New Roman" w:hAnsi="Times New Roman" w:eastAsia="宋体" w:cs="Times New Roman"/>
                <w:sz w:val="24"/>
                <w:szCs w:val="24"/>
                <w:highlight w:val="cyan"/>
                <w:lang w:val="zh-CN" w:eastAsia="zh-CN"/>
              </w:rPr>
            </w:pPr>
            <w:r>
              <w:rPr>
                <w:rFonts w:hint="default" w:ascii="Times New Roman" w:hAnsi="Times New Roman" w:eastAsia="宋体" w:cs="Times New Roman"/>
                <w:sz w:val="24"/>
                <w:szCs w:val="24"/>
                <w:highlight w:val="none"/>
                <w:lang w:val="zh-CN" w:eastAsia="zh-CN"/>
              </w:rPr>
              <w:t>综上所述，本项目废水经处理达标后排入市政污水管网，最终纳入霞浦县污水处理厂</w:t>
            </w:r>
            <w:r>
              <w:rPr>
                <w:rFonts w:hint="default" w:ascii="Times New Roman" w:hAnsi="Times New Roman" w:eastAsia="宋体" w:cs="Times New Roman"/>
                <w:sz w:val="24"/>
                <w:szCs w:val="24"/>
                <w:highlight w:val="none"/>
                <w:lang w:val="en-US" w:eastAsia="zh-CN"/>
              </w:rPr>
              <w:t>及护城河应急污水处理设施</w:t>
            </w:r>
            <w:r>
              <w:rPr>
                <w:rFonts w:hint="default" w:ascii="Times New Roman" w:hAnsi="Times New Roman" w:eastAsia="宋体" w:cs="Times New Roman"/>
                <w:sz w:val="24"/>
                <w:szCs w:val="24"/>
                <w:highlight w:val="none"/>
                <w:lang w:val="zh-CN" w:eastAsia="zh-CN"/>
              </w:rPr>
              <w:t>集中处理达标后排放，项目废水水质、水量不会对污水处理厂</w:t>
            </w:r>
            <w:r>
              <w:rPr>
                <w:rFonts w:hint="default" w:ascii="Times New Roman" w:hAnsi="Times New Roman" w:eastAsia="宋体" w:cs="Times New Roman"/>
                <w:sz w:val="24"/>
                <w:szCs w:val="24"/>
                <w:highlight w:val="none"/>
                <w:lang w:val="en-US" w:eastAsia="zh-CN"/>
              </w:rPr>
              <w:t>及护城河应急污水处理设施</w:t>
            </w:r>
            <w:r>
              <w:rPr>
                <w:rFonts w:hint="default" w:ascii="Times New Roman" w:hAnsi="Times New Roman" w:eastAsia="宋体" w:cs="Times New Roman"/>
                <w:sz w:val="24"/>
                <w:szCs w:val="24"/>
                <w:highlight w:val="none"/>
                <w:lang w:val="zh-CN" w:eastAsia="zh-CN"/>
              </w:rPr>
              <w:t>造成负荷冲击，因此项目生活污水纳入霞浦县污水处理厂</w:t>
            </w:r>
            <w:r>
              <w:rPr>
                <w:rFonts w:hint="default" w:ascii="Times New Roman" w:hAnsi="Times New Roman" w:eastAsia="宋体" w:cs="Times New Roman"/>
                <w:sz w:val="24"/>
                <w:szCs w:val="24"/>
                <w:highlight w:val="none"/>
                <w:lang w:val="en-US" w:eastAsia="zh-CN"/>
              </w:rPr>
              <w:t>及护城河应急污水处理设施</w:t>
            </w:r>
            <w:r>
              <w:rPr>
                <w:rFonts w:hint="default" w:ascii="Times New Roman" w:hAnsi="Times New Roman" w:eastAsia="宋体" w:cs="Times New Roman"/>
                <w:sz w:val="24"/>
                <w:szCs w:val="24"/>
                <w:highlight w:val="none"/>
                <w:lang w:val="zh-CN" w:eastAsia="zh-CN"/>
              </w:rPr>
              <w:t>依托可行。</w:t>
            </w:r>
          </w:p>
          <w:p>
            <w:pPr>
              <w:pStyle w:val="5"/>
              <w:numPr>
                <w:ilvl w:val="2"/>
                <w:numId w:val="9"/>
              </w:numPr>
              <w:suppressLineNumbers w:val="0"/>
              <w:bidi w:val="0"/>
              <w:spacing w:before="0" w:beforeAutospacing="0" w:after="0" w:afterAutospacing="0" w:line="360" w:lineRule="auto"/>
              <w:ind w:right="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污染源监测计划</w:t>
            </w:r>
          </w:p>
          <w:p>
            <w:pPr>
              <w:pStyle w:val="25"/>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color w:val="000000"/>
                <w:sz w:val="24"/>
                <w:szCs w:val="24"/>
                <w:lang w:val="en-US"/>
              </w:rPr>
            </w:pPr>
            <w:r>
              <w:rPr>
                <w:rFonts w:hint="default" w:ascii="Times New Roman" w:hAnsi="Times New Roman" w:eastAsia="宋体" w:cs="Times New Roman"/>
                <w:color w:val="000000"/>
                <w:kern w:val="0"/>
                <w:sz w:val="24"/>
                <w:szCs w:val="24"/>
                <w:lang w:val="en-US" w:eastAsia="zh-CN" w:bidi="ar"/>
              </w:rPr>
              <w:t>根据《排污单位自行监测技术指南 总则》(HJ819-2017)对废水污染源制定监测计划，本项目废水污染源监测计划如下表所示。</w:t>
            </w:r>
          </w:p>
          <w:p>
            <w:pPr>
              <w:pStyle w:val="36"/>
              <w:keepNext w:val="0"/>
              <w:keepLines w:val="0"/>
              <w:suppressLineNumbers w:val="0"/>
              <w:bidi w:val="0"/>
              <w:spacing w:before="0" w:beforeAutospacing="0" w:after="0" w:afterAutospacing="0" w:line="360" w:lineRule="auto"/>
              <w:ind w:right="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废水污染源监测计划</w:t>
            </w:r>
          </w:p>
          <w:tbl>
            <w:tblPr>
              <w:tblStyle w:val="27"/>
              <w:tblW w:w="840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41"/>
              <w:gridCol w:w="2004"/>
              <w:gridCol w:w="1319"/>
              <w:gridCol w:w="36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441" w:type="dxa"/>
                  <w:tcBorders>
                    <w:tl2br w:val="nil"/>
                    <w:tr2bl w:val="nil"/>
                  </w:tcBorders>
                  <w:shd w:val="clear" w:color="auto" w:fill="auto"/>
                  <w:vAlign w:val="center"/>
                </w:tcPr>
                <w:p>
                  <w:pPr>
                    <w:pStyle w:val="25"/>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监测点位</w:t>
                  </w:r>
                </w:p>
              </w:tc>
              <w:tc>
                <w:tcPr>
                  <w:tcW w:w="2004" w:type="dxa"/>
                  <w:tcBorders>
                    <w:tl2br w:val="nil"/>
                    <w:tr2bl w:val="nil"/>
                  </w:tcBorders>
                  <w:shd w:val="clear" w:color="auto" w:fill="auto"/>
                  <w:vAlign w:val="center"/>
                </w:tcPr>
                <w:p>
                  <w:pPr>
                    <w:pStyle w:val="25"/>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监测项目</w:t>
                  </w:r>
                </w:p>
              </w:tc>
              <w:tc>
                <w:tcPr>
                  <w:tcW w:w="1319" w:type="dxa"/>
                  <w:tcBorders>
                    <w:tl2br w:val="nil"/>
                    <w:tr2bl w:val="nil"/>
                  </w:tcBorders>
                  <w:shd w:val="clear" w:color="auto" w:fill="auto"/>
                  <w:vAlign w:val="center"/>
                </w:tcPr>
                <w:p>
                  <w:pPr>
                    <w:pStyle w:val="25"/>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监测频率</w:t>
                  </w:r>
                </w:p>
              </w:tc>
              <w:tc>
                <w:tcPr>
                  <w:tcW w:w="3643" w:type="dxa"/>
                  <w:tcBorders>
                    <w:tl2br w:val="nil"/>
                    <w:tr2bl w:val="nil"/>
                  </w:tcBorders>
                  <w:shd w:val="clear" w:color="auto" w:fill="auto"/>
                  <w:vAlign w:val="center"/>
                </w:tcPr>
                <w:p>
                  <w:pPr>
                    <w:pStyle w:val="25"/>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1" w:type="dxa"/>
                  <w:tcBorders>
                    <w:tl2br w:val="nil"/>
                    <w:tr2bl w:val="nil"/>
                  </w:tcBorders>
                  <w:shd w:val="clear" w:color="auto" w:fill="auto"/>
                  <w:vAlign w:val="center"/>
                </w:tcPr>
                <w:p>
                  <w:pPr>
                    <w:pStyle w:val="25"/>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生产废水排放口（DW002）</w:t>
                  </w:r>
                </w:p>
              </w:tc>
              <w:tc>
                <w:tcPr>
                  <w:tcW w:w="2004" w:type="dxa"/>
                  <w:tcBorders>
                    <w:tl2br w:val="nil"/>
                    <w:tr2bl w:val="nil"/>
                  </w:tcBorders>
                  <w:shd w:val="clear" w:color="auto" w:fill="auto"/>
                  <w:vAlign w:val="center"/>
                </w:tcPr>
                <w:p>
                  <w:pPr>
                    <w:pStyle w:val="25"/>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kern w:val="0"/>
                      <w:sz w:val="21"/>
                      <w:szCs w:val="21"/>
                      <w:highlight w:val="none"/>
                      <w:lang w:val="en-US" w:eastAsia="zh-CN" w:bidi="ar"/>
                    </w:rPr>
                    <w:t>pH、COD、氨氮、BOD</w:t>
                  </w:r>
                  <w:r>
                    <w:rPr>
                      <w:rFonts w:hint="default" w:ascii="Times New Roman" w:hAnsi="Times New Roman" w:eastAsia="宋体" w:cs="Times New Roman"/>
                      <w:color w:val="000000"/>
                      <w:kern w:val="0"/>
                      <w:sz w:val="21"/>
                      <w:szCs w:val="21"/>
                      <w:highlight w:val="none"/>
                      <w:vertAlign w:val="subscript"/>
                      <w:lang w:val="en-US" w:eastAsia="zh-CN" w:bidi="ar"/>
                    </w:rPr>
                    <w:t>5</w:t>
                  </w:r>
                  <w:r>
                    <w:rPr>
                      <w:rFonts w:hint="default" w:ascii="Times New Roman" w:hAnsi="Times New Roman" w:eastAsia="宋体" w:cs="Times New Roman"/>
                      <w:color w:val="000000"/>
                      <w:kern w:val="0"/>
                      <w:sz w:val="21"/>
                      <w:szCs w:val="21"/>
                      <w:highlight w:val="none"/>
                      <w:lang w:val="en-US" w:eastAsia="zh-CN" w:bidi="ar"/>
                    </w:rPr>
                    <w:t>、SS、石油类、LAS、总磷</w:t>
                  </w:r>
                </w:p>
              </w:tc>
              <w:tc>
                <w:tcPr>
                  <w:tcW w:w="1319" w:type="dxa"/>
                  <w:tcBorders>
                    <w:tl2br w:val="nil"/>
                    <w:tr2bl w:val="nil"/>
                  </w:tcBorders>
                  <w:shd w:val="clear" w:color="auto" w:fill="auto"/>
                  <w:vAlign w:val="center"/>
                </w:tcPr>
                <w:p>
                  <w:pPr>
                    <w:pStyle w:val="25"/>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kern w:val="0"/>
                      <w:sz w:val="21"/>
                      <w:szCs w:val="21"/>
                      <w:highlight w:val="none"/>
                      <w:lang w:val="en-US" w:eastAsia="zh-CN" w:bidi="ar"/>
                    </w:rPr>
                    <w:t>1次/年</w:t>
                  </w:r>
                </w:p>
              </w:tc>
              <w:tc>
                <w:tcPr>
                  <w:tcW w:w="3643" w:type="dxa"/>
                  <w:tcBorders>
                    <w:tl2br w:val="nil"/>
                    <w:tr2bl w:val="nil"/>
                  </w:tcBorders>
                  <w:shd w:val="clear" w:color="auto" w:fill="auto"/>
                  <w:vAlign w:val="center"/>
                </w:tcPr>
                <w:p>
                  <w:pPr>
                    <w:pStyle w:val="25"/>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kern w:val="0"/>
                      <w:sz w:val="21"/>
                      <w:szCs w:val="21"/>
                      <w:highlight w:val="none"/>
                      <w:lang w:val="en-US" w:eastAsia="zh-CN" w:bidi="ar"/>
                    </w:rPr>
                    <w:t>《污水综合排放标准》（GB8978-1996）表4中三级标准、污水排入城镇下水道水质标准》（GB/T31962-2015）表1中的B等级标准及霞浦县污水处理厂进水水质要求</w:t>
                  </w:r>
                </w:p>
              </w:tc>
            </w:tr>
          </w:tbl>
          <w:p>
            <w:pPr>
              <w:pStyle w:val="42"/>
              <w:keepNext w:val="0"/>
              <w:keepLines w:val="0"/>
              <w:suppressLineNumbers w:val="0"/>
              <w:spacing w:before="0" w:beforeAutospacing="0" w:after="0" w:afterAutospacing="0"/>
              <w:ind w:left="0" w:right="0" w:firstLine="480"/>
              <w:rPr>
                <w:rFonts w:hint="default"/>
              </w:rPr>
            </w:pPr>
          </w:p>
          <w:p>
            <w:pPr>
              <w:pStyle w:val="42"/>
              <w:keepNext w:val="0"/>
              <w:keepLines w:val="0"/>
              <w:suppressLineNumbers w:val="0"/>
              <w:spacing w:before="0" w:beforeAutospacing="0" w:after="0" w:afterAutospacing="0"/>
              <w:ind w:left="0" w:right="0" w:firstLine="480"/>
              <w:rPr>
                <w:rFonts w:hint="default"/>
              </w:rPr>
            </w:pPr>
          </w:p>
          <w:p>
            <w:pPr>
              <w:pStyle w:val="42"/>
              <w:keepNext w:val="0"/>
              <w:keepLines w:val="0"/>
              <w:suppressLineNumbers w:val="0"/>
              <w:spacing w:before="0" w:beforeAutospacing="0" w:after="0" w:afterAutospacing="0"/>
              <w:ind w:left="0" w:right="0" w:firstLine="480"/>
              <w:rPr>
                <w:rFonts w:hint="default"/>
              </w:rPr>
            </w:pPr>
          </w:p>
          <w:p>
            <w:pPr>
              <w:pStyle w:val="42"/>
              <w:keepNext w:val="0"/>
              <w:keepLines w:val="0"/>
              <w:suppressLineNumbers w:val="0"/>
              <w:spacing w:before="0" w:beforeAutospacing="0" w:after="0" w:afterAutospacing="0"/>
              <w:ind w:left="0" w:leftChars="0" w:right="0" w:firstLine="0" w:firstLineChars="0"/>
              <w:rPr>
                <w:rFonts w:hint="default"/>
              </w:rPr>
            </w:pPr>
          </w:p>
        </w:tc>
      </w:tr>
    </w:tbl>
    <w:p>
      <w:pPr>
        <w:sectPr>
          <w:pgSz w:w="11907" w:h="16840"/>
          <w:pgMar w:top="1701" w:right="1531" w:bottom="2127" w:left="1531" w:header="851" w:footer="851" w:gutter="0"/>
          <w:pgBorders>
            <w:top w:val="none" w:sz="0" w:space="0"/>
            <w:left w:val="none" w:sz="0" w:space="0"/>
            <w:bottom w:val="none" w:sz="0" w:space="0"/>
            <w:right w:val="none" w:sz="0" w:space="0"/>
          </w:pgBorders>
          <w:pgNumType w:fmt="numberInDash"/>
          <w:cols w:space="720" w:num="1"/>
          <w:docGrid w:linePitch="312" w:charSpace="0"/>
        </w:sectPr>
      </w:pPr>
    </w:p>
    <w:p>
      <w:pPr>
        <w:pStyle w:val="47"/>
      </w:pPr>
    </w:p>
    <w:tbl>
      <w:tblPr>
        <w:tblStyle w:val="27"/>
        <w:tblW w:w="131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4"/>
        <w:gridCol w:w="126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55" w:hRule="atLeast"/>
          <w:jc w:val="center"/>
        </w:trPr>
        <w:tc>
          <w:tcPr>
            <w:tcW w:w="524" w:type="dxa"/>
            <w:tcMar>
              <w:left w:w="28" w:type="dxa"/>
              <w:right w:w="2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运营</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期环</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境影</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响和</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保护</w:t>
            </w:r>
          </w:p>
          <w:p>
            <w:pPr>
              <w:pStyle w:val="25"/>
              <w:keepNext w:val="0"/>
              <w:keepLines w:val="0"/>
              <w:suppressLineNumbers w:val="0"/>
              <w:adjustRightInd w:val="0"/>
              <w:snapToGrid w:val="0"/>
              <w:spacing w:before="0" w:beforeAutospacing="0" w:after="0" w:afterAutospacing="0"/>
              <w:ind w:left="0" w:right="0"/>
              <w:jc w:val="center"/>
              <w:rPr>
                <w:rFonts w:hint="default" w:cs="宋体"/>
                <w:bCs/>
                <w:kern w:val="2"/>
                <w:sz w:val="21"/>
                <w:szCs w:val="21"/>
              </w:rPr>
            </w:pPr>
            <w:r>
              <w:rPr>
                <w:rFonts w:hint="eastAsia" w:cs="宋体"/>
                <w:bCs/>
                <w:szCs w:val="21"/>
              </w:rPr>
              <w:t>措施</w:t>
            </w:r>
          </w:p>
        </w:tc>
        <w:tc>
          <w:tcPr>
            <w:tcW w:w="12624" w:type="dxa"/>
            <w:vAlign w:val="center"/>
          </w:tcPr>
          <w:p>
            <w:pPr>
              <w:pStyle w:val="4"/>
              <w:keepNext w:val="0"/>
              <w:keepLines w:val="0"/>
              <w:pageBreakBefore w:val="0"/>
              <w:widowControl w:val="0"/>
              <w:numPr>
                <w:ilvl w:val="1"/>
                <w:numId w:val="9"/>
              </w:numPr>
              <w:suppressLineNumbers w:val="0"/>
              <w:kinsoku/>
              <w:wordWrap/>
              <w:overflowPunct/>
              <w:topLinePunct w:val="0"/>
              <w:autoSpaceDE/>
              <w:autoSpaceDN/>
              <w:bidi w:val="0"/>
              <w:adjustRightInd/>
              <w:snapToGrid/>
              <w:spacing w:before="157" w:beforeLines="50" w:beforeAutospacing="0" w:after="0" w:afterAutospacing="0"/>
              <w:ind w:left="0" w:right="0"/>
              <w:textAlignment w:val="auto"/>
              <w:rPr>
                <w:rFonts w:hint="default"/>
              </w:rPr>
            </w:pPr>
            <w:r>
              <w:rPr>
                <w:rFonts w:hint="eastAsia"/>
              </w:rPr>
              <w:t>噪声</w:t>
            </w:r>
          </w:p>
          <w:p>
            <w:pPr>
              <w:pStyle w:val="5"/>
              <w:numPr>
                <w:ilvl w:val="2"/>
                <w:numId w:val="9"/>
              </w:numPr>
              <w:suppressLineNumbers w:val="0"/>
              <w:bidi w:val="0"/>
              <w:spacing w:before="0" w:beforeAutospacing="0" w:after="0" w:afterAutospacing="0" w:line="360" w:lineRule="auto"/>
              <w:ind w:right="0"/>
              <w:rPr>
                <w:rFonts w:hint="default" w:ascii="Times New Roman" w:hAnsi="Times New Roman" w:cs="Times New Roman"/>
              </w:rPr>
            </w:pPr>
            <w:r>
              <w:rPr>
                <w:rFonts w:hint="default" w:ascii="Times New Roman" w:hAnsi="Times New Roman" w:cs="Times New Roman"/>
                <w:lang w:val="en-US" w:eastAsia="zh-CN"/>
              </w:rPr>
              <w:t>噪声源强</w:t>
            </w:r>
          </w:p>
          <w:p>
            <w:pPr>
              <w:pStyle w:val="42"/>
              <w:keepNext w:val="0"/>
              <w:keepLines w:val="0"/>
              <w:suppressLineNumbers w:val="0"/>
              <w:bidi w:val="0"/>
              <w:spacing w:before="0" w:beforeAutospacing="0" w:after="0" w:afterAutospacing="0" w:line="360" w:lineRule="auto"/>
              <w:ind w:left="0" w:right="0"/>
              <w:rPr>
                <w:rFonts w:hint="default" w:ascii="Times New Roman" w:hAnsi="Times New Roman" w:cs="Times New Roman"/>
                <w:lang w:val="en-US" w:eastAsia="zh-CN"/>
              </w:rPr>
            </w:pPr>
            <w:r>
              <w:rPr>
                <w:rFonts w:hint="default" w:ascii="Times New Roman" w:hAnsi="Times New Roman" w:cs="Times New Roman"/>
                <w:lang w:val="en-US" w:eastAsia="zh-CN"/>
              </w:rPr>
              <w:t>本项目主要噪声源为落料机、连杆压力机、全自动清洗机、空压机等设备生产运行产生的机械噪声，噪声源源强、降噪措施、排放强度、持续时间等见下表。</w:t>
            </w:r>
          </w:p>
          <w:p>
            <w:pPr>
              <w:pStyle w:val="36"/>
              <w:keepNext w:val="0"/>
              <w:keepLines w:val="0"/>
              <w:suppressLineNumbers w:val="0"/>
              <w:bidi w:val="0"/>
              <w:spacing w:before="0" w:beforeAutospacing="0" w:after="0" w:afterAutospacing="0" w:line="360" w:lineRule="auto"/>
              <w:ind w:right="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工业企业噪声源强调查清单（室内声源）</w:t>
            </w:r>
          </w:p>
          <w:tbl>
            <w:tblPr>
              <w:tblStyle w:val="28"/>
              <w:tblW w:w="12408" w:type="dxa"/>
              <w:jc w:val="center"/>
              <w:tblBorders>
                <w:top w:val="single" w:color="auto" w:sz="12" w:space="0"/>
                <w:left w:val="none" w:color="auto" w:sz="4" w:space="0"/>
                <w:bottom w:val="single" w:color="auto" w:sz="12" w:space="0"/>
                <w:right w:val="non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58"/>
              <w:gridCol w:w="1138"/>
              <w:gridCol w:w="1240"/>
              <w:gridCol w:w="740"/>
              <w:gridCol w:w="1573"/>
              <w:gridCol w:w="676"/>
              <w:gridCol w:w="650"/>
              <w:gridCol w:w="610"/>
              <w:gridCol w:w="897"/>
              <w:gridCol w:w="922"/>
              <w:gridCol w:w="806"/>
              <w:gridCol w:w="858"/>
              <w:gridCol w:w="858"/>
              <w:gridCol w:w="782"/>
            </w:tblGrid>
            <w:tr>
              <w:tblPrEx>
                <w:tblBorders>
                  <w:top w:val="single" w:color="auto" w:sz="12" w:space="0"/>
                  <w:left w:val="none" w:color="auto" w:sz="4" w:space="0"/>
                  <w:bottom w:val="single" w:color="auto" w:sz="12" w:space="0"/>
                  <w:right w:val="non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658" w:type="dxa"/>
                  <w:vMerge w:val="restart"/>
                  <w:tcBorders>
                    <w:top w:val="single" w:color="auto" w:sz="12"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rPr>
                    <w:t>建筑物</w:t>
                  </w:r>
                </w:p>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rPr>
                    <w:t>名称</w:t>
                  </w:r>
                </w:p>
              </w:tc>
              <w:tc>
                <w:tcPr>
                  <w:tcW w:w="1138"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rPr>
                    <w:t>声源名称</w:t>
                  </w:r>
                </w:p>
              </w:tc>
              <w:tc>
                <w:tcPr>
                  <w:tcW w:w="1240"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rPr>
                    <w:t>型号</w:t>
                  </w:r>
                </w:p>
              </w:tc>
              <w:tc>
                <w:tcPr>
                  <w:tcW w:w="740"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rPr>
                    <w:t>声功率级</w:t>
                  </w:r>
                  <w:r>
                    <w:rPr>
                      <w:rFonts w:hint="default" w:ascii="Times New Roman" w:hAnsi="Times New Roman" w:eastAsia="宋体" w:cs="Times New Roman"/>
                      <w:color w:val="000000"/>
                      <w:sz w:val="21"/>
                      <w:szCs w:val="21"/>
                      <w:highlight w:val="none"/>
                      <w:lang w:val="en-US"/>
                    </w:rPr>
                    <w:t>/dB</w:t>
                  </w:r>
                  <w:r>
                    <w:rPr>
                      <w:rFonts w:hint="default" w:ascii="Times New Roman" w:hAnsi="Times New Roman" w:eastAsia="宋体" w:cs="Times New Roman"/>
                      <w:color w:val="000000"/>
                      <w:sz w:val="21"/>
                      <w:szCs w:val="21"/>
                      <w:highlight w:val="none"/>
                    </w:rPr>
                    <w:t>（</w:t>
                  </w:r>
                  <w:r>
                    <w:rPr>
                      <w:rFonts w:hint="default" w:ascii="Times New Roman" w:hAnsi="Times New Roman" w:eastAsia="宋体" w:cs="Times New Roman"/>
                      <w:color w:val="000000"/>
                      <w:sz w:val="21"/>
                      <w:szCs w:val="21"/>
                      <w:highlight w:val="none"/>
                      <w:lang w:val="en-US"/>
                    </w:rPr>
                    <w:t>A</w:t>
                  </w:r>
                  <w:r>
                    <w:rPr>
                      <w:rFonts w:hint="default" w:ascii="Times New Roman" w:hAnsi="Times New Roman" w:eastAsia="宋体" w:cs="Times New Roman"/>
                      <w:color w:val="000000"/>
                      <w:sz w:val="21"/>
                      <w:szCs w:val="21"/>
                      <w:highlight w:val="none"/>
                    </w:rPr>
                    <w:t>）</w:t>
                  </w:r>
                </w:p>
              </w:tc>
              <w:tc>
                <w:tcPr>
                  <w:tcW w:w="1573"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rPr>
                    <w:t>声源控制措施</w:t>
                  </w:r>
                </w:p>
              </w:tc>
              <w:tc>
                <w:tcPr>
                  <w:tcW w:w="1936" w:type="dxa"/>
                  <w:gridSpan w:val="3"/>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rPr>
                    <w:t>空间相对位置</w:t>
                  </w:r>
                  <w:r>
                    <w:rPr>
                      <w:rFonts w:hint="default" w:ascii="Times New Roman" w:hAnsi="Times New Roman" w:eastAsia="宋体" w:cs="Times New Roman"/>
                      <w:color w:val="000000"/>
                      <w:sz w:val="21"/>
                      <w:szCs w:val="21"/>
                      <w:highlight w:val="none"/>
                      <w:lang w:val="en-US"/>
                    </w:rPr>
                    <w:t>/m</w:t>
                  </w:r>
                </w:p>
              </w:tc>
              <w:tc>
                <w:tcPr>
                  <w:tcW w:w="897"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rPr>
                    <w:t>距室内边界距离</w:t>
                  </w:r>
                  <w:r>
                    <w:rPr>
                      <w:rFonts w:hint="default" w:ascii="Times New Roman" w:hAnsi="Times New Roman" w:eastAsia="宋体" w:cs="Times New Roman"/>
                      <w:color w:val="000000"/>
                      <w:sz w:val="21"/>
                      <w:szCs w:val="21"/>
                      <w:highlight w:val="none"/>
                      <w:lang w:val="en-US"/>
                    </w:rPr>
                    <w:t>/m</w:t>
                  </w:r>
                </w:p>
              </w:tc>
              <w:tc>
                <w:tcPr>
                  <w:tcW w:w="922"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rPr>
                    <w:t>室内边声级</w:t>
                  </w:r>
                  <w:r>
                    <w:rPr>
                      <w:rFonts w:hint="default" w:ascii="Times New Roman" w:hAnsi="Times New Roman" w:eastAsia="宋体" w:cs="Times New Roman"/>
                      <w:color w:val="000000"/>
                      <w:sz w:val="21"/>
                      <w:szCs w:val="21"/>
                      <w:highlight w:val="none"/>
                      <w:lang w:val="en-US"/>
                    </w:rPr>
                    <w:t>/dB</w:t>
                  </w:r>
                  <w:r>
                    <w:rPr>
                      <w:rFonts w:hint="default" w:ascii="Times New Roman" w:hAnsi="Times New Roman" w:eastAsia="宋体" w:cs="Times New Roman"/>
                      <w:color w:val="000000"/>
                      <w:sz w:val="21"/>
                      <w:szCs w:val="21"/>
                      <w:highlight w:val="none"/>
                    </w:rPr>
                    <w:t>（</w:t>
                  </w:r>
                  <w:r>
                    <w:rPr>
                      <w:rFonts w:hint="default" w:ascii="Times New Roman" w:hAnsi="Times New Roman" w:eastAsia="宋体" w:cs="Times New Roman"/>
                      <w:color w:val="000000"/>
                      <w:sz w:val="21"/>
                      <w:szCs w:val="21"/>
                      <w:highlight w:val="none"/>
                      <w:lang w:val="en-US"/>
                    </w:rPr>
                    <w:t>A</w:t>
                  </w:r>
                  <w:r>
                    <w:rPr>
                      <w:rFonts w:hint="default" w:ascii="Times New Roman" w:hAnsi="Times New Roman" w:eastAsia="宋体" w:cs="Times New Roman"/>
                      <w:color w:val="000000"/>
                      <w:sz w:val="21"/>
                      <w:szCs w:val="21"/>
                      <w:highlight w:val="none"/>
                    </w:rPr>
                    <w:t>）</w:t>
                  </w:r>
                </w:p>
              </w:tc>
              <w:tc>
                <w:tcPr>
                  <w:tcW w:w="806"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rPr>
                    <w:t>运行时段</w:t>
                  </w:r>
                </w:p>
              </w:tc>
              <w:tc>
                <w:tcPr>
                  <w:tcW w:w="858"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rPr>
                    <w:t>建筑物插入损失</w:t>
                  </w:r>
                  <w:r>
                    <w:rPr>
                      <w:rFonts w:hint="default" w:ascii="Times New Roman" w:hAnsi="Times New Roman" w:eastAsia="宋体" w:cs="Times New Roman"/>
                      <w:color w:val="000000"/>
                      <w:sz w:val="21"/>
                      <w:szCs w:val="21"/>
                      <w:highlight w:val="none"/>
                      <w:lang w:val="en-US"/>
                    </w:rPr>
                    <w:t>/dB</w:t>
                  </w:r>
                  <w:r>
                    <w:rPr>
                      <w:rFonts w:hint="default" w:ascii="Times New Roman" w:hAnsi="Times New Roman" w:eastAsia="宋体" w:cs="Times New Roman"/>
                      <w:color w:val="000000"/>
                      <w:sz w:val="21"/>
                      <w:szCs w:val="21"/>
                      <w:highlight w:val="none"/>
                    </w:rPr>
                    <w:t>（</w:t>
                  </w:r>
                  <w:r>
                    <w:rPr>
                      <w:rFonts w:hint="default" w:ascii="Times New Roman" w:hAnsi="Times New Roman" w:eastAsia="宋体" w:cs="Times New Roman"/>
                      <w:color w:val="000000"/>
                      <w:sz w:val="21"/>
                      <w:szCs w:val="21"/>
                      <w:highlight w:val="none"/>
                      <w:lang w:val="en-US"/>
                    </w:rPr>
                    <w:t>A</w:t>
                  </w:r>
                  <w:r>
                    <w:rPr>
                      <w:rFonts w:hint="default" w:ascii="Times New Roman" w:hAnsi="Times New Roman" w:eastAsia="宋体" w:cs="Times New Roman"/>
                      <w:color w:val="000000"/>
                      <w:sz w:val="21"/>
                      <w:szCs w:val="21"/>
                      <w:highlight w:val="none"/>
                    </w:rPr>
                    <w:t>）</w:t>
                  </w:r>
                </w:p>
              </w:tc>
              <w:tc>
                <w:tcPr>
                  <w:tcW w:w="1640" w:type="dxa"/>
                  <w:gridSpan w:val="2"/>
                  <w:tcBorders>
                    <w:top w:val="single" w:color="auto" w:sz="12" w:space="0"/>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rPr>
                    <w:t>建筑物外噪声</w:t>
                  </w:r>
                </w:p>
              </w:tc>
            </w:tr>
            <w:tr>
              <w:tblPrEx>
                <w:tblBorders>
                  <w:top w:val="single" w:color="auto" w:sz="12" w:space="0"/>
                  <w:left w:val="none" w:color="auto" w:sz="4" w:space="0"/>
                  <w:bottom w:val="single" w:color="auto" w:sz="12" w:space="0"/>
                  <w:right w:val="non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658" w:type="dxa"/>
                  <w:vMerge w:val="continue"/>
                  <w:tcBorders>
                    <w:top w:val="single" w:color="auto" w:sz="12"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rPr>
                  </w:pPr>
                </w:p>
              </w:tc>
              <w:tc>
                <w:tcPr>
                  <w:tcW w:w="1138" w:type="dxa"/>
                  <w:vMerge w:val="continue"/>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rPr>
                  </w:pPr>
                </w:p>
              </w:tc>
              <w:tc>
                <w:tcPr>
                  <w:tcW w:w="1240" w:type="dxa"/>
                  <w:vMerge w:val="continue"/>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rPr>
                  </w:pPr>
                </w:p>
              </w:tc>
              <w:tc>
                <w:tcPr>
                  <w:tcW w:w="740" w:type="dxa"/>
                  <w:vMerge w:val="continue"/>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rPr>
                  </w:pPr>
                </w:p>
              </w:tc>
              <w:tc>
                <w:tcPr>
                  <w:tcW w:w="1573" w:type="dxa"/>
                  <w:vMerge w:val="continue"/>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rPr>
                  </w:pP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rPr>
                    <w:t>X</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rPr>
                    <w:t>Y</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rPr>
                    <w:t>Z</w:t>
                  </w:r>
                </w:p>
              </w:tc>
              <w:tc>
                <w:tcPr>
                  <w:tcW w:w="897" w:type="dxa"/>
                  <w:vMerge w:val="continue"/>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rPr>
                  </w:pPr>
                </w:p>
              </w:tc>
              <w:tc>
                <w:tcPr>
                  <w:tcW w:w="922" w:type="dxa"/>
                  <w:vMerge w:val="continue"/>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rPr>
                  </w:pPr>
                </w:p>
              </w:tc>
              <w:tc>
                <w:tcPr>
                  <w:tcW w:w="806" w:type="dxa"/>
                  <w:vMerge w:val="continue"/>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rPr>
                  </w:pPr>
                </w:p>
              </w:tc>
              <w:tc>
                <w:tcPr>
                  <w:tcW w:w="858" w:type="dxa"/>
                  <w:vMerge w:val="continue"/>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rPr>
                  </w:pP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rPr>
                    <w:t>声压级</w:t>
                  </w:r>
                  <w:r>
                    <w:rPr>
                      <w:rFonts w:hint="default" w:ascii="Times New Roman" w:hAnsi="Times New Roman" w:eastAsia="宋体" w:cs="Times New Roman"/>
                      <w:color w:val="000000"/>
                      <w:sz w:val="21"/>
                      <w:szCs w:val="21"/>
                      <w:highlight w:val="none"/>
                      <w:lang w:val="en-US"/>
                    </w:rPr>
                    <w:t>/dB</w:t>
                  </w:r>
                  <w:r>
                    <w:rPr>
                      <w:rFonts w:hint="default" w:ascii="Times New Roman" w:hAnsi="Times New Roman" w:eastAsia="宋体" w:cs="Times New Roman"/>
                      <w:color w:val="000000"/>
                      <w:sz w:val="21"/>
                      <w:szCs w:val="21"/>
                      <w:highlight w:val="none"/>
                    </w:rPr>
                    <w:t>（</w:t>
                  </w:r>
                  <w:r>
                    <w:rPr>
                      <w:rFonts w:hint="default" w:ascii="Times New Roman" w:hAnsi="Times New Roman" w:eastAsia="宋体" w:cs="Times New Roman"/>
                      <w:color w:val="000000"/>
                      <w:sz w:val="21"/>
                      <w:szCs w:val="21"/>
                      <w:highlight w:val="none"/>
                      <w:lang w:val="en-US"/>
                    </w:rPr>
                    <w:t>A</w:t>
                  </w:r>
                  <w:r>
                    <w:rPr>
                      <w:rFonts w:hint="default" w:ascii="Times New Roman" w:hAnsi="Times New Roman" w:eastAsia="宋体" w:cs="Times New Roman"/>
                      <w:color w:val="000000"/>
                      <w:sz w:val="21"/>
                      <w:szCs w:val="21"/>
                      <w:highlight w:val="none"/>
                    </w:rPr>
                    <w:t>）</w:t>
                  </w:r>
                </w:p>
              </w:tc>
              <w:tc>
                <w:tcPr>
                  <w:tcW w:w="782" w:type="dxa"/>
                  <w:tcBorders>
                    <w:top w:val="single" w:color="auto" w:sz="4" w:space="0"/>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rPr>
                    <w:t>建筑物外距离</w:t>
                  </w:r>
                </w:p>
              </w:tc>
            </w:tr>
            <w:tr>
              <w:tblPrEx>
                <w:tblBorders>
                  <w:top w:val="single" w:color="auto" w:sz="12" w:space="0"/>
                  <w:left w:val="none" w:color="auto" w:sz="4" w:space="0"/>
                  <w:bottom w:val="single" w:color="auto" w:sz="12" w:space="0"/>
                  <w:right w:val="non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658" w:type="dxa"/>
                  <w:vMerge w:val="restart"/>
                  <w:tcBorders>
                    <w:left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1</w:t>
                  </w:r>
                  <w:r>
                    <w:rPr>
                      <w:rFonts w:hint="default" w:ascii="Times New Roman" w:hAnsi="Times New Roman" w:eastAsia="宋体" w:cs="Times New Roman"/>
                      <w:color w:val="000000"/>
                      <w:sz w:val="21"/>
                      <w:szCs w:val="21"/>
                      <w:highlight w:val="none"/>
                      <w:lang w:val="en-US"/>
                    </w:rPr>
                    <w:t>#</w:t>
                  </w:r>
                </w:p>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rPr>
                  </w:pPr>
                  <w:r>
                    <w:rPr>
                      <w:rFonts w:hint="default" w:ascii="Times New Roman" w:hAnsi="Times New Roman" w:eastAsia="宋体" w:cs="Times New Roman"/>
                      <w:color w:val="000000"/>
                      <w:sz w:val="21"/>
                      <w:szCs w:val="21"/>
                      <w:highlight w:val="none"/>
                    </w:rPr>
                    <w:t>车间</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连杆压力机</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sz w:val="21"/>
                      <w:szCs w:val="21"/>
                      <w:highlight w:val="none"/>
                    </w:rPr>
                    <w:t>金丰 GTX-300</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80</w:t>
                  </w:r>
                </w:p>
              </w:tc>
              <w:tc>
                <w:tcPr>
                  <w:tcW w:w="1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基座减振，墙体隔声</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5</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42</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1.2</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rPr>
                    <w:t>1</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72</w:t>
                  </w:r>
                </w:p>
              </w:tc>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20h</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15</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57</w:t>
                  </w:r>
                </w:p>
              </w:tc>
              <w:tc>
                <w:tcPr>
                  <w:tcW w:w="782" w:type="dxa"/>
                  <w:tcBorders>
                    <w:top w:val="single" w:color="auto" w:sz="4" w:space="0"/>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rPr>
                    <w:t>1</w:t>
                  </w:r>
                </w:p>
              </w:tc>
            </w:tr>
            <w:tr>
              <w:tblPrEx>
                <w:tblBorders>
                  <w:top w:val="single" w:color="auto" w:sz="12" w:space="0"/>
                  <w:left w:val="none" w:color="auto" w:sz="4" w:space="0"/>
                  <w:bottom w:val="single" w:color="auto" w:sz="12" w:space="0"/>
                  <w:right w:val="non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连杆压力机</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sz w:val="21"/>
                      <w:szCs w:val="21"/>
                      <w:highlight w:val="none"/>
                    </w:rPr>
                    <w:t>金丰 GTX-300</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80</w:t>
                  </w:r>
                </w:p>
              </w:tc>
              <w:tc>
                <w:tcPr>
                  <w:tcW w:w="1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基座减振，墙体隔声</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10</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42</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1.2</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rPr>
                    <w:t>1</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72</w:t>
                  </w:r>
                </w:p>
              </w:tc>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20h</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15</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57</w:t>
                  </w:r>
                </w:p>
              </w:tc>
              <w:tc>
                <w:tcPr>
                  <w:tcW w:w="782" w:type="dxa"/>
                  <w:tcBorders>
                    <w:top w:val="single" w:color="auto" w:sz="4" w:space="0"/>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rPr>
                    <w:t>1</w:t>
                  </w:r>
                </w:p>
              </w:tc>
            </w:tr>
            <w:tr>
              <w:tblPrEx>
                <w:tblBorders>
                  <w:top w:val="single" w:color="auto" w:sz="12" w:space="0"/>
                  <w:left w:val="none" w:color="auto" w:sz="4" w:space="0"/>
                  <w:bottom w:val="single" w:color="auto" w:sz="12" w:space="0"/>
                  <w:right w:val="non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连杆压力机</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sz w:val="21"/>
                      <w:szCs w:val="21"/>
                      <w:highlight w:val="none"/>
                    </w:rPr>
                    <w:t>金丰 GTX-300</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80</w:t>
                  </w:r>
                </w:p>
              </w:tc>
              <w:tc>
                <w:tcPr>
                  <w:tcW w:w="1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基座减振，墙体隔声</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15</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42</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1.2</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rPr>
                    <w:t>1</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72</w:t>
                  </w:r>
                </w:p>
              </w:tc>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20h</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rPr>
                    <w:t>15</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57</w:t>
                  </w:r>
                </w:p>
              </w:tc>
              <w:tc>
                <w:tcPr>
                  <w:tcW w:w="782" w:type="dxa"/>
                  <w:tcBorders>
                    <w:top w:val="single" w:color="auto" w:sz="4" w:space="0"/>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rPr>
                    <w:t>1</w:t>
                  </w:r>
                </w:p>
              </w:tc>
            </w:tr>
            <w:tr>
              <w:tblPrEx>
                <w:tblBorders>
                  <w:top w:val="single" w:color="auto" w:sz="12" w:space="0"/>
                  <w:left w:val="none" w:color="auto" w:sz="4" w:space="0"/>
                  <w:bottom w:val="single" w:color="auto" w:sz="12" w:space="0"/>
                  <w:right w:val="non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sz w:val="21"/>
                      <w:szCs w:val="21"/>
                      <w:highlight w:val="none"/>
                      <w:lang w:val="en-US" w:eastAsia="zh-CN"/>
                    </w:rPr>
                    <w:t>全自动清洗机</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sz w:val="21"/>
                      <w:szCs w:val="21"/>
                      <w:highlight w:val="none"/>
                    </w:rPr>
                    <w:t>科宇信KYX2810D</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80</w:t>
                  </w:r>
                </w:p>
              </w:tc>
              <w:tc>
                <w:tcPr>
                  <w:tcW w:w="1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基座减振，墙体隔声</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5</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27</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1.2</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rPr>
                    <w:t>1</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72</w:t>
                  </w:r>
                </w:p>
              </w:tc>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20h</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15</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57</w:t>
                  </w:r>
                </w:p>
              </w:tc>
              <w:tc>
                <w:tcPr>
                  <w:tcW w:w="782" w:type="dxa"/>
                  <w:tcBorders>
                    <w:top w:val="single" w:color="auto" w:sz="4" w:space="0"/>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rPr>
                    <w:t>1</w:t>
                  </w:r>
                </w:p>
              </w:tc>
            </w:tr>
            <w:tr>
              <w:tblPrEx>
                <w:tblBorders>
                  <w:top w:val="single" w:color="auto" w:sz="12" w:space="0"/>
                  <w:left w:val="none" w:color="auto" w:sz="4" w:space="0"/>
                  <w:bottom w:val="single" w:color="auto" w:sz="12" w:space="0"/>
                  <w:right w:val="non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sz w:val="21"/>
                      <w:szCs w:val="21"/>
                      <w:highlight w:val="none"/>
                      <w:lang w:val="en-US" w:eastAsia="zh-CN"/>
                    </w:rPr>
                    <w:t>全自动清洗机</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sz w:val="21"/>
                      <w:szCs w:val="21"/>
                      <w:highlight w:val="none"/>
                    </w:rPr>
                    <w:t>科宇信KYX2810D</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80</w:t>
                  </w:r>
                </w:p>
              </w:tc>
              <w:tc>
                <w:tcPr>
                  <w:tcW w:w="1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基座减振，墙体隔声</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10</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27</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1.2</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rPr>
                    <w:t>1</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72</w:t>
                  </w:r>
                </w:p>
              </w:tc>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20h</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15</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57</w:t>
                  </w:r>
                </w:p>
              </w:tc>
              <w:tc>
                <w:tcPr>
                  <w:tcW w:w="782" w:type="dxa"/>
                  <w:tcBorders>
                    <w:top w:val="single" w:color="auto" w:sz="4" w:space="0"/>
                    <w:left w:val="single" w:color="auto" w:sz="4" w:space="0"/>
                    <w:bottom w:val="single" w:color="auto" w:sz="4" w:space="0"/>
                    <w:right w:val="nil"/>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1</w:t>
                  </w:r>
                </w:p>
              </w:tc>
            </w:tr>
            <w:tr>
              <w:tblPrEx>
                <w:tblBorders>
                  <w:top w:val="single" w:color="auto" w:sz="12" w:space="0"/>
                  <w:left w:val="none" w:color="auto" w:sz="4" w:space="0"/>
                  <w:bottom w:val="single" w:color="auto" w:sz="12" w:space="0"/>
                  <w:right w:val="non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 w:type="dxa"/>
                  <w:vMerge w:val="continue"/>
                  <w:tcBorders>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sz w:val="21"/>
                      <w:szCs w:val="21"/>
                      <w:highlight w:val="none"/>
                      <w:lang w:val="en-US" w:eastAsia="zh-CN"/>
                    </w:rPr>
                    <w:t>全自动清洗机</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sz w:val="21"/>
                      <w:szCs w:val="21"/>
                      <w:highlight w:val="none"/>
                    </w:rPr>
                    <w:t>科宇信KYX2810D</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80</w:t>
                  </w:r>
                </w:p>
              </w:tc>
              <w:tc>
                <w:tcPr>
                  <w:tcW w:w="1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基座减振，墙体隔声</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15</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27</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1.2</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rPr>
                    <w:t>1</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72</w:t>
                  </w:r>
                </w:p>
              </w:tc>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20h</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15</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57</w:t>
                  </w:r>
                </w:p>
              </w:tc>
              <w:tc>
                <w:tcPr>
                  <w:tcW w:w="782" w:type="dxa"/>
                  <w:tcBorders>
                    <w:top w:val="single" w:color="auto" w:sz="4" w:space="0"/>
                    <w:left w:val="single" w:color="auto" w:sz="4" w:space="0"/>
                    <w:bottom w:val="single" w:color="auto" w:sz="4" w:space="0"/>
                    <w:right w:val="nil"/>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1</w:t>
                  </w:r>
                </w:p>
              </w:tc>
            </w:tr>
            <w:tr>
              <w:tblPrEx>
                <w:tblBorders>
                  <w:top w:val="single" w:color="auto" w:sz="12" w:space="0"/>
                  <w:left w:val="none" w:color="auto" w:sz="4" w:space="0"/>
                  <w:bottom w:val="single" w:color="auto" w:sz="12" w:space="0"/>
                  <w:right w:val="non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 w:type="dxa"/>
                  <w:vMerge w:val="restart"/>
                  <w:tcBorders>
                    <w:top w:val="single" w:color="auto" w:sz="4" w:space="0"/>
                    <w:left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63" w:rightChars="-30"/>
                    <w:jc w:val="both"/>
                    <w:rPr>
                      <w:rFonts w:hint="default" w:ascii="Times New Roman" w:hAnsi="Times New Roman" w:eastAsia="宋体" w:cs="Times New Roman"/>
                      <w:color w:val="000000"/>
                      <w:sz w:val="21"/>
                      <w:szCs w:val="21"/>
                      <w:highlight w:val="none"/>
                      <w:lang w:val="en-US" w:eastAsia="zh-CN"/>
                    </w:rPr>
                  </w:pPr>
                </w:p>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2</w:t>
                  </w:r>
                  <w:r>
                    <w:rPr>
                      <w:rFonts w:hint="default" w:ascii="Times New Roman" w:hAnsi="Times New Roman" w:eastAsia="宋体" w:cs="Times New Roman"/>
                      <w:color w:val="000000"/>
                      <w:sz w:val="21"/>
                      <w:szCs w:val="21"/>
                      <w:highlight w:val="none"/>
                      <w:lang w:val="en-US"/>
                    </w:rPr>
                    <w:t>#</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color w:val="000000"/>
                      <w:sz w:val="21"/>
                      <w:szCs w:val="21"/>
                      <w:highlight w:val="none"/>
                    </w:rPr>
                    <w:t>车间</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连杆压力机</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sz w:val="21"/>
                      <w:szCs w:val="21"/>
                      <w:highlight w:val="none"/>
                    </w:rPr>
                    <w:t>金丰 GTX-300</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80</w:t>
                  </w:r>
                </w:p>
              </w:tc>
              <w:tc>
                <w:tcPr>
                  <w:tcW w:w="1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基座减振，墙体隔声</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16</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3</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1.2</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rPr>
                    <w:t>1</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72</w:t>
                  </w:r>
                </w:p>
              </w:tc>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20h</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15</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57</w:t>
                  </w:r>
                </w:p>
              </w:tc>
              <w:tc>
                <w:tcPr>
                  <w:tcW w:w="782" w:type="dxa"/>
                  <w:tcBorders>
                    <w:top w:val="single" w:color="auto" w:sz="4" w:space="0"/>
                    <w:left w:val="single" w:color="auto" w:sz="4" w:space="0"/>
                    <w:bottom w:val="single" w:color="auto" w:sz="4" w:space="0"/>
                    <w:right w:val="nil"/>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1</w:t>
                  </w:r>
                </w:p>
              </w:tc>
            </w:tr>
            <w:tr>
              <w:tblPrEx>
                <w:tblBorders>
                  <w:top w:val="single" w:color="auto" w:sz="12" w:space="0"/>
                  <w:left w:val="none" w:color="auto" w:sz="4" w:space="0"/>
                  <w:bottom w:val="single" w:color="auto" w:sz="12" w:space="0"/>
                  <w:right w:val="non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连杆压力机</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sz w:val="21"/>
                      <w:szCs w:val="21"/>
                      <w:highlight w:val="none"/>
                    </w:rPr>
                    <w:t>金丰 GTX-300</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80</w:t>
                  </w:r>
                </w:p>
              </w:tc>
              <w:tc>
                <w:tcPr>
                  <w:tcW w:w="1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基座减振，墙体隔声</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16</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9</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1.2</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rPr>
                    <w:t>1</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72</w:t>
                  </w:r>
                </w:p>
              </w:tc>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20h</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15</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57</w:t>
                  </w:r>
                </w:p>
              </w:tc>
              <w:tc>
                <w:tcPr>
                  <w:tcW w:w="782" w:type="dxa"/>
                  <w:tcBorders>
                    <w:top w:val="single" w:color="auto" w:sz="4" w:space="0"/>
                    <w:left w:val="single" w:color="auto" w:sz="4" w:space="0"/>
                    <w:bottom w:val="single" w:color="auto" w:sz="4" w:space="0"/>
                    <w:right w:val="nil"/>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1</w:t>
                  </w:r>
                </w:p>
              </w:tc>
            </w:tr>
            <w:tr>
              <w:tblPrEx>
                <w:tblBorders>
                  <w:top w:val="single" w:color="auto" w:sz="12" w:space="0"/>
                  <w:left w:val="none" w:color="auto" w:sz="4" w:space="0"/>
                  <w:bottom w:val="single" w:color="auto" w:sz="12" w:space="0"/>
                  <w:right w:val="non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连杆压力机</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sz w:val="21"/>
                      <w:szCs w:val="21"/>
                      <w:highlight w:val="none"/>
                    </w:rPr>
                    <w:t>金丰 GTX-300</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80</w:t>
                  </w:r>
                </w:p>
              </w:tc>
              <w:tc>
                <w:tcPr>
                  <w:tcW w:w="1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基座减振，墙体隔声</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16</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15</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1.2</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rPr>
                    <w:t>1</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72</w:t>
                  </w:r>
                </w:p>
              </w:tc>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20h</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15</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57</w:t>
                  </w:r>
                </w:p>
              </w:tc>
              <w:tc>
                <w:tcPr>
                  <w:tcW w:w="782" w:type="dxa"/>
                  <w:tcBorders>
                    <w:top w:val="single" w:color="auto" w:sz="4" w:space="0"/>
                    <w:left w:val="single" w:color="auto" w:sz="4" w:space="0"/>
                    <w:bottom w:val="single" w:color="auto" w:sz="4" w:space="0"/>
                    <w:right w:val="nil"/>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1</w:t>
                  </w:r>
                </w:p>
              </w:tc>
            </w:tr>
            <w:tr>
              <w:tblPrEx>
                <w:tblBorders>
                  <w:top w:val="single" w:color="auto" w:sz="12" w:space="0"/>
                  <w:left w:val="none" w:color="auto" w:sz="4" w:space="0"/>
                  <w:bottom w:val="single" w:color="auto" w:sz="12" w:space="0"/>
                  <w:right w:val="non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sz w:val="21"/>
                      <w:szCs w:val="21"/>
                      <w:highlight w:val="none"/>
                      <w:lang w:val="en-US" w:eastAsia="zh-CN"/>
                    </w:rPr>
                    <w:t>全自动清洗机</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sz w:val="21"/>
                      <w:szCs w:val="21"/>
                      <w:highlight w:val="none"/>
                    </w:rPr>
                    <w:t>科宇信KYX2810D</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80</w:t>
                  </w:r>
                </w:p>
              </w:tc>
              <w:tc>
                <w:tcPr>
                  <w:tcW w:w="1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基座减振，墙体隔声</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33</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3</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1.2</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rPr>
                    <w:t>1</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72</w:t>
                  </w:r>
                </w:p>
              </w:tc>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20h</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15</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57</w:t>
                  </w:r>
                </w:p>
              </w:tc>
              <w:tc>
                <w:tcPr>
                  <w:tcW w:w="782" w:type="dxa"/>
                  <w:tcBorders>
                    <w:top w:val="single" w:color="auto" w:sz="4" w:space="0"/>
                    <w:left w:val="single" w:color="auto" w:sz="4" w:space="0"/>
                    <w:bottom w:val="single" w:color="auto" w:sz="4" w:space="0"/>
                    <w:right w:val="nil"/>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1</w:t>
                  </w:r>
                </w:p>
              </w:tc>
            </w:tr>
            <w:tr>
              <w:tblPrEx>
                <w:tblBorders>
                  <w:top w:val="single" w:color="auto" w:sz="12" w:space="0"/>
                  <w:left w:val="none" w:color="auto" w:sz="4" w:space="0"/>
                  <w:bottom w:val="single" w:color="auto" w:sz="12" w:space="0"/>
                  <w:right w:val="non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sz w:val="21"/>
                      <w:szCs w:val="21"/>
                      <w:highlight w:val="none"/>
                      <w:lang w:val="en-US" w:eastAsia="zh-CN"/>
                    </w:rPr>
                    <w:t>全自动清洗机</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sz w:val="21"/>
                      <w:szCs w:val="21"/>
                      <w:highlight w:val="none"/>
                    </w:rPr>
                    <w:t>科宇信KYX2810D</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80</w:t>
                  </w:r>
                </w:p>
              </w:tc>
              <w:tc>
                <w:tcPr>
                  <w:tcW w:w="1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基座减振，墙体隔声</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33</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9</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1.2</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rPr>
                    <w:t>1</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72</w:t>
                  </w:r>
                </w:p>
              </w:tc>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20h</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15</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57</w:t>
                  </w:r>
                </w:p>
              </w:tc>
              <w:tc>
                <w:tcPr>
                  <w:tcW w:w="782" w:type="dxa"/>
                  <w:tcBorders>
                    <w:top w:val="single" w:color="auto" w:sz="4" w:space="0"/>
                    <w:left w:val="single" w:color="auto" w:sz="4" w:space="0"/>
                    <w:bottom w:val="single" w:color="auto" w:sz="4" w:space="0"/>
                    <w:right w:val="nil"/>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1</w:t>
                  </w:r>
                </w:p>
              </w:tc>
            </w:tr>
            <w:tr>
              <w:tblPrEx>
                <w:tblBorders>
                  <w:top w:val="single" w:color="auto" w:sz="12" w:space="0"/>
                  <w:left w:val="none" w:color="auto" w:sz="4" w:space="0"/>
                  <w:bottom w:val="single" w:color="auto" w:sz="12" w:space="0"/>
                  <w:right w:val="non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sz w:val="21"/>
                      <w:szCs w:val="21"/>
                      <w:highlight w:val="none"/>
                      <w:lang w:val="en-US" w:eastAsia="zh-CN"/>
                    </w:rPr>
                    <w:t>全自动清洗机</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sz w:val="21"/>
                      <w:szCs w:val="21"/>
                      <w:highlight w:val="none"/>
                    </w:rPr>
                    <w:t>科宇信KYX2810D</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80</w:t>
                  </w:r>
                </w:p>
              </w:tc>
              <w:tc>
                <w:tcPr>
                  <w:tcW w:w="1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基座减振，墙体隔声</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33</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15</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1.2</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rPr>
                    <w:t>1</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72</w:t>
                  </w:r>
                </w:p>
              </w:tc>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20h</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15</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57</w:t>
                  </w:r>
                </w:p>
              </w:tc>
              <w:tc>
                <w:tcPr>
                  <w:tcW w:w="782" w:type="dxa"/>
                  <w:tcBorders>
                    <w:top w:val="single" w:color="auto" w:sz="4" w:space="0"/>
                    <w:left w:val="single" w:color="auto" w:sz="4" w:space="0"/>
                    <w:bottom w:val="single" w:color="auto" w:sz="4" w:space="0"/>
                    <w:right w:val="nil"/>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1</w:t>
                  </w:r>
                </w:p>
              </w:tc>
            </w:tr>
            <w:tr>
              <w:tblPrEx>
                <w:tblBorders>
                  <w:top w:val="single" w:color="auto" w:sz="12" w:space="0"/>
                  <w:left w:val="none" w:color="auto" w:sz="4" w:space="0"/>
                  <w:bottom w:val="single" w:color="auto" w:sz="12" w:space="0"/>
                  <w:right w:val="non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 w:type="dxa"/>
                  <w:vMerge w:val="restart"/>
                  <w:tcBorders>
                    <w:left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3</w:t>
                  </w:r>
                  <w:r>
                    <w:rPr>
                      <w:rFonts w:hint="default" w:ascii="Times New Roman" w:hAnsi="Times New Roman" w:eastAsia="宋体" w:cs="Times New Roman"/>
                      <w:color w:val="000000"/>
                      <w:sz w:val="21"/>
                      <w:szCs w:val="21"/>
                      <w:highlight w:val="none"/>
                      <w:lang w:val="en-US"/>
                    </w:rPr>
                    <w:t>#</w:t>
                  </w:r>
                </w:p>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车间</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落料机</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sz w:val="21"/>
                      <w:szCs w:val="21"/>
                      <w:highlight w:val="none"/>
                    </w:rPr>
                    <w:t>澳玛特APM-250</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80</w:t>
                  </w:r>
                </w:p>
              </w:tc>
              <w:tc>
                <w:tcPr>
                  <w:tcW w:w="1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基座减振，墙体隔声</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11</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16</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1.2</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rPr>
                    <w:t>1</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72</w:t>
                  </w:r>
                </w:p>
              </w:tc>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20h</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rPr>
                    <w:t>15</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57</w:t>
                  </w:r>
                </w:p>
              </w:tc>
              <w:tc>
                <w:tcPr>
                  <w:tcW w:w="782" w:type="dxa"/>
                  <w:tcBorders>
                    <w:top w:val="single" w:color="auto" w:sz="4" w:space="0"/>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rPr>
                    <w:t>1</w:t>
                  </w:r>
                </w:p>
              </w:tc>
            </w:tr>
            <w:tr>
              <w:tblPrEx>
                <w:tblBorders>
                  <w:top w:val="single" w:color="auto" w:sz="12" w:space="0"/>
                  <w:left w:val="none" w:color="auto" w:sz="4" w:space="0"/>
                  <w:bottom w:val="single" w:color="auto" w:sz="12" w:space="0"/>
                  <w:right w:val="non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 w:type="dxa"/>
                  <w:vMerge w:val="continue"/>
                  <w:tcBorders>
                    <w:left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连杆压力机</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sz w:val="21"/>
                      <w:szCs w:val="21"/>
                      <w:highlight w:val="none"/>
                    </w:rPr>
                    <w:t>金丰 GTX-300</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80</w:t>
                  </w:r>
                </w:p>
              </w:tc>
              <w:tc>
                <w:tcPr>
                  <w:tcW w:w="1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
                    </w:rPr>
                    <w:t>基座减振，墙体隔声</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10</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5</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1.2</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rPr>
                    <w:t>1</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72</w:t>
                  </w:r>
                </w:p>
              </w:tc>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20h</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
                    </w:rPr>
                    <w:t>15</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57</w:t>
                  </w:r>
                </w:p>
              </w:tc>
              <w:tc>
                <w:tcPr>
                  <w:tcW w:w="782" w:type="dxa"/>
                  <w:tcBorders>
                    <w:top w:val="single" w:color="auto" w:sz="4" w:space="0"/>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rPr>
                    <w:t>1</w:t>
                  </w:r>
                </w:p>
              </w:tc>
            </w:tr>
            <w:tr>
              <w:tblPrEx>
                <w:tblBorders>
                  <w:top w:val="single" w:color="auto" w:sz="12" w:space="0"/>
                  <w:left w:val="none" w:color="auto" w:sz="4" w:space="0"/>
                  <w:bottom w:val="single" w:color="auto" w:sz="12" w:space="0"/>
                  <w:right w:val="non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 w:type="dxa"/>
                  <w:vMerge w:val="continue"/>
                  <w:tcBorders>
                    <w:left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连杆压力机</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sz w:val="21"/>
                      <w:szCs w:val="21"/>
                      <w:highlight w:val="none"/>
                    </w:rPr>
                    <w:t>金丰 GTX-300</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80</w:t>
                  </w:r>
                </w:p>
              </w:tc>
              <w:tc>
                <w:tcPr>
                  <w:tcW w:w="1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
                    </w:rPr>
                    <w:t>基座减振，墙体隔声</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15</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5</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1.2</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rPr>
                    <w:t>1</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72</w:t>
                  </w:r>
                </w:p>
              </w:tc>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20h</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rPr>
                    <w:t>15</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57</w:t>
                  </w:r>
                </w:p>
              </w:tc>
              <w:tc>
                <w:tcPr>
                  <w:tcW w:w="782" w:type="dxa"/>
                  <w:tcBorders>
                    <w:top w:val="single" w:color="auto" w:sz="4" w:space="0"/>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rPr>
                    <w:t>1</w:t>
                  </w:r>
                </w:p>
              </w:tc>
            </w:tr>
            <w:tr>
              <w:tblPrEx>
                <w:tblBorders>
                  <w:top w:val="single" w:color="auto" w:sz="12" w:space="0"/>
                  <w:left w:val="none" w:color="auto" w:sz="4" w:space="0"/>
                  <w:bottom w:val="single" w:color="auto" w:sz="12" w:space="0"/>
                  <w:right w:val="non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658" w:type="dxa"/>
                  <w:vMerge w:val="continue"/>
                  <w:tcBorders>
                    <w:left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全自动清洗机</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sz w:val="21"/>
                      <w:szCs w:val="21"/>
                      <w:highlight w:val="none"/>
                    </w:rPr>
                    <w:t>科宇信KYX2810D</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80</w:t>
                  </w:r>
                </w:p>
              </w:tc>
              <w:tc>
                <w:tcPr>
                  <w:tcW w:w="1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
                    </w:rPr>
                    <w:t>基座减振，墙体隔声</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10</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10</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1.2</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rPr>
                    <w:t>1</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72</w:t>
                  </w:r>
                </w:p>
              </w:tc>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20h</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
                    </w:rPr>
                    <w:t>15</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57</w:t>
                  </w:r>
                </w:p>
              </w:tc>
              <w:tc>
                <w:tcPr>
                  <w:tcW w:w="782" w:type="dxa"/>
                  <w:tcBorders>
                    <w:top w:val="single" w:color="auto" w:sz="4" w:space="0"/>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rPr>
                    <w:t>1</w:t>
                  </w:r>
                </w:p>
              </w:tc>
            </w:tr>
            <w:tr>
              <w:tblPrEx>
                <w:tblBorders>
                  <w:top w:val="single" w:color="auto" w:sz="12" w:space="0"/>
                  <w:left w:val="none" w:color="auto" w:sz="4" w:space="0"/>
                  <w:bottom w:val="single" w:color="auto" w:sz="12" w:space="0"/>
                  <w:right w:val="non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 w:type="dxa"/>
                  <w:vMerge w:val="continue"/>
                  <w:tcBorders>
                    <w:left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全自动清洗机</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sz w:val="21"/>
                      <w:szCs w:val="21"/>
                      <w:highlight w:val="none"/>
                    </w:rPr>
                    <w:t>科宇信KYX2810D</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80</w:t>
                  </w:r>
                </w:p>
              </w:tc>
              <w:tc>
                <w:tcPr>
                  <w:tcW w:w="1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
                    </w:rPr>
                    <w:t>基座减振，墙体隔声</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15</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10</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1.2</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rPr>
                    <w:t>1</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72</w:t>
                  </w:r>
                </w:p>
              </w:tc>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20h</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
                    </w:rPr>
                    <w:t>15</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57</w:t>
                  </w:r>
                </w:p>
              </w:tc>
              <w:tc>
                <w:tcPr>
                  <w:tcW w:w="782" w:type="dxa"/>
                  <w:tcBorders>
                    <w:top w:val="single" w:color="auto" w:sz="4" w:space="0"/>
                    <w:left w:val="single" w:color="auto" w:sz="4" w:space="0"/>
                    <w:bottom w:val="single" w:color="auto" w:sz="4" w:space="0"/>
                    <w:right w:val="nil"/>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
                    </w:rPr>
                    <w:t>1</w:t>
                  </w:r>
                </w:p>
              </w:tc>
            </w:tr>
            <w:tr>
              <w:tblPrEx>
                <w:tblBorders>
                  <w:top w:val="single" w:color="auto" w:sz="12" w:space="0"/>
                  <w:left w:val="none" w:color="auto" w:sz="4" w:space="0"/>
                  <w:bottom w:val="single" w:color="auto" w:sz="12" w:space="0"/>
                  <w:right w:val="non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58"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rPr>
                    <w:t>空压机</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rPr>
                    <w:t>/</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90</w:t>
                  </w:r>
                </w:p>
              </w:tc>
              <w:tc>
                <w:tcPr>
                  <w:tcW w:w="1573"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kern w:val="2"/>
                      <w:sz w:val="21"/>
                      <w:szCs w:val="21"/>
                      <w:highlight w:val="none"/>
                      <w:lang w:val="en-US" w:eastAsia="zh-CN" w:bidi="ar"/>
                    </w:rPr>
                    <w:t>基座减振，墙体隔声、门窗采用吸声材料饰面</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58</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71</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1.2</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rPr>
                    <w:t>1</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82</w:t>
                  </w:r>
                </w:p>
              </w:tc>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20h</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20</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62</w:t>
                  </w:r>
                </w:p>
              </w:tc>
              <w:tc>
                <w:tcPr>
                  <w:tcW w:w="782" w:type="dxa"/>
                  <w:tcBorders>
                    <w:top w:val="single" w:color="auto" w:sz="4" w:space="0"/>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rPr>
                    <w:t>1</w:t>
                  </w:r>
                </w:p>
              </w:tc>
            </w:tr>
            <w:tr>
              <w:tblPrEx>
                <w:tblBorders>
                  <w:top w:val="single" w:color="auto" w:sz="12" w:space="0"/>
                  <w:left w:val="none" w:color="auto" w:sz="4" w:space="0"/>
                  <w:bottom w:val="single" w:color="auto" w:sz="12" w:space="0"/>
                  <w:right w:val="non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 w:type="dxa"/>
                  <w:vMerge w:val="continue"/>
                  <w:tcBorders>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000000"/>
                      <w:sz w:val="21"/>
                      <w:szCs w:val="21"/>
                      <w:highlight w:val="none"/>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空压机</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rPr>
                    <w:t>/</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90</w:t>
                  </w:r>
                </w:p>
              </w:tc>
              <w:tc>
                <w:tcPr>
                  <w:tcW w:w="1573"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rPr>
                  </w:pP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60</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71</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
                    </w:rPr>
                  </w:pPr>
                  <w:r>
                    <w:rPr>
                      <w:rFonts w:hint="default" w:ascii="Times New Roman" w:hAnsi="Times New Roman" w:eastAsia="宋体" w:cs="Times New Roman"/>
                      <w:color w:val="000000"/>
                      <w:sz w:val="21"/>
                      <w:szCs w:val="21"/>
                      <w:highlight w:val="none"/>
                      <w:lang w:val="en-US" w:eastAsia="zh-CN"/>
                    </w:rPr>
                    <w:t>1.2</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82</w:t>
                  </w:r>
                </w:p>
              </w:tc>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20h</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20</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62</w:t>
                  </w:r>
                </w:p>
              </w:tc>
              <w:tc>
                <w:tcPr>
                  <w:tcW w:w="782" w:type="dxa"/>
                  <w:tcBorders>
                    <w:top w:val="single" w:color="auto" w:sz="4" w:space="0"/>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rPr>
                    <w:t>1</w:t>
                  </w:r>
                </w:p>
              </w:tc>
            </w:tr>
            <w:tr>
              <w:tblPrEx>
                <w:tblBorders>
                  <w:top w:val="single" w:color="auto" w:sz="12" w:space="0"/>
                  <w:left w:val="none" w:color="auto" w:sz="4" w:space="0"/>
                  <w:bottom w:val="single" w:color="auto" w:sz="12" w:space="0"/>
                  <w:right w:val="non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 w:type="dxa"/>
                  <w:tcBorders>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000000"/>
                      <w:sz w:val="21"/>
                      <w:szCs w:val="21"/>
                      <w:highlight w:val="none"/>
                      <w:lang w:val="en-US" w:eastAsia="zh-CN"/>
                    </w:rPr>
                  </w:pPr>
                  <w:r>
                    <w:rPr>
                      <w:rFonts w:hint="eastAsia" w:cs="Times New Roman"/>
                      <w:color w:val="000000"/>
                      <w:sz w:val="21"/>
                      <w:szCs w:val="21"/>
                      <w:highlight w:val="none"/>
                      <w:lang w:val="en-US" w:eastAsia="zh-CN"/>
                    </w:rPr>
                    <w:t>铝壳废边清洗</w:t>
                  </w:r>
                  <w:r>
                    <w:rPr>
                      <w:rFonts w:hint="default" w:ascii="Times New Roman" w:hAnsi="Times New Roman" w:eastAsia="宋体" w:cs="Times New Roman"/>
                      <w:color w:val="000000"/>
                      <w:sz w:val="21"/>
                      <w:szCs w:val="21"/>
                      <w:highlight w:val="none"/>
                      <w:lang w:val="en-US" w:eastAsia="zh-CN"/>
                    </w:rPr>
                    <w:t>车间</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废料清洗机</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sz w:val="21"/>
                      <w:szCs w:val="21"/>
                      <w:highlight w:val="none"/>
                    </w:rPr>
                    <w:t>科宇信KYX2810D</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80</w:t>
                  </w:r>
                </w:p>
              </w:tc>
              <w:tc>
                <w:tcPr>
                  <w:tcW w:w="1573" w:type="dxa"/>
                  <w:tcBorders>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
                    </w:rPr>
                    <w:t>基座减振，墙体隔声</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eastAsia" w:ascii="Times New Roman" w:hAnsi="Times New Roman" w:eastAsia="宋体" w:cs="Times New Roman"/>
                      <w:color w:val="000000"/>
                      <w:sz w:val="21"/>
                      <w:szCs w:val="21"/>
                      <w:highlight w:val="none"/>
                      <w:lang w:val="en-US" w:eastAsia="zh-CN"/>
                    </w:rPr>
                    <w:t>10</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27</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1.2</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rPr>
                    <w:t>1</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72</w:t>
                  </w:r>
                </w:p>
              </w:tc>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20h</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
                    </w:rPr>
                    <w:t>15</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57</w:t>
                  </w:r>
                </w:p>
              </w:tc>
              <w:tc>
                <w:tcPr>
                  <w:tcW w:w="782" w:type="dxa"/>
                  <w:tcBorders>
                    <w:top w:val="single" w:color="auto" w:sz="4" w:space="0"/>
                    <w:left w:val="single" w:color="auto" w:sz="4" w:space="0"/>
                    <w:bottom w:val="single" w:color="auto" w:sz="4" w:space="0"/>
                    <w:right w:val="nil"/>
                  </w:tcBorders>
                  <w:shd w:val="clear" w:color="auto" w:fill="auto"/>
                  <w:vAlign w:val="center"/>
                </w:tcPr>
                <w:p>
                  <w:pPr>
                    <w:keepNext w:val="0"/>
                    <w:keepLines w:val="0"/>
                    <w:widowControl w:val="0"/>
                    <w:suppressLineNumbers w:val="0"/>
                    <w:spacing w:before="0" w:beforeAutospacing="0" w:after="0" w:afterAutospacing="0"/>
                    <w:ind w:left="-63" w:leftChars="-30" w:right="-63" w:rightChars="-3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
                    </w:rPr>
                    <w:t>1</w:t>
                  </w:r>
                </w:p>
              </w:tc>
            </w:tr>
            <w:tr>
              <w:tblPrEx>
                <w:tblBorders>
                  <w:top w:val="single" w:color="auto" w:sz="12" w:space="0"/>
                  <w:left w:val="none" w:color="auto" w:sz="4" w:space="0"/>
                  <w:bottom w:val="single" w:color="auto" w:sz="12" w:space="0"/>
                  <w:right w:val="non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08" w:type="dxa"/>
                  <w:gridSpan w:val="14"/>
                  <w:tcBorders>
                    <w:top w:val="single" w:color="auto" w:sz="4" w:space="0"/>
                    <w:left w:val="nil"/>
                    <w:bottom w:val="single" w:color="auto" w:sz="12" w:space="0"/>
                    <w:right w:val="nil"/>
                  </w:tcBorders>
                  <w:shd w:val="clear" w:color="auto" w:fill="auto"/>
                  <w:vAlign w:val="center"/>
                </w:tcPr>
                <w:p>
                  <w:pPr>
                    <w:keepNext w:val="0"/>
                    <w:keepLines w:val="0"/>
                    <w:widowControl/>
                    <w:suppressLineNumbers w:val="0"/>
                    <w:spacing w:before="0" w:beforeAutospacing="0" w:after="0" w:afterAutospacing="0"/>
                    <w:ind w:left="-63" w:leftChars="-30" w:right="-63" w:rightChars="-30" w:firstLine="0" w:firstLineChars="0"/>
                    <w:jc w:val="left"/>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rPr>
                    <w:t>注：以</w:t>
                  </w:r>
                  <w:r>
                    <w:rPr>
                      <w:rFonts w:hint="eastAsia" w:cs="Times New Roman"/>
                      <w:color w:val="000000"/>
                      <w:sz w:val="21"/>
                      <w:szCs w:val="21"/>
                      <w:highlight w:val="none"/>
                      <w:lang w:val="en-US" w:eastAsia="zh-CN"/>
                    </w:rPr>
                    <w:t>2</w:t>
                  </w:r>
                  <w:r>
                    <w:rPr>
                      <w:rFonts w:hint="default" w:ascii="Times New Roman" w:hAnsi="Times New Roman" w:eastAsia="宋体" w:cs="Times New Roman"/>
                      <w:color w:val="000000"/>
                      <w:sz w:val="21"/>
                      <w:szCs w:val="21"/>
                      <w:highlight w:val="none"/>
                      <w:lang w:val="en-US"/>
                    </w:rPr>
                    <w:t>#</w:t>
                  </w:r>
                  <w:r>
                    <w:rPr>
                      <w:rFonts w:hint="default" w:ascii="Times New Roman" w:hAnsi="Times New Roman" w:eastAsia="宋体" w:cs="Times New Roman"/>
                      <w:color w:val="000000"/>
                      <w:sz w:val="21"/>
                      <w:szCs w:val="21"/>
                      <w:highlight w:val="none"/>
                    </w:rPr>
                    <w:t>生产车间西南角为原点，正北方向为</w:t>
                  </w:r>
                  <w:r>
                    <w:rPr>
                      <w:rFonts w:hint="default" w:ascii="Times New Roman" w:hAnsi="Times New Roman" w:eastAsia="宋体" w:cs="Times New Roman"/>
                      <w:color w:val="000000"/>
                      <w:sz w:val="21"/>
                      <w:szCs w:val="21"/>
                      <w:highlight w:val="none"/>
                      <w:lang w:val="en-US"/>
                    </w:rPr>
                    <w:t>Y</w:t>
                  </w:r>
                  <w:r>
                    <w:rPr>
                      <w:rFonts w:hint="default" w:ascii="Times New Roman" w:hAnsi="Times New Roman" w:eastAsia="宋体" w:cs="Times New Roman"/>
                      <w:color w:val="000000"/>
                      <w:sz w:val="21"/>
                      <w:szCs w:val="21"/>
                      <w:highlight w:val="none"/>
                    </w:rPr>
                    <w:t>轴正方向，正南方向为</w:t>
                  </w:r>
                  <w:r>
                    <w:rPr>
                      <w:rFonts w:hint="default" w:ascii="Times New Roman" w:hAnsi="Times New Roman" w:eastAsia="宋体" w:cs="Times New Roman"/>
                      <w:color w:val="000000"/>
                      <w:sz w:val="21"/>
                      <w:szCs w:val="21"/>
                      <w:highlight w:val="none"/>
                      <w:lang w:val="en-US"/>
                    </w:rPr>
                    <w:t>X</w:t>
                  </w:r>
                  <w:r>
                    <w:rPr>
                      <w:rFonts w:hint="default" w:ascii="Times New Roman" w:hAnsi="Times New Roman" w:eastAsia="宋体" w:cs="Times New Roman"/>
                      <w:color w:val="000000"/>
                      <w:sz w:val="21"/>
                      <w:szCs w:val="21"/>
                      <w:highlight w:val="none"/>
                    </w:rPr>
                    <w:t>轴正方向，垂直向上方向为</w:t>
                  </w:r>
                  <w:r>
                    <w:rPr>
                      <w:rFonts w:hint="default" w:ascii="Times New Roman" w:hAnsi="Times New Roman" w:eastAsia="宋体" w:cs="Times New Roman"/>
                      <w:color w:val="000000"/>
                      <w:sz w:val="21"/>
                      <w:szCs w:val="21"/>
                      <w:highlight w:val="none"/>
                      <w:lang w:val="en-US"/>
                    </w:rPr>
                    <w:t>Z</w:t>
                  </w:r>
                  <w:r>
                    <w:rPr>
                      <w:rFonts w:hint="default" w:ascii="Times New Roman" w:hAnsi="Times New Roman" w:eastAsia="宋体" w:cs="Times New Roman"/>
                      <w:color w:val="000000"/>
                      <w:sz w:val="21"/>
                      <w:szCs w:val="21"/>
                      <w:highlight w:val="none"/>
                    </w:rPr>
                    <w:t>轴正方向。</w:t>
                  </w:r>
                </w:p>
              </w:tc>
            </w:tr>
          </w:tbl>
          <w:p>
            <w:pPr>
              <w:pStyle w:val="42"/>
              <w:keepNext w:val="0"/>
              <w:keepLines w:val="0"/>
              <w:suppressLineNumbers w:val="0"/>
              <w:spacing w:before="0" w:beforeAutospacing="0" w:after="0" w:afterAutospacing="0"/>
              <w:ind w:left="0" w:right="0" w:firstLine="480"/>
              <w:rPr>
                <w:rFonts w:hint="default"/>
              </w:rPr>
            </w:pPr>
          </w:p>
        </w:tc>
      </w:tr>
    </w:tbl>
    <w:p>
      <w:pPr>
        <w:pStyle w:val="47"/>
      </w:pPr>
    </w:p>
    <w:p>
      <w:pPr>
        <w:pStyle w:val="10"/>
      </w:pPr>
    </w:p>
    <w:p>
      <w:pPr>
        <w:sectPr>
          <w:pgSz w:w="16840" w:h="11907" w:orient="landscape"/>
          <w:pgMar w:top="1531" w:right="1701" w:bottom="1531" w:left="2127" w:header="851" w:footer="851" w:gutter="0"/>
          <w:pgBorders>
            <w:top w:val="none" w:sz="0" w:space="0"/>
            <w:left w:val="none" w:sz="0" w:space="0"/>
            <w:bottom w:val="none" w:sz="0" w:space="0"/>
            <w:right w:val="none" w:sz="0" w:space="0"/>
          </w:pgBorders>
          <w:pgNumType w:fmt="numberInDash"/>
          <w:cols w:space="720" w:num="1"/>
          <w:docGrid w:linePitch="312" w:charSpace="0"/>
        </w:sectPr>
      </w:pPr>
    </w:p>
    <w:tbl>
      <w:tblPr>
        <w:tblStyle w:val="27"/>
        <w:tblW w:w="89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58"/>
        <w:gridCol w:w="86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8" w:type="dxa"/>
            <w:tcMar>
              <w:left w:w="28" w:type="dxa"/>
              <w:right w:w="2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运营</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期环</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境影</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响和</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保护</w:t>
            </w:r>
          </w:p>
          <w:p>
            <w:pPr>
              <w:pStyle w:val="25"/>
              <w:keepNext w:val="0"/>
              <w:keepLines w:val="0"/>
              <w:suppressLineNumbers w:val="0"/>
              <w:adjustRightInd w:val="0"/>
              <w:snapToGrid w:val="0"/>
              <w:spacing w:before="0" w:beforeAutospacing="0" w:after="0" w:afterAutospacing="0"/>
              <w:ind w:left="0" w:right="0"/>
              <w:jc w:val="center"/>
              <w:rPr>
                <w:rFonts w:hint="default" w:cs="宋体"/>
                <w:kern w:val="2"/>
                <w:sz w:val="21"/>
                <w:szCs w:val="21"/>
              </w:rPr>
            </w:pPr>
            <w:r>
              <w:rPr>
                <w:rFonts w:hint="eastAsia" w:cs="宋体"/>
                <w:bCs/>
                <w:szCs w:val="21"/>
              </w:rPr>
              <w:t>措施</w:t>
            </w:r>
          </w:p>
        </w:tc>
        <w:tc>
          <w:tcPr>
            <w:tcW w:w="8623" w:type="dxa"/>
            <w:vMerge w:val="restart"/>
            <w:vAlign w:val="center"/>
          </w:tcPr>
          <w:p>
            <w:pPr>
              <w:pStyle w:val="5"/>
              <w:numPr>
                <w:ilvl w:val="2"/>
                <w:numId w:val="9"/>
              </w:numPr>
              <w:suppressLineNumbers w:val="0"/>
              <w:bidi w:val="0"/>
              <w:spacing w:before="0" w:beforeAutospacing="0" w:after="0" w:afterAutospacing="0" w:line="360" w:lineRule="auto"/>
              <w:ind w:right="0"/>
              <w:rPr>
                <w:rFonts w:hint="default" w:ascii="Times New Roman" w:hAnsi="Times New Roman" w:eastAsia="宋体" w:cs="Times New Roman"/>
              </w:rPr>
            </w:pPr>
            <w:r>
              <w:rPr>
                <w:rFonts w:hint="default" w:ascii="Times New Roman" w:hAnsi="Times New Roman" w:eastAsia="宋体" w:cs="Times New Roman"/>
                <w:lang w:val="en-US" w:eastAsia="zh-CN"/>
              </w:rPr>
              <w:t>噪声预测与影响分析</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根据《环境影响评价技术导则 声环境》（HJ2.4-2021）的技术要求，本次评价采取导则推荐模式。</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（1）</w:t>
            </w:r>
            <w:r>
              <w:rPr>
                <w:rFonts w:hint="default" w:ascii="Times New Roman" w:hAnsi="Times New Roman" w:eastAsia="宋体" w:cs="Times New Roman"/>
                <w:highlight w:val="none"/>
              </w:rPr>
              <w:t>声级的计算</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声源在预测点产生的</w:t>
            </w:r>
            <w:r>
              <w:rPr>
                <w:rFonts w:hint="default" w:ascii="Times New Roman" w:hAnsi="Times New Roman" w:eastAsia="宋体" w:cs="Times New Roman"/>
                <w:highlight w:val="none"/>
                <w:lang w:eastAsia="zh-CN"/>
              </w:rPr>
              <w:t>噪声</w:t>
            </w:r>
            <w:r>
              <w:rPr>
                <w:rFonts w:hint="default" w:ascii="Times New Roman" w:hAnsi="Times New Roman" w:eastAsia="宋体" w:cs="Times New Roman"/>
                <w:highlight w:val="none"/>
              </w:rPr>
              <w:t>贡献值</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Leqg</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计算公式：</w:t>
            </w:r>
          </w:p>
          <w:p>
            <w:pPr>
              <w:pStyle w:val="42"/>
              <w:keepNext w:val="0"/>
              <w:keepLines w:val="0"/>
              <w:suppressLineNumbers w:val="0"/>
              <w:spacing w:before="0" w:beforeAutospacing="0" w:after="0" w:afterAutospacing="0" w:line="360" w:lineRule="auto"/>
              <w:ind w:left="0" w:right="0" w:firstLine="480"/>
              <w:jc w:val="center"/>
              <w:rPr>
                <w:rFonts w:hint="default" w:ascii="Times New Roman" w:hAnsi="Times New Roman" w:eastAsia="宋体" w:cs="Times New Roman"/>
                <w:highlight w:val="none"/>
                <w:lang w:val="en-US" w:eastAsia="zh-CN"/>
              </w:rPr>
            </w:pPr>
            <w:r>
              <w:rPr>
                <w:rFonts w:hint="default" w:ascii="Times New Roman" w:hAnsi="Times New Roman" w:eastAsia="宋体" w:cs="Times New Roman"/>
                <w:position w:val="-32"/>
                <w:highlight w:val="none"/>
              </w:rPr>
              <w:object>
                <v:shape id="_x0000_i1025" o:spt="75" type="#_x0000_t75" style="height:37.8pt;width:138pt;" o:ole="t" filled="f" o:preferrelative="t" stroked="f" coordsize="21600,21600">
                  <v:path/>
                  <v:fill on="f" focussize="0,0"/>
                  <v:stroke on="f"/>
                  <v:imagedata r:id="rId12" o:title=""/>
                  <o:lock v:ext="edit" aspectratio="t"/>
                  <w10:wrap type="none"/>
                  <w10:anchorlock/>
                </v:shape>
                <o:OLEObject Type="Embed" ProgID="Equation.3" ShapeID="_x0000_i1025" DrawAspect="Content" ObjectID="_1468075725" r:id="rId11">
                  <o:LockedField>false</o:LockedField>
                </o:OLEObject>
              </w:object>
            </w:r>
            <w:r>
              <w:rPr>
                <w:rFonts w:hint="default" w:ascii="Times New Roman" w:hAnsi="Times New Roman" w:eastAsia="宋体" w:cs="Times New Roman"/>
                <w:highlight w:val="none"/>
                <w:lang w:val="en-US" w:eastAsia="zh-CN"/>
              </w:rPr>
              <w:t xml:space="preserve">                 （1）</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式中：Leqg—噪声贡献值，dB(A)；</w:t>
            </w:r>
          </w:p>
          <w:p>
            <w:pPr>
              <w:pStyle w:val="42"/>
              <w:keepNext w:val="0"/>
              <w:keepLines w:val="0"/>
              <w:suppressLineNumbers w:val="0"/>
              <w:spacing w:before="0" w:beforeAutospacing="0" w:after="0" w:afterAutospacing="0" w:line="360" w:lineRule="auto"/>
              <w:ind w:left="0" w:right="0" w:firstLine="1200" w:firstLineChars="500"/>
              <w:rPr>
                <w:rFonts w:hint="default" w:ascii="Times New Roman" w:hAnsi="Times New Roman" w:eastAsia="宋体" w:cs="Times New Roman"/>
                <w:highlight w:val="none"/>
              </w:rPr>
            </w:pPr>
            <w:r>
              <w:rPr>
                <w:rFonts w:hint="default" w:ascii="Times New Roman" w:hAnsi="Times New Roman" w:eastAsia="宋体" w:cs="Times New Roman"/>
                <w:highlight w:val="none"/>
              </w:rPr>
              <w:t>LAi—i声源在预测点产生的等效连续A声级，dB(A)；</w:t>
            </w:r>
          </w:p>
          <w:p>
            <w:pPr>
              <w:pStyle w:val="42"/>
              <w:keepNext w:val="0"/>
              <w:keepLines w:val="0"/>
              <w:suppressLineNumbers w:val="0"/>
              <w:spacing w:before="0" w:beforeAutospacing="0" w:after="0" w:afterAutospacing="0" w:line="360" w:lineRule="auto"/>
              <w:ind w:left="0" w:right="0" w:firstLine="1200" w:firstLineChars="500"/>
              <w:rPr>
                <w:rFonts w:hint="default" w:ascii="Times New Roman" w:hAnsi="Times New Roman" w:eastAsia="宋体" w:cs="Times New Roman"/>
                <w:highlight w:val="none"/>
              </w:rPr>
            </w:pPr>
            <w:r>
              <w:rPr>
                <w:rFonts w:hint="default" w:ascii="Times New Roman" w:hAnsi="Times New Roman" w:eastAsia="宋体" w:cs="Times New Roman"/>
                <w:highlight w:val="none"/>
              </w:rPr>
              <w:t>T—预测计算的时间段，s；</w:t>
            </w:r>
          </w:p>
          <w:p>
            <w:pPr>
              <w:pStyle w:val="42"/>
              <w:keepNext w:val="0"/>
              <w:keepLines w:val="0"/>
              <w:suppressLineNumbers w:val="0"/>
              <w:spacing w:before="0" w:beforeAutospacing="0" w:after="0" w:afterAutospacing="0" w:line="360" w:lineRule="auto"/>
              <w:ind w:left="0" w:right="0" w:firstLine="1200" w:firstLineChars="500"/>
              <w:rPr>
                <w:rFonts w:hint="default" w:ascii="Times New Roman" w:hAnsi="Times New Roman" w:eastAsia="宋体" w:cs="Times New Roman"/>
                <w:highlight w:val="none"/>
              </w:rPr>
            </w:pPr>
            <w:r>
              <w:rPr>
                <w:rFonts w:hint="default" w:ascii="Times New Roman" w:hAnsi="Times New Roman" w:eastAsia="宋体" w:cs="Times New Roman"/>
                <w:highlight w:val="none"/>
              </w:rPr>
              <w:t>ti—i声源在T时段内的运行时间，s。</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预测点的噪声预测值</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Leq</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计算公式：</w:t>
            </w:r>
          </w:p>
          <w:p>
            <w:pPr>
              <w:pStyle w:val="42"/>
              <w:keepNext w:val="0"/>
              <w:keepLines w:val="0"/>
              <w:suppressLineNumbers w:val="0"/>
              <w:spacing w:before="0" w:beforeAutospacing="0" w:after="0" w:afterAutospacing="0" w:line="360" w:lineRule="auto"/>
              <w:ind w:left="0" w:leftChars="0" w:right="0" w:firstLine="0" w:firstLineChars="0"/>
              <w:jc w:val="center"/>
              <w:rPr>
                <w:rFonts w:hint="default" w:ascii="Times New Roman" w:hAnsi="Times New Roman" w:eastAsia="宋体" w:cs="Times New Roman"/>
                <w:highlight w:val="none"/>
                <w:lang w:val="en-US" w:eastAsia="zh-CN"/>
              </w:rPr>
            </w:pPr>
            <w:r>
              <w:rPr>
                <w:rFonts w:hint="default" w:ascii="Times New Roman" w:hAnsi="Times New Roman" w:eastAsia="宋体" w:cs="Times New Roman"/>
                <w:color w:val="auto"/>
                <w:position w:val="-14"/>
                <w:szCs w:val="21"/>
                <w:highlight w:val="none"/>
              </w:rPr>
              <w:object>
                <v:shape id="_x0000_i1026" o:spt="75" type="#_x0000_t75" style="height:21pt;width:135.1pt;" o:ole="t" filled="f" o:preferrelative="t" stroked="f" coordsize="21600,21600">
                  <v:path/>
                  <v:fill on="f" focussize="0,0"/>
                  <v:stroke on="f"/>
                  <v:imagedata r:id="rId14" o:title=""/>
                  <o:lock v:ext="edit" aspectratio="t"/>
                  <w10:wrap type="none"/>
                  <w10:anchorlock/>
                </v:shape>
                <o:OLEObject Type="Embed" ProgID="Equation.3" ShapeID="_x0000_i1026" DrawAspect="Content" ObjectID="_1468075726" r:id="rId13">
                  <o:LockedField>false</o:LockedField>
                </o:OLEObject>
              </w:object>
            </w:r>
            <w:r>
              <w:rPr>
                <w:rFonts w:hint="default" w:ascii="Times New Roman" w:hAnsi="Times New Roman" w:eastAsia="宋体" w:cs="Times New Roman"/>
                <w:color w:val="auto"/>
                <w:position w:val="-34"/>
                <w:szCs w:val="21"/>
                <w:highlight w:val="none"/>
                <w:lang w:val="en-US" w:eastAsia="zh-CN"/>
              </w:rPr>
              <w:t xml:space="preserve">                 （2）</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lang w:eastAsia="zh-CN"/>
              </w:rPr>
              <w:t>式中：Leq—预测点的</w:t>
            </w:r>
            <w:r>
              <w:rPr>
                <w:rFonts w:hint="default" w:ascii="Times New Roman" w:hAnsi="Times New Roman" w:eastAsia="宋体" w:cs="Times New Roman"/>
                <w:highlight w:val="none"/>
                <w:lang w:val="en-US" w:eastAsia="zh-CN"/>
              </w:rPr>
              <w:t>噪声预测值</w:t>
            </w:r>
            <w:r>
              <w:rPr>
                <w:rFonts w:hint="default" w:ascii="Times New Roman" w:hAnsi="Times New Roman" w:eastAsia="宋体" w:cs="Times New Roman"/>
                <w:highlight w:val="none"/>
                <w:lang w:eastAsia="zh-CN"/>
              </w:rPr>
              <w:t>，dB(A)；</w:t>
            </w:r>
          </w:p>
          <w:p>
            <w:pPr>
              <w:pStyle w:val="42"/>
              <w:keepNext w:val="0"/>
              <w:keepLines w:val="0"/>
              <w:suppressLineNumbers w:val="0"/>
              <w:spacing w:before="0" w:beforeAutospacing="0" w:after="0" w:afterAutospacing="0" w:line="360" w:lineRule="auto"/>
              <w:ind w:left="0" w:right="0" w:firstLine="1200" w:firstLineChars="50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lang w:eastAsia="zh-CN"/>
              </w:rPr>
              <w:t>Leqg—建设项目声源在预测点的等效声级贡献值，dB(A)；</w:t>
            </w:r>
          </w:p>
          <w:p>
            <w:pPr>
              <w:pStyle w:val="42"/>
              <w:keepNext w:val="0"/>
              <w:keepLines w:val="0"/>
              <w:suppressLineNumbers w:val="0"/>
              <w:spacing w:before="0" w:beforeAutospacing="0" w:after="0" w:afterAutospacing="0" w:line="360" w:lineRule="auto"/>
              <w:ind w:left="0" w:right="0" w:firstLine="1200" w:firstLineChars="50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lang w:eastAsia="zh-CN"/>
              </w:rPr>
              <w:t>L</w:t>
            </w:r>
            <w:r>
              <w:rPr>
                <w:rFonts w:hint="default" w:ascii="Times New Roman" w:hAnsi="Times New Roman" w:eastAsia="宋体" w:cs="Times New Roman"/>
                <w:highlight w:val="none"/>
                <w:lang w:val="en-US" w:eastAsia="zh-CN"/>
              </w:rPr>
              <w:t>e</w:t>
            </w:r>
            <w:r>
              <w:rPr>
                <w:rFonts w:hint="default" w:ascii="Times New Roman" w:hAnsi="Times New Roman" w:eastAsia="宋体" w:cs="Times New Roman"/>
                <w:highlight w:val="none"/>
                <w:lang w:eastAsia="zh-CN"/>
              </w:rPr>
              <w:t>qb—预测点的背景值，dB(A)。</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lang w:val="en-US" w:eastAsia="zh-CN"/>
              </w:rPr>
              <w:t>（2）</w:t>
            </w:r>
            <w:r>
              <w:rPr>
                <w:rFonts w:hint="default" w:ascii="Times New Roman" w:hAnsi="Times New Roman" w:eastAsia="宋体" w:cs="Times New Roman"/>
                <w:highlight w:val="none"/>
                <w:lang w:eastAsia="zh-CN"/>
              </w:rPr>
              <w:t>户外声传播基本公式</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auto"/>
                <w:highlight w:val="none"/>
                <w:lang w:eastAsia="zh-CN"/>
              </w:rPr>
            </w:pPr>
            <w:r>
              <w:rPr>
                <w:rFonts w:hint="default" w:ascii="Times New Roman" w:hAnsi="Times New Roman" w:eastAsia="宋体" w:cs="Times New Roman"/>
                <w:color w:val="auto"/>
                <w:highlight w:val="none"/>
                <w:lang w:eastAsia="zh-CN"/>
              </w:rPr>
              <w:t>户外声传播衰减包括几何发散（</w:t>
            </w:r>
            <w:r>
              <w:rPr>
                <w:rFonts w:hint="default" w:ascii="Times New Roman" w:hAnsi="Times New Roman" w:eastAsia="宋体" w:cs="Times New Roman"/>
                <w:i/>
                <w:iCs/>
                <w:color w:val="auto"/>
                <w:highlight w:val="none"/>
                <w:lang w:eastAsia="zh-CN"/>
              </w:rPr>
              <w:t>A</w:t>
            </w:r>
            <w:r>
              <w:rPr>
                <w:rFonts w:hint="default" w:ascii="Times New Roman" w:hAnsi="Times New Roman" w:eastAsia="宋体" w:cs="Times New Roman"/>
                <w:i/>
                <w:iCs/>
                <w:color w:val="auto"/>
                <w:highlight w:val="none"/>
                <w:vertAlign w:val="subscript"/>
                <w:lang w:eastAsia="zh-CN"/>
              </w:rPr>
              <w:t>div</w:t>
            </w:r>
            <w:r>
              <w:rPr>
                <w:rFonts w:hint="default" w:ascii="Times New Roman" w:hAnsi="Times New Roman" w:eastAsia="宋体" w:cs="Times New Roman"/>
                <w:color w:val="auto"/>
                <w:highlight w:val="none"/>
                <w:lang w:eastAsia="zh-CN"/>
              </w:rPr>
              <w:t>）、大气吸收（</w:t>
            </w:r>
            <w:r>
              <w:rPr>
                <w:rFonts w:hint="default" w:ascii="Times New Roman" w:hAnsi="Times New Roman" w:eastAsia="宋体" w:cs="Times New Roman"/>
                <w:i/>
                <w:iCs/>
                <w:color w:val="auto"/>
                <w:highlight w:val="none"/>
                <w:lang w:eastAsia="zh-CN"/>
              </w:rPr>
              <w:t>A</w:t>
            </w:r>
            <w:r>
              <w:rPr>
                <w:rFonts w:hint="default" w:ascii="Times New Roman" w:hAnsi="Times New Roman" w:eastAsia="宋体" w:cs="Times New Roman"/>
                <w:i/>
                <w:iCs/>
                <w:color w:val="auto"/>
                <w:highlight w:val="none"/>
                <w:vertAlign w:val="subscript"/>
                <w:lang w:eastAsia="zh-CN"/>
              </w:rPr>
              <w:t>atm</w:t>
            </w:r>
            <w:r>
              <w:rPr>
                <w:rFonts w:hint="default" w:ascii="Times New Roman" w:hAnsi="Times New Roman" w:eastAsia="宋体" w:cs="Times New Roman"/>
                <w:color w:val="auto"/>
                <w:highlight w:val="none"/>
                <w:lang w:eastAsia="zh-CN"/>
              </w:rPr>
              <w:t>）、地面效应（</w:t>
            </w:r>
            <w:r>
              <w:rPr>
                <w:rFonts w:hint="default" w:ascii="Times New Roman" w:hAnsi="Times New Roman" w:eastAsia="宋体" w:cs="Times New Roman"/>
                <w:i/>
                <w:iCs/>
                <w:color w:val="auto"/>
                <w:highlight w:val="none"/>
                <w:lang w:eastAsia="zh-CN"/>
              </w:rPr>
              <w:t>A</w:t>
            </w:r>
            <w:r>
              <w:rPr>
                <w:rFonts w:hint="default" w:ascii="Times New Roman" w:hAnsi="Times New Roman" w:eastAsia="宋体" w:cs="Times New Roman"/>
                <w:i/>
                <w:iCs/>
                <w:color w:val="auto"/>
                <w:highlight w:val="none"/>
                <w:vertAlign w:val="subscript"/>
                <w:lang w:eastAsia="zh-CN"/>
              </w:rPr>
              <w:t>gr</w:t>
            </w:r>
            <w:r>
              <w:rPr>
                <w:rFonts w:hint="default" w:ascii="Times New Roman" w:hAnsi="Times New Roman" w:eastAsia="宋体" w:cs="Times New Roman"/>
                <w:color w:val="auto"/>
                <w:highlight w:val="none"/>
                <w:lang w:eastAsia="zh-CN"/>
              </w:rPr>
              <w:t>）、屏障屏蔽（</w:t>
            </w:r>
            <w:r>
              <w:rPr>
                <w:rFonts w:hint="default" w:ascii="Times New Roman" w:hAnsi="Times New Roman" w:eastAsia="宋体" w:cs="Times New Roman"/>
                <w:i/>
                <w:iCs/>
                <w:color w:val="auto"/>
                <w:highlight w:val="none"/>
                <w:lang w:eastAsia="zh-CN"/>
              </w:rPr>
              <w:t>A</w:t>
            </w:r>
            <w:r>
              <w:rPr>
                <w:rFonts w:hint="default" w:ascii="Times New Roman" w:hAnsi="Times New Roman" w:eastAsia="宋体" w:cs="Times New Roman"/>
                <w:i/>
                <w:iCs/>
                <w:color w:val="auto"/>
                <w:highlight w:val="none"/>
                <w:vertAlign w:val="subscript"/>
                <w:lang w:eastAsia="zh-CN"/>
              </w:rPr>
              <w:t>bar</w:t>
            </w:r>
            <w:r>
              <w:rPr>
                <w:rFonts w:hint="default" w:ascii="Times New Roman" w:hAnsi="Times New Roman" w:eastAsia="宋体" w:cs="Times New Roman"/>
                <w:color w:val="auto"/>
                <w:highlight w:val="none"/>
                <w:lang w:eastAsia="zh-CN"/>
              </w:rPr>
              <w:t>）、其他多方面效应（</w:t>
            </w:r>
            <w:r>
              <w:rPr>
                <w:rFonts w:hint="default" w:ascii="Times New Roman" w:hAnsi="Times New Roman" w:eastAsia="宋体" w:cs="Times New Roman"/>
                <w:i/>
                <w:iCs/>
                <w:color w:val="auto"/>
                <w:highlight w:val="none"/>
                <w:lang w:eastAsia="zh-CN"/>
              </w:rPr>
              <w:t>A</w:t>
            </w:r>
            <w:r>
              <w:rPr>
                <w:rFonts w:hint="default" w:ascii="Times New Roman" w:hAnsi="Times New Roman" w:eastAsia="宋体" w:cs="Times New Roman"/>
                <w:i/>
                <w:iCs/>
                <w:color w:val="auto"/>
                <w:highlight w:val="none"/>
                <w:vertAlign w:val="subscript"/>
                <w:lang w:eastAsia="zh-CN"/>
              </w:rPr>
              <w:t>misc</w:t>
            </w:r>
            <w:r>
              <w:rPr>
                <w:rFonts w:hint="default" w:ascii="Times New Roman" w:hAnsi="Times New Roman" w:eastAsia="宋体" w:cs="Times New Roman"/>
                <w:color w:val="auto"/>
                <w:highlight w:val="none"/>
                <w:lang w:eastAsia="zh-CN"/>
              </w:rPr>
              <w:t>）引起的衰减。本次预测计算中只考虑各设备声源至受声点（预测点）的距离衰减、隔墙（或窗户）的传输损失及降噪设备引起的噪声衰减。</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lang w:eastAsia="zh-CN"/>
              </w:rPr>
              <w:fldChar w:fldCharType="begin"/>
            </w:r>
            <w:r>
              <w:rPr>
                <w:rFonts w:hint="default" w:ascii="Times New Roman" w:hAnsi="Times New Roman" w:eastAsia="宋体" w:cs="Times New Roman"/>
                <w:highlight w:val="none"/>
                <w:lang w:eastAsia="zh-CN"/>
              </w:rPr>
              <w:instrText xml:space="preserve"> = 1 \* GB3 \* MERGEFORMAT </w:instrText>
            </w:r>
            <w:r>
              <w:rPr>
                <w:rFonts w:hint="default" w:ascii="Times New Roman" w:hAnsi="Times New Roman" w:eastAsia="宋体" w:cs="Times New Roman"/>
                <w:highlight w:val="none"/>
                <w:lang w:eastAsia="zh-CN"/>
              </w:rPr>
              <w:fldChar w:fldCharType="separate"/>
            </w:r>
            <w:r>
              <w:rPr>
                <w:rFonts w:hint="default" w:ascii="Times New Roman" w:hAnsi="Times New Roman" w:eastAsia="宋体" w:cs="Times New Roman"/>
                <w:highlight w:val="none"/>
              </w:rPr>
              <w:t>①</w:t>
            </w:r>
            <w:r>
              <w:rPr>
                <w:rFonts w:hint="default" w:ascii="Times New Roman" w:hAnsi="Times New Roman" w:eastAsia="宋体" w:cs="Times New Roman"/>
                <w:highlight w:val="none"/>
                <w:lang w:eastAsia="zh-CN"/>
              </w:rPr>
              <w:fldChar w:fldCharType="end"/>
            </w:r>
            <w:r>
              <w:rPr>
                <w:rFonts w:hint="default" w:ascii="Times New Roman" w:hAnsi="Times New Roman" w:eastAsia="宋体" w:cs="Times New Roman"/>
                <w:highlight w:val="none"/>
                <w:lang w:eastAsia="zh-CN"/>
              </w:rPr>
              <w:t>在环境影响评价中，应根据声源声功率级或参考位置处的声压级、户外声传播衰减，计算预测点的声级，用式（3）计算。</w:t>
            </w:r>
          </w:p>
          <w:p>
            <w:pPr>
              <w:pStyle w:val="42"/>
              <w:keepNext w:val="0"/>
              <w:keepLines w:val="0"/>
              <w:suppressLineNumbers w:val="0"/>
              <w:spacing w:before="0" w:beforeAutospacing="0" w:after="0" w:afterAutospacing="0" w:line="360" w:lineRule="auto"/>
              <w:ind w:left="0" w:leftChars="0" w:right="0" w:firstLine="0" w:firstLineChars="0"/>
              <w:jc w:val="cente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rPr>
              <w:drawing>
                <wp:inline distT="0" distB="0" distL="114300" distR="114300">
                  <wp:extent cx="3253740" cy="353060"/>
                  <wp:effectExtent l="0" t="0" r="3810" b="889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15"/>
                          <a:stretch>
                            <a:fillRect/>
                          </a:stretch>
                        </pic:blipFill>
                        <pic:spPr>
                          <a:xfrm>
                            <a:off x="0" y="0"/>
                            <a:ext cx="3253740" cy="353060"/>
                          </a:xfrm>
                          <a:prstGeom prst="rect">
                            <a:avLst/>
                          </a:prstGeom>
                          <a:noFill/>
                          <a:ln w="9525">
                            <a:noFill/>
                          </a:ln>
                        </pic:spPr>
                      </pic:pic>
                    </a:graphicData>
                  </a:graphic>
                </wp:inline>
              </w:drawing>
            </w:r>
            <w:r>
              <w:rPr>
                <w:rFonts w:hint="default" w:ascii="Times New Roman" w:hAnsi="Times New Roman" w:eastAsia="宋体" w:cs="Times New Roman"/>
                <w:highlight w:val="none"/>
                <w:lang w:val="en-US" w:eastAsia="zh-CN"/>
              </w:rPr>
              <w:t xml:space="preserve">         （3）</w:t>
            </w:r>
          </w:p>
          <w:p>
            <w:pPr>
              <w:pStyle w:val="42"/>
              <w:keepNext w:val="0"/>
              <w:keepLines w:val="0"/>
              <w:suppressLineNumbers w:val="0"/>
              <w:spacing w:before="0" w:beforeAutospacing="0" w:after="0" w:afterAutospacing="0" w:line="360" w:lineRule="auto"/>
              <w:ind w:left="0" w:right="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highlight w:val="none"/>
                <w:lang w:val="en-US" w:eastAsia="zh-CN"/>
              </w:rPr>
              <w:fldChar w:fldCharType="begin"/>
            </w:r>
            <w:r>
              <w:rPr>
                <w:rFonts w:hint="default" w:ascii="Times New Roman" w:hAnsi="Times New Roman" w:eastAsia="宋体" w:cs="Times New Roman"/>
                <w:highlight w:val="none"/>
                <w:lang w:val="en-US" w:eastAsia="zh-CN"/>
              </w:rPr>
              <w:instrText xml:space="preserve"> = 2 \* GB3 \* MERGEFORMAT </w:instrText>
            </w:r>
            <w:r>
              <w:rPr>
                <w:rFonts w:hint="default" w:ascii="Times New Roman" w:hAnsi="Times New Roman" w:eastAsia="宋体" w:cs="Times New Roman"/>
                <w:highlight w:val="none"/>
                <w:lang w:val="en-US" w:eastAsia="zh-CN"/>
              </w:rPr>
              <w:fldChar w:fldCharType="separate"/>
            </w:r>
            <w:r>
              <w:rPr>
                <w:rFonts w:hint="default" w:ascii="Times New Roman" w:hAnsi="Times New Roman" w:eastAsia="宋体" w:cs="Times New Roman"/>
                <w:highlight w:val="none"/>
              </w:rPr>
              <w:t>②</w:t>
            </w:r>
            <w:r>
              <w:rPr>
                <w:rFonts w:hint="default" w:ascii="Times New Roman" w:hAnsi="Times New Roman" w:eastAsia="宋体" w:cs="Times New Roman"/>
                <w:highlight w:val="none"/>
                <w:lang w:val="en-US" w:eastAsia="zh-CN"/>
              </w:rPr>
              <w:fldChar w:fldCharType="end"/>
            </w:r>
            <w:r>
              <w:rPr>
                <w:rFonts w:hint="default" w:ascii="Times New Roman" w:hAnsi="Times New Roman" w:eastAsia="宋体" w:cs="Times New Roman"/>
                <w:color w:val="auto"/>
                <w:highlight w:val="none"/>
                <w:lang w:val="en-US" w:eastAsia="zh-CN"/>
              </w:rPr>
              <w:t>在只考虑几何发散衰减时，可用公式（5）计算：</w:t>
            </w:r>
          </w:p>
          <w:p>
            <w:pPr>
              <w:pStyle w:val="42"/>
              <w:keepNext w:val="0"/>
              <w:keepLines w:val="0"/>
              <w:suppressLineNumbers w:val="0"/>
              <w:spacing w:before="0" w:beforeAutospacing="0" w:after="0" w:afterAutospacing="0" w:line="360" w:lineRule="auto"/>
              <w:ind w:left="0" w:leftChars="0" w:right="0" w:firstLine="0" w:firstLineChars="0"/>
              <w:jc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rPr>
              <w:drawing>
                <wp:inline distT="0" distB="0" distL="114300" distR="114300">
                  <wp:extent cx="1670685" cy="259715"/>
                  <wp:effectExtent l="0" t="0" r="5715" b="698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6"/>
                          <a:stretch>
                            <a:fillRect/>
                          </a:stretch>
                        </pic:blipFill>
                        <pic:spPr>
                          <a:xfrm>
                            <a:off x="0" y="0"/>
                            <a:ext cx="1670685" cy="259715"/>
                          </a:xfrm>
                          <a:prstGeom prst="rect">
                            <a:avLst/>
                          </a:prstGeom>
                          <a:noFill/>
                          <a:ln>
                            <a:noFill/>
                          </a:ln>
                        </pic:spPr>
                      </pic:pic>
                    </a:graphicData>
                  </a:graphic>
                </wp:inline>
              </w:drawing>
            </w:r>
            <w:r>
              <w:rPr>
                <w:rFonts w:hint="default" w:ascii="Times New Roman" w:hAnsi="Times New Roman" w:eastAsia="宋体" w:cs="Times New Roman"/>
                <w:color w:val="auto"/>
                <w:highlight w:val="none"/>
                <w:lang w:val="en-US" w:eastAsia="zh-CN"/>
              </w:rPr>
              <w:t xml:space="preserve">                 （5）</w:t>
            </w:r>
          </w:p>
          <w:p>
            <w:pPr>
              <w:pStyle w:val="42"/>
              <w:keepNext w:val="0"/>
              <w:keepLines w:val="0"/>
              <w:suppressLineNumbers w:val="0"/>
              <w:bidi w:val="0"/>
              <w:spacing w:before="0" w:beforeAutospacing="0" w:after="0" w:afterAutospacing="0" w:line="360" w:lineRule="auto"/>
              <w:ind w:left="0" w:right="0"/>
              <w:rPr>
                <w:rFonts w:hint="default" w:ascii="Times New Roman" w:hAnsi="Times New Roman" w:eastAsia="宋体" w:cs="Times New Roman"/>
              </w:rPr>
            </w:pPr>
            <w:r>
              <w:rPr>
                <w:rFonts w:hint="default" w:ascii="Times New Roman" w:hAnsi="Times New Roman" w:eastAsia="宋体" w:cs="Times New Roman"/>
                <w:highlight w:val="none"/>
              </w:rPr>
              <w:t>式</w:t>
            </w:r>
            <w:r>
              <w:rPr>
                <w:rFonts w:hint="default" w:ascii="Times New Roman" w:hAnsi="Times New Roman" w:eastAsia="宋体" w:cs="Times New Roman"/>
              </w:rPr>
              <w:t>中：Lp(r</w:t>
            </w:r>
            <w:r>
              <w:rPr>
                <w:rFonts w:hint="default" w:ascii="Times New Roman" w:hAnsi="Times New Roman" w:eastAsia="宋体" w:cs="Times New Roman"/>
                <w:vertAlign w:val="subscript"/>
              </w:rPr>
              <w:t>0</w:t>
            </w:r>
            <w:r>
              <w:rPr>
                <w:rFonts w:hint="default" w:ascii="Times New Roman" w:hAnsi="Times New Roman" w:eastAsia="宋体" w:cs="Times New Roman"/>
              </w:rPr>
              <w:t>)—设备源声压级，dB；</w:t>
            </w:r>
          </w:p>
          <w:p>
            <w:pPr>
              <w:pStyle w:val="42"/>
              <w:keepNext w:val="0"/>
              <w:keepLines w:val="0"/>
              <w:suppressLineNumbers w:val="0"/>
              <w:bidi w:val="0"/>
              <w:spacing w:before="0" w:beforeAutospacing="0" w:after="0" w:afterAutospacing="0" w:line="360" w:lineRule="auto"/>
              <w:ind w:left="0" w:right="0" w:firstLine="1200" w:firstLineChars="500"/>
              <w:rPr>
                <w:rFonts w:hint="default" w:ascii="Times New Roman" w:hAnsi="Times New Roman" w:eastAsia="宋体" w:cs="Times New Roman"/>
              </w:rPr>
            </w:pPr>
            <w:r>
              <w:rPr>
                <w:rFonts w:hint="default" w:ascii="Times New Roman" w:hAnsi="Times New Roman" w:eastAsia="宋体" w:cs="Times New Roman"/>
              </w:rPr>
              <w:t>Lp(r)—距离r预测点声压级，dB。</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highlight w:val="none"/>
              </w:rPr>
            </w:pP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lang w:val="en-US" w:eastAsia="zh-CN"/>
              </w:rPr>
              <w:t>3</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噪声预测及影响评价</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rPr>
              <w:t>经计算本项目固定设备噪声对</w:t>
            </w:r>
            <w:r>
              <w:rPr>
                <w:rFonts w:hint="default" w:ascii="Times New Roman" w:hAnsi="Times New Roman" w:eastAsia="宋体" w:cs="Times New Roman"/>
                <w:highlight w:val="none"/>
                <w:lang w:eastAsia="zh-CN"/>
              </w:rPr>
              <w:t>厂界</w:t>
            </w:r>
            <w:r>
              <w:rPr>
                <w:rFonts w:hint="default" w:ascii="Times New Roman" w:hAnsi="Times New Roman" w:eastAsia="宋体" w:cs="Times New Roman"/>
                <w:highlight w:val="none"/>
              </w:rPr>
              <w:t>影响贡献值，详见</w:t>
            </w:r>
            <w:r>
              <w:rPr>
                <w:rFonts w:hint="default" w:ascii="Times New Roman" w:hAnsi="Times New Roman" w:eastAsia="宋体" w:cs="Times New Roman"/>
                <w:highlight w:val="none"/>
                <w:lang w:val="en-US" w:eastAsia="zh-CN"/>
              </w:rPr>
              <w:t>下表。</w:t>
            </w:r>
          </w:p>
          <w:p>
            <w:pPr>
              <w:pStyle w:val="36"/>
              <w:keepNext w:val="0"/>
              <w:keepLines w:val="0"/>
              <w:suppressLineNumbers w:val="0"/>
              <w:bidi w:val="0"/>
              <w:spacing w:before="0" w:beforeAutospacing="0" w:after="0" w:afterAutospacing="0" w:line="360" w:lineRule="auto"/>
              <w:ind w:right="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项目厂界噪声预测结果一览表</w:t>
            </w:r>
          </w:p>
          <w:tbl>
            <w:tblPr>
              <w:tblStyle w:val="27"/>
              <w:tblW w:w="840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57"/>
              <w:gridCol w:w="1857"/>
              <w:gridCol w:w="1173"/>
              <w:gridCol w:w="1155"/>
              <w:gridCol w:w="1268"/>
              <w:gridCol w:w="109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14" w:type="dxa"/>
                  <w:gridSpan w:val="2"/>
                  <w:vMerge w:val="restart"/>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噪声源名称</w:t>
                  </w:r>
                </w:p>
              </w:tc>
              <w:tc>
                <w:tcPr>
                  <w:tcW w:w="4693" w:type="dxa"/>
                  <w:gridSpan w:val="4"/>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与预测点距离（m）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14" w:type="dxa"/>
                  <w:gridSpan w:val="2"/>
                  <w:vMerge w:val="continue"/>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color w:val="auto"/>
                      <w:sz w:val="21"/>
                      <w:szCs w:val="21"/>
                      <w:highlight w:val="none"/>
                    </w:rPr>
                  </w:pPr>
                </w:p>
              </w:tc>
              <w:tc>
                <w:tcPr>
                  <w:tcW w:w="1173"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东侧厂界</w:t>
                  </w:r>
                </w:p>
              </w:tc>
              <w:tc>
                <w:tcPr>
                  <w:tcW w:w="1155"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南侧厂界</w:t>
                  </w:r>
                </w:p>
              </w:tc>
              <w:tc>
                <w:tcPr>
                  <w:tcW w:w="1268"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西侧厂界</w:t>
                  </w:r>
                </w:p>
              </w:tc>
              <w:tc>
                <w:tcPr>
                  <w:tcW w:w="1097" w:type="dxa"/>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北侧厂界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14" w:type="dxa"/>
                  <w:gridSpan w:val="2"/>
                  <w:vMerge w:val="restart"/>
                  <w:tcBorders>
                    <w:tl2br w:val="nil"/>
                    <w:tr2bl w:val="nil"/>
                  </w:tcBorders>
                  <w:vAlign w:val="center"/>
                </w:tcPr>
                <w:p>
                  <w:pPr>
                    <w:pStyle w:val="37"/>
                    <w:keepNext w:val="0"/>
                    <w:keepLines w:val="0"/>
                    <w:suppressLineNumbers w:val="0"/>
                    <w:spacing w:before="0" w:beforeAutospacing="0" w:after="0" w:afterAutospacing="0"/>
                    <w:ind w:left="0" w:leftChars="0" w:right="0"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主要声源</w:t>
                  </w:r>
                  <w:r>
                    <w:rPr>
                      <w:rFonts w:hint="default" w:ascii="Times New Roman" w:hAnsi="Times New Roman" w:eastAsia="宋体" w:cs="Times New Roman"/>
                      <w:color w:val="auto"/>
                      <w:sz w:val="21"/>
                      <w:szCs w:val="21"/>
                      <w:highlight w:val="none"/>
                      <w:lang w:val="en-US" w:eastAsia="zh-CN"/>
                    </w:rPr>
                    <w:t>贡献值</w:t>
                  </w:r>
                  <w:r>
                    <w:rPr>
                      <w:rFonts w:hint="default" w:ascii="Times New Roman" w:hAnsi="Times New Roman" w:eastAsia="宋体" w:cs="Times New Roman"/>
                      <w:sz w:val="21"/>
                      <w:szCs w:val="21"/>
                      <w:highlight w:val="none"/>
                    </w:rPr>
                    <w:t>(dB(A))</w:t>
                  </w:r>
                </w:p>
              </w:tc>
              <w:tc>
                <w:tcPr>
                  <w:tcW w:w="1173" w:type="dxa"/>
                  <w:tcBorders>
                    <w:tl2br w:val="nil"/>
                    <w:tr2bl w:val="nil"/>
                  </w:tcBorders>
                  <w:vAlign w:val="center"/>
                </w:tcPr>
                <w:p>
                  <w:pPr>
                    <w:pStyle w:val="37"/>
                    <w:keepNext w:val="0"/>
                    <w:keepLines w:val="0"/>
                    <w:suppressLineNumbers w:val="0"/>
                    <w:spacing w:before="0" w:beforeAutospacing="0" w:after="0" w:afterAutospacing="0"/>
                    <w:ind w:left="0" w:leftChars="0" w:right="0"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56</w:t>
                  </w:r>
                </w:p>
              </w:tc>
              <w:tc>
                <w:tcPr>
                  <w:tcW w:w="1155" w:type="dxa"/>
                  <w:tcBorders>
                    <w:tl2br w:val="nil"/>
                    <w:tr2bl w:val="nil"/>
                  </w:tcBorders>
                  <w:vAlign w:val="center"/>
                </w:tcPr>
                <w:p>
                  <w:pPr>
                    <w:pStyle w:val="37"/>
                    <w:keepNext w:val="0"/>
                    <w:keepLines w:val="0"/>
                    <w:suppressLineNumbers w:val="0"/>
                    <w:spacing w:before="0" w:beforeAutospacing="0" w:after="0" w:afterAutospacing="0"/>
                    <w:ind w:left="0" w:leftChars="0" w:right="0"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42</w:t>
                  </w:r>
                </w:p>
              </w:tc>
              <w:tc>
                <w:tcPr>
                  <w:tcW w:w="1268" w:type="dxa"/>
                  <w:tcBorders>
                    <w:tl2br w:val="nil"/>
                    <w:tr2bl w:val="nil"/>
                  </w:tcBorders>
                  <w:vAlign w:val="center"/>
                </w:tcPr>
                <w:p>
                  <w:pPr>
                    <w:pStyle w:val="37"/>
                    <w:keepNext w:val="0"/>
                    <w:keepLines w:val="0"/>
                    <w:suppressLineNumbers w:val="0"/>
                    <w:spacing w:before="0" w:beforeAutospacing="0" w:after="0" w:afterAutospacing="0"/>
                    <w:ind w:left="0" w:leftChars="0" w:right="0"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14</w:t>
                  </w:r>
                </w:p>
              </w:tc>
              <w:tc>
                <w:tcPr>
                  <w:tcW w:w="1097" w:type="dxa"/>
                  <w:tcBorders>
                    <w:tl2br w:val="nil"/>
                    <w:tr2bl w:val="nil"/>
                  </w:tcBorders>
                  <w:vAlign w:val="center"/>
                </w:tcPr>
                <w:p>
                  <w:pPr>
                    <w:pStyle w:val="37"/>
                    <w:keepNext w:val="0"/>
                    <w:keepLines w:val="0"/>
                    <w:suppressLineNumbers w:val="0"/>
                    <w:spacing w:before="0" w:beforeAutospacing="0" w:after="0" w:afterAutospacing="0"/>
                    <w:ind w:left="0" w:leftChars="0" w:right="0"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86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14" w:type="dxa"/>
                  <w:gridSpan w:val="2"/>
                  <w:vMerge w:val="continue"/>
                  <w:tcBorders>
                    <w:tl2br w:val="nil"/>
                    <w:tr2bl w:val="nil"/>
                  </w:tcBorders>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color w:val="auto"/>
                      <w:sz w:val="21"/>
                      <w:szCs w:val="21"/>
                      <w:highlight w:val="none"/>
                      <w:lang w:val="en-US" w:eastAsia="zh-CN"/>
                    </w:rPr>
                  </w:pPr>
                </w:p>
              </w:tc>
              <w:tc>
                <w:tcPr>
                  <w:tcW w:w="1173" w:type="dxa"/>
                  <w:tcBorders>
                    <w:tl2br w:val="nil"/>
                    <w:tr2bl w:val="nil"/>
                  </w:tcBorders>
                  <w:vAlign w:val="center"/>
                </w:tcPr>
                <w:p>
                  <w:pPr>
                    <w:pStyle w:val="37"/>
                    <w:keepNext w:val="0"/>
                    <w:keepLines w:val="0"/>
                    <w:suppressLineNumbers w:val="0"/>
                    <w:spacing w:before="0" w:beforeAutospacing="0" w:after="0" w:afterAutospacing="0"/>
                    <w:ind w:left="0" w:leftChars="0" w:right="0"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4</w:t>
                  </w:r>
                  <w:r>
                    <w:rPr>
                      <w:rFonts w:hint="eastAsia" w:ascii="Times New Roman" w:hAnsi="Times New Roman" w:eastAsia="宋体" w:cs="Times New Roman"/>
                      <w:color w:val="auto"/>
                      <w:sz w:val="21"/>
                      <w:szCs w:val="21"/>
                      <w:highlight w:val="none"/>
                      <w:lang w:val="en-US" w:eastAsia="zh-CN"/>
                    </w:rPr>
                    <w:t>6.5</w:t>
                  </w:r>
                </w:p>
              </w:tc>
              <w:tc>
                <w:tcPr>
                  <w:tcW w:w="1155" w:type="dxa"/>
                  <w:tcBorders>
                    <w:tl2br w:val="nil"/>
                    <w:tr2bl w:val="nil"/>
                  </w:tcBorders>
                  <w:vAlign w:val="center"/>
                </w:tcPr>
                <w:p>
                  <w:pPr>
                    <w:pStyle w:val="37"/>
                    <w:keepNext w:val="0"/>
                    <w:keepLines w:val="0"/>
                    <w:suppressLineNumbers w:val="0"/>
                    <w:spacing w:before="0" w:beforeAutospacing="0" w:after="0" w:afterAutospacing="0"/>
                    <w:ind w:left="0" w:leftChars="0" w:right="0"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4</w:t>
                  </w:r>
                  <w:r>
                    <w:rPr>
                      <w:rFonts w:hint="eastAsia" w:ascii="Times New Roman" w:hAnsi="Times New Roman" w:eastAsia="宋体" w:cs="Times New Roman"/>
                      <w:color w:val="auto"/>
                      <w:sz w:val="21"/>
                      <w:szCs w:val="21"/>
                      <w:highlight w:val="none"/>
                      <w:lang w:val="en-US" w:eastAsia="zh-CN"/>
                    </w:rPr>
                    <w:t>7.5</w:t>
                  </w:r>
                </w:p>
              </w:tc>
              <w:tc>
                <w:tcPr>
                  <w:tcW w:w="1268" w:type="dxa"/>
                  <w:tcBorders>
                    <w:tl2br w:val="nil"/>
                    <w:tr2bl w:val="nil"/>
                  </w:tcBorders>
                  <w:vAlign w:val="center"/>
                </w:tcPr>
                <w:p>
                  <w:pPr>
                    <w:pStyle w:val="37"/>
                    <w:keepNext w:val="0"/>
                    <w:keepLines w:val="0"/>
                    <w:suppressLineNumbers w:val="0"/>
                    <w:spacing w:before="0" w:beforeAutospacing="0" w:after="0" w:afterAutospacing="0"/>
                    <w:ind w:left="0" w:leftChars="0" w:right="0" w:firstLine="0" w:firstLineChars="0"/>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53.3</w:t>
                  </w:r>
                </w:p>
              </w:tc>
              <w:tc>
                <w:tcPr>
                  <w:tcW w:w="1097" w:type="dxa"/>
                  <w:tcBorders>
                    <w:tl2br w:val="nil"/>
                    <w:tr2bl w:val="nil"/>
                  </w:tcBorders>
                  <w:vAlign w:val="center"/>
                </w:tcPr>
                <w:p>
                  <w:pPr>
                    <w:pStyle w:val="37"/>
                    <w:keepNext w:val="0"/>
                    <w:keepLines w:val="0"/>
                    <w:suppressLineNumbers w:val="0"/>
                    <w:spacing w:before="0" w:beforeAutospacing="0" w:after="0" w:afterAutospacing="0"/>
                    <w:ind w:left="0" w:leftChars="0" w:right="0"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4</w:t>
                  </w:r>
                  <w:r>
                    <w:rPr>
                      <w:rFonts w:hint="eastAsia" w:ascii="Times New Roman" w:hAnsi="Times New Roman" w:eastAsia="宋体" w:cs="Times New Roman"/>
                      <w:color w:val="auto"/>
                      <w:sz w:val="21"/>
                      <w:szCs w:val="21"/>
                      <w:highlight w:val="none"/>
                      <w:lang w:val="en-US" w:eastAsia="zh-CN"/>
                    </w:rPr>
                    <w:t>4.3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57" w:type="dxa"/>
                  <w:vMerge w:val="restart"/>
                  <w:tcBorders>
                    <w:tl2br w:val="nil"/>
                    <w:tr2bl w:val="nil"/>
                  </w:tcBorders>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sz w:val="21"/>
                      <w:szCs w:val="21"/>
                      <w:highlight w:val="none"/>
                    </w:rPr>
                    <w:t>标准值</w:t>
                  </w:r>
                </w:p>
              </w:tc>
              <w:tc>
                <w:tcPr>
                  <w:tcW w:w="1857" w:type="dxa"/>
                  <w:tcBorders>
                    <w:tl2br w:val="nil"/>
                    <w:tr2bl w:val="nil"/>
                  </w:tcBorders>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sz w:val="21"/>
                      <w:szCs w:val="21"/>
                      <w:highlight w:val="none"/>
                    </w:rPr>
                    <w:t>昼间(dB(A))</w:t>
                  </w:r>
                </w:p>
              </w:tc>
              <w:tc>
                <w:tcPr>
                  <w:tcW w:w="1173" w:type="dxa"/>
                  <w:tcBorders>
                    <w:tl2br w:val="nil"/>
                    <w:tr2bl w:val="nil"/>
                  </w:tcBorders>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val="en-US" w:eastAsia="zh-CN"/>
                    </w:rPr>
                    <w:t>65</w:t>
                  </w:r>
                </w:p>
              </w:tc>
              <w:tc>
                <w:tcPr>
                  <w:tcW w:w="1155" w:type="dxa"/>
                  <w:tcBorders>
                    <w:tl2br w:val="nil"/>
                    <w:tr2bl w:val="nil"/>
                  </w:tcBorders>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sz w:val="21"/>
                      <w:szCs w:val="21"/>
                      <w:highlight w:val="none"/>
                    </w:rPr>
                    <w:t>≤65</w:t>
                  </w:r>
                </w:p>
              </w:tc>
              <w:tc>
                <w:tcPr>
                  <w:tcW w:w="1268" w:type="dxa"/>
                  <w:tcBorders>
                    <w:tl2br w:val="nil"/>
                    <w:tr2bl w:val="nil"/>
                  </w:tcBorders>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sz w:val="21"/>
                      <w:szCs w:val="21"/>
                      <w:highlight w:val="none"/>
                    </w:rPr>
                    <w:t>≤65</w:t>
                  </w:r>
                </w:p>
              </w:tc>
              <w:tc>
                <w:tcPr>
                  <w:tcW w:w="1097" w:type="dxa"/>
                  <w:tcBorders>
                    <w:tl2br w:val="nil"/>
                    <w:tr2bl w:val="nil"/>
                  </w:tcBorders>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sz w:val="21"/>
                      <w:szCs w:val="21"/>
                      <w:highlight w:val="none"/>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57" w:type="dxa"/>
                  <w:vMerge w:val="continue"/>
                  <w:tcBorders>
                    <w:tl2br w:val="nil"/>
                    <w:tr2bl w:val="nil"/>
                  </w:tcBorders>
                  <w:vAlign w:val="top"/>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color w:val="auto"/>
                      <w:kern w:val="0"/>
                      <w:sz w:val="21"/>
                      <w:szCs w:val="21"/>
                      <w:highlight w:val="none"/>
                      <w:lang w:val="en-US" w:eastAsia="zh-CN"/>
                    </w:rPr>
                  </w:pPr>
                </w:p>
              </w:tc>
              <w:tc>
                <w:tcPr>
                  <w:tcW w:w="1857" w:type="dxa"/>
                  <w:tcBorders>
                    <w:tl2br w:val="nil"/>
                    <w:tr2bl w:val="nil"/>
                  </w:tcBorders>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sz w:val="21"/>
                      <w:szCs w:val="21"/>
                      <w:highlight w:val="none"/>
                    </w:rPr>
                    <w:t>夜间(dB(A))</w:t>
                  </w:r>
                </w:p>
              </w:tc>
              <w:tc>
                <w:tcPr>
                  <w:tcW w:w="1173" w:type="dxa"/>
                  <w:tcBorders>
                    <w:tl2br w:val="nil"/>
                    <w:tr2bl w:val="nil"/>
                  </w:tcBorders>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sz w:val="21"/>
                      <w:szCs w:val="21"/>
                      <w:highlight w:val="none"/>
                    </w:rPr>
                    <w:t>≤5</w:t>
                  </w:r>
                  <w:r>
                    <w:rPr>
                      <w:rFonts w:hint="default" w:ascii="Times New Roman" w:hAnsi="Times New Roman" w:eastAsia="宋体" w:cs="Times New Roman"/>
                      <w:sz w:val="21"/>
                      <w:szCs w:val="21"/>
                      <w:highlight w:val="none"/>
                      <w:lang w:val="en-US" w:eastAsia="zh-CN"/>
                    </w:rPr>
                    <w:t>5</w:t>
                  </w:r>
                </w:p>
              </w:tc>
              <w:tc>
                <w:tcPr>
                  <w:tcW w:w="1155" w:type="dxa"/>
                  <w:tcBorders>
                    <w:tl2br w:val="nil"/>
                    <w:tr2bl w:val="nil"/>
                  </w:tcBorders>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sz w:val="21"/>
                      <w:szCs w:val="21"/>
                      <w:highlight w:val="none"/>
                    </w:rPr>
                    <w:t>≤55</w:t>
                  </w:r>
                </w:p>
              </w:tc>
              <w:tc>
                <w:tcPr>
                  <w:tcW w:w="1268" w:type="dxa"/>
                  <w:tcBorders>
                    <w:tl2br w:val="nil"/>
                    <w:tr2bl w:val="nil"/>
                  </w:tcBorders>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sz w:val="21"/>
                      <w:szCs w:val="21"/>
                      <w:highlight w:val="none"/>
                    </w:rPr>
                    <w:t>≤55</w:t>
                  </w:r>
                </w:p>
              </w:tc>
              <w:tc>
                <w:tcPr>
                  <w:tcW w:w="1097" w:type="dxa"/>
                  <w:tcBorders>
                    <w:tl2br w:val="nil"/>
                    <w:tr2bl w:val="nil"/>
                  </w:tcBorders>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sz w:val="21"/>
                      <w:szCs w:val="21"/>
                      <w:highlight w:val="none"/>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14" w:type="dxa"/>
                  <w:gridSpan w:val="2"/>
                  <w:tcBorders>
                    <w:tl2br w:val="nil"/>
                    <w:tr2bl w:val="nil"/>
                  </w:tcBorders>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达标情况</w:t>
                  </w:r>
                </w:p>
              </w:tc>
              <w:tc>
                <w:tcPr>
                  <w:tcW w:w="1173" w:type="dxa"/>
                  <w:tcBorders>
                    <w:tl2br w:val="nil"/>
                    <w:tr2bl w:val="nil"/>
                  </w:tcBorders>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达标</w:t>
                  </w:r>
                </w:p>
              </w:tc>
              <w:tc>
                <w:tcPr>
                  <w:tcW w:w="1155" w:type="dxa"/>
                  <w:tcBorders>
                    <w:tl2br w:val="nil"/>
                    <w:tr2bl w:val="nil"/>
                  </w:tcBorders>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达标</w:t>
                  </w:r>
                </w:p>
              </w:tc>
              <w:tc>
                <w:tcPr>
                  <w:tcW w:w="1268" w:type="dxa"/>
                  <w:tcBorders>
                    <w:tl2br w:val="nil"/>
                    <w:tr2bl w:val="nil"/>
                  </w:tcBorders>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达标</w:t>
                  </w:r>
                </w:p>
              </w:tc>
              <w:tc>
                <w:tcPr>
                  <w:tcW w:w="1097" w:type="dxa"/>
                  <w:tcBorders>
                    <w:tl2br w:val="nil"/>
                    <w:tr2bl w:val="nil"/>
                  </w:tcBorders>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达标</w:t>
                  </w:r>
                </w:p>
              </w:tc>
            </w:tr>
          </w:tbl>
          <w:p>
            <w:pPr>
              <w:keepNext w:val="0"/>
              <w:keepLines w:val="0"/>
              <w:suppressLineNumbers w:val="0"/>
              <w:spacing w:before="0" w:beforeAutospacing="0" w:after="0" w:afterAutospacing="0"/>
              <w:ind w:left="0" w:right="0"/>
              <w:rPr>
                <w:rFonts w:hint="default"/>
                <w:highlight w:val="none"/>
              </w:rPr>
            </w:pP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r>
              <w:rPr>
                <w:rFonts w:hint="default" w:ascii="Times New Roman" w:hAnsi="Times New Roman" w:eastAsia="宋体" w:cs="Times New Roman"/>
                <w:kern w:val="0"/>
                <w:sz w:val="24"/>
                <w:szCs w:val="24"/>
                <w:highlight w:val="none"/>
                <w:lang w:bidi="ar"/>
              </w:rPr>
              <w:t>由上表可知，项目</w:t>
            </w:r>
            <w:r>
              <w:rPr>
                <w:rFonts w:hint="default" w:ascii="Times New Roman" w:hAnsi="Times New Roman" w:eastAsia="宋体" w:cs="Times New Roman"/>
                <w:kern w:val="0"/>
                <w:sz w:val="24"/>
                <w:szCs w:val="24"/>
                <w:highlight w:val="none"/>
                <w:lang w:val="en-US" w:eastAsia="zh-CN" w:bidi="ar"/>
              </w:rPr>
              <w:t>运营期设备</w:t>
            </w:r>
            <w:r>
              <w:rPr>
                <w:rFonts w:hint="default" w:ascii="Times New Roman" w:hAnsi="Times New Roman" w:eastAsia="宋体" w:cs="Times New Roman"/>
                <w:kern w:val="0"/>
                <w:sz w:val="24"/>
                <w:szCs w:val="24"/>
                <w:highlight w:val="none"/>
                <w:lang w:bidi="ar"/>
              </w:rPr>
              <w:t>噪声经墙体隔声和空间距离的自然衰减后贡献值可满足《工业企业厂界环境噪声排放标准》（GB12348-2008）3类标准限值（昼间65dB(A)、夜间55dB(A)）</w:t>
            </w:r>
            <w:r>
              <w:rPr>
                <w:rFonts w:hint="default" w:ascii="Times New Roman" w:hAnsi="Times New Roman" w:eastAsia="宋体" w:cs="Times New Roman"/>
                <w:kern w:val="0"/>
                <w:sz w:val="24"/>
                <w:szCs w:val="24"/>
                <w:highlight w:val="none"/>
                <w:lang w:eastAsia="zh-CN" w:bidi="ar"/>
              </w:rPr>
              <w:t>，</w:t>
            </w:r>
            <w:r>
              <w:rPr>
                <w:rFonts w:hint="default" w:ascii="Times New Roman" w:hAnsi="Times New Roman" w:eastAsia="宋体" w:cs="Times New Roman"/>
                <w:kern w:val="0"/>
                <w:sz w:val="24"/>
                <w:szCs w:val="24"/>
                <w:highlight w:val="none"/>
                <w:lang w:val="en-US" w:eastAsia="zh-CN" w:bidi="ar"/>
              </w:rPr>
              <w:t>项目厂界外50m范围内无声环境敏感目标</w:t>
            </w:r>
            <w:r>
              <w:rPr>
                <w:rFonts w:hint="default" w:ascii="Times New Roman" w:hAnsi="Times New Roman" w:eastAsia="宋体" w:cs="Times New Roman"/>
                <w:kern w:val="0"/>
                <w:sz w:val="24"/>
                <w:szCs w:val="24"/>
                <w:highlight w:val="none"/>
                <w:lang w:bidi="ar"/>
              </w:rPr>
              <w:t>，</w:t>
            </w:r>
            <w:r>
              <w:rPr>
                <w:rFonts w:hint="default" w:ascii="Times New Roman" w:hAnsi="Times New Roman" w:eastAsia="宋体" w:cs="Times New Roman"/>
                <w:sz w:val="24"/>
                <w:szCs w:val="24"/>
                <w:highlight w:val="none"/>
              </w:rPr>
              <w:t>因此运营期采取有效防噪措施后项目噪声对周边声环境影响较小。</w:t>
            </w:r>
          </w:p>
          <w:p>
            <w:pPr>
              <w:pStyle w:val="5"/>
              <w:numPr>
                <w:ilvl w:val="2"/>
                <w:numId w:val="9"/>
              </w:numPr>
              <w:suppressLineNumbers w:val="0"/>
              <w:spacing w:before="0" w:beforeAutospacing="0" w:after="0" w:afterAutospacing="0" w:line="360" w:lineRule="auto"/>
              <w:ind w:right="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噪声防治措施</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为了减轻设备运行产生的噪声对周围环境的影响，建设单位拟采取如下降噪措施：</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（1）按照《工业企业噪声控制设计规范</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eastAsia="zh-CN"/>
              </w:rPr>
              <w:t>（GB/T 50087-2013）</w:t>
            </w:r>
            <w:r>
              <w:rPr>
                <w:rFonts w:hint="default" w:ascii="Times New Roman" w:hAnsi="Times New Roman" w:eastAsia="宋体" w:cs="Times New Roman"/>
                <w:sz w:val="24"/>
                <w:szCs w:val="24"/>
                <w:highlight w:val="none"/>
              </w:rPr>
              <w:t>对厂内主要噪声源合理布局：在主要噪声源设备及车间周围，布置对噪声较不敏感的、有利于隔声的建筑物、构筑物，如辅助车间、仓库等；在满足工艺流程要求的前提下，高噪声设备相对集中，并尽量布置在车间的一隅。</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（2）项目选用噪声值相对较低设备，在设备安装时增设降噪减震设施，从源头上降低噪声源强。</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（3）主要噪声设备均安置在生产车间内，并配套隔声降噪、减振措施；利用墙体对噪声进行阻隔，生产车间设计隔声能力均不低于</w:t>
            </w:r>
            <w:r>
              <w:rPr>
                <w:rFonts w:hint="eastAsia" w:cs="Times New Roman"/>
                <w:sz w:val="24"/>
                <w:szCs w:val="24"/>
                <w:highlight w:val="none"/>
                <w:lang w:val="en-US" w:eastAsia="zh-CN"/>
              </w:rPr>
              <w:t>15</w:t>
            </w:r>
            <w:r>
              <w:rPr>
                <w:rFonts w:hint="default" w:ascii="Times New Roman" w:hAnsi="Times New Roman" w:eastAsia="宋体" w:cs="Times New Roman"/>
                <w:sz w:val="24"/>
                <w:szCs w:val="24"/>
                <w:highlight w:val="none"/>
              </w:rPr>
              <w:t>dB</w:t>
            </w:r>
            <w:r>
              <w:rPr>
                <w:rFonts w:hint="eastAsia" w:cs="Times New Roman"/>
                <w:sz w:val="24"/>
                <w:szCs w:val="24"/>
                <w:highlight w:val="none"/>
                <w:lang w:eastAsia="zh-CN"/>
              </w:rPr>
              <w:t>（</w:t>
            </w:r>
            <w:r>
              <w:rPr>
                <w:rFonts w:hint="default" w:ascii="Times New Roman" w:hAnsi="Times New Roman" w:eastAsia="宋体" w:cs="Times New Roman"/>
                <w:sz w:val="24"/>
                <w:szCs w:val="24"/>
                <w:highlight w:val="none"/>
              </w:rPr>
              <w:t>A</w:t>
            </w:r>
            <w:r>
              <w:rPr>
                <w:rFonts w:hint="eastAsia" w:cs="Times New Roman"/>
                <w:sz w:val="24"/>
                <w:szCs w:val="24"/>
                <w:highlight w:val="none"/>
                <w:lang w:eastAsia="zh-CN"/>
              </w:rPr>
              <w:t>）</w:t>
            </w:r>
            <w:r>
              <w:rPr>
                <w:rFonts w:hint="default" w:ascii="Times New Roman" w:hAnsi="Times New Roman" w:eastAsia="宋体" w:cs="Times New Roman"/>
                <w:sz w:val="24"/>
                <w:szCs w:val="24"/>
                <w:highlight w:val="none"/>
              </w:rPr>
              <w:t>，临厂界一侧的车间尽量不开设门窗，车间尽量将门、窗布置在朝向厂区通道一侧，减少生产噪声传出厂外的机会；同时加强生产管理，生产过程应关闭门窗。</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（4）建立设备定期维护、保养的管理制度，以防止设备故障形成的非正常生产噪声，同时确保环保措施发挥最有效的功能。</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lang w:val="en-US" w:eastAsia="zh-CN"/>
              </w:rPr>
              <w:t>5</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lang w:val="en-US" w:eastAsia="zh-CN"/>
              </w:rPr>
              <w:t>针对高噪声源空压机房建议</w:t>
            </w:r>
            <w:r>
              <w:rPr>
                <w:rFonts w:hint="default" w:ascii="Times New Roman" w:hAnsi="Times New Roman" w:eastAsia="宋体" w:cs="Times New Roman"/>
                <w:i w:val="0"/>
                <w:iCs w:val="0"/>
                <w:caps w:val="0"/>
                <w:color w:val="191919"/>
                <w:spacing w:val="0"/>
                <w:sz w:val="24"/>
                <w:szCs w:val="24"/>
                <w:highlight w:val="none"/>
                <w:shd w:val="clear" w:fill="FFFFFF"/>
              </w:rPr>
              <w:t>门窗</w:t>
            </w:r>
            <w:r>
              <w:rPr>
                <w:rFonts w:hint="default" w:ascii="Times New Roman" w:hAnsi="Times New Roman" w:eastAsia="宋体" w:cs="Times New Roman"/>
                <w:i w:val="0"/>
                <w:iCs w:val="0"/>
                <w:caps w:val="0"/>
                <w:color w:val="191919"/>
                <w:spacing w:val="0"/>
                <w:sz w:val="24"/>
                <w:szCs w:val="24"/>
                <w:highlight w:val="none"/>
                <w:shd w:val="clear" w:fill="FFFFFF"/>
                <w:lang w:val="en-US" w:eastAsia="zh-CN"/>
              </w:rPr>
              <w:t>采</w:t>
            </w:r>
            <w:r>
              <w:rPr>
                <w:rFonts w:hint="default" w:ascii="Times New Roman" w:hAnsi="Times New Roman" w:eastAsia="宋体" w:cs="Times New Roman"/>
                <w:i w:val="0"/>
                <w:iCs w:val="0"/>
                <w:caps w:val="0"/>
                <w:color w:val="191919"/>
                <w:spacing w:val="0"/>
                <w:sz w:val="24"/>
                <w:szCs w:val="24"/>
                <w:highlight w:val="none"/>
                <w:shd w:val="clear" w:fill="FFFFFF"/>
              </w:rPr>
              <w:t>用吸声材料饰面，周围用橡胶条密封</w:t>
            </w:r>
            <w:r>
              <w:rPr>
                <w:rFonts w:hint="default" w:ascii="Times New Roman" w:hAnsi="Times New Roman" w:eastAsia="宋体" w:cs="Times New Roman"/>
                <w:i w:val="0"/>
                <w:iCs w:val="0"/>
                <w:caps w:val="0"/>
                <w:color w:val="191919"/>
                <w:spacing w:val="0"/>
                <w:sz w:val="24"/>
                <w:szCs w:val="24"/>
                <w:highlight w:val="none"/>
                <w:shd w:val="clear" w:fill="FFFFFF"/>
                <w:lang w:eastAsia="zh-CN"/>
              </w:rPr>
              <w:t>。</w:t>
            </w:r>
          </w:p>
          <w:p>
            <w:pPr>
              <w:pStyle w:val="104"/>
              <w:widowControl/>
              <w:spacing w:line="360" w:lineRule="auto"/>
              <w:ind w:left="0" w:firstLine="48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控制噪声最有效和最直接的措施是降低声源噪声，因此项目应从源头控制，配置低噪声设备；其次在噪声的传播控制措施方面，本项目针对各种噪声源在传播途径上采取了适当控制措施，如厂区墙体采用隔声效果好的建筑材料，其控制措施可行。只要建设单位认真落实上述各项噪声防治与控制措施，本项目产生的噪声可得到有效</w:t>
            </w:r>
            <w:r>
              <w:rPr>
                <w:rFonts w:hint="eastAsia" w:cs="Times New Roman"/>
                <w:sz w:val="24"/>
                <w:szCs w:val="24"/>
                <w:highlight w:val="none"/>
                <w:lang w:val="en-US" w:eastAsia="zh-CN"/>
              </w:rPr>
              <w:t>地</w:t>
            </w:r>
            <w:r>
              <w:rPr>
                <w:rFonts w:hint="default" w:ascii="Times New Roman" w:hAnsi="Times New Roman" w:eastAsia="宋体" w:cs="Times New Roman"/>
                <w:sz w:val="24"/>
                <w:szCs w:val="24"/>
                <w:highlight w:val="none"/>
                <w:lang w:val="en-US" w:eastAsia="zh-CN"/>
              </w:rPr>
              <w:t>控制。</w:t>
            </w:r>
          </w:p>
          <w:p>
            <w:pPr>
              <w:pStyle w:val="5"/>
              <w:numPr>
                <w:ilvl w:val="2"/>
                <w:numId w:val="9"/>
              </w:numPr>
              <w:suppressLineNumbers w:val="0"/>
              <w:spacing w:before="0" w:beforeAutospacing="0" w:after="0" w:afterAutospacing="0" w:line="360" w:lineRule="auto"/>
              <w:ind w:right="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噪声环境监测计划</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项目噪声监测计划详见下表。</w:t>
            </w:r>
          </w:p>
          <w:p>
            <w:pPr>
              <w:pStyle w:val="36"/>
              <w:keepNext w:val="0"/>
              <w:keepLines w:val="0"/>
              <w:suppressLineNumbers w:val="0"/>
              <w:bidi w:val="0"/>
              <w:spacing w:before="0" w:beforeAutospacing="0" w:after="0" w:afterAutospacing="0" w:line="360" w:lineRule="auto"/>
              <w:ind w:right="0"/>
              <w:rPr>
                <w:rFonts w:hint="default" w:eastAsia="宋体"/>
                <w:highlight w:val="none"/>
                <w:lang w:val="en-US" w:eastAsia="zh-CN"/>
              </w:rPr>
            </w:pPr>
            <w:r>
              <w:rPr>
                <w:rFonts w:hint="default" w:ascii="Times New Roman" w:hAnsi="Times New Roman" w:eastAsia="宋体" w:cs="Times New Roman"/>
                <w:sz w:val="24"/>
                <w:szCs w:val="24"/>
                <w:highlight w:val="none"/>
                <w:lang w:val="en-US" w:eastAsia="zh-CN"/>
              </w:rPr>
              <w:t>噪声监测计划</w:t>
            </w:r>
          </w:p>
          <w:tbl>
            <w:tblPr>
              <w:tblStyle w:val="27"/>
              <w:tblW w:w="835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1344"/>
              <w:gridCol w:w="4248"/>
              <w:gridCol w:w="16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监测点位</w:t>
                  </w:r>
                </w:p>
              </w:tc>
              <w:tc>
                <w:tcPr>
                  <w:tcW w:w="1344"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监测项目</w:t>
                  </w:r>
                </w:p>
              </w:tc>
              <w:tc>
                <w:tcPr>
                  <w:tcW w:w="4248"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执行标准</w:t>
                  </w:r>
                </w:p>
              </w:tc>
              <w:tc>
                <w:tcPr>
                  <w:tcW w:w="1688"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监测频率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厂界</w:t>
                  </w:r>
                </w:p>
              </w:tc>
              <w:tc>
                <w:tcPr>
                  <w:tcW w:w="1344"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Leq(A)</w:t>
                  </w:r>
                </w:p>
              </w:tc>
              <w:tc>
                <w:tcPr>
                  <w:tcW w:w="4248"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《工业企业厂界环境噪声排放标准》</w:t>
                  </w:r>
                </w:p>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(GB12348-2008)的3类标准</w:t>
                  </w:r>
                </w:p>
              </w:tc>
              <w:tc>
                <w:tcPr>
                  <w:tcW w:w="1688"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1次/季</w:t>
                  </w:r>
                </w:p>
              </w:tc>
            </w:tr>
          </w:tbl>
          <w:p>
            <w:pPr>
              <w:pStyle w:val="4"/>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ind w:left="0" w:right="0"/>
              <w:textAlignment w:val="auto"/>
              <w:rPr>
                <w:rFonts w:hint="default"/>
              </w:rPr>
            </w:pPr>
            <w:r>
              <w:rPr>
                <w:rFonts w:hint="eastAsia"/>
              </w:rPr>
              <w:t>固体废物</w:t>
            </w:r>
          </w:p>
          <w:p>
            <w:pPr>
              <w:pStyle w:val="5"/>
              <w:suppressLineNumbers w:val="0"/>
              <w:bidi w:val="0"/>
              <w:spacing w:before="0" w:beforeAutospacing="0" w:after="0" w:afterAutospacing="0"/>
              <w:ind w:right="0"/>
              <w:rPr>
                <w:rFonts w:hint="default"/>
              </w:rPr>
            </w:pPr>
            <w:r>
              <w:rPr>
                <w:rFonts w:hint="default"/>
              </w:rPr>
              <w:t>固废污染源分析</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本项目产生的固体废物</w:t>
            </w:r>
            <w:r>
              <w:rPr>
                <w:rFonts w:hint="eastAsia" w:ascii="Times New Roman" w:hAnsi="Times New Roman" w:eastAsia="宋体" w:cs="Times New Roman"/>
                <w:highlight w:val="none"/>
                <w:lang w:val="en-US" w:eastAsia="zh-CN"/>
              </w:rPr>
              <w:t>主要有</w:t>
            </w:r>
            <w:r>
              <w:rPr>
                <w:rFonts w:hint="default" w:ascii="Times New Roman" w:hAnsi="Times New Roman" w:eastAsia="宋体" w:cs="Times New Roman"/>
                <w:highlight w:val="none"/>
              </w:rPr>
              <w:t>生活垃圾、一般工业固废及危险废物。一般固废主要为</w:t>
            </w:r>
            <w:r>
              <w:rPr>
                <w:rFonts w:hint="eastAsia" w:cs="Times New Roman"/>
                <w:highlight w:val="none"/>
                <w:lang w:val="en-US" w:eastAsia="zh-CN"/>
              </w:rPr>
              <w:t>冲压料废边</w:t>
            </w:r>
            <w:r>
              <w:rPr>
                <w:rFonts w:hint="default" w:ascii="Times New Roman" w:hAnsi="Times New Roman" w:eastAsia="宋体" w:cs="Times New Roman"/>
                <w:highlight w:val="none"/>
                <w:lang w:val="en-US" w:eastAsia="zh-CN"/>
              </w:rPr>
              <w:t>、残次品、</w:t>
            </w:r>
            <w:r>
              <w:rPr>
                <w:rFonts w:hint="eastAsia" w:cs="Times New Roman"/>
                <w:highlight w:val="none"/>
                <w:lang w:val="en-US" w:eastAsia="zh-CN"/>
              </w:rPr>
              <w:t>清洗后</w:t>
            </w:r>
            <w:r>
              <w:rPr>
                <w:rFonts w:hint="default" w:ascii="Times New Roman" w:hAnsi="Times New Roman" w:eastAsia="宋体" w:cs="Times New Roman"/>
                <w:highlight w:val="none"/>
                <w:lang w:val="en-US" w:eastAsia="zh-CN"/>
              </w:rPr>
              <w:t>铝壳废边等</w:t>
            </w:r>
            <w:r>
              <w:rPr>
                <w:rFonts w:hint="default" w:ascii="Times New Roman" w:hAnsi="Times New Roman" w:eastAsia="宋体" w:cs="Times New Roman"/>
                <w:highlight w:val="none"/>
              </w:rPr>
              <w:t>；危险废物主要为</w:t>
            </w:r>
            <w:r>
              <w:rPr>
                <w:rFonts w:hint="default" w:ascii="Times New Roman" w:hAnsi="Times New Roman" w:eastAsia="宋体" w:cs="Times New Roman"/>
                <w:highlight w:val="none"/>
                <w:lang w:val="en-US" w:eastAsia="zh-CN"/>
              </w:rPr>
              <w:t>废空桶、拉伸油过滤更换的废滤芯、废机油、污水处理产生的含油浓缩液、更换的过滤</w:t>
            </w:r>
            <w:r>
              <w:rPr>
                <w:rFonts w:hint="default" w:ascii="Times New Roman" w:hAnsi="Times New Roman" w:eastAsia="宋体" w:cs="Times New Roman"/>
                <w:color w:val="000000"/>
                <w:sz w:val="24"/>
                <w:szCs w:val="24"/>
                <w:highlight w:val="none"/>
                <w:lang w:val="en-US" w:eastAsia="zh-CN" w:bidi="ar"/>
              </w:rPr>
              <w:t>膜等</w:t>
            </w:r>
            <w:r>
              <w:rPr>
                <w:rFonts w:hint="default" w:ascii="Times New Roman" w:hAnsi="Times New Roman" w:eastAsia="宋体" w:cs="Times New Roman"/>
                <w:highlight w:val="none"/>
              </w:rPr>
              <w:t>。</w:t>
            </w:r>
          </w:p>
          <w:p>
            <w:pPr>
              <w:pStyle w:val="6"/>
              <w:numPr>
                <w:ilvl w:val="3"/>
                <w:numId w:val="0"/>
              </w:numPr>
              <w:suppressLineNumbers w:val="0"/>
              <w:spacing w:before="0" w:beforeAutospacing="0" w:after="0" w:afterAutospacing="0" w:line="360" w:lineRule="auto"/>
              <w:ind w:leftChars="0" w:right="0" w:rightChars="0"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（1）一般工业固废</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auto"/>
                <w:szCs w:val="24"/>
                <w:highlight w:val="none"/>
                <w:lang w:val="en-US" w:eastAsia="zh-CN"/>
              </w:rPr>
            </w:pPr>
            <w:r>
              <w:rPr>
                <w:rFonts w:hint="default" w:ascii="Times New Roman" w:hAnsi="Times New Roman" w:eastAsia="宋体" w:cs="Times New Roman"/>
                <w:color w:val="auto"/>
                <w:szCs w:val="24"/>
                <w:highlight w:val="none"/>
              </w:rPr>
              <w:fldChar w:fldCharType="begin"/>
            </w:r>
            <w:r>
              <w:rPr>
                <w:rFonts w:hint="default" w:ascii="Times New Roman" w:hAnsi="Times New Roman" w:eastAsia="宋体" w:cs="Times New Roman"/>
                <w:color w:val="auto"/>
                <w:szCs w:val="24"/>
                <w:highlight w:val="none"/>
              </w:rPr>
              <w:instrText xml:space="preserve"> = 1 \* GB3 \* MERGEFORMAT </w:instrText>
            </w:r>
            <w:r>
              <w:rPr>
                <w:rFonts w:hint="default" w:ascii="Times New Roman" w:hAnsi="Times New Roman" w:eastAsia="宋体" w:cs="Times New Roman"/>
                <w:color w:val="auto"/>
                <w:szCs w:val="24"/>
                <w:highlight w:val="none"/>
              </w:rPr>
              <w:fldChar w:fldCharType="separate"/>
            </w:r>
            <w:r>
              <w:rPr>
                <w:rFonts w:hint="default" w:ascii="Times New Roman" w:hAnsi="Times New Roman" w:eastAsia="宋体" w:cs="Times New Roman"/>
                <w:highlight w:val="none"/>
              </w:rPr>
              <w:t>①</w:t>
            </w:r>
            <w:r>
              <w:rPr>
                <w:rFonts w:hint="default" w:ascii="Times New Roman" w:hAnsi="Times New Roman" w:eastAsia="宋体" w:cs="Times New Roman"/>
                <w:color w:val="auto"/>
                <w:szCs w:val="24"/>
                <w:highlight w:val="none"/>
              </w:rPr>
              <w:fldChar w:fldCharType="end"/>
            </w:r>
            <w:r>
              <w:rPr>
                <w:rFonts w:hint="eastAsia" w:cs="Times New Roman"/>
                <w:color w:val="auto"/>
                <w:szCs w:val="24"/>
                <w:highlight w:val="none"/>
                <w:lang w:val="en-US" w:eastAsia="zh-CN"/>
              </w:rPr>
              <w:t>冲压料废边</w:t>
            </w:r>
            <w:r>
              <w:rPr>
                <w:rFonts w:hint="eastAsia" w:ascii="Times New Roman" w:hAnsi="Times New Roman" w:eastAsia="宋体" w:cs="Times New Roman"/>
                <w:color w:val="auto"/>
                <w:szCs w:val="24"/>
                <w:highlight w:val="none"/>
                <w:lang w:val="en-US" w:eastAsia="zh-CN"/>
              </w:rPr>
              <w:t>、残次品</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据建设单位介绍，</w:t>
            </w:r>
            <w:r>
              <w:rPr>
                <w:rFonts w:hint="default" w:ascii="Times New Roman" w:hAnsi="Times New Roman" w:eastAsia="宋体" w:cs="Times New Roman"/>
                <w:highlight w:val="none"/>
                <w:lang w:val="en-US" w:eastAsia="zh-CN"/>
              </w:rPr>
              <w:t>冲压一个料片产生38g</w:t>
            </w:r>
            <w:r>
              <w:rPr>
                <w:rFonts w:hint="eastAsia" w:cs="Times New Roman"/>
                <w:highlight w:val="none"/>
                <w:lang w:val="en-US" w:eastAsia="zh-CN"/>
              </w:rPr>
              <w:t>冲压料废边</w:t>
            </w:r>
            <w:r>
              <w:rPr>
                <w:rFonts w:hint="default" w:ascii="Times New Roman" w:hAnsi="Times New Roman" w:eastAsia="宋体" w:cs="Times New Roman"/>
                <w:highlight w:val="none"/>
                <w:lang w:val="en-US" w:eastAsia="zh-CN"/>
              </w:rPr>
              <w:t>，则</w:t>
            </w:r>
            <w:r>
              <w:rPr>
                <w:rFonts w:hint="eastAsia" w:cs="Times New Roman"/>
                <w:highlight w:val="none"/>
                <w:lang w:val="en-US" w:eastAsia="zh-CN"/>
              </w:rPr>
              <w:t>冲压料废边</w:t>
            </w:r>
            <w:r>
              <w:rPr>
                <w:rFonts w:hint="default" w:ascii="Times New Roman" w:hAnsi="Times New Roman" w:eastAsia="宋体" w:cs="Times New Roman"/>
                <w:highlight w:val="none"/>
                <w:lang w:val="en-US" w:eastAsia="zh-CN"/>
              </w:rPr>
              <w:t>产生量为2660t/a</w:t>
            </w:r>
            <w:r>
              <w:rPr>
                <w:rFonts w:hint="default"/>
                <w:highlight w:val="none"/>
              </w:rPr>
              <w:commentReference w:id="11"/>
            </w:r>
            <w:r>
              <w:rPr>
                <w:rFonts w:hint="eastAsia" w:cs="Times New Roman"/>
                <w:highlight w:val="none"/>
                <w:lang w:val="en-US" w:eastAsia="zh-CN"/>
              </w:rPr>
              <w:t>，冲压料废边不沾染油类，为一般工业固体废物</w:t>
            </w:r>
            <w:r>
              <w:rPr>
                <w:rFonts w:hint="default" w:ascii="Times New Roman" w:hAnsi="Times New Roman" w:eastAsia="宋体" w:cs="Times New Roman"/>
                <w:highlight w:val="none"/>
                <w:lang w:val="en-US" w:eastAsia="zh-CN"/>
              </w:rPr>
              <w:t>；</w:t>
            </w:r>
            <w:r>
              <w:rPr>
                <w:rFonts w:hint="eastAsia" w:cs="Times New Roman"/>
                <w:highlight w:val="none"/>
                <w:lang w:val="en-US" w:eastAsia="zh-CN"/>
              </w:rPr>
              <w:t>单个产品重约0.167kg，</w:t>
            </w:r>
            <w:r>
              <w:rPr>
                <w:rFonts w:hint="default" w:ascii="Times New Roman" w:hAnsi="Times New Roman" w:eastAsia="宋体" w:cs="Times New Roman"/>
                <w:highlight w:val="none"/>
              </w:rPr>
              <w:t>项目废品率约为</w:t>
            </w:r>
            <w:r>
              <w:rPr>
                <w:rFonts w:hint="default" w:ascii="Times New Roman" w:hAnsi="Times New Roman" w:eastAsia="宋体" w:cs="Times New Roman"/>
                <w:highlight w:val="none"/>
                <w:lang w:val="en-US" w:eastAsia="zh-CN"/>
              </w:rPr>
              <w:t>2</w:t>
            </w:r>
            <w:r>
              <w:rPr>
                <w:rFonts w:hint="default" w:ascii="Times New Roman" w:hAnsi="Times New Roman" w:eastAsia="宋体" w:cs="Times New Roman"/>
                <w:highlight w:val="none"/>
              </w:rPr>
              <w:t>%，</w:t>
            </w:r>
            <w:commentRangeStart w:id="12"/>
            <w:commentRangeStart w:id="13"/>
            <w:r>
              <w:rPr>
                <w:rFonts w:hint="default"/>
                <w:highlight w:val="none"/>
              </w:rPr>
              <w:commentReference w:id="12"/>
            </w:r>
            <w:commentRangeEnd w:id="12"/>
            <w:commentRangeEnd w:id="13"/>
            <w:r>
              <w:rPr>
                <w:rFonts w:hint="default"/>
                <w:highlight w:val="none"/>
              </w:rPr>
              <w:commentReference w:id="13"/>
            </w:r>
            <w:r>
              <w:rPr>
                <w:rFonts w:hint="default" w:ascii="Times New Roman" w:hAnsi="Times New Roman" w:eastAsia="宋体" w:cs="Times New Roman"/>
                <w:highlight w:val="none"/>
              </w:rPr>
              <w:t>则</w:t>
            </w:r>
            <w:r>
              <w:rPr>
                <w:rFonts w:hint="eastAsia" w:cs="Times New Roman"/>
                <w:highlight w:val="none"/>
                <w:lang w:val="en-US" w:eastAsia="zh-CN"/>
              </w:rPr>
              <w:t>年产生</w:t>
            </w:r>
            <w:r>
              <w:rPr>
                <w:rFonts w:hint="default" w:ascii="Times New Roman" w:hAnsi="Times New Roman" w:eastAsia="宋体" w:cs="Times New Roman"/>
                <w:highlight w:val="none"/>
              </w:rPr>
              <w:t>残次品</w:t>
            </w:r>
            <w:r>
              <w:rPr>
                <w:rFonts w:hint="eastAsia" w:cs="Times New Roman"/>
                <w:highlight w:val="none"/>
                <w:lang w:val="en-US" w:eastAsia="zh-CN"/>
              </w:rPr>
              <w:t>个数约140万个，</w:t>
            </w:r>
            <w:r>
              <w:rPr>
                <w:rFonts w:hint="default" w:ascii="Times New Roman" w:hAnsi="Times New Roman" w:eastAsia="宋体" w:cs="Times New Roman"/>
                <w:highlight w:val="none"/>
              </w:rPr>
              <w:t>年产生量约为</w:t>
            </w:r>
            <w:r>
              <w:rPr>
                <w:rFonts w:hint="default" w:ascii="Times New Roman" w:hAnsi="Times New Roman" w:eastAsia="宋体" w:cs="Times New Roman"/>
                <w:highlight w:val="none"/>
                <w:lang w:val="en-US" w:eastAsia="zh-CN"/>
              </w:rPr>
              <w:t>2</w:t>
            </w:r>
            <w:r>
              <w:rPr>
                <w:rFonts w:hint="eastAsia" w:cs="Times New Roman"/>
                <w:highlight w:val="none"/>
                <w:lang w:val="en-US" w:eastAsia="zh-CN"/>
              </w:rPr>
              <w:t>33.8</w:t>
            </w:r>
            <w:r>
              <w:rPr>
                <w:rFonts w:hint="default" w:ascii="Times New Roman" w:hAnsi="Times New Roman" w:eastAsia="宋体" w:cs="Times New Roman"/>
                <w:highlight w:val="none"/>
              </w:rPr>
              <w:t>t。</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auto"/>
                <w:szCs w:val="24"/>
                <w:highlight w:val="none"/>
                <w:lang w:val="en-US" w:eastAsia="zh-CN"/>
              </w:rPr>
            </w:pPr>
            <w:r>
              <w:rPr>
                <w:rFonts w:hint="default" w:ascii="Times New Roman" w:hAnsi="Times New Roman" w:eastAsia="宋体" w:cs="Times New Roman"/>
                <w:color w:val="auto"/>
                <w:szCs w:val="24"/>
                <w:highlight w:val="none"/>
              </w:rPr>
              <w:fldChar w:fldCharType="begin"/>
            </w:r>
            <w:r>
              <w:rPr>
                <w:rFonts w:hint="default" w:ascii="Times New Roman" w:hAnsi="Times New Roman" w:eastAsia="宋体" w:cs="Times New Roman"/>
                <w:color w:val="auto"/>
                <w:szCs w:val="24"/>
                <w:highlight w:val="none"/>
              </w:rPr>
              <w:instrText xml:space="preserve"> = 2 \* GB3 \* MERGEFORMAT </w:instrText>
            </w:r>
            <w:r>
              <w:rPr>
                <w:rFonts w:hint="default" w:ascii="Times New Roman" w:hAnsi="Times New Roman" w:eastAsia="宋体" w:cs="Times New Roman"/>
                <w:color w:val="auto"/>
                <w:szCs w:val="24"/>
                <w:highlight w:val="none"/>
              </w:rPr>
              <w:fldChar w:fldCharType="separate"/>
            </w:r>
            <w:r>
              <w:rPr>
                <w:rFonts w:hint="default" w:ascii="Times New Roman" w:hAnsi="Times New Roman" w:eastAsia="宋体" w:cs="Times New Roman"/>
                <w:highlight w:val="none"/>
              </w:rPr>
              <w:t>②</w:t>
            </w:r>
            <w:r>
              <w:rPr>
                <w:rFonts w:hint="default" w:ascii="Times New Roman" w:hAnsi="Times New Roman" w:eastAsia="宋体" w:cs="Times New Roman"/>
                <w:color w:val="auto"/>
                <w:szCs w:val="24"/>
                <w:highlight w:val="none"/>
              </w:rPr>
              <w:fldChar w:fldCharType="end"/>
            </w:r>
            <w:r>
              <w:rPr>
                <w:rFonts w:hint="eastAsia" w:ascii="Times New Roman" w:hAnsi="Times New Roman" w:eastAsia="宋体" w:cs="Times New Roman"/>
                <w:color w:val="auto"/>
                <w:szCs w:val="24"/>
                <w:highlight w:val="none"/>
                <w:lang w:val="en-US" w:eastAsia="zh-CN"/>
              </w:rPr>
              <w:t>清洗后</w:t>
            </w:r>
            <w:r>
              <w:rPr>
                <w:rFonts w:hint="default" w:ascii="Times New Roman" w:hAnsi="Times New Roman" w:eastAsia="宋体" w:cs="Times New Roman"/>
                <w:color w:val="auto"/>
                <w:szCs w:val="24"/>
                <w:highlight w:val="none"/>
                <w:lang w:val="en-US" w:eastAsia="zh-CN"/>
              </w:rPr>
              <w:t>铝壳废边</w:t>
            </w:r>
          </w:p>
          <w:p>
            <w:pPr>
              <w:pStyle w:val="42"/>
              <w:keepNext w:val="0"/>
              <w:keepLines w:val="0"/>
              <w:suppressLineNumbers w:val="0"/>
              <w:spacing w:before="0" w:beforeAutospacing="0" w:after="0" w:afterAutospacing="0" w:line="360" w:lineRule="auto"/>
              <w:ind w:left="0" w:right="0" w:firstLine="480"/>
              <w:rPr>
                <w:rFonts w:hint="default" w:cs="Times New Roman"/>
                <w:highlight w:val="none"/>
                <w:lang w:val="en-US" w:eastAsia="zh-CN"/>
              </w:rPr>
            </w:pPr>
            <w:r>
              <w:rPr>
                <w:rFonts w:hint="default" w:ascii="Times New Roman" w:hAnsi="Times New Roman" w:eastAsia="宋体" w:cs="Times New Roman"/>
                <w:highlight w:val="none"/>
                <w:lang w:val="en-US" w:eastAsia="zh-CN"/>
              </w:rPr>
              <w:t>单个铝壳切边产生的铝壳废边约31.9g，则铝壳废边产生量约2233t/a。铝壳废边屑沾有少量拉伸油，</w:t>
            </w:r>
            <w:r>
              <w:rPr>
                <w:rFonts w:hint="eastAsia" w:cs="Times New Roman"/>
                <w:highlight w:val="none"/>
                <w:lang w:val="en-US" w:eastAsia="zh-CN"/>
              </w:rPr>
              <w:t>暂存在铝壳废边暂存间，在厂区内贮存按危险废物进行管理。为更好地回收铝材，建设单位拟对铝壳废边进行清洗，清洗后铝壳废边不含油，为一般固废，暂存在</w:t>
            </w:r>
            <w:r>
              <w:rPr>
                <w:rFonts w:hint="default" w:ascii="Times New Roman" w:hAnsi="Times New Roman" w:eastAsia="宋体" w:cs="Times New Roman"/>
                <w:highlight w:val="none"/>
                <w:lang w:val="en-US" w:eastAsia="zh-CN"/>
              </w:rPr>
              <w:t>清洗后</w:t>
            </w:r>
            <w:r>
              <w:rPr>
                <w:rFonts w:hint="eastAsia" w:ascii="Times New Roman" w:hAnsi="Times New Roman" w:eastAsia="宋体" w:cs="Times New Roman"/>
                <w:highlight w:val="none"/>
                <w:lang w:val="en-US" w:eastAsia="zh-CN"/>
              </w:rPr>
              <w:t>铝壳废边暂存区。</w:t>
            </w:r>
          </w:p>
          <w:p>
            <w:pPr>
              <w:pStyle w:val="42"/>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highlight w:val="none"/>
                <w:lang w:val="en-US" w:eastAsia="zh-CN"/>
              </w:rPr>
            </w:pPr>
            <w:r>
              <w:rPr>
                <w:rFonts w:hint="eastAsia" w:cs="Times New Roman"/>
                <w:highlight w:val="none"/>
                <w:lang w:val="en-US" w:eastAsia="zh-CN"/>
              </w:rPr>
              <w:t>冲压料废边暂存在冲压料报废仓</w:t>
            </w:r>
            <w:r>
              <w:rPr>
                <w:rFonts w:hint="default" w:ascii="Times New Roman" w:hAnsi="Times New Roman" w:eastAsia="宋体" w:cs="Times New Roman"/>
                <w:highlight w:val="none"/>
                <w:lang w:val="en-US" w:eastAsia="zh-CN"/>
              </w:rPr>
              <w:t>、残次品</w:t>
            </w:r>
            <w:r>
              <w:rPr>
                <w:rFonts w:hint="eastAsia" w:cs="Times New Roman"/>
                <w:highlight w:val="none"/>
                <w:lang w:val="en-US" w:eastAsia="zh-CN"/>
              </w:rPr>
              <w:t>暂存在其他报废仓、</w:t>
            </w:r>
            <w:r>
              <w:rPr>
                <w:rFonts w:hint="default" w:ascii="Times New Roman" w:hAnsi="Times New Roman" w:eastAsia="宋体" w:cs="Times New Roman"/>
                <w:highlight w:val="none"/>
                <w:lang w:val="en-US" w:eastAsia="zh-CN"/>
              </w:rPr>
              <w:t>清洗后</w:t>
            </w:r>
            <w:r>
              <w:rPr>
                <w:rFonts w:hint="eastAsia" w:ascii="Times New Roman" w:hAnsi="Times New Roman" w:eastAsia="宋体" w:cs="Times New Roman"/>
                <w:highlight w:val="none"/>
                <w:lang w:val="en-US" w:eastAsia="zh-CN"/>
              </w:rPr>
              <w:t>铝壳废边暂存于</w:t>
            </w:r>
            <w:r>
              <w:rPr>
                <w:rFonts w:hint="default" w:ascii="Times New Roman" w:hAnsi="Times New Roman" w:eastAsia="宋体" w:cs="Times New Roman"/>
                <w:highlight w:val="none"/>
                <w:lang w:val="en-US" w:eastAsia="zh-CN"/>
              </w:rPr>
              <w:t>清洗后</w:t>
            </w:r>
            <w:r>
              <w:rPr>
                <w:rFonts w:hint="eastAsia" w:cs="Times New Roman"/>
                <w:highlight w:val="none"/>
                <w:lang w:val="en-US" w:eastAsia="zh-CN"/>
              </w:rPr>
              <w:t>废料暂存区</w:t>
            </w:r>
            <w:r>
              <w:rPr>
                <w:rFonts w:hint="eastAsia" w:ascii="Times New Roman" w:hAnsi="Times New Roman" w:eastAsia="宋体" w:cs="Times New Roman"/>
                <w:highlight w:val="none"/>
                <w:lang w:val="en-US" w:eastAsia="zh-CN"/>
              </w:rPr>
              <w:t>。以上一般固废</w:t>
            </w:r>
            <w:r>
              <w:rPr>
                <w:rFonts w:hint="eastAsia"/>
                <w:lang w:val="en-US" w:eastAsia="zh-CN"/>
              </w:rPr>
              <w:t>分类收集后，</w:t>
            </w:r>
            <w:r>
              <w:rPr>
                <w:rFonts w:hint="default" w:ascii="Times New Roman" w:hAnsi="Times New Roman" w:eastAsia="宋体" w:cs="Times New Roman"/>
                <w:highlight w:val="none"/>
                <w:vertAlign w:val="baseline"/>
                <w:lang w:val="en-US" w:eastAsia="zh-CN"/>
              </w:rPr>
              <w:t>定期外售综合利用。</w:t>
            </w:r>
          </w:p>
          <w:p>
            <w:pPr>
              <w:pStyle w:val="42"/>
              <w:keepNext w:val="0"/>
              <w:keepLines w:val="0"/>
              <w:numPr>
                <w:ilvl w:val="3"/>
                <w:numId w:val="0"/>
              </w:numPr>
              <w:suppressLineNumbers w:val="0"/>
              <w:spacing w:before="0" w:beforeAutospacing="0" w:after="0" w:afterAutospacing="0" w:line="360" w:lineRule="auto"/>
              <w:ind w:left="0" w:right="0" w:rightChars="0"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（2）危险废物</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color w:val="auto"/>
                <w:szCs w:val="24"/>
                <w:highlight w:val="none"/>
                <w:lang w:val="en-US" w:eastAsia="zh-CN"/>
              </w:rPr>
            </w:pPr>
            <w:r>
              <w:rPr>
                <w:rFonts w:hint="default" w:ascii="Times New Roman" w:hAnsi="Times New Roman" w:eastAsia="宋体" w:cs="Times New Roman"/>
                <w:color w:val="auto"/>
                <w:szCs w:val="24"/>
                <w:highlight w:val="none"/>
              </w:rPr>
              <w:fldChar w:fldCharType="begin"/>
            </w:r>
            <w:r>
              <w:rPr>
                <w:rFonts w:hint="default" w:ascii="Times New Roman" w:hAnsi="Times New Roman" w:eastAsia="宋体" w:cs="Times New Roman"/>
                <w:color w:val="auto"/>
                <w:szCs w:val="24"/>
                <w:highlight w:val="none"/>
              </w:rPr>
              <w:instrText xml:space="preserve"> = 1 \* GB3 \* MERGEFORMAT </w:instrText>
            </w:r>
            <w:r>
              <w:rPr>
                <w:rFonts w:hint="default" w:ascii="Times New Roman" w:hAnsi="Times New Roman" w:eastAsia="宋体" w:cs="Times New Roman"/>
                <w:color w:val="auto"/>
                <w:szCs w:val="24"/>
                <w:highlight w:val="none"/>
              </w:rPr>
              <w:fldChar w:fldCharType="separate"/>
            </w:r>
            <w:r>
              <w:rPr>
                <w:rFonts w:hint="default" w:ascii="Times New Roman" w:hAnsi="Times New Roman" w:eastAsia="宋体" w:cs="Times New Roman"/>
                <w:highlight w:val="none"/>
              </w:rPr>
              <w:t>①</w:t>
            </w:r>
            <w:r>
              <w:rPr>
                <w:rFonts w:hint="default" w:ascii="Times New Roman" w:hAnsi="Times New Roman" w:eastAsia="宋体" w:cs="Times New Roman"/>
                <w:color w:val="auto"/>
                <w:szCs w:val="24"/>
                <w:highlight w:val="none"/>
              </w:rPr>
              <w:fldChar w:fldCharType="end"/>
            </w:r>
            <w:r>
              <w:rPr>
                <w:rFonts w:hint="default" w:ascii="Times New Roman" w:hAnsi="Times New Roman" w:eastAsia="宋体" w:cs="Times New Roman"/>
                <w:color w:val="auto"/>
                <w:szCs w:val="24"/>
                <w:highlight w:val="none"/>
                <w:lang w:val="en-US" w:eastAsia="zh-CN"/>
              </w:rPr>
              <w:t>废空桶</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zCs w:val="24"/>
                <w:highlight w:val="none"/>
                <w:lang w:val="en-US" w:eastAsia="zh-CN"/>
              </w:rPr>
              <w:t>水基清洗剂、拉伸油采用包装桶包装，每年将产生1.20t左右的废空桶，属于危险废物，废物类别：HW49，废物代码为：900-041-49。</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color w:val="auto"/>
                <w:szCs w:val="24"/>
                <w:highlight w:val="none"/>
                <w:lang w:val="en-US" w:eastAsia="zh-CN"/>
              </w:rPr>
            </w:pPr>
            <w:r>
              <w:rPr>
                <w:rFonts w:hint="default" w:ascii="Times New Roman" w:hAnsi="Times New Roman" w:eastAsia="宋体" w:cs="Times New Roman"/>
                <w:color w:val="auto"/>
                <w:szCs w:val="24"/>
                <w:highlight w:val="none"/>
              </w:rPr>
              <w:fldChar w:fldCharType="begin"/>
            </w:r>
            <w:r>
              <w:rPr>
                <w:rFonts w:hint="default" w:ascii="Times New Roman" w:hAnsi="Times New Roman" w:eastAsia="宋体" w:cs="Times New Roman"/>
                <w:color w:val="auto"/>
                <w:szCs w:val="24"/>
                <w:highlight w:val="none"/>
              </w:rPr>
              <w:instrText xml:space="preserve"> = 2 \* GB3 \* MERGEFORMAT </w:instrText>
            </w:r>
            <w:r>
              <w:rPr>
                <w:rFonts w:hint="default" w:ascii="Times New Roman" w:hAnsi="Times New Roman" w:eastAsia="宋体" w:cs="Times New Roman"/>
                <w:color w:val="auto"/>
                <w:szCs w:val="24"/>
                <w:highlight w:val="none"/>
              </w:rPr>
              <w:fldChar w:fldCharType="separate"/>
            </w:r>
            <w:r>
              <w:rPr>
                <w:rFonts w:hint="default" w:ascii="Times New Roman" w:hAnsi="Times New Roman" w:eastAsia="宋体" w:cs="Times New Roman"/>
                <w:highlight w:val="none"/>
              </w:rPr>
              <w:t>②</w:t>
            </w:r>
            <w:r>
              <w:rPr>
                <w:rFonts w:hint="default" w:ascii="Times New Roman" w:hAnsi="Times New Roman" w:eastAsia="宋体" w:cs="Times New Roman"/>
                <w:color w:val="auto"/>
                <w:szCs w:val="24"/>
                <w:highlight w:val="none"/>
              </w:rPr>
              <w:fldChar w:fldCharType="end"/>
            </w:r>
            <w:r>
              <w:rPr>
                <w:rFonts w:hint="default" w:ascii="Times New Roman" w:hAnsi="Times New Roman" w:eastAsia="宋体" w:cs="Times New Roman"/>
                <w:color w:val="auto"/>
                <w:szCs w:val="24"/>
                <w:highlight w:val="none"/>
                <w:lang w:val="en-US" w:eastAsia="zh-CN"/>
              </w:rPr>
              <w:t>废滤芯</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zCs w:val="24"/>
                <w:highlight w:val="none"/>
                <w:lang w:val="en-US" w:eastAsia="zh-CN"/>
              </w:rPr>
              <w:t>项目拉伸油过滤循环使用，滤芯两个月更</w:t>
            </w:r>
            <w:r>
              <w:rPr>
                <w:rFonts w:hint="eastAsia" w:cs="Times New Roman"/>
                <w:color w:val="auto"/>
                <w:szCs w:val="24"/>
                <w:highlight w:val="none"/>
                <w:lang w:val="en-US" w:eastAsia="zh-CN"/>
              </w:rPr>
              <w:t>换</w:t>
            </w:r>
            <w:r>
              <w:rPr>
                <w:rFonts w:hint="default" w:ascii="Times New Roman" w:hAnsi="Times New Roman" w:eastAsia="宋体" w:cs="Times New Roman"/>
                <w:color w:val="auto"/>
                <w:szCs w:val="24"/>
                <w:highlight w:val="none"/>
                <w:lang w:val="en-US" w:eastAsia="zh-CN"/>
              </w:rPr>
              <w:t>一次，废滤芯产生量约2.33t/a。属于危险废物，废物类别：HW49，废物代码为：900-041-49。</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color w:val="auto"/>
                <w:szCs w:val="24"/>
                <w:highlight w:val="none"/>
                <w:lang w:val="en-US" w:eastAsia="zh-CN"/>
              </w:rPr>
            </w:pPr>
            <w:r>
              <w:rPr>
                <w:rFonts w:hint="default" w:ascii="Times New Roman" w:hAnsi="Times New Roman" w:eastAsia="宋体" w:cs="Times New Roman"/>
                <w:color w:val="auto"/>
                <w:szCs w:val="24"/>
                <w:highlight w:val="none"/>
              </w:rPr>
              <w:fldChar w:fldCharType="begin"/>
            </w:r>
            <w:r>
              <w:rPr>
                <w:rFonts w:hint="default" w:ascii="Times New Roman" w:hAnsi="Times New Roman" w:eastAsia="宋体" w:cs="Times New Roman"/>
                <w:color w:val="auto"/>
                <w:szCs w:val="24"/>
                <w:highlight w:val="none"/>
              </w:rPr>
              <w:instrText xml:space="preserve"> = 3 \* GB3 \* MERGEFORMAT </w:instrText>
            </w:r>
            <w:r>
              <w:rPr>
                <w:rFonts w:hint="default" w:ascii="Times New Roman" w:hAnsi="Times New Roman" w:eastAsia="宋体" w:cs="Times New Roman"/>
                <w:color w:val="auto"/>
                <w:szCs w:val="24"/>
                <w:highlight w:val="none"/>
              </w:rPr>
              <w:fldChar w:fldCharType="separate"/>
            </w:r>
            <w:r>
              <w:rPr>
                <w:rFonts w:hint="default" w:ascii="Times New Roman" w:hAnsi="Times New Roman" w:eastAsia="宋体" w:cs="Times New Roman"/>
                <w:color w:val="auto"/>
                <w:highlight w:val="none"/>
              </w:rPr>
              <w:t>③</w:t>
            </w:r>
            <w:r>
              <w:rPr>
                <w:rFonts w:hint="default" w:ascii="Times New Roman" w:hAnsi="Times New Roman" w:eastAsia="宋体" w:cs="Times New Roman"/>
                <w:color w:val="auto"/>
                <w:szCs w:val="24"/>
                <w:highlight w:val="none"/>
              </w:rPr>
              <w:fldChar w:fldCharType="end"/>
            </w:r>
            <w:r>
              <w:rPr>
                <w:rFonts w:hint="default" w:ascii="Times New Roman" w:hAnsi="Times New Roman" w:eastAsia="宋体" w:cs="Times New Roman"/>
                <w:color w:val="auto"/>
                <w:szCs w:val="24"/>
                <w:highlight w:val="none"/>
                <w:lang w:val="en-US" w:eastAsia="zh-CN"/>
              </w:rPr>
              <w:t>废机油</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color w:val="auto"/>
                <w:szCs w:val="24"/>
                <w:highlight w:val="none"/>
                <w:lang w:val="en-US" w:eastAsia="zh-CN"/>
              </w:rPr>
            </w:pPr>
            <w:r>
              <w:rPr>
                <w:rFonts w:hint="default" w:ascii="Times New Roman" w:hAnsi="Times New Roman" w:eastAsia="宋体" w:cs="Times New Roman"/>
                <w:color w:val="auto"/>
                <w:szCs w:val="24"/>
                <w:highlight w:val="none"/>
                <w:lang w:val="en-US" w:eastAsia="zh-CN"/>
              </w:rPr>
              <w:t>项目在对设备维护保养和维修过程中会产生废机油，废物类别：HW08，废物代码为：900-249-08。危险废物年产生量约4.2t/a</w:t>
            </w:r>
            <w:r>
              <w:rPr>
                <w:rFonts w:hint="eastAsia" w:cs="Times New Roman"/>
                <w:color w:val="0000FF"/>
                <w:szCs w:val="24"/>
                <w:highlight w:val="none"/>
                <w:lang w:val="en-US" w:eastAsia="zh-CN"/>
              </w:rPr>
              <w:t>。</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color w:val="auto"/>
                <w:szCs w:val="24"/>
                <w:highlight w:val="none"/>
                <w:lang w:val="en-US" w:eastAsia="zh-CN"/>
              </w:rPr>
            </w:pPr>
            <w:r>
              <w:rPr>
                <w:rFonts w:hint="default" w:ascii="Times New Roman" w:hAnsi="Times New Roman" w:eastAsia="宋体" w:cs="Times New Roman"/>
                <w:color w:val="auto"/>
                <w:szCs w:val="24"/>
                <w:highlight w:val="none"/>
              </w:rPr>
              <w:fldChar w:fldCharType="begin"/>
            </w:r>
            <w:r>
              <w:rPr>
                <w:rFonts w:hint="default" w:ascii="Times New Roman" w:hAnsi="Times New Roman" w:eastAsia="宋体" w:cs="Times New Roman"/>
                <w:color w:val="auto"/>
                <w:szCs w:val="24"/>
                <w:highlight w:val="none"/>
              </w:rPr>
              <w:instrText xml:space="preserve"> = 4 \* GB3 \* MERGEFORMAT </w:instrText>
            </w:r>
            <w:r>
              <w:rPr>
                <w:rFonts w:hint="default" w:ascii="Times New Roman" w:hAnsi="Times New Roman" w:eastAsia="宋体" w:cs="Times New Roman"/>
                <w:color w:val="auto"/>
                <w:szCs w:val="24"/>
                <w:highlight w:val="none"/>
              </w:rPr>
              <w:fldChar w:fldCharType="separate"/>
            </w:r>
            <w:r>
              <w:rPr>
                <w:rFonts w:hint="default" w:ascii="Times New Roman" w:hAnsi="Times New Roman" w:eastAsia="宋体" w:cs="Times New Roman"/>
                <w:color w:val="auto"/>
                <w:highlight w:val="none"/>
              </w:rPr>
              <w:t>④</w:t>
            </w:r>
            <w:r>
              <w:rPr>
                <w:rFonts w:hint="default" w:ascii="Times New Roman" w:hAnsi="Times New Roman" w:eastAsia="宋体" w:cs="Times New Roman"/>
                <w:color w:val="auto"/>
                <w:szCs w:val="24"/>
                <w:highlight w:val="none"/>
              </w:rPr>
              <w:fldChar w:fldCharType="end"/>
            </w:r>
            <w:r>
              <w:rPr>
                <w:rFonts w:hint="default" w:ascii="Times New Roman" w:hAnsi="Times New Roman" w:eastAsia="宋体" w:cs="Times New Roman"/>
                <w:color w:val="auto"/>
                <w:szCs w:val="24"/>
                <w:highlight w:val="none"/>
              </w:rPr>
              <w:t>含油</w:t>
            </w:r>
            <w:r>
              <w:rPr>
                <w:rFonts w:hint="default" w:ascii="Times New Roman" w:hAnsi="Times New Roman" w:eastAsia="宋体" w:cs="Times New Roman"/>
                <w:color w:val="auto"/>
                <w:szCs w:val="24"/>
                <w:highlight w:val="none"/>
                <w:lang w:val="en-US" w:eastAsia="zh-CN"/>
              </w:rPr>
              <w:t>浓缩液</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color w:val="auto"/>
                <w:szCs w:val="24"/>
                <w:highlight w:val="none"/>
                <w:lang w:val="en-US" w:eastAsia="zh-CN"/>
              </w:rPr>
            </w:pPr>
            <w:r>
              <w:rPr>
                <w:rFonts w:hint="default" w:ascii="Times New Roman" w:hAnsi="Times New Roman" w:eastAsia="宋体" w:cs="Times New Roman"/>
                <w:color w:val="auto"/>
                <w:szCs w:val="24"/>
                <w:highlight w:val="none"/>
                <w:lang w:val="en-US" w:eastAsia="zh-CN"/>
              </w:rPr>
              <w:t>项目废水处理含油浓缩液产生量为</w:t>
            </w:r>
            <w:r>
              <w:rPr>
                <w:rFonts w:hint="eastAsia" w:cs="Times New Roman"/>
                <w:color w:val="auto"/>
                <w:szCs w:val="24"/>
                <w:highlight w:val="none"/>
                <w:lang w:val="en-US" w:eastAsia="zh-CN"/>
              </w:rPr>
              <w:t>37.77</w:t>
            </w:r>
            <w:r>
              <w:rPr>
                <w:rFonts w:hint="default" w:ascii="Times New Roman" w:hAnsi="Times New Roman" w:eastAsia="宋体" w:cs="Times New Roman"/>
                <w:color w:val="auto"/>
                <w:szCs w:val="24"/>
                <w:highlight w:val="none"/>
                <w:lang w:val="en-US" w:eastAsia="zh-CN"/>
              </w:rPr>
              <w:t>t/a，属于危险废物，废物类别：HW08，废物代码为：900-210-08。</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color w:val="auto"/>
                <w:szCs w:val="24"/>
                <w:highlight w:val="none"/>
                <w:lang w:val="en-US" w:eastAsia="zh-CN"/>
              </w:rPr>
            </w:pPr>
            <w:r>
              <w:rPr>
                <w:rFonts w:hint="default" w:ascii="Times New Roman" w:hAnsi="Times New Roman" w:eastAsia="宋体" w:cs="Times New Roman"/>
                <w:color w:val="auto"/>
                <w:szCs w:val="24"/>
                <w:highlight w:val="none"/>
                <w:lang w:val="en-US" w:eastAsia="zh-CN"/>
              </w:rPr>
              <w:fldChar w:fldCharType="begin"/>
            </w:r>
            <w:r>
              <w:rPr>
                <w:rFonts w:hint="default" w:ascii="Times New Roman" w:hAnsi="Times New Roman" w:eastAsia="宋体" w:cs="Times New Roman"/>
                <w:color w:val="auto"/>
                <w:szCs w:val="24"/>
                <w:highlight w:val="none"/>
                <w:lang w:val="en-US" w:eastAsia="zh-CN"/>
              </w:rPr>
              <w:instrText xml:space="preserve"> = 5 \* GB3 \* MERGEFORMAT </w:instrText>
            </w:r>
            <w:r>
              <w:rPr>
                <w:rFonts w:hint="default" w:ascii="Times New Roman" w:hAnsi="Times New Roman" w:eastAsia="宋体" w:cs="Times New Roman"/>
                <w:color w:val="auto"/>
                <w:szCs w:val="24"/>
                <w:highlight w:val="none"/>
                <w:lang w:val="en-US" w:eastAsia="zh-CN"/>
              </w:rPr>
              <w:fldChar w:fldCharType="separate"/>
            </w:r>
            <w:r>
              <w:rPr>
                <w:rFonts w:hint="default" w:ascii="Times New Roman" w:hAnsi="Times New Roman" w:eastAsia="宋体" w:cs="Times New Roman"/>
                <w:color w:val="auto"/>
                <w:highlight w:val="none"/>
              </w:rPr>
              <w:t>⑤</w:t>
            </w:r>
            <w:r>
              <w:rPr>
                <w:rFonts w:hint="default" w:ascii="Times New Roman" w:hAnsi="Times New Roman" w:eastAsia="宋体" w:cs="Times New Roman"/>
                <w:color w:val="auto"/>
                <w:szCs w:val="24"/>
                <w:highlight w:val="none"/>
                <w:lang w:val="en-US" w:eastAsia="zh-CN"/>
              </w:rPr>
              <w:fldChar w:fldCharType="end"/>
            </w:r>
            <w:r>
              <w:rPr>
                <w:rFonts w:hint="default" w:ascii="Times New Roman" w:hAnsi="Times New Roman" w:eastAsia="宋体" w:cs="Times New Roman"/>
                <w:color w:val="auto"/>
                <w:szCs w:val="24"/>
                <w:highlight w:val="none"/>
                <w:lang w:val="en-US" w:eastAsia="zh-CN"/>
              </w:rPr>
              <w:t>废过滤膜</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kern w:val="2"/>
                <w:sz w:val="24"/>
                <w:szCs w:val="24"/>
                <w:highlight w:val="none"/>
                <w:lang w:val="en-US" w:eastAsia="zh-CN" w:bidi="ar"/>
              </w:rPr>
            </w:pPr>
            <w:r>
              <w:rPr>
                <w:rFonts w:hint="default" w:ascii="Times New Roman" w:hAnsi="Times New Roman" w:eastAsia="宋体" w:cs="Times New Roman"/>
                <w:color w:val="auto"/>
                <w:szCs w:val="24"/>
                <w:highlight w:val="none"/>
                <w:lang w:val="en-US" w:eastAsia="zh-CN"/>
              </w:rPr>
              <w:t>项目污水处理设施</w:t>
            </w:r>
            <w:r>
              <w:rPr>
                <w:rFonts w:hint="default" w:ascii="Times New Roman" w:hAnsi="Times New Roman" w:eastAsia="宋体" w:cs="Times New Roman"/>
                <w:kern w:val="2"/>
                <w:sz w:val="24"/>
                <w:szCs w:val="24"/>
                <w:highlight w:val="none"/>
                <w:lang w:val="en-US" w:eastAsia="zh-CN" w:bidi="ar"/>
              </w:rPr>
              <w:t>NP膜约2~4年更换一次，产生量约0.32t/a；NF膜约3~5年更换一次，产生量约1.32t/a；UF膜约3~5年更换一次，产生量约0.64t/a。项目污水处理设施废过滤膜产生量约为4.0t/a，</w:t>
            </w:r>
            <w:r>
              <w:rPr>
                <w:rFonts w:hint="default" w:ascii="Times New Roman" w:hAnsi="Times New Roman" w:eastAsia="宋体" w:cs="Times New Roman"/>
                <w:color w:val="auto"/>
                <w:szCs w:val="24"/>
                <w:highlight w:val="none"/>
                <w:lang w:val="en-US" w:eastAsia="zh-CN"/>
              </w:rPr>
              <w:t>属于危险废物，废物类别：HW49，废物代码为：900-041-49</w:t>
            </w:r>
            <w:r>
              <w:rPr>
                <w:rFonts w:hint="default" w:ascii="Times New Roman" w:hAnsi="Times New Roman" w:eastAsia="宋体" w:cs="Times New Roman"/>
                <w:kern w:val="2"/>
                <w:sz w:val="24"/>
                <w:szCs w:val="24"/>
                <w:highlight w:val="none"/>
                <w:lang w:val="en-US" w:eastAsia="zh-CN" w:bidi="ar"/>
              </w:rPr>
              <w:t>。</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color w:val="auto"/>
                <w:szCs w:val="24"/>
                <w:highlight w:val="none"/>
                <w:lang w:val="en-US" w:eastAsia="zh-CN"/>
              </w:rPr>
            </w:pPr>
            <w:r>
              <w:rPr>
                <w:rFonts w:hint="default" w:ascii="Times New Roman" w:hAnsi="Times New Roman" w:eastAsia="宋体" w:cs="Times New Roman"/>
                <w:kern w:val="2"/>
                <w:sz w:val="24"/>
                <w:szCs w:val="24"/>
                <w:highlight w:val="none"/>
                <w:lang w:val="en-US" w:eastAsia="zh-CN" w:bidi="ar"/>
              </w:rPr>
              <w:fldChar w:fldCharType="begin"/>
            </w:r>
            <w:r>
              <w:rPr>
                <w:rFonts w:hint="default" w:ascii="Times New Roman" w:hAnsi="Times New Roman" w:eastAsia="宋体" w:cs="Times New Roman"/>
                <w:kern w:val="2"/>
                <w:sz w:val="24"/>
                <w:szCs w:val="24"/>
                <w:highlight w:val="none"/>
                <w:lang w:val="en-US" w:eastAsia="zh-CN" w:bidi="ar"/>
              </w:rPr>
              <w:instrText xml:space="preserve"> = 6 \* GB3 \* MERGEFORMAT </w:instrText>
            </w:r>
            <w:r>
              <w:rPr>
                <w:rFonts w:hint="default" w:ascii="Times New Roman" w:hAnsi="Times New Roman" w:eastAsia="宋体" w:cs="Times New Roman"/>
                <w:kern w:val="2"/>
                <w:sz w:val="24"/>
                <w:szCs w:val="24"/>
                <w:highlight w:val="none"/>
                <w:lang w:val="en-US" w:eastAsia="zh-CN" w:bidi="ar"/>
              </w:rPr>
              <w:fldChar w:fldCharType="separate"/>
            </w:r>
            <w:r>
              <w:rPr>
                <w:rFonts w:hint="default" w:ascii="Times New Roman" w:hAnsi="Times New Roman" w:eastAsia="宋体" w:cs="Times New Roman"/>
                <w:highlight w:val="none"/>
              </w:rPr>
              <w:t>⑥</w:t>
            </w:r>
            <w:r>
              <w:rPr>
                <w:rFonts w:hint="default" w:ascii="Times New Roman" w:hAnsi="Times New Roman" w:eastAsia="宋体" w:cs="Times New Roman"/>
                <w:kern w:val="2"/>
                <w:sz w:val="24"/>
                <w:szCs w:val="24"/>
                <w:highlight w:val="none"/>
                <w:lang w:val="en-US" w:eastAsia="zh-CN" w:bidi="ar"/>
              </w:rPr>
              <w:fldChar w:fldCharType="end"/>
            </w:r>
            <w:r>
              <w:rPr>
                <w:rFonts w:hint="default" w:ascii="Times New Roman" w:hAnsi="Times New Roman" w:eastAsia="宋体" w:cs="Times New Roman"/>
                <w:color w:val="auto"/>
                <w:szCs w:val="24"/>
                <w:highlight w:val="none"/>
                <w:lang w:val="en-US" w:eastAsia="zh-CN"/>
              </w:rPr>
              <w:t>切边沉降金属屑</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kern w:val="2"/>
                <w:sz w:val="24"/>
                <w:szCs w:val="24"/>
                <w:highlight w:val="none"/>
                <w:lang w:val="en-US" w:eastAsia="zh-CN" w:bidi="ar"/>
              </w:rPr>
            </w:pPr>
            <w:r>
              <w:rPr>
                <w:rFonts w:hint="default" w:ascii="Times New Roman" w:hAnsi="Times New Roman" w:eastAsia="宋体" w:cs="Times New Roman"/>
                <w:highlight w:val="none"/>
                <w:lang w:val="en-US" w:eastAsia="zh-CN"/>
              </w:rPr>
              <w:t>切边沉降金属屑产生量约</w:t>
            </w:r>
            <w:r>
              <w:rPr>
                <w:rFonts w:hint="eastAsia" w:ascii="Times New Roman" w:hAnsi="Times New Roman" w:eastAsia="宋体" w:cs="Times New Roman"/>
                <w:highlight w:val="none"/>
                <w:lang w:val="en-US" w:eastAsia="zh-CN"/>
              </w:rPr>
              <w:t>2.7</w:t>
            </w:r>
            <w:r>
              <w:rPr>
                <w:rFonts w:hint="default" w:ascii="Times New Roman" w:hAnsi="Times New Roman" w:eastAsia="宋体" w:cs="Times New Roman"/>
                <w:highlight w:val="none"/>
                <w:lang w:val="en-US" w:eastAsia="zh-CN"/>
              </w:rPr>
              <w:t>t/a。切边沉降金属屑沾有少量拉伸油，</w:t>
            </w:r>
            <w:r>
              <w:rPr>
                <w:rFonts w:hint="default" w:ascii="Times New Roman" w:hAnsi="Times New Roman" w:eastAsia="宋体" w:cs="Times New Roman"/>
                <w:color w:val="auto"/>
                <w:szCs w:val="24"/>
                <w:highlight w:val="none"/>
                <w:lang w:val="en-US" w:eastAsia="zh-CN"/>
              </w:rPr>
              <w:t>属于危险废物，废物类别：HW08，废物代码为：900-200-08。</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color w:val="auto"/>
                <w:szCs w:val="24"/>
                <w:highlight w:val="none"/>
                <w:lang w:val="en-US" w:eastAsia="zh-CN"/>
              </w:rPr>
            </w:pPr>
            <w:r>
              <w:rPr>
                <w:rFonts w:hint="default" w:ascii="Times New Roman" w:hAnsi="Times New Roman" w:eastAsia="宋体" w:cs="Times New Roman"/>
                <w:highlight w:val="none"/>
                <w:lang w:val="en-US" w:eastAsia="zh-CN"/>
              </w:rPr>
              <w:t>根据《国家危险废物名录（2021年版）》附录 危险废物豁免管理清单，金属制品机械加工行业珩磨、砚磨、打磨过程，以及使用切削油或切削液进行机械加工过程中产生的含油金属屑，再经压榨、压滤、过滤除油达到静置无滴漏后打包压块用于金属冶炼的情况下，利用过程不按危险废物管理。由此项目产生的切边金属屑在厂区内压滤静置除油后暂存在危废仓</w:t>
            </w:r>
            <w:r>
              <w:rPr>
                <w:rFonts w:hint="default" w:ascii="Times New Roman" w:hAnsi="Times New Roman" w:eastAsia="宋体" w:cs="Times New Roman"/>
                <w:highlight w:val="none"/>
                <w:vertAlign w:val="baseline"/>
                <w:lang w:val="en-US" w:eastAsia="zh-CN"/>
              </w:rPr>
              <w:t>，定期给有资质单位用于金属冶炼，</w:t>
            </w:r>
            <w:r>
              <w:rPr>
                <w:rFonts w:hint="default" w:ascii="Times New Roman" w:hAnsi="Times New Roman" w:eastAsia="宋体" w:cs="Times New Roman"/>
                <w:highlight w:val="none"/>
                <w:lang w:val="en-US" w:eastAsia="zh-CN"/>
              </w:rPr>
              <w:t>利用过程不按危险废物管理。</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color w:val="auto"/>
                <w:szCs w:val="24"/>
                <w:highlight w:val="none"/>
                <w:lang w:val="en-US" w:eastAsia="zh-CN"/>
              </w:rPr>
            </w:pPr>
            <w:r>
              <w:rPr>
                <w:rFonts w:hint="default" w:ascii="Times New Roman" w:hAnsi="Times New Roman" w:eastAsia="宋体" w:cs="Times New Roman"/>
                <w:color w:val="auto"/>
                <w:szCs w:val="24"/>
                <w:highlight w:val="none"/>
                <w:lang w:val="en-US" w:eastAsia="zh-CN"/>
              </w:rPr>
              <w:t>以上危险废物分类收集暂存在</w:t>
            </w:r>
            <w:r>
              <w:rPr>
                <w:rFonts w:hint="eastAsia" w:cs="Times New Roman"/>
                <w:color w:val="auto"/>
                <w:szCs w:val="24"/>
                <w:highlight w:val="none"/>
                <w:lang w:val="en-US" w:eastAsia="zh-CN"/>
              </w:rPr>
              <w:t>危废仓</w:t>
            </w:r>
            <w:r>
              <w:rPr>
                <w:rFonts w:hint="default" w:ascii="Times New Roman" w:hAnsi="Times New Roman" w:eastAsia="宋体" w:cs="Times New Roman"/>
                <w:color w:val="auto"/>
                <w:szCs w:val="24"/>
                <w:highlight w:val="none"/>
                <w:lang w:val="en-US" w:eastAsia="zh-CN"/>
              </w:rPr>
              <w:t>，定期委托有资质单位处置。</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rPr>
            </w:pPr>
            <w:r>
              <w:rPr>
                <w:rFonts w:hint="default" w:ascii="Times New Roman" w:hAnsi="Times New Roman" w:eastAsia="宋体" w:cs="Times New Roman"/>
                <w:highlight w:val="none"/>
              </w:rPr>
              <w:t>（3）</w:t>
            </w:r>
            <w:r>
              <w:rPr>
                <w:rFonts w:hint="default" w:ascii="Times New Roman" w:hAnsi="Times New Roman" w:eastAsia="宋体" w:cs="Times New Roman"/>
              </w:rPr>
              <w:t>生活垃圾</w:t>
            </w:r>
          </w:p>
          <w:p>
            <w:pPr>
              <w:pStyle w:val="42"/>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rPr>
            </w:pPr>
            <w:r>
              <w:rPr>
                <w:rFonts w:hint="default" w:ascii="Times New Roman" w:hAnsi="Times New Roman" w:eastAsia="宋体" w:cs="Times New Roman"/>
                <w:kern w:val="2"/>
                <w:szCs w:val="24"/>
                <w:lang w:bidi="ar"/>
              </w:rPr>
              <w:t>本项目有不住宿职工</w:t>
            </w:r>
            <w:r>
              <w:rPr>
                <w:rFonts w:hint="default" w:ascii="Times New Roman" w:hAnsi="Times New Roman" w:eastAsia="宋体" w:cs="Times New Roman"/>
                <w:kern w:val="2"/>
                <w:szCs w:val="24"/>
                <w:lang w:val="en-US" w:eastAsia="zh-CN" w:bidi="ar"/>
              </w:rPr>
              <w:t>20</w:t>
            </w:r>
            <w:r>
              <w:rPr>
                <w:rFonts w:hint="default" w:ascii="Times New Roman" w:hAnsi="Times New Roman" w:eastAsia="宋体" w:cs="Times New Roman"/>
                <w:kern w:val="2"/>
                <w:szCs w:val="24"/>
                <w:lang w:bidi="ar"/>
              </w:rPr>
              <w:t>0人，职工产生生活垃圾按0.5kg/人·d计，则生活垃圾总产生量</w:t>
            </w:r>
            <w:r>
              <w:rPr>
                <w:rFonts w:hint="default" w:ascii="Times New Roman" w:hAnsi="Times New Roman" w:eastAsia="宋体" w:cs="Times New Roman"/>
                <w:kern w:val="2"/>
                <w:szCs w:val="24"/>
                <w:lang w:val="en-US" w:eastAsia="zh-CN" w:bidi="ar"/>
              </w:rPr>
              <w:t>30.0</w:t>
            </w:r>
            <w:r>
              <w:rPr>
                <w:rFonts w:hint="default" w:ascii="Times New Roman" w:hAnsi="Times New Roman" w:eastAsia="宋体" w:cs="Times New Roman"/>
                <w:kern w:val="2"/>
                <w:szCs w:val="24"/>
                <w:lang w:bidi="ar"/>
              </w:rPr>
              <w:t>t/a（0.</w:t>
            </w:r>
            <w:r>
              <w:rPr>
                <w:rFonts w:hint="default" w:ascii="Times New Roman" w:hAnsi="Times New Roman" w:eastAsia="宋体" w:cs="Times New Roman"/>
                <w:kern w:val="2"/>
                <w:szCs w:val="24"/>
                <w:lang w:val="en-US" w:eastAsia="zh-CN" w:bidi="ar"/>
              </w:rPr>
              <w:t>1</w:t>
            </w:r>
            <w:r>
              <w:rPr>
                <w:rFonts w:hint="default" w:ascii="Times New Roman" w:hAnsi="Times New Roman" w:eastAsia="宋体" w:cs="Times New Roman"/>
              </w:rPr>
              <w:t>t/d</w:t>
            </w:r>
            <w:r>
              <w:rPr>
                <w:rFonts w:hint="default" w:ascii="Times New Roman" w:hAnsi="Times New Roman" w:eastAsia="宋体" w:cs="Times New Roman"/>
                <w:kern w:val="2"/>
                <w:szCs w:val="24"/>
                <w:lang w:bidi="ar"/>
              </w:rPr>
              <w:t>），</w:t>
            </w:r>
            <w:r>
              <w:rPr>
                <w:rFonts w:hint="default" w:ascii="Times New Roman" w:hAnsi="Times New Roman" w:eastAsia="宋体" w:cs="Times New Roman"/>
              </w:rPr>
              <w:t>生活垃圾统一收集后由环卫部门清运处置。</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rPr>
            </w:pPr>
            <w:r>
              <w:rPr>
                <w:rFonts w:hint="default" w:ascii="Times New Roman" w:hAnsi="Times New Roman" w:eastAsia="宋体" w:cs="Times New Roman"/>
              </w:rPr>
              <w:t>本项目固废产生及处置情况见下表。</w:t>
            </w:r>
          </w:p>
          <w:p>
            <w:pPr>
              <w:pStyle w:val="36"/>
              <w:keepNext w:val="0"/>
              <w:keepLines w:val="0"/>
              <w:suppressLineNumbers w:val="0"/>
              <w:bidi w:val="0"/>
              <w:spacing w:before="0" w:beforeAutospacing="0" w:after="0" w:afterAutospacing="0"/>
              <w:ind w:right="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固体废物源强核算结果及相关参数统计一览表</w:t>
            </w:r>
          </w:p>
          <w:tbl>
            <w:tblPr>
              <w:tblStyle w:val="27"/>
              <w:tblW w:w="845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240"/>
              <w:gridCol w:w="649"/>
              <w:gridCol w:w="516"/>
              <w:gridCol w:w="1328"/>
              <w:gridCol w:w="528"/>
              <w:gridCol w:w="592"/>
              <w:gridCol w:w="730"/>
              <w:gridCol w:w="416"/>
              <w:gridCol w:w="690"/>
              <w:gridCol w:w="604"/>
              <w:gridCol w:w="558"/>
              <w:gridCol w:w="16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1099" w:hRule="atLeast"/>
                <w:jc w:val="center"/>
              </w:trPr>
              <w:tc>
                <w:tcPr>
                  <w:tcW w:w="240" w:type="dxa"/>
                  <w:vAlign w:val="center"/>
                </w:tcPr>
                <w:p>
                  <w:pPr>
                    <w:pStyle w:val="37"/>
                    <w:keepNext w:val="0"/>
                    <w:keepLines w:val="0"/>
                    <w:suppressLineNumbers w:val="0"/>
                    <w:bidi w:val="0"/>
                    <w:spacing w:before="0" w:beforeAutospacing="0" w:after="0" w:afterAutospacing="0"/>
                    <w:ind w:right="0"/>
                    <w:rPr>
                      <w:rFonts w:hint="default"/>
                    </w:rPr>
                  </w:pPr>
                  <w:r>
                    <w:rPr>
                      <w:rFonts w:hint="default"/>
                    </w:rPr>
                    <w:t>序号</w:t>
                  </w:r>
                </w:p>
                <w:p>
                  <w:pPr>
                    <w:pStyle w:val="37"/>
                    <w:keepNext w:val="0"/>
                    <w:keepLines w:val="0"/>
                    <w:suppressLineNumbers w:val="0"/>
                    <w:bidi w:val="0"/>
                    <w:spacing w:before="0" w:beforeAutospacing="0" w:after="0" w:afterAutospacing="0"/>
                    <w:ind w:right="0"/>
                    <w:rPr>
                      <w:rFonts w:hint="default"/>
                    </w:rPr>
                  </w:pPr>
                </w:p>
              </w:tc>
              <w:tc>
                <w:tcPr>
                  <w:tcW w:w="649" w:type="dxa"/>
                  <w:vAlign w:val="center"/>
                </w:tcPr>
                <w:p>
                  <w:pPr>
                    <w:pStyle w:val="37"/>
                    <w:keepNext w:val="0"/>
                    <w:keepLines w:val="0"/>
                    <w:suppressLineNumbers w:val="0"/>
                    <w:bidi w:val="0"/>
                    <w:spacing w:before="0" w:beforeAutospacing="0" w:after="0" w:afterAutospacing="0"/>
                    <w:ind w:right="0"/>
                    <w:rPr>
                      <w:rFonts w:hint="default"/>
                    </w:rPr>
                  </w:pPr>
                  <w:r>
                    <w:rPr>
                      <w:rFonts w:hint="default"/>
                    </w:rPr>
                    <w:t>固废名称</w:t>
                  </w:r>
                </w:p>
              </w:tc>
              <w:tc>
                <w:tcPr>
                  <w:tcW w:w="516" w:type="dxa"/>
                  <w:vAlign w:val="center"/>
                </w:tcPr>
                <w:p>
                  <w:pPr>
                    <w:pStyle w:val="37"/>
                    <w:keepNext w:val="0"/>
                    <w:keepLines w:val="0"/>
                    <w:suppressLineNumbers w:val="0"/>
                    <w:bidi w:val="0"/>
                    <w:spacing w:before="0" w:beforeAutospacing="0" w:after="0" w:afterAutospacing="0"/>
                    <w:ind w:right="0"/>
                    <w:rPr>
                      <w:rFonts w:hint="default"/>
                    </w:rPr>
                  </w:pPr>
                  <w:r>
                    <w:rPr>
                      <w:rFonts w:hint="default"/>
                    </w:rPr>
                    <w:t>废物性质</w:t>
                  </w:r>
                </w:p>
              </w:tc>
              <w:tc>
                <w:tcPr>
                  <w:tcW w:w="1328" w:type="dxa"/>
                  <w:vAlign w:val="center"/>
                </w:tcPr>
                <w:p>
                  <w:pPr>
                    <w:pStyle w:val="37"/>
                    <w:keepNext w:val="0"/>
                    <w:keepLines w:val="0"/>
                    <w:suppressLineNumbers w:val="0"/>
                    <w:bidi w:val="0"/>
                    <w:spacing w:before="0" w:beforeAutospacing="0" w:after="0" w:afterAutospacing="0"/>
                    <w:ind w:right="0"/>
                    <w:rPr>
                      <w:rFonts w:hint="default"/>
                    </w:rPr>
                  </w:pPr>
                  <w:r>
                    <w:rPr>
                      <w:rFonts w:hint="default"/>
                    </w:rPr>
                    <w:t>类别编号</w:t>
                  </w:r>
                </w:p>
              </w:tc>
              <w:tc>
                <w:tcPr>
                  <w:tcW w:w="528" w:type="dxa"/>
                  <w:vAlign w:val="center"/>
                </w:tcPr>
                <w:p>
                  <w:pPr>
                    <w:pStyle w:val="37"/>
                    <w:keepNext w:val="0"/>
                    <w:keepLines w:val="0"/>
                    <w:suppressLineNumbers w:val="0"/>
                    <w:bidi w:val="0"/>
                    <w:spacing w:before="0" w:beforeAutospacing="0" w:after="0" w:afterAutospacing="0"/>
                    <w:ind w:right="0"/>
                    <w:rPr>
                      <w:rFonts w:hint="default"/>
                    </w:rPr>
                  </w:pPr>
                  <w:r>
                    <w:rPr>
                      <w:rFonts w:hint="default"/>
                    </w:rPr>
                    <w:t>危险特性</w:t>
                  </w:r>
                </w:p>
              </w:tc>
              <w:tc>
                <w:tcPr>
                  <w:tcW w:w="592" w:type="dxa"/>
                  <w:vAlign w:val="center"/>
                </w:tcPr>
                <w:p>
                  <w:pPr>
                    <w:pStyle w:val="37"/>
                    <w:keepNext w:val="0"/>
                    <w:keepLines w:val="0"/>
                    <w:suppressLineNumbers w:val="0"/>
                    <w:bidi w:val="0"/>
                    <w:spacing w:before="0" w:beforeAutospacing="0" w:after="0" w:afterAutospacing="0"/>
                    <w:ind w:right="0"/>
                    <w:rPr>
                      <w:rFonts w:hint="default"/>
                    </w:rPr>
                  </w:pPr>
                  <w:r>
                    <w:rPr>
                      <w:rFonts w:hint="default"/>
                    </w:rPr>
                    <w:t>产生量(t/a)</w:t>
                  </w:r>
                </w:p>
              </w:tc>
              <w:tc>
                <w:tcPr>
                  <w:tcW w:w="730" w:type="dxa"/>
                  <w:vAlign w:val="center"/>
                </w:tcPr>
                <w:p>
                  <w:pPr>
                    <w:pStyle w:val="37"/>
                    <w:keepNext w:val="0"/>
                    <w:keepLines w:val="0"/>
                    <w:suppressLineNumbers w:val="0"/>
                    <w:bidi w:val="0"/>
                    <w:spacing w:before="0" w:beforeAutospacing="0" w:after="0" w:afterAutospacing="0"/>
                    <w:ind w:right="0"/>
                    <w:rPr>
                      <w:rFonts w:hint="default"/>
                    </w:rPr>
                  </w:pPr>
                  <w:r>
                    <w:rPr>
                      <w:rFonts w:hint="default"/>
                    </w:rPr>
                    <w:t>产生工序及装置</w:t>
                  </w:r>
                </w:p>
              </w:tc>
              <w:tc>
                <w:tcPr>
                  <w:tcW w:w="416" w:type="dxa"/>
                  <w:vAlign w:val="center"/>
                </w:tcPr>
                <w:p>
                  <w:pPr>
                    <w:pStyle w:val="37"/>
                    <w:keepNext w:val="0"/>
                    <w:keepLines w:val="0"/>
                    <w:suppressLineNumbers w:val="0"/>
                    <w:bidi w:val="0"/>
                    <w:spacing w:before="0" w:beforeAutospacing="0" w:after="0" w:afterAutospacing="0"/>
                    <w:ind w:right="0"/>
                    <w:rPr>
                      <w:rFonts w:hint="default"/>
                    </w:rPr>
                  </w:pPr>
                  <w:r>
                    <w:rPr>
                      <w:rFonts w:hint="default"/>
                    </w:rPr>
                    <w:t>形态</w:t>
                  </w:r>
                </w:p>
              </w:tc>
              <w:tc>
                <w:tcPr>
                  <w:tcW w:w="690" w:type="dxa"/>
                  <w:vAlign w:val="center"/>
                </w:tcPr>
                <w:p>
                  <w:pPr>
                    <w:pStyle w:val="37"/>
                    <w:keepNext w:val="0"/>
                    <w:keepLines w:val="0"/>
                    <w:suppressLineNumbers w:val="0"/>
                    <w:bidi w:val="0"/>
                    <w:spacing w:before="0" w:beforeAutospacing="0" w:after="0" w:afterAutospacing="0"/>
                    <w:ind w:right="0"/>
                    <w:rPr>
                      <w:rFonts w:hint="default"/>
                    </w:rPr>
                  </w:pPr>
                  <w:r>
                    <w:rPr>
                      <w:rFonts w:hint="default"/>
                    </w:rPr>
                    <w:t>主要成分</w:t>
                  </w:r>
                </w:p>
              </w:tc>
              <w:tc>
                <w:tcPr>
                  <w:tcW w:w="604" w:type="dxa"/>
                  <w:vAlign w:val="center"/>
                </w:tcPr>
                <w:p>
                  <w:pPr>
                    <w:pStyle w:val="37"/>
                    <w:keepNext w:val="0"/>
                    <w:keepLines w:val="0"/>
                    <w:suppressLineNumbers w:val="0"/>
                    <w:bidi w:val="0"/>
                    <w:spacing w:before="0" w:beforeAutospacing="0" w:after="0" w:afterAutospacing="0"/>
                    <w:ind w:right="0"/>
                    <w:rPr>
                      <w:rFonts w:hint="default"/>
                    </w:rPr>
                  </w:pPr>
                  <w:r>
                    <w:rPr>
                      <w:rFonts w:hint="default"/>
                    </w:rPr>
                    <w:t>有害成分</w:t>
                  </w:r>
                </w:p>
              </w:tc>
              <w:tc>
                <w:tcPr>
                  <w:tcW w:w="558" w:type="dxa"/>
                  <w:vAlign w:val="center"/>
                </w:tcPr>
                <w:p>
                  <w:pPr>
                    <w:pStyle w:val="37"/>
                    <w:keepNext w:val="0"/>
                    <w:keepLines w:val="0"/>
                    <w:suppressLineNumbers w:val="0"/>
                    <w:bidi w:val="0"/>
                    <w:spacing w:before="0" w:beforeAutospacing="0" w:after="0" w:afterAutospacing="0"/>
                    <w:ind w:right="0"/>
                    <w:rPr>
                      <w:rFonts w:hint="default"/>
                    </w:rPr>
                  </w:pPr>
                  <w:r>
                    <w:rPr>
                      <w:rFonts w:hint="default"/>
                    </w:rPr>
                    <w:t>产废</w:t>
                  </w:r>
                </w:p>
                <w:p>
                  <w:pPr>
                    <w:pStyle w:val="37"/>
                    <w:keepNext w:val="0"/>
                    <w:keepLines w:val="0"/>
                    <w:suppressLineNumbers w:val="0"/>
                    <w:bidi w:val="0"/>
                    <w:spacing w:before="0" w:beforeAutospacing="0" w:after="0" w:afterAutospacing="0"/>
                    <w:ind w:right="0"/>
                    <w:rPr>
                      <w:rFonts w:hint="default"/>
                    </w:rPr>
                  </w:pPr>
                  <w:r>
                    <w:rPr>
                      <w:rFonts w:hint="default"/>
                    </w:rPr>
                    <w:t>规律</w:t>
                  </w:r>
                </w:p>
              </w:tc>
              <w:tc>
                <w:tcPr>
                  <w:tcW w:w="1602" w:type="dxa"/>
                  <w:vAlign w:val="center"/>
                </w:tcPr>
                <w:p>
                  <w:pPr>
                    <w:pStyle w:val="37"/>
                    <w:keepNext w:val="0"/>
                    <w:keepLines w:val="0"/>
                    <w:suppressLineNumbers w:val="0"/>
                    <w:bidi w:val="0"/>
                    <w:spacing w:before="0" w:beforeAutospacing="0" w:after="0" w:afterAutospacing="0"/>
                    <w:ind w:right="0"/>
                    <w:rPr>
                      <w:rFonts w:hint="default"/>
                    </w:rPr>
                  </w:pPr>
                  <w:r>
                    <w:rPr>
                      <w:rFonts w:hint="default"/>
                    </w:rPr>
                    <w:t>污染防治措施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1086" w:hRule="atLeast"/>
                <w:jc w:val="center"/>
              </w:trPr>
              <w:tc>
                <w:tcPr>
                  <w:tcW w:w="240" w:type="dxa"/>
                  <w:vAlign w:val="center"/>
                </w:tcPr>
                <w:p>
                  <w:pPr>
                    <w:pStyle w:val="37"/>
                    <w:keepNext w:val="0"/>
                    <w:keepLines w:val="0"/>
                    <w:suppressLineNumbers w:val="0"/>
                    <w:bidi w:val="0"/>
                    <w:spacing w:before="0" w:beforeAutospacing="0" w:after="0" w:afterAutospacing="0"/>
                    <w:ind w:right="0"/>
                    <w:rPr>
                      <w:rFonts w:hint="default"/>
                    </w:rPr>
                  </w:pPr>
                  <w:r>
                    <w:rPr>
                      <w:rFonts w:hint="default"/>
                    </w:rPr>
                    <w:t>1</w:t>
                  </w:r>
                </w:p>
              </w:tc>
              <w:tc>
                <w:tcPr>
                  <w:tcW w:w="649"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eastAsia"/>
                      <w:lang w:val="en-US" w:eastAsia="zh-CN"/>
                    </w:rPr>
                    <w:t>冲压料废边</w:t>
                  </w:r>
                  <w:r>
                    <w:rPr>
                      <w:rFonts w:hint="default"/>
                      <w:lang w:val="en-US" w:eastAsia="zh-CN"/>
                    </w:rPr>
                    <w:t>、残次品</w:t>
                  </w:r>
                </w:p>
              </w:tc>
              <w:tc>
                <w:tcPr>
                  <w:tcW w:w="516" w:type="dxa"/>
                  <w:vMerge w:val="restart"/>
                  <w:vAlign w:val="center"/>
                </w:tcPr>
                <w:p>
                  <w:pPr>
                    <w:pStyle w:val="37"/>
                    <w:keepNext w:val="0"/>
                    <w:keepLines w:val="0"/>
                    <w:suppressLineNumbers w:val="0"/>
                    <w:bidi w:val="0"/>
                    <w:spacing w:before="0" w:beforeAutospacing="0" w:after="0" w:afterAutospacing="0"/>
                    <w:ind w:right="0"/>
                    <w:rPr>
                      <w:rFonts w:hint="default"/>
                    </w:rPr>
                  </w:pPr>
                  <w:r>
                    <w:rPr>
                      <w:rFonts w:hint="default"/>
                    </w:rPr>
                    <w:t>一般固废</w:t>
                  </w:r>
                </w:p>
              </w:tc>
              <w:tc>
                <w:tcPr>
                  <w:tcW w:w="1328"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eastAsia"/>
                      <w:lang w:val="en-US" w:eastAsia="zh-CN"/>
                    </w:rPr>
                    <w:t>900-002-S17</w:t>
                  </w:r>
                </w:p>
              </w:tc>
              <w:tc>
                <w:tcPr>
                  <w:tcW w:w="528" w:type="dxa"/>
                  <w:vAlign w:val="center"/>
                </w:tcPr>
                <w:p>
                  <w:pPr>
                    <w:pStyle w:val="37"/>
                    <w:keepNext w:val="0"/>
                    <w:keepLines w:val="0"/>
                    <w:suppressLineNumbers w:val="0"/>
                    <w:bidi w:val="0"/>
                    <w:spacing w:before="0" w:beforeAutospacing="0" w:after="0" w:afterAutospacing="0"/>
                    <w:ind w:right="0"/>
                    <w:rPr>
                      <w:rFonts w:hint="default"/>
                    </w:rPr>
                  </w:pPr>
                  <w:r>
                    <w:rPr>
                      <w:rFonts w:hint="default"/>
                    </w:rPr>
                    <w:t>/</w:t>
                  </w:r>
                </w:p>
              </w:tc>
              <w:tc>
                <w:tcPr>
                  <w:tcW w:w="592"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289</w:t>
                  </w:r>
                  <w:r>
                    <w:rPr>
                      <w:rFonts w:hint="eastAsia"/>
                      <w:lang w:val="en-US" w:eastAsia="zh-CN"/>
                    </w:rPr>
                    <w:t>3.8</w:t>
                  </w:r>
                </w:p>
              </w:tc>
              <w:tc>
                <w:tcPr>
                  <w:tcW w:w="730"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冲压、检验</w:t>
                  </w:r>
                </w:p>
              </w:tc>
              <w:tc>
                <w:tcPr>
                  <w:tcW w:w="416" w:type="dxa"/>
                  <w:vAlign w:val="center"/>
                </w:tcPr>
                <w:p>
                  <w:pPr>
                    <w:pStyle w:val="37"/>
                    <w:keepNext w:val="0"/>
                    <w:keepLines w:val="0"/>
                    <w:suppressLineNumbers w:val="0"/>
                    <w:bidi w:val="0"/>
                    <w:spacing w:before="0" w:beforeAutospacing="0" w:after="0" w:afterAutospacing="0"/>
                    <w:ind w:right="0"/>
                    <w:rPr>
                      <w:rFonts w:hint="default"/>
                    </w:rPr>
                  </w:pPr>
                  <w:r>
                    <w:rPr>
                      <w:rFonts w:hint="default"/>
                    </w:rPr>
                    <w:t>固态</w:t>
                  </w:r>
                </w:p>
              </w:tc>
              <w:tc>
                <w:tcPr>
                  <w:tcW w:w="690" w:type="dxa"/>
                  <w:vAlign w:val="center"/>
                </w:tcPr>
                <w:p>
                  <w:pPr>
                    <w:pStyle w:val="37"/>
                    <w:keepNext w:val="0"/>
                    <w:keepLines w:val="0"/>
                    <w:suppressLineNumbers w:val="0"/>
                    <w:bidi w:val="0"/>
                    <w:spacing w:before="0" w:beforeAutospacing="0" w:after="0" w:afterAutospacing="0"/>
                    <w:ind w:right="0"/>
                    <w:rPr>
                      <w:rFonts w:hint="default"/>
                      <w:lang w:eastAsia="zh-CN"/>
                    </w:rPr>
                  </w:pPr>
                  <w:r>
                    <w:rPr>
                      <w:rFonts w:hint="default"/>
                      <w:lang w:val="en-US" w:eastAsia="zh-CN"/>
                    </w:rPr>
                    <w:t>铝材</w:t>
                  </w:r>
                </w:p>
              </w:tc>
              <w:tc>
                <w:tcPr>
                  <w:tcW w:w="604" w:type="dxa"/>
                  <w:vAlign w:val="center"/>
                </w:tcPr>
                <w:p>
                  <w:pPr>
                    <w:pStyle w:val="37"/>
                    <w:keepNext w:val="0"/>
                    <w:keepLines w:val="0"/>
                    <w:suppressLineNumbers w:val="0"/>
                    <w:bidi w:val="0"/>
                    <w:spacing w:before="0" w:beforeAutospacing="0" w:after="0" w:afterAutospacing="0"/>
                    <w:ind w:right="0"/>
                    <w:rPr>
                      <w:rFonts w:hint="default"/>
                    </w:rPr>
                  </w:pPr>
                  <w:r>
                    <w:rPr>
                      <w:rFonts w:hint="default"/>
                    </w:rPr>
                    <w:t>/</w:t>
                  </w:r>
                </w:p>
              </w:tc>
              <w:tc>
                <w:tcPr>
                  <w:tcW w:w="558" w:type="dxa"/>
                  <w:vAlign w:val="center"/>
                </w:tcPr>
                <w:p>
                  <w:pPr>
                    <w:pStyle w:val="37"/>
                    <w:keepNext w:val="0"/>
                    <w:keepLines w:val="0"/>
                    <w:suppressLineNumbers w:val="0"/>
                    <w:bidi w:val="0"/>
                    <w:spacing w:before="0" w:beforeAutospacing="0" w:after="0" w:afterAutospacing="0"/>
                    <w:ind w:right="0"/>
                    <w:rPr>
                      <w:rFonts w:hint="default"/>
                    </w:rPr>
                  </w:pPr>
                  <w:r>
                    <w:rPr>
                      <w:rFonts w:hint="default"/>
                      <w:lang w:val="en-US" w:eastAsia="zh-CN"/>
                    </w:rPr>
                    <w:t>连续</w:t>
                  </w:r>
                </w:p>
              </w:tc>
              <w:tc>
                <w:tcPr>
                  <w:tcW w:w="1602"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eastAsia"/>
                      <w:lang w:val="en-US" w:eastAsia="zh-CN"/>
                    </w:rPr>
                    <w:t>冲压料废边别</w:t>
                  </w:r>
                  <w:r>
                    <w:rPr>
                      <w:rFonts w:hint="default"/>
                    </w:rPr>
                    <w:t>收集</w:t>
                  </w:r>
                  <w:r>
                    <w:rPr>
                      <w:rFonts w:hint="default"/>
                      <w:lang w:val="en-US" w:eastAsia="zh-CN"/>
                    </w:rPr>
                    <w:t>暂存在</w:t>
                  </w:r>
                  <w:r>
                    <w:rPr>
                      <w:rFonts w:hint="eastAsia"/>
                      <w:lang w:val="en-US" w:eastAsia="zh-CN"/>
                    </w:rPr>
                    <w:t>冲压料报废仓；</w:t>
                  </w:r>
                  <w:r>
                    <w:rPr>
                      <w:rFonts w:hint="default"/>
                      <w:lang w:val="en-US" w:eastAsia="zh-CN"/>
                    </w:rPr>
                    <w:t>残次品</w:t>
                  </w:r>
                  <w:r>
                    <w:rPr>
                      <w:rFonts w:hint="eastAsia"/>
                      <w:lang w:val="en-US" w:eastAsia="zh-CN"/>
                    </w:rPr>
                    <w:t>暂存在</w:t>
                  </w:r>
                  <w:r>
                    <w:rPr>
                      <w:rFonts w:hint="default"/>
                      <w:lang w:val="en-US" w:eastAsia="zh-CN"/>
                    </w:rPr>
                    <w:t>其他报废仓，定期外售综合利用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782" w:hRule="atLeast"/>
                <w:jc w:val="center"/>
              </w:trPr>
              <w:tc>
                <w:tcPr>
                  <w:tcW w:w="240"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2</w:t>
                  </w:r>
                </w:p>
              </w:tc>
              <w:tc>
                <w:tcPr>
                  <w:tcW w:w="649"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清洗后铝壳废边</w:t>
                  </w:r>
                </w:p>
              </w:tc>
              <w:tc>
                <w:tcPr>
                  <w:tcW w:w="516" w:type="dxa"/>
                  <w:vMerge w:val="continue"/>
                  <w:vAlign w:val="center"/>
                </w:tcPr>
                <w:p>
                  <w:pPr>
                    <w:pStyle w:val="37"/>
                    <w:keepNext w:val="0"/>
                    <w:keepLines w:val="0"/>
                    <w:suppressLineNumbers w:val="0"/>
                    <w:bidi w:val="0"/>
                    <w:spacing w:before="0" w:beforeAutospacing="0" w:after="0" w:afterAutospacing="0"/>
                    <w:ind w:right="0"/>
                    <w:rPr>
                      <w:rFonts w:hint="default"/>
                    </w:rPr>
                  </w:pPr>
                </w:p>
              </w:tc>
              <w:tc>
                <w:tcPr>
                  <w:tcW w:w="1328"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eastAsia"/>
                      <w:lang w:val="en-US" w:eastAsia="zh-CN"/>
                    </w:rPr>
                    <w:t>900-002-S17</w:t>
                  </w:r>
                </w:p>
              </w:tc>
              <w:tc>
                <w:tcPr>
                  <w:tcW w:w="528" w:type="dxa"/>
                  <w:vAlign w:val="center"/>
                </w:tcPr>
                <w:p>
                  <w:pPr>
                    <w:pStyle w:val="37"/>
                    <w:keepNext w:val="0"/>
                    <w:keepLines w:val="0"/>
                    <w:suppressLineNumbers w:val="0"/>
                    <w:bidi w:val="0"/>
                    <w:spacing w:before="0" w:beforeAutospacing="0" w:after="0" w:afterAutospacing="0"/>
                    <w:ind w:right="0"/>
                    <w:rPr>
                      <w:rFonts w:hint="default"/>
                    </w:rPr>
                  </w:pPr>
                  <w:r>
                    <w:rPr>
                      <w:rFonts w:hint="default"/>
                    </w:rPr>
                    <w:t>/</w:t>
                  </w:r>
                </w:p>
              </w:tc>
              <w:tc>
                <w:tcPr>
                  <w:tcW w:w="592"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2233</w:t>
                  </w:r>
                </w:p>
              </w:tc>
              <w:tc>
                <w:tcPr>
                  <w:tcW w:w="730"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切边</w:t>
                  </w:r>
                </w:p>
              </w:tc>
              <w:tc>
                <w:tcPr>
                  <w:tcW w:w="416" w:type="dxa"/>
                  <w:vAlign w:val="center"/>
                </w:tcPr>
                <w:p>
                  <w:pPr>
                    <w:pStyle w:val="37"/>
                    <w:keepNext w:val="0"/>
                    <w:keepLines w:val="0"/>
                    <w:suppressLineNumbers w:val="0"/>
                    <w:bidi w:val="0"/>
                    <w:spacing w:before="0" w:beforeAutospacing="0" w:after="0" w:afterAutospacing="0"/>
                    <w:ind w:right="0"/>
                    <w:rPr>
                      <w:rFonts w:hint="default"/>
                    </w:rPr>
                  </w:pPr>
                  <w:r>
                    <w:rPr>
                      <w:rFonts w:hint="default"/>
                    </w:rPr>
                    <w:t>固态</w:t>
                  </w:r>
                </w:p>
              </w:tc>
              <w:tc>
                <w:tcPr>
                  <w:tcW w:w="690"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铝材</w:t>
                  </w:r>
                </w:p>
              </w:tc>
              <w:tc>
                <w:tcPr>
                  <w:tcW w:w="604" w:type="dxa"/>
                  <w:vAlign w:val="center"/>
                </w:tcPr>
                <w:p>
                  <w:pPr>
                    <w:pStyle w:val="37"/>
                    <w:keepNext w:val="0"/>
                    <w:keepLines w:val="0"/>
                    <w:suppressLineNumbers w:val="0"/>
                    <w:bidi w:val="0"/>
                    <w:spacing w:before="0" w:beforeAutospacing="0" w:after="0" w:afterAutospacing="0"/>
                    <w:ind w:right="0"/>
                    <w:rPr>
                      <w:rFonts w:hint="default"/>
                    </w:rPr>
                  </w:pPr>
                  <w:r>
                    <w:rPr>
                      <w:rFonts w:hint="default"/>
                    </w:rPr>
                    <w:t>/</w:t>
                  </w:r>
                </w:p>
              </w:tc>
              <w:tc>
                <w:tcPr>
                  <w:tcW w:w="558"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连续</w:t>
                  </w:r>
                </w:p>
              </w:tc>
              <w:tc>
                <w:tcPr>
                  <w:tcW w:w="1602"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经清洗后，</w:t>
                  </w:r>
                  <w:r>
                    <w:rPr>
                      <w:rFonts w:hint="default"/>
                    </w:rPr>
                    <w:t>收集</w:t>
                  </w:r>
                  <w:r>
                    <w:rPr>
                      <w:rFonts w:hint="default"/>
                      <w:lang w:val="en-US" w:eastAsia="zh-CN"/>
                    </w:rPr>
                    <w:t>暂存在清洗后</w:t>
                  </w:r>
                  <w:r>
                    <w:rPr>
                      <w:rFonts w:hint="eastAsia"/>
                      <w:lang w:val="en-US" w:eastAsia="zh-CN"/>
                    </w:rPr>
                    <w:t>铝壳废边</w:t>
                  </w:r>
                  <w:r>
                    <w:rPr>
                      <w:rFonts w:hint="default"/>
                      <w:lang w:val="en-US" w:eastAsia="zh-CN"/>
                    </w:rPr>
                    <w:t>暂存区，定期外售综合利用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1635" w:hRule="atLeast"/>
                <w:jc w:val="center"/>
              </w:trPr>
              <w:tc>
                <w:tcPr>
                  <w:tcW w:w="240"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eastAsia"/>
                      <w:lang w:val="en-US" w:eastAsia="zh-CN"/>
                    </w:rPr>
                    <w:t>3</w:t>
                  </w:r>
                </w:p>
              </w:tc>
              <w:tc>
                <w:tcPr>
                  <w:tcW w:w="649"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切边沉降金属屑</w:t>
                  </w:r>
                </w:p>
              </w:tc>
              <w:tc>
                <w:tcPr>
                  <w:tcW w:w="516" w:type="dxa"/>
                  <w:vMerge w:val="restart"/>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rPr>
                    <w:t>危险废物</w:t>
                  </w:r>
                </w:p>
              </w:tc>
              <w:tc>
                <w:tcPr>
                  <w:tcW w:w="1328"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HW08</w:t>
                  </w:r>
                </w:p>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（900-200-08）</w:t>
                  </w:r>
                </w:p>
              </w:tc>
              <w:tc>
                <w:tcPr>
                  <w:tcW w:w="528"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T,I</w:t>
                  </w:r>
                </w:p>
              </w:tc>
              <w:tc>
                <w:tcPr>
                  <w:tcW w:w="592" w:type="dxa"/>
                  <w:vAlign w:val="center"/>
                </w:tcPr>
                <w:p>
                  <w:pPr>
                    <w:pStyle w:val="37"/>
                    <w:keepNext w:val="0"/>
                    <w:keepLines w:val="0"/>
                    <w:suppressLineNumbers w:val="0"/>
                    <w:bidi w:val="0"/>
                    <w:spacing w:before="0" w:beforeAutospacing="0" w:after="0" w:afterAutospacing="0"/>
                    <w:ind w:right="0"/>
                    <w:rPr>
                      <w:rFonts w:hint="default" w:eastAsia="宋体"/>
                      <w:lang w:val="en-US" w:eastAsia="zh-CN"/>
                    </w:rPr>
                  </w:pPr>
                  <w:r>
                    <w:rPr>
                      <w:rFonts w:hint="eastAsia"/>
                      <w:lang w:val="en-US" w:eastAsia="zh-CN"/>
                    </w:rPr>
                    <w:t>2.7</w:t>
                  </w:r>
                </w:p>
              </w:tc>
              <w:tc>
                <w:tcPr>
                  <w:tcW w:w="730"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切边</w:t>
                  </w:r>
                </w:p>
              </w:tc>
              <w:tc>
                <w:tcPr>
                  <w:tcW w:w="416"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rPr>
                    <w:t>固态</w:t>
                  </w:r>
                </w:p>
              </w:tc>
              <w:tc>
                <w:tcPr>
                  <w:tcW w:w="690"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矿物油</w:t>
                  </w:r>
                </w:p>
              </w:tc>
              <w:tc>
                <w:tcPr>
                  <w:tcW w:w="604"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矿物油</w:t>
                  </w:r>
                </w:p>
              </w:tc>
              <w:tc>
                <w:tcPr>
                  <w:tcW w:w="558"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rPr>
                    <w:t>间断</w:t>
                  </w:r>
                </w:p>
              </w:tc>
              <w:tc>
                <w:tcPr>
                  <w:tcW w:w="1602"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暂存在危废</w:t>
                  </w:r>
                  <w:r>
                    <w:rPr>
                      <w:rFonts w:hint="eastAsia"/>
                      <w:lang w:val="en-US" w:eastAsia="zh-CN"/>
                    </w:rPr>
                    <w:t>仓</w:t>
                  </w:r>
                  <w:r>
                    <w:rPr>
                      <w:rFonts w:hint="default"/>
                      <w:lang w:val="en-US" w:eastAsia="zh-CN"/>
                    </w:rPr>
                    <w:t>，在厂区内压滤除油静置无滴漏后外售有资质单进行金属冶炼，利用过程不按危废管理。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1080" w:hRule="atLeast"/>
                <w:jc w:val="center"/>
              </w:trPr>
              <w:tc>
                <w:tcPr>
                  <w:tcW w:w="240"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eastAsia"/>
                      <w:lang w:val="en-US" w:eastAsia="zh-CN"/>
                    </w:rPr>
                    <w:t>4</w:t>
                  </w:r>
                </w:p>
              </w:tc>
              <w:tc>
                <w:tcPr>
                  <w:tcW w:w="649" w:type="dxa"/>
                  <w:vAlign w:val="center"/>
                </w:tcPr>
                <w:p>
                  <w:pPr>
                    <w:pStyle w:val="37"/>
                    <w:keepNext w:val="0"/>
                    <w:keepLines w:val="0"/>
                    <w:suppressLineNumbers w:val="0"/>
                    <w:bidi w:val="0"/>
                    <w:spacing w:before="0" w:beforeAutospacing="0" w:after="0" w:afterAutospacing="0"/>
                    <w:ind w:right="0"/>
                    <w:rPr>
                      <w:rFonts w:hint="default"/>
                      <w:lang w:eastAsia="zh-CN"/>
                    </w:rPr>
                  </w:pPr>
                  <w:r>
                    <w:rPr>
                      <w:rFonts w:hint="default"/>
                      <w:lang w:val="en-US" w:eastAsia="zh-CN"/>
                    </w:rPr>
                    <w:t>废空桶</w:t>
                  </w:r>
                </w:p>
              </w:tc>
              <w:tc>
                <w:tcPr>
                  <w:tcW w:w="516" w:type="dxa"/>
                  <w:vMerge w:val="continue"/>
                  <w:vAlign w:val="center"/>
                </w:tcPr>
                <w:p>
                  <w:pPr>
                    <w:pStyle w:val="37"/>
                    <w:keepNext w:val="0"/>
                    <w:keepLines w:val="0"/>
                    <w:suppressLineNumbers w:val="0"/>
                    <w:bidi w:val="0"/>
                    <w:spacing w:before="0" w:beforeAutospacing="0" w:after="0" w:afterAutospacing="0"/>
                    <w:ind w:right="0"/>
                    <w:rPr>
                      <w:rFonts w:hint="default"/>
                    </w:rPr>
                  </w:pPr>
                </w:p>
              </w:tc>
              <w:tc>
                <w:tcPr>
                  <w:tcW w:w="1328"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HW49</w:t>
                  </w:r>
                </w:p>
                <w:p>
                  <w:pPr>
                    <w:pStyle w:val="37"/>
                    <w:keepNext w:val="0"/>
                    <w:keepLines w:val="0"/>
                    <w:suppressLineNumbers w:val="0"/>
                    <w:bidi w:val="0"/>
                    <w:spacing w:before="0" w:beforeAutospacing="0" w:after="0" w:afterAutospacing="0"/>
                    <w:ind w:right="0"/>
                    <w:rPr>
                      <w:rFonts w:hint="default"/>
                    </w:rPr>
                  </w:pPr>
                  <w:r>
                    <w:rPr>
                      <w:rFonts w:hint="default"/>
                      <w:lang w:val="en-US" w:eastAsia="zh-CN"/>
                    </w:rPr>
                    <w:t>（900-041-49）</w:t>
                  </w:r>
                </w:p>
              </w:tc>
              <w:tc>
                <w:tcPr>
                  <w:tcW w:w="528"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T</w:t>
                  </w:r>
                </w:p>
              </w:tc>
              <w:tc>
                <w:tcPr>
                  <w:tcW w:w="592"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1.20</w:t>
                  </w:r>
                </w:p>
              </w:tc>
              <w:tc>
                <w:tcPr>
                  <w:tcW w:w="730" w:type="dxa"/>
                  <w:vAlign w:val="center"/>
                </w:tcPr>
                <w:p>
                  <w:pPr>
                    <w:pStyle w:val="37"/>
                    <w:keepNext w:val="0"/>
                    <w:keepLines w:val="0"/>
                    <w:suppressLineNumbers w:val="0"/>
                    <w:bidi w:val="0"/>
                    <w:spacing w:before="0" w:beforeAutospacing="0" w:after="0" w:afterAutospacing="0"/>
                    <w:ind w:right="0"/>
                    <w:rPr>
                      <w:rFonts w:hint="default"/>
                    </w:rPr>
                  </w:pPr>
                  <w:r>
                    <w:rPr>
                      <w:rFonts w:hint="default"/>
                    </w:rPr>
                    <w:t>生产</w:t>
                  </w:r>
                </w:p>
              </w:tc>
              <w:tc>
                <w:tcPr>
                  <w:tcW w:w="416" w:type="dxa"/>
                  <w:vAlign w:val="center"/>
                </w:tcPr>
                <w:p>
                  <w:pPr>
                    <w:pStyle w:val="37"/>
                    <w:keepNext w:val="0"/>
                    <w:keepLines w:val="0"/>
                    <w:suppressLineNumbers w:val="0"/>
                    <w:bidi w:val="0"/>
                    <w:spacing w:before="0" w:beforeAutospacing="0" w:after="0" w:afterAutospacing="0"/>
                    <w:ind w:right="0"/>
                    <w:rPr>
                      <w:rFonts w:hint="default"/>
                    </w:rPr>
                  </w:pPr>
                  <w:r>
                    <w:rPr>
                      <w:rFonts w:hint="default"/>
                    </w:rPr>
                    <w:t>固态</w:t>
                  </w:r>
                </w:p>
              </w:tc>
              <w:tc>
                <w:tcPr>
                  <w:tcW w:w="690"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PE桶</w:t>
                  </w:r>
                </w:p>
              </w:tc>
              <w:tc>
                <w:tcPr>
                  <w:tcW w:w="604"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矿物油、清洗剂</w:t>
                  </w:r>
                </w:p>
              </w:tc>
              <w:tc>
                <w:tcPr>
                  <w:tcW w:w="558" w:type="dxa"/>
                  <w:vAlign w:val="center"/>
                </w:tcPr>
                <w:p>
                  <w:pPr>
                    <w:pStyle w:val="37"/>
                    <w:keepNext w:val="0"/>
                    <w:keepLines w:val="0"/>
                    <w:suppressLineNumbers w:val="0"/>
                    <w:bidi w:val="0"/>
                    <w:spacing w:before="0" w:beforeAutospacing="0" w:after="0" w:afterAutospacing="0"/>
                    <w:ind w:right="0"/>
                    <w:rPr>
                      <w:rFonts w:hint="default"/>
                    </w:rPr>
                  </w:pPr>
                  <w:r>
                    <w:rPr>
                      <w:rFonts w:hint="default"/>
                    </w:rPr>
                    <w:t>间断</w:t>
                  </w:r>
                </w:p>
              </w:tc>
              <w:tc>
                <w:tcPr>
                  <w:tcW w:w="1602" w:type="dxa"/>
                  <w:vMerge w:val="restart"/>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分类收集，暂存在危废</w:t>
                  </w:r>
                  <w:r>
                    <w:rPr>
                      <w:rFonts w:hint="eastAsia"/>
                      <w:lang w:val="en-US" w:eastAsia="zh-CN"/>
                    </w:rPr>
                    <w:t>仓</w:t>
                  </w:r>
                  <w:r>
                    <w:rPr>
                      <w:rFonts w:hint="default"/>
                      <w:lang w:val="en-US" w:eastAsia="zh-CN"/>
                    </w:rPr>
                    <w:t>，定期委托有资质单位处置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782" w:hRule="atLeast"/>
                <w:jc w:val="center"/>
              </w:trPr>
              <w:tc>
                <w:tcPr>
                  <w:tcW w:w="240"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eastAsia"/>
                      <w:lang w:val="en-US" w:eastAsia="zh-CN"/>
                    </w:rPr>
                    <w:t>5</w:t>
                  </w:r>
                </w:p>
              </w:tc>
              <w:tc>
                <w:tcPr>
                  <w:tcW w:w="649"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废滤芯</w:t>
                  </w:r>
                </w:p>
              </w:tc>
              <w:tc>
                <w:tcPr>
                  <w:tcW w:w="516" w:type="dxa"/>
                  <w:vMerge w:val="continue"/>
                  <w:vAlign w:val="center"/>
                </w:tcPr>
                <w:p>
                  <w:pPr>
                    <w:pStyle w:val="37"/>
                    <w:keepNext w:val="0"/>
                    <w:keepLines w:val="0"/>
                    <w:suppressLineNumbers w:val="0"/>
                    <w:bidi w:val="0"/>
                    <w:spacing w:before="0" w:beforeAutospacing="0" w:after="0" w:afterAutospacing="0"/>
                    <w:ind w:right="0"/>
                    <w:rPr>
                      <w:rFonts w:hint="default"/>
                    </w:rPr>
                  </w:pPr>
                </w:p>
              </w:tc>
              <w:tc>
                <w:tcPr>
                  <w:tcW w:w="1328"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HW49</w:t>
                  </w:r>
                </w:p>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（900-041-49）</w:t>
                  </w:r>
                </w:p>
              </w:tc>
              <w:tc>
                <w:tcPr>
                  <w:tcW w:w="528" w:type="dxa"/>
                  <w:vAlign w:val="center"/>
                </w:tcPr>
                <w:p>
                  <w:pPr>
                    <w:pStyle w:val="37"/>
                    <w:keepNext w:val="0"/>
                    <w:keepLines w:val="0"/>
                    <w:suppressLineNumbers w:val="0"/>
                    <w:bidi w:val="0"/>
                    <w:spacing w:before="0" w:beforeAutospacing="0" w:after="0" w:afterAutospacing="0"/>
                    <w:ind w:right="0"/>
                    <w:rPr>
                      <w:rFonts w:hint="default"/>
                    </w:rPr>
                  </w:pPr>
                  <w:r>
                    <w:rPr>
                      <w:rFonts w:hint="default"/>
                      <w:lang w:val="en-US" w:eastAsia="zh-CN"/>
                    </w:rPr>
                    <w:t>T,I</w:t>
                  </w:r>
                </w:p>
              </w:tc>
              <w:tc>
                <w:tcPr>
                  <w:tcW w:w="592"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2.33</w:t>
                  </w:r>
                </w:p>
              </w:tc>
              <w:tc>
                <w:tcPr>
                  <w:tcW w:w="730" w:type="dxa"/>
                  <w:vAlign w:val="center"/>
                </w:tcPr>
                <w:p>
                  <w:pPr>
                    <w:pStyle w:val="37"/>
                    <w:keepNext w:val="0"/>
                    <w:keepLines w:val="0"/>
                    <w:suppressLineNumbers w:val="0"/>
                    <w:bidi w:val="0"/>
                    <w:spacing w:before="0" w:beforeAutospacing="0" w:after="0" w:afterAutospacing="0"/>
                    <w:ind w:right="0"/>
                    <w:rPr>
                      <w:rFonts w:hint="default"/>
                    </w:rPr>
                  </w:pPr>
                  <w:r>
                    <w:rPr>
                      <w:rFonts w:hint="default"/>
                    </w:rPr>
                    <w:t>生产</w:t>
                  </w:r>
                </w:p>
              </w:tc>
              <w:tc>
                <w:tcPr>
                  <w:tcW w:w="416" w:type="dxa"/>
                  <w:vAlign w:val="center"/>
                </w:tcPr>
                <w:p>
                  <w:pPr>
                    <w:pStyle w:val="37"/>
                    <w:keepNext w:val="0"/>
                    <w:keepLines w:val="0"/>
                    <w:suppressLineNumbers w:val="0"/>
                    <w:bidi w:val="0"/>
                    <w:spacing w:before="0" w:beforeAutospacing="0" w:after="0" w:afterAutospacing="0"/>
                    <w:ind w:right="0"/>
                    <w:rPr>
                      <w:rFonts w:hint="default"/>
                    </w:rPr>
                  </w:pPr>
                  <w:r>
                    <w:rPr>
                      <w:rFonts w:hint="default"/>
                    </w:rPr>
                    <w:t>固态</w:t>
                  </w:r>
                </w:p>
              </w:tc>
              <w:tc>
                <w:tcPr>
                  <w:tcW w:w="690"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过滤棉</w:t>
                  </w:r>
                </w:p>
              </w:tc>
              <w:tc>
                <w:tcPr>
                  <w:tcW w:w="604"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矿物油</w:t>
                  </w:r>
                </w:p>
              </w:tc>
              <w:tc>
                <w:tcPr>
                  <w:tcW w:w="558" w:type="dxa"/>
                  <w:vAlign w:val="center"/>
                </w:tcPr>
                <w:p>
                  <w:pPr>
                    <w:pStyle w:val="37"/>
                    <w:keepNext w:val="0"/>
                    <w:keepLines w:val="0"/>
                    <w:suppressLineNumbers w:val="0"/>
                    <w:bidi w:val="0"/>
                    <w:spacing w:before="0" w:beforeAutospacing="0" w:after="0" w:afterAutospacing="0"/>
                    <w:ind w:right="0"/>
                    <w:rPr>
                      <w:rFonts w:hint="default"/>
                    </w:rPr>
                  </w:pPr>
                  <w:r>
                    <w:rPr>
                      <w:rFonts w:hint="default"/>
                    </w:rPr>
                    <w:t>间断</w:t>
                  </w:r>
                </w:p>
              </w:tc>
              <w:tc>
                <w:tcPr>
                  <w:tcW w:w="1602" w:type="dxa"/>
                  <w:vMerge w:val="continue"/>
                  <w:vAlign w:val="center"/>
                </w:tcPr>
                <w:p>
                  <w:pPr>
                    <w:pStyle w:val="37"/>
                    <w:keepNext w:val="0"/>
                    <w:keepLines w:val="0"/>
                    <w:suppressLineNumbers w:val="0"/>
                    <w:bidi w:val="0"/>
                    <w:spacing w:before="0" w:beforeAutospacing="0" w:after="0" w:afterAutospacing="0"/>
                    <w:ind w:right="0"/>
                    <w:rPr>
                      <w:rFonts w:hint="default"/>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782" w:hRule="atLeast"/>
                <w:jc w:val="center"/>
              </w:trPr>
              <w:tc>
                <w:tcPr>
                  <w:tcW w:w="240"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eastAsia"/>
                      <w:lang w:val="en-US" w:eastAsia="zh-CN"/>
                    </w:rPr>
                    <w:t>6</w:t>
                  </w:r>
                </w:p>
              </w:tc>
              <w:tc>
                <w:tcPr>
                  <w:tcW w:w="649" w:type="dxa"/>
                  <w:vAlign w:val="center"/>
                </w:tcPr>
                <w:p>
                  <w:pPr>
                    <w:pStyle w:val="37"/>
                    <w:keepNext w:val="0"/>
                    <w:keepLines w:val="0"/>
                    <w:suppressLineNumbers w:val="0"/>
                    <w:bidi w:val="0"/>
                    <w:spacing w:before="0" w:beforeAutospacing="0" w:after="0" w:afterAutospacing="0"/>
                    <w:ind w:right="0"/>
                    <w:rPr>
                      <w:rFonts w:hint="default"/>
                    </w:rPr>
                  </w:pPr>
                  <w:r>
                    <w:rPr>
                      <w:rFonts w:hint="default"/>
                      <w:lang w:val="en-US" w:eastAsia="zh-CN"/>
                    </w:rPr>
                    <w:t>废机油</w:t>
                  </w:r>
                </w:p>
              </w:tc>
              <w:tc>
                <w:tcPr>
                  <w:tcW w:w="516" w:type="dxa"/>
                  <w:vMerge w:val="continue"/>
                  <w:vAlign w:val="center"/>
                </w:tcPr>
                <w:p>
                  <w:pPr>
                    <w:pStyle w:val="37"/>
                    <w:keepNext w:val="0"/>
                    <w:keepLines w:val="0"/>
                    <w:suppressLineNumbers w:val="0"/>
                    <w:bidi w:val="0"/>
                    <w:spacing w:before="0" w:beforeAutospacing="0" w:after="0" w:afterAutospacing="0"/>
                    <w:ind w:right="0"/>
                    <w:rPr>
                      <w:rFonts w:hint="default"/>
                    </w:rPr>
                  </w:pPr>
                </w:p>
              </w:tc>
              <w:tc>
                <w:tcPr>
                  <w:tcW w:w="1328"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HW08</w:t>
                  </w:r>
                </w:p>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（900-249-08）</w:t>
                  </w:r>
                </w:p>
              </w:tc>
              <w:tc>
                <w:tcPr>
                  <w:tcW w:w="528" w:type="dxa"/>
                  <w:vAlign w:val="center"/>
                </w:tcPr>
                <w:p>
                  <w:pPr>
                    <w:pStyle w:val="37"/>
                    <w:keepNext w:val="0"/>
                    <w:keepLines w:val="0"/>
                    <w:suppressLineNumbers w:val="0"/>
                    <w:bidi w:val="0"/>
                    <w:spacing w:before="0" w:beforeAutospacing="0" w:after="0" w:afterAutospacing="0"/>
                    <w:ind w:right="0"/>
                    <w:rPr>
                      <w:rFonts w:hint="default"/>
                    </w:rPr>
                  </w:pPr>
                  <w:r>
                    <w:rPr>
                      <w:rFonts w:hint="default"/>
                      <w:lang w:val="en-US" w:eastAsia="zh-CN"/>
                    </w:rPr>
                    <w:t>T,I</w:t>
                  </w:r>
                </w:p>
              </w:tc>
              <w:tc>
                <w:tcPr>
                  <w:tcW w:w="592"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4.2</w:t>
                  </w:r>
                </w:p>
              </w:tc>
              <w:tc>
                <w:tcPr>
                  <w:tcW w:w="730"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设备</w:t>
                  </w:r>
                </w:p>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维修</w:t>
                  </w:r>
                </w:p>
              </w:tc>
              <w:tc>
                <w:tcPr>
                  <w:tcW w:w="416"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液体</w:t>
                  </w:r>
                </w:p>
              </w:tc>
              <w:tc>
                <w:tcPr>
                  <w:tcW w:w="690"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矿物油</w:t>
                  </w:r>
                </w:p>
              </w:tc>
              <w:tc>
                <w:tcPr>
                  <w:tcW w:w="604"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矿物油</w:t>
                  </w:r>
                </w:p>
              </w:tc>
              <w:tc>
                <w:tcPr>
                  <w:tcW w:w="558" w:type="dxa"/>
                  <w:vAlign w:val="center"/>
                </w:tcPr>
                <w:p>
                  <w:pPr>
                    <w:pStyle w:val="37"/>
                    <w:keepNext w:val="0"/>
                    <w:keepLines w:val="0"/>
                    <w:suppressLineNumbers w:val="0"/>
                    <w:bidi w:val="0"/>
                    <w:spacing w:before="0" w:beforeAutospacing="0" w:after="0" w:afterAutospacing="0"/>
                    <w:ind w:right="0"/>
                    <w:rPr>
                      <w:rFonts w:hint="default"/>
                    </w:rPr>
                  </w:pPr>
                  <w:r>
                    <w:rPr>
                      <w:rFonts w:hint="default"/>
                    </w:rPr>
                    <w:t>间断</w:t>
                  </w:r>
                </w:p>
              </w:tc>
              <w:tc>
                <w:tcPr>
                  <w:tcW w:w="1602" w:type="dxa"/>
                  <w:vMerge w:val="continue"/>
                  <w:vAlign w:val="center"/>
                </w:tcPr>
                <w:p>
                  <w:pPr>
                    <w:pStyle w:val="37"/>
                    <w:keepNext w:val="0"/>
                    <w:keepLines w:val="0"/>
                    <w:suppressLineNumbers w:val="0"/>
                    <w:bidi w:val="0"/>
                    <w:spacing w:before="0" w:beforeAutospacing="0" w:after="0" w:afterAutospacing="0"/>
                    <w:ind w:right="0"/>
                    <w:rPr>
                      <w:rFonts w:hint="default"/>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782" w:hRule="atLeast"/>
                <w:jc w:val="center"/>
              </w:trPr>
              <w:tc>
                <w:tcPr>
                  <w:tcW w:w="240"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eastAsia"/>
                      <w:lang w:val="en-US" w:eastAsia="zh-CN"/>
                    </w:rPr>
                    <w:t>7</w:t>
                  </w:r>
                </w:p>
              </w:tc>
              <w:tc>
                <w:tcPr>
                  <w:tcW w:w="649"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ascii="Times New Roman" w:hAnsi="Times New Roman" w:eastAsia="宋体" w:cs="Times New Roman"/>
                      <w:sz w:val="21"/>
                      <w:szCs w:val="21"/>
                    </w:rPr>
                    <w:t>含油</w:t>
                  </w:r>
                  <w:r>
                    <w:rPr>
                      <w:rFonts w:hint="eastAsia" w:ascii="Times New Roman" w:hAnsi="Times New Roman" w:cs="Times New Roman"/>
                      <w:sz w:val="21"/>
                      <w:szCs w:val="21"/>
                      <w:lang w:val="en-US" w:eastAsia="zh-CN"/>
                    </w:rPr>
                    <w:t>浓缩液</w:t>
                  </w:r>
                </w:p>
              </w:tc>
              <w:tc>
                <w:tcPr>
                  <w:tcW w:w="516" w:type="dxa"/>
                  <w:vMerge w:val="continue"/>
                  <w:vAlign w:val="center"/>
                </w:tcPr>
                <w:p>
                  <w:pPr>
                    <w:pStyle w:val="37"/>
                    <w:keepNext w:val="0"/>
                    <w:keepLines w:val="0"/>
                    <w:suppressLineNumbers w:val="0"/>
                    <w:bidi w:val="0"/>
                    <w:spacing w:before="0" w:beforeAutospacing="0" w:after="0" w:afterAutospacing="0"/>
                    <w:ind w:right="0"/>
                    <w:rPr>
                      <w:rFonts w:hint="default"/>
                    </w:rPr>
                  </w:pPr>
                </w:p>
              </w:tc>
              <w:tc>
                <w:tcPr>
                  <w:tcW w:w="1328"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HW08</w:t>
                  </w:r>
                </w:p>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（900-210-08）</w:t>
                  </w:r>
                </w:p>
              </w:tc>
              <w:tc>
                <w:tcPr>
                  <w:tcW w:w="528" w:type="dxa"/>
                  <w:vAlign w:val="center"/>
                </w:tcPr>
                <w:p>
                  <w:pPr>
                    <w:pStyle w:val="37"/>
                    <w:keepNext w:val="0"/>
                    <w:keepLines w:val="0"/>
                    <w:suppressLineNumbers w:val="0"/>
                    <w:bidi w:val="0"/>
                    <w:spacing w:before="0" w:beforeAutospacing="0" w:after="0" w:afterAutospacing="0"/>
                    <w:ind w:right="0"/>
                    <w:rPr>
                      <w:rFonts w:hint="default"/>
                    </w:rPr>
                  </w:pPr>
                  <w:r>
                    <w:rPr>
                      <w:rFonts w:hint="default"/>
                      <w:lang w:val="en-US" w:eastAsia="zh-CN"/>
                    </w:rPr>
                    <w:t>T,I</w:t>
                  </w:r>
                </w:p>
              </w:tc>
              <w:tc>
                <w:tcPr>
                  <w:tcW w:w="592"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eastAsia"/>
                      <w:lang w:val="en-US" w:eastAsia="zh-CN"/>
                    </w:rPr>
                    <w:t>37.77</w:t>
                  </w:r>
                </w:p>
              </w:tc>
              <w:tc>
                <w:tcPr>
                  <w:tcW w:w="730" w:type="dxa"/>
                  <w:vMerge w:val="restart"/>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废水</w:t>
                  </w:r>
                </w:p>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处理</w:t>
                  </w:r>
                </w:p>
              </w:tc>
              <w:tc>
                <w:tcPr>
                  <w:tcW w:w="416" w:type="dxa"/>
                  <w:vAlign w:val="center"/>
                </w:tcPr>
                <w:p>
                  <w:pPr>
                    <w:pStyle w:val="37"/>
                    <w:keepNext w:val="0"/>
                    <w:keepLines w:val="0"/>
                    <w:suppressLineNumbers w:val="0"/>
                    <w:bidi w:val="0"/>
                    <w:spacing w:before="0" w:beforeAutospacing="0" w:after="0" w:afterAutospacing="0"/>
                    <w:ind w:right="0"/>
                    <w:rPr>
                      <w:rFonts w:hint="default"/>
                    </w:rPr>
                  </w:pPr>
                  <w:r>
                    <w:rPr>
                      <w:rFonts w:hint="default"/>
                    </w:rPr>
                    <w:t>固态</w:t>
                  </w:r>
                </w:p>
              </w:tc>
              <w:tc>
                <w:tcPr>
                  <w:tcW w:w="690"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矿物油</w:t>
                  </w:r>
                </w:p>
              </w:tc>
              <w:tc>
                <w:tcPr>
                  <w:tcW w:w="604"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矿物油</w:t>
                  </w:r>
                </w:p>
              </w:tc>
              <w:tc>
                <w:tcPr>
                  <w:tcW w:w="558" w:type="dxa"/>
                  <w:vAlign w:val="center"/>
                </w:tcPr>
                <w:p>
                  <w:pPr>
                    <w:pStyle w:val="37"/>
                    <w:keepNext w:val="0"/>
                    <w:keepLines w:val="0"/>
                    <w:suppressLineNumbers w:val="0"/>
                    <w:bidi w:val="0"/>
                    <w:spacing w:before="0" w:beforeAutospacing="0" w:after="0" w:afterAutospacing="0"/>
                    <w:ind w:right="0"/>
                    <w:rPr>
                      <w:rFonts w:hint="default"/>
                    </w:rPr>
                  </w:pPr>
                  <w:r>
                    <w:rPr>
                      <w:rFonts w:hint="default"/>
                    </w:rPr>
                    <w:t>间断</w:t>
                  </w:r>
                </w:p>
              </w:tc>
              <w:tc>
                <w:tcPr>
                  <w:tcW w:w="1602" w:type="dxa"/>
                  <w:vMerge w:val="continue"/>
                  <w:vAlign w:val="center"/>
                </w:tcPr>
                <w:p>
                  <w:pPr>
                    <w:pStyle w:val="37"/>
                    <w:keepNext w:val="0"/>
                    <w:keepLines w:val="0"/>
                    <w:suppressLineNumbers w:val="0"/>
                    <w:bidi w:val="0"/>
                    <w:spacing w:before="0" w:beforeAutospacing="0" w:after="0" w:afterAutospacing="0"/>
                    <w:ind w:right="0"/>
                    <w:rPr>
                      <w:rFonts w:hint="default"/>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782" w:hRule="atLeast"/>
                <w:jc w:val="center"/>
              </w:trPr>
              <w:tc>
                <w:tcPr>
                  <w:tcW w:w="240"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eastAsia"/>
                      <w:lang w:val="en-US" w:eastAsia="zh-CN"/>
                    </w:rPr>
                    <w:t>8</w:t>
                  </w:r>
                </w:p>
              </w:tc>
              <w:tc>
                <w:tcPr>
                  <w:tcW w:w="649"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废过滤膜</w:t>
                  </w:r>
                </w:p>
              </w:tc>
              <w:tc>
                <w:tcPr>
                  <w:tcW w:w="516" w:type="dxa"/>
                  <w:vMerge w:val="continue"/>
                  <w:vAlign w:val="center"/>
                </w:tcPr>
                <w:p>
                  <w:pPr>
                    <w:pStyle w:val="37"/>
                    <w:keepNext w:val="0"/>
                    <w:keepLines w:val="0"/>
                    <w:suppressLineNumbers w:val="0"/>
                    <w:bidi w:val="0"/>
                    <w:spacing w:before="0" w:beforeAutospacing="0" w:after="0" w:afterAutospacing="0"/>
                    <w:ind w:right="0"/>
                    <w:rPr>
                      <w:rFonts w:hint="default"/>
                    </w:rPr>
                  </w:pPr>
                </w:p>
              </w:tc>
              <w:tc>
                <w:tcPr>
                  <w:tcW w:w="1328"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HW49</w:t>
                  </w:r>
                </w:p>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（900-041-49）</w:t>
                  </w:r>
                </w:p>
              </w:tc>
              <w:tc>
                <w:tcPr>
                  <w:tcW w:w="528" w:type="dxa"/>
                  <w:vAlign w:val="center"/>
                </w:tcPr>
                <w:p>
                  <w:pPr>
                    <w:pStyle w:val="37"/>
                    <w:keepNext w:val="0"/>
                    <w:keepLines w:val="0"/>
                    <w:suppressLineNumbers w:val="0"/>
                    <w:bidi w:val="0"/>
                    <w:spacing w:before="0" w:beforeAutospacing="0" w:after="0" w:afterAutospacing="0"/>
                    <w:ind w:right="0"/>
                    <w:rPr>
                      <w:rFonts w:hint="default"/>
                    </w:rPr>
                  </w:pPr>
                  <w:r>
                    <w:rPr>
                      <w:rFonts w:hint="default"/>
                      <w:lang w:val="en-US" w:eastAsia="zh-CN"/>
                    </w:rPr>
                    <w:t>T,I</w:t>
                  </w:r>
                </w:p>
              </w:tc>
              <w:tc>
                <w:tcPr>
                  <w:tcW w:w="592"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4.0</w:t>
                  </w:r>
                </w:p>
              </w:tc>
              <w:tc>
                <w:tcPr>
                  <w:tcW w:w="730" w:type="dxa"/>
                  <w:vMerge w:val="continue"/>
                  <w:vAlign w:val="center"/>
                </w:tcPr>
                <w:p>
                  <w:pPr>
                    <w:pStyle w:val="37"/>
                    <w:keepNext w:val="0"/>
                    <w:keepLines w:val="0"/>
                    <w:suppressLineNumbers w:val="0"/>
                    <w:bidi w:val="0"/>
                    <w:spacing w:before="0" w:beforeAutospacing="0" w:after="0" w:afterAutospacing="0"/>
                    <w:ind w:right="0"/>
                    <w:rPr>
                      <w:rFonts w:hint="default"/>
                    </w:rPr>
                  </w:pPr>
                </w:p>
              </w:tc>
              <w:tc>
                <w:tcPr>
                  <w:tcW w:w="416" w:type="dxa"/>
                  <w:vAlign w:val="center"/>
                </w:tcPr>
                <w:p>
                  <w:pPr>
                    <w:pStyle w:val="37"/>
                    <w:keepNext w:val="0"/>
                    <w:keepLines w:val="0"/>
                    <w:suppressLineNumbers w:val="0"/>
                    <w:bidi w:val="0"/>
                    <w:spacing w:before="0" w:beforeAutospacing="0" w:after="0" w:afterAutospacing="0"/>
                    <w:ind w:right="0"/>
                    <w:rPr>
                      <w:rFonts w:hint="default"/>
                    </w:rPr>
                  </w:pPr>
                  <w:r>
                    <w:rPr>
                      <w:rFonts w:hint="default"/>
                    </w:rPr>
                    <w:t>固态</w:t>
                  </w:r>
                </w:p>
              </w:tc>
              <w:tc>
                <w:tcPr>
                  <w:tcW w:w="690"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树脂</w:t>
                  </w:r>
                </w:p>
              </w:tc>
              <w:tc>
                <w:tcPr>
                  <w:tcW w:w="604"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矿物油</w:t>
                  </w:r>
                </w:p>
              </w:tc>
              <w:tc>
                <w:tcPr>
                  <w:tcW w:w="558" w:type="dxa"/>
                  <w:vAlign w:val="center"/>
                </w:tcPr>
                <w:p>
                  <w:pPr>
                    <w:pStyle w:val="37"/>
                    <w:keepNext w:val="0"/>
                    <w:keepLines w:val="0"/>
                    <w:suppressLineNumbers w:val="0"/>
                    <w:bidi w:val="0"/>
                    <w:spacing w:before="0" w:beforeAutospacing="0" w:after="0" w:afterAutospacing="0"/>
                    <w:ind w:right="0"/>
                    <w:rPr>
                      <w:rFonts w:hint="default"/>
                    </w:rPr>
                  </w:pPr>
                  <w:r>
                    <w:rPr>
                      <w:rFonts w:hint="default"/>
                    </w:rPr>
                    <w:t>间断</w:t>
                  </w:r>
                </w:p>
              </w:tc>
              <w:tc>
                <w:tcPr>
                  <w:tcW w:w="1602" w:type="dxa"/>
                  <w:vMerge w:val="continue"/>
                  <w:vAlign w:val="center"/>
                </w:tcPr>
                <w:p>
                  <w:pPr>
                    <w:pStyle w:val="37"/>
                    <w:keepNext w:val="0"/>
                    <w:keepLines w:val="0"/>
                    <w:suppressLineNumbers w:val="0"/>
                    <w:bidi w:val="0"/>
                    <w:spacing w:before="0" w:beforeAutospacing="0" w:after="0" w:afterAutospacing="0"/>
                    <w:ind w:right="0"/>
                    <w:rPr>
                      <w:rFonts w:hint="default"/>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842" w:hRule="atLeast"/>
                <w:jc w:val="center"/>
              </w:trPr>
              <w:tc>
                <w:tcPr>
                  <w:tcW w:w="240"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eastAsia"/>
                      <w:lang w:val="en-US" w:eastAsia="zh-CN"/>
                    </w:rPr>
                    <w:t>9</w:t>
                  </w:r>
                </w:p>
              </w:tc>
              <w:tc>
                <w:tcPr>
                  <w:tcW w:w="649" w:type="dxa"/>
                  <w:vAlign w:val="center"/>
                </w:tcPr>
                <w:p>
                  <w:pPr>
                    <w:pStyle w:val="37"/>
                    <w:keepNext w:val="0"/>
                    <w:keepLines w:val="0"/>
                    <w:suppressLineNumbers w:val="0"/>
                    <w:bidi w:val="0"/>
                    <w:spacing w:before="0" w:beforeAutospacing="0" w:after="0" w:afterAutospacing="0"/>
                    <w:ind w:right="0"/>
                    <w:rPr>
                      <w:rFonts w:hint="default"/>
                    </w:rPr>
                  </w:pPr>
                  <w:r>
                    <w:rPr>
                      <w:rFonts w:hint="default"/>
                    </w:rPr>
                    <w:t>生活</w:t>
                  </w:r>
                </w:p>
                <w:p>
                  <w:pPr>
                    <w:pStyle w:val="37"/>
                    <w:keepNext w:val="0"/>
                    <w:keepLines w:val="0"/>
                    <w:suppressLineNumbers w:val="0"/>
                    <w:bidi w:val="0"/>
                    <w:spacing w:before="0" w:beforeAutospacing="0" w:after="0" w:afterAutospacing="0"/>
                    <w:ind w:right="0"/>
                    <w:rPr>
                      <w:rFonts w:hint="default"/>
                      <w:lang w:val="zh-CN"/>
                    </w:rPr>
                  </w:pPr>
                  <w:r>
                    <w:rPr>
                      <w:rFonts w:hint="default"/>
                    </w:rPr>
                    <w:t>垃圾</w:t>
                  </w:r>
                </w:p>
              </w:tc>
              <w:tc>
                <w:tcPr>
                  <w:tcW w:w="516" w:type="dxa"/>
                  <w:vAlign w:val="center"/>
                </w:tcPr>
                <w:p>
                  <w:pPr>
                    <w:pStyle w:val="37"/>
                    <w:keepNext w:val="0"/>
                    <w:keepLines w:val="0"/>
                    <w:suppressLineNumbers w:val="0"/>
                    <w:bidi w:val="0"/>
                    <w:spacing w:before="0" w:beforeAutospacing="0" w:after="0" w:afterAutospacing="0"/>
                    <w:ind w:right="0"/>
                    <w:rPr>
                      <w:rFonts w:hint="default"/>
                      <w:lang w:val="zh-CN"/>
                    </w:rPr>
                  </w:pPr>
                  <w:r>
                    <w:rPr>
                      <w:rFonts w:hint="default"/>
                    </w:rPr>
                    <w:t>生活垃圾</w:t>
                  </w:r>
                </w:p>
              </w:tc>
              <w:tc>
                <w:tcPr>
                  <w:tcW w:w="1328" w:type="dxa"/>
                  <w:vAlign w:val="center"/>
                </w:tcPr>
                <w:p>
                  <w:pPr>
                    <w:pStyle w:val="37"/>
                    <w:keepNext w:val="0"/>
                    <w:keepLines w:val="0"/>
                    <w:suppressLineNumbers w:val="0"/>
                    <w:bidi w:val="0"/>
                    <w:spacing w:before="0" w:beforeAutospacing="0" w:after="0" w:afterAutospacing="0"/>
                    <w:ind w:right="0"/>
                    <w:rPr>
                      <w:rFonts w:hint="default"/>
                      <w:lang w:val="zh-CN"/>
                    </w:rPr>
                  </w:pPr>
                  <w:r>
                    <w:rPr>
                      <w:rFonts w:hint="default"/>
                    </w:rPr>
                    <w:t>/</w:t>
                  </w:r>
                </w:p>
              </w:tc>
              <w:tc>
                <w:tcPr>
                  <w:tcW w:w="528" w:type="dxa"/>
                  <w:vAlign w:val="center"/>
                </w:tcPr>
                <w:p>
                  <w:pPr>
                    <w:pStyle w:val="37"/>
                    <w:keepNext w:val="0"/>
                    <w:keepLines w:val="0"/>
                    <w:suppressLineNumbers w:val="0"/>
                    <w:bidi w:val="0"/>
                    <w:spacing w:before="0" w:beforeAutospacing="0" w:after="0" w:afterAutospacing="0"/>
                    <w:ind w:right="0"/>
                    <w:rPr>
                      <w:rFonts w:hint="default"/>
                      <w:lang w:val="zh-CN"/>
                    </w:rPr>
                  </w:pPr>
                  <w:r>
                    <w:rPr>
                      <w:rFonts w:hint="default"/>
                    </w:rPr>
                    <w:t>/</w:t>
                  </w:r>
                </w:p>
              </w:tc>
              <w:tc>
                <w:tcPr>
                  <w:tcW w:w="592" w:type="dxa"/>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30.0</w:t>
                  </w:r>
                </w:p>
              </w:tc>
              <w:tc>
                <w:tcPr>
                  <w:tcW w:w="730" w:type="dxa"/>
                  <w:vAlign w:val="center"/>
                </w:tcPr>
                <w:p>
                  <w:pPr>
                    <w:pStyle w:val="37"/>
                    <w:keepNext w:val="0"/>
                    <w:keepLines w:val="0"/>
                    <w:suppressLineNumbers w:val="0"/>
                    <w:bidi w:val="0"/>
                    <w:spacing w:before="0" w:beforeAutospacing="0" w:after="0" w:afterAutospacing="0"/>
                    <w:ind w:right="0"/>
                    <w:rPr>
                      <w:rFonts w:hint="default"/>
                      <w:lang w:val="zh-CN"/>
                    </w:rPr>
                  </w:pPr>
                  <w:r>
                    <w:rPr>
                      <w:rFonts w:hint="default"/>
                    </w:rPr>
                    <w:t>职工日常生活</w:t>
                  </w:r>
                </w:p>
              </w:tc>
              <w:tc>
                <w:tcPr>
                  <w:tcW w:w="416" w:type="dxa"/>
                  <w:vAlign w:val="center"/>
                </w:tcPr>
                <w:p>
                  <w:pPr>
                    <w:pStyle w:val="37"/>
                    <w:keepNext w:val="0"/>
                    <w:keepLines w:val="0"/>
                    <w:suppressLineNumbers w:val="0"/>
                    <w:bidi w:val="0"/>
                    <w:spacing w:before="0" w:beforeAutospacing="0" w:after="0" w:afterAutospacing="0"/>
                    <w:ind w:right="0"/>
                    <w:rPr>
                      <w:rFonts w:hint="default"/>
                      <w:lang w:val="zh-CN"/>
                    </w:rPr>
                  </w:pPr>
                  <w:r>
                    <w:rPr>
                      <w:rFonts w:hint="default"/>
                    </w:rPr>
                    <w:t>固态</w:t>
                  </w:r>
                </w:p>
              </w:tc>
              <w:tc>
                <w:tcPr>
                  <w:tcW w:w="690" w:type="dxa"/>
                  <w:vAlign w:val="center"/>
                </w:tcPr>
                <w:p>
                  <w:pPr>
                    <w:pStyle w:val="37"/>
                    <w:keepNext w:val="0"/>
                    <w:keepLines w:val="0"/>
                    <w:suppressLineNumbers w:val="0"/>
                    <w:bidi w:val="0"/>
                    <w:spacing w:before="0" w:beforeAutospacing="0" w:after="0" w:afterAutospacing="0"/>
                    <w:ind w:right="0"/>
                    <w:rPr>
                      <w:rFonts w:hint="default"/>
                      <w:lang w:val="zh-CN"/>
                    </w:rPr>
                  </w:pPr>
                  <w:r>
                    <w:rPr>
                      <w:rFonts w:hint="default"/>
                    </w:rPr>
                    <w:t>/</w:t>
                  </w:r>
                </w:p>
              </w:tc>
              <w:tc>
                <w:tcPr>
                  <w:tcW w:w="604" w:type="dxa"/>
                  <w:vAlign w:val="center"/>
                </w:tcPr>
                <w:p>
                  <w:pPr>
                    <w:pStyle w:val="37"/>
                    <w:keepNext w:val="0"/>
                    <w:keepLines w:val="0"/>
                    <w:suppressLineNumbers w:val="0"/>
                    <w:bidi w:val="0"/>
                    <w:spacing w:before="0" w:beforeAutospacing="0" w:after="0" w:afterAutospacing="0"/>
                    <w:ind w:right="0"/>
                    <w:rPr>
                      <w:rFonts w:hint="default"/>
                    </w:rPr>
                  </w:pPr>
                  <w:r>
                    <w:rPr>
                      <w:rFonts w:hint="default"/>
                    </w:rPr>
                    <w:t>/</w:t>
                  </w:r>
                </w:p>
              </w:tc>
              <w:tc>
                <w:tcPr>
                  <w:tcW w:w="558" w:type="dxa"/>
                  <w:vAlign w:val="center"/>
                </w:tcPr>
                <w:p>
                  <w:pPr>
                    <w:pStyle w:val="37"/>
                    <w:keepNext w:val="0"/>
                    <w:keepLines w:val="0"/>
                    <w:suppressLineNumbers w:val="0"/>
                    <w:bidi w:val="0"/>
                    <w:spacing w:before="0" w:beforeAutospacing="0" w:after="0" w:afterAutospacing="0"/>
                    <w:ind w:right="0"/>
                    <w:rPr>
                      <w:rFonts w:hint="default"/>
                      <w:lang w:val="zh-CN"/>
                    </w:rPr>
                  </w:pPr>
                  <w:r>
                    <w:rPr>
                      <w:rFonts w:hint="default"/>
                    </w:rPr>
                    <w:t>/</w:t>
                  </w:r>
                </w:p>
              </w:tc>
              <w:tc>
                <w:tcPr>
                  <w:tcW w:w="1602" w:type="dxa"/>
                  <w:vAlign w:val="center"/>
                </w:tcPr>
                <w:p>
                  <w:pPr>
                    <w:pStyle w:val="37"/>
                    <w:keepNext w:val="0"/>
                    <w:keepLines w:val="0"/>
                    <w:suppressLineNumbers w:val="0"/>
                    <w:bidi w:val="0"/>
                    <w:spacing w:before="0" w:beforeAutospacing="0" w:after="0" w:afterAutospacing="0"/>
                    <w:ind w:right="0"/>
                    <w:rPr>
                      <w:rFonts w:hint="default"/>
                    </w:rPr>
                  </w:pPr>
                  <w:r>
                    <w:rPr>
                      <w:rFonts w:hint="default"/>
                    </w:rPr>
                    <w:t>收集后交由环卫部门处理</w:t>
                  </w:r>
                </w:p>
              </w:tc>
            </w:tr>
          </w:tbl>
          <w:p>
            <w:pPr>
              <w:pStyle w:val="5"/>
              <w:suppressLineNumbers w:val="0"/>
              <w:tabs>
                <w:tab w:val="clear" w:pos="0"/>
              </w:tabs>
              <w:bidi w:val="0"/>
              <w:spacing w:before="0" w:beforeAutospacing="0" w:after="0" w:afterAutospacing="0"/>
              <w:ind w:left="720" w:leftChars="0" w:right="0" w:hanging="720" w:firstLineChars="0"/>
              <w:rPr>
                <w:rFonts w:hint="default"/>
                <w:color w:val="auto"/>
              </w:rPr>
            </w:pPr>
            <w:r>
              <w:rPr>
                <w:rFonts w:hint="default"/>
                <w:color w:val="auto"/>
              </w:rPr>
              <w:t>一般工业固体废物的贮存和管理</w:t>
            </w:r>
          </w:p>
          <w:p>
            <w:pPr>
              <w:pStyle w:val="42"/>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highlight w:val="none"/>
              </w:rPr>
            </w:pPr>
            <w:r>
              <w:rPr>
                <w:rFonts w:hint="eastAsia" w:cs="Times New Roman"/>
                <w:highlight w:val="none"/>
                <w:lang w:val="en-US" w:eastAsia="zh-CN"/>
              </w:rPr>
              <w:t>冲压料废边暂存于冲压料报废仓</w:t>
            </w:r>
            <w:r>
              <w:rPr>
                <w:rFonts w:hint="default" w:ascii="Times New Roman" w:hAnsi="Times New Roman" w:eastAsia="宋体" w:cs="Times New Roman"/>
                <w:highlight w:val="none"/>
              </w:rPr>
              <w:t>、</w:t>
            </w:r>
            <w:r>
              <w:rPr>
                <w:rFonts w:hint="default" w:ascii="Times New Roman" w:hAnsi="Times New Roman" w:eastAsia="宋体" w:cs="Times New Roman"/>
                <w:highlight w:val="none"/>
                <w:lang w:val="en-US" w:eastAsia="zh-CN"/>
              </w:rPr>
              <w:t>残次品</w:t>
            </w:r>
            <w:r>
              <w:rPr>
                <w:rFonts w:hint="default" w:ascii="Times New Roman" w:hAnsi="Times New Roman" w:eastAsia="宋体" w:cs="Times New Roman"/>
                <w:highlight w:val="none"/>
              </w:rPr>
              <w:t>分类收集暂存</w:t>
            </w:r>
            <w:r>
              <w:rPr>
                <w:rFonts w:hint="eastAsia" w:cs="Times New Roman"/>
                <w:highlight w:val="none"/>
                <w:lang w:val="en-US" w:eastAsia="zh-CN"/>
              </w:rPr>
              <w:t>于其他报废仓</w:t>
            </w:r>
            <w:r>
              <w:rPr>
                <w:rFonts w:hint="default" w:ascii="Times New Roman" w:hAnsi="Times New Roman" w:eastAsia="宋体" w:cs="Times New Roman"/>
                <w:szCs w:val="24"/>
                <w:highlight w:val="none"/>
                <w:lang w:val="en-US" w:eastAsia="zh-CN"/>
              </w:rPr>
              <w:t>，</w:t>
            </w:r>
            <w:r>
              <w:rPr>
                <w:rFonts w:hint="eastAsia" w:cs="Times New Roman"/>
                <w:szCs w:val="24"/>
                <w:highlight w:val="none"/>
                <w:lang w:val="en-US" w:eastAsia="zh-CN"/>
              </w:rPr>
              <w:t>清洗后的铝壳废边暂存于清洗后铝壳废边暂存区，并</w:t>
            </w:r>
            <w:r>
              <w:rPr>
                <w:rFonts w:hint="default" w:ascii="Times New Roman" w:hAnsi="Times New Roman" w:eastAsia="宋体" w:cs="Times New Roman"/>
                <w:highlight w:val="none"/>
              </w:rPr>
              <w:t>定期外售进行综合利用。正常运营工况下，项目产生的一般工业固体废物</w:t>
            </w:r>
            <w:r>
              <w:rPr>
                <w:rFonts w:hint="eastAsia" w:ascii="Times New Roman" w:hAnsi="Times New Roman" w:eastAsia="宋体" w:cs="Times New Roman"/>
                <w:highlight w:val="none"/>
                <w:lang w:eastAsia="zh-CN"/>
              </w:rPr>
              <w:t>均得到</w:t>
            </w:r>
            <w:r>
              <w:rPr>
                <w:rFonts w:hint="default" w:ascii="Times New Roman" w:hAnsi="Times New Roman" w:eastAsia="宋体" w:cs="Times New Roman"/>
                <w:highlight w:val="none"/>
              </w:rPr>
              <w:t>合理处置，避免了对项目场地及附近地下水、地表水和土壤环境的污染。</w:t>
            </w:r>
          </w:p>
          <w:p>
            <w:pPr>
              <w:pStyle w:val="42"/>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color w:val="000000"/>
                <w:highlight w:val="none"/>
                <w:lang w:val="en-US"/>
              </w:rPr>
            </w:pPr>
            <w:r>
              <w:rPr>
                <w:rFonts w:hint="default" w:ascii="Times New Roman" w:hAnsi="Times New Roman" w:eastAsia="宋体" w:cs="Times New Roman"/>
                <w:color w:val="000000"/>
                <w:kern w:val="0"/>
                <w:sz w:val="24"/>
                <w:szCs w:val="20"/>
                <w:highlight w:val="none"/>
                <w:lang w:val="en-US" w:eastAsia="zh-CN" w:bidi="ar"/>
              </w:rPr>
              <w:t>本项目设置</w:t>
            </w:r>
            <w:r>
              <w:rPr>
                <w:rFonts w:hint="default" w:ascii="Times New Roman" w:hAnsi="Times New Roman" w:eastAsia="宋体" w:cs="Times New Roman"/>
                <w:highlight w:val="none"/>
                <w:lang w:val="en-US" w:eastAsia="zh-CN"/>
              </w:rPr>
              <w:t>一般固废暂存间</w:t>
            </w:r>
            <w:r>
              <w:rPr>
                <w:rFonts w:hint="default" w:ascii="Times New Roman" w:hAnsi="Times New Roman" w:eastAsia="宋体" w:cs="Times New Roman"/>
                <w:color w:val="000000"/>
                <w:kern w:val="0"/>
                <w:sz w:val="24"/>
                <w:szCs w:val="20"/>
                <w:highlight w:val="none"/>
                <w:lang w:val="en-US" w:eastAsia="zh-CN" w:bidi="ar"/>
              </w:rPr>
              <w:t>应按照《一般工业固体废物贮存、处置场污染控制标准》（GB18599-2020）中的要求，一般工业固体废物的贮存和管理应做到：</w:t>
            </w:r>
          </w:p>
          <w:p>
            <w:pPr>
              <w:pStyle w:val="42"/>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color w:val="000000"/>
                <w:highlight w:val="none"/>
                <w:lang w:val="en-US"/>
              </w:rPr>
            </w:pPr>
            <w:r>
              <w:rPr>
                <w:rFonts w:hint="default" w:ascii="Times New Roman" w:hAnsi="Times New Roman" w:eastAsia="宋体" w:cs="Times New Roman"/>
                <w:color w:val="000000"/>
                <w:kern w:val="0"/>
                <w:sz w:val="24"/>
                <w:szCs w:val="20"/>
                <w:highlight w:val="none"/>
                <w:lang w:val="en-US" w:eastAsia="zh-CN" w:bidi="ar"/>
              </w:rPr>
              <w:fldChar w:fldCharType="begin"/>
            </w:r>
            <w:r>
              <w:rPr>
                <w:rFonts w:hint="default" w:ascii="Times New Roman" w:hAnsi="Times New Roman" w:eastAsia="宋体" w:cs="Times New Roman"/>
                <w:color w:val="000000"/>
                <w:kern w:val="0"/>
                <w:sz w:val="24"/>
                <w:szCs w:val="20"/>
                <w:highlight w:val="none"/>
                <w:lang w:val="en-US" w:eastAsia="zh-CN" w:bidi="ar"/>
              </w:rPr>
              <w:instrText xml:space="preserve"> = 1 \* GB3 \* MERGEFORMAT </w:instrText>
            </w:r>
            <w:r>
              <w:rPr>
                <w:rFonts w:hint="default" w:ascii="Times New Roman" w:hAnsi="Times New Roman" w:eastAsia="宋体" w:cs="Times New Roman"/>
                <w:color w:val="000000"/>
                <w:kern w:val="0"/>
                <w:sz w:val="24"/>
                <w:szCs w:val="20"/>
                <w:highlight w:val="none"/>
                <w:lang w:val="en-US" w:eastAsia="zh-CN" w:bidi="ar"/>
              </w:rPr>
              <w:fldChar w:fldCharType="separate"/>
            </w:r>
            <w:r>
              <w:rPr>
                <w:rFonts w:hint="default" w:ascii="Times New Roman" w:hAnsi="Times New Roman" w:eastAsia="宋体" w:cs="Times New Roman"/>
                <w:color w:val="000000"/>
                <w:kern w:val="0"/>
                <w:sz w:val="24"/>
                <w:szCs w:val="20"/>
                <w:highlight w:val="none"/>
                <w:lang w:val="en-US" w:eastAsia="zh-CN" w:bidi="ar"/>
              </w:rPr>
              <w:t>①</w:t>
            </w:r>
            <w:r>
              <w:rPr>
                <w:rFonts w:hint="default" w:ascii="Times New Roman" w:hAnsi="Times New Roman" w:eastAsia="宋体" w:cs="Times New Roman"/>
                <w:color w:val="000000"/>
                <w:kern w:val="0"/>
                <w:sz w:val="24"/>
                <w:szCs w:val="20"/>
                <w:highlight w:val="none"/>
                <w:lang w:val="en-US" w:eastAsia="zh-CN" w:bidi="ar"/>
              </w:rPr>
              <w:fldChar w:fldCharType="end"/>
            </w:r>
            <w:r>
              <w:rPr>
                <w:rFonts w:hint="default" w:ascii="Times New Roman" w:hAnsi="Times New Roman" w:eastAsia="宋体" w:cs="Times New Roman"/>
                <w:color w:val="000000"/>
                <w:kern w:val="0"/>
                <w:sz w:val="24"/>
                <w:szCs w:val="20"/>
                <w:highlight w:val="none"/>
                <w:lang w:val="en-US" w:eastAsia="zh-CN" w:bidi="ar"/>
              </w:rPr>
              <w:t>一般工业固体废物应按Ⅰ类和Ⅱ类废物分别储存，建立分类收集房。不允许将危险废物和生活垃圾混入。</w:t>
            </w:r>
          </w:p>
          <w:p>
            <w:pPr>
              <w:pStyle w:val="42"/>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color w:val="000000"/>
                <w:lang w:val="en-US"/>
              </w:rPr>
            </w:pPr>
            <w:r>
              <w:rPr>
                <w:rFonts w:hint="default" w:ascii="Times New Roman" w:hAnsi="Times New Roman" w:eastAsia="宋体" w:cs="Times New Roman"/>
                <w:color w:val="000000"/>
                <w:kern w:val="0"/>
                <w:sz w:val="24"/>
                <w:szCs w:val="20"/>
                <w:lang w:val="en-US" w:eastAsia="zh-CN" w:bidi="ar"/>
              </w:rPr>
              <w:fldChar w:fldCharType="begin"/>
            </w:r>
            <w:r>
              <w:rPr>
                <w:rFonts w:hint="default" w:ascii="Times New Roman" w:hAnsi="Times New Roman" w:eastAsia="宋体" w:cs="Times New Roman"/>
                <w:color w:val="000000"/>
                <w:kern w:val="0"/>
                <w:sz w:val="24"/>
                <w:szCs w:val="20"/>
                <w:lang w:val="en-US" w:eastAsia="zh-CN" w:bidi="ar"/>
              </w:rPr>
              <w:instrText xml:space="preserve"> = 2 \* GB3 \* MERGEFORMAT </w:instrText>
            </w:r>
            <w:r>
              <w:rPr>
                <w:rFonts w:hint="default" w:ascii="Times New Roman" w:hAnsi="Times New Roman" w:eastAsia="宋体" w:cs="Times New Roman"/>
                <w:color w:val="000000"/>
                <w:kern w:val="0"/>
                <w:sz w:val="24"/>
                <w:szCs w:val="20"/>
                <w:lang w:val="en-US" w:eastAsia="zh-CN" w:bidi="ar"/>
              </w:rPr>
              <w:fldChar w:fldCharType="separate"/>
            </w:r>
            <w:r>
              <w:rPr>
                <w:rFonts w:hint="default" w:ascii="Times New Roman" w:hAnsi="Times New Roman" w:eastAsia="宋体" w:cs="Times New Roman"/>
                <w:color w:val="000000"/>
                <w:kern w:val="0"/>
                <w:sz w:val="24"/>
                <w:szCs w:val="20"/>
                <w:lang w:val="en-US" w:eastAsia="zh-CN" w:bidi="ar"/>
              </w:rPr>
              <w:t>②</w:t>
            </w:r>
            <w:r>
              <w:rPr>
                <w:rFonts w:hint="default" w:ascii="Times New Roman" w:hAnsi="Times New Roman" w:eastAsia="宋体" w:cs="Times New Roman"/>
                <w:color w:val="000000"/>
                <w:kern w:val="0"/>
                <w:sz w:val="24"/>
                <w:szCs w:val="20"/>
                <w:lang w:val="en-US" w:eastAsia="zh-CN" w:bidi="ar"/>
              </w:rPr>
              <w:fldChar w:fldCharType="end"/>
            </w:r>
            <w:r>
              <w:rPr>
                <w:rFonts w:hint="default" w:ascii="Times New Roman" w:hAnsi="Times New Roman" w:eastAsia="宋体" w:cs="Times New Roman"/>
                <w:color w:val="000000"/>
                <w:kern w:val="0"/>
                <w:sz w:val="24"/>
                <w:szCs w:val="20"/>
                <w:lang w:val="en-US" w:eastAsia="zh-CN" w:bidi="ar"/>
              </w:rPr>
              <w:t>尽量将可利用的一般工业固体废物回收、利用。</w:t>
            </w:r>
          </w:p>
          <w:p>
            <w:pPr>
              <w:pStyle w:val="42"/>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color w:val="000000"/>
                <w:lang w:val="en-US"/>
              </w:rPr>
            </w:pPr>
            <w:r>
              <w:rPr>
                <w:rFonts w:hint="default" w:ascii="Times New Roman" w:hAnsi="Times New Roman" w:eastAsia="宋体" w:cs="Times New Roman"/>
                <w:color w:val="000000"/>
                <w:kern w:val="0"/>
                <w:sz w:val="24"/>
                <w:szCs w:val="20"/>
                <w:lang w:val="en-US" w:eastAsia="zh-CN" w:bidi="ar"/>
              </w:rPr>
              <w:fldChar w:fldCharType="begin"/>
            </w:r>
            <w:r>
              <w:rPr>
                <w:rFonts w:hint="default" w:ascii="Times New Roman" w:hAnsi="Times New Roman" w:eastAsia="宋体" w:cs="Times New Roman"/>
                <w:color w:val="000000"/>
                <w:kern w:val="0"/>
                <w:sz w:val="24"/>
                <w:szCs w:val="20"/>
                <w:lang w:val="en-US" w:eastAsia="zh-CN" w:bidi="ar"/>
              </w:rPr>
              <w:instrText xml:space="preserve"> = 3 \* GB3 \* MERGEFORMAT </w:instrText>
            </w:r>
            <w:r>
              <w:rPr>
                <w:rFonts w:hint="default" w:ascii="Times New Roman" w:hAnsi="Times New Roman" w:eastAsia="宋体" w:cs="Times New Roman"/>
                <w:color w:val="000000"/>
                <w:kern w:val="0"/>
                <w:sz w:val="24"/>
                <w:szCs w:val="20"/>
                <w:lang w:val="en-US" w:eastAsia="zh-CN" w:bidi="ar"/>
              </w:rPr>
              <w:fldChar w:fldCharType="separate"/>
            </w:r>
            <w:r>
              <w:rPr>
                <w:rFonts w:hint="default" w:ascii="Times New Roman" w:hAnsi="Times New Roman" w:eastAsia="宋体" w:cs="Times New Roman"/>
                <w:color w:val="000000"/>
                <w:kern w:val="0"/>
                <w:sz w:val="24"/>
                <w:szCs w:val="20"/>
                <w:lang w:val="en-US" w:eastAsia="zh-CN" w:bidi="ar"/>
              </w:rPr>
              <w:t>③</w:t>
            </w:r>
            <w:r>
              <w:rPr>
                <w:rFonts w:hint="default" w:ascii="Times New Roman" w:hAnsi="Times New Roman" w:eastAsia="宋体" w:cs="Times New Roman"/>
                <w:color w:val="000000"/>
                <w:kern w:val="0"/>
                <w:sz w:val="24"/>
                <w:szCs w:val="20"/>
                <w:lang w:val="en-US" w:eastAsia="zh-CN" w:bidi="ar"/>
              </w:rPr>
              <w:fldChar w:fldCharType="end"/>
            </w:r>
            <w:r>
              <w:rPr>
                <w:rFonts w:hint="default" w:ascii="Times New Roman" w:hAnsi="Times New Roman" w:eastAsia="宋体" w:cs="Times New Roman"/>
                <w:color w:val="000000"/>
                <w:kern w:val="0"/>
                <w:sz w:val="24"/>
                <w:szCs w:val="20"/>
                <w:lang w:val="en-US" w:eastAsia="zh-CN" w:bidi="ar"/>
              </w:rPr>
              <w:t>加强企业内部对固体废物的管理，对固体废物实行从产生、收集、运输、贮存直至最终处理实行全过程管理，加强固体废物运输过程的事故风险防范，建立固体废物产生、外运、处置及最终去向的详细台账。</w:t>
            </w:r>
          </w:p>
          <w:p>
            <w:pPr>
              <w:pStyle w:val="42"/>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color w:val="000000"/>
                <w:lang w:val="en-US"/>
              </w:rPr>
            </w:pPr>
            <w:r>
              <w:rPr>
                <w:rFonts w:hint="default" w:ascii="Times New Roman" w:hAnsi="Times New Roman" w:eastAsia="宋体" w:cs="Times New Roman"/>
                <w:color w:val="000000"/>
                <w:kern w:val="0"/>
                <w:sz w:val="24"/>
                <w:szCs w:val="20"/>
                <w:lang w:val="en-US" w:eastAsia="zh-CN" w:bidi="ar"/>
              </w:rPr>
              <w:fldChar w:fldCharType="begin"/>
            </w:r>
            <w:r>
              <w:rPr>
                <w:rFonts w:hint="default" w:ascii="Times New Roman" w:hAnsi="Times New Roman" w:eastAsia="宋体" w:cs="Times New Roman"/>
                <w:color w:val="000000"/>
                <w:kern w:val="0"/>
                <w:sz w:val="24"/>
                <w:szCs w:val="20"/>
                <w:lang w:val="en-US" w:eastAsia="zh-CN" w:bidi="ar"/>
              </w:rPr>
              <w:instrText xml:space="preserve"> = 4 \* GB3 \* MERGEFORMAT </w:instrText>
            </w:r>
            <w:r>
              <w:rPr>
                <w:rFonts w:hint="default" w:ascii="Times New Roman" w:hAnsi="Times New Roman" w:eastAsia="宋体" w:cs="Times New Roman"/>
                <w:color w:val="000000"/>
                <w:kern w:val="0"/>
                <w:sz w:val="24"/>
                <w:szCs w:val="20"/>
                <w:lang w:val="en-US" w:eastAsia="zh-CN" w:bidi="ar"/>
              </w:rPr>
              <w:fldChar w:fldCharType="separate"/>
            </w:r>
            <w:r>
              <w:rPr>
                <w:rFonts w:hint="default" w:ascii="Times New Roman" w:hAnsi="Times New Roman" w:eastAsia="宋体" w:cs="Times New Roman"/>
                <w:color w:val="000000"/>
                <w:kern w:val="0"/>
                <w:sz w:val="24"/>
                <w:szCs w:val="20"/>
                <w:lang w:val="en-US" w:eastAsia="zh-CN" w:bidi="ar"/>
              </w:rPr>
              <w:t>④</w:t>
            </w:r>
            <w:r>
              <w:rPr>
                <w:rFonts w:hint="default" w:ascii="Times New Roman" w:hAnsi="Times New Roman" w:eastAsia="宋体" w:cs="Times New Roman"/>
                <w:color w:val="000000"/>
                <w:kern w:val="0"/>
                <w:sz w:val="24"/>
                <w:szCs w:val="20"/>
                <w:lang w:val="en-US" w:eastAsia="zh-CN" w:bidi="ar"/>
              </w:rPr>
              <w:fldChar w:fldCharType="end"/>
            </w:r>
            <w:r>
              <w:rPr>
                <w:rFonts w:hint="default" w:ascii="Times New Roman" w:hAnsi="Times New Roman" w:eastAsia="宋体" w:cs="Times New Roman"/>
                <w:color w:val="000000"/>
                <w:kern w:val="0"/>
                <w:sz w:val="24"/>
                <w:szCs w:val="20"/>
                <w:lang w:val="en-US" w:eastAsia="zh-CN" w:bidi="ar"/>
              </w:rPr>
              <w:t>加强固体废物规范化管理，建立全厂统一的固废分类收集、统一堆放场地制度，堆放场所远离办公区和周围</w:t>
            </w:r>
            <w:r>
              <w:rPr>
                <w:rFonts w:hint="eastAsia" w:ascii="Times New Roman" w:hAnsi="Times New Roman" w:eastAsia="宋体" w:cs="Times New Roman"/>
                <w:color w:val="000000"/>
                <w:kern w:val="0"/>
                <w:sz w:val="24"/>
                <w:szCs w:val="20"/>
                <w:lang w:val="en-US" w:eastAsia="zh-CN" w:bidi="ar"/>
              </w:rPr>
              <w:t>环境敏感点</w:t>
            </w:r>
            <w:r>
              <w:rPr>
                <w:rFonts w:hint="default" w:ascii="Times New Roman" w:hAnsi="Times New Roman" w:eastAsia="宋体" w:cs="Times New Roman"/>
                <w:color w:val="000000"/>
                <w:kern w:val="0"/>
                <w:sz w:val="24"/>
                <w:szCs w:val="20"/>
                <w:lang w:val="en-US" w:eastAsia="zh-CN" w:bidi="ar"/>
              </w:rPr>
              <w:t>。临时储存地点必须建有雨棚，不允许露天堆放，以防止雨水冲刷，雨水应通过场地四周导流渠流向雨水排放管；临时堆放场地为水泥铺设地面，以防渗漏</w:t>
            </w:r>
            <w:r>
              <w:rPr>
                <w:rFonts w:hint="eastAsia" w:ascii="Times New Roman" w:hAnsi="Times New Roman" w:eastAsia="宋体" w:cs="Times New Roman"/>
                <w:color w:val="000000"/>
                <w:kern w:val="0"/>
                <w:sz w:val="24"/>
                <w:szCs w:val="20"/>
                <w:lang w:val="en-US" w:eastAsia="zh-CN" w:bidi="ar"/>
              </w:rPr>
              <w:t>。</w:t>
            </w:r>
          </w:p>
          <w:p>
            <w:pPr>
              <w:pStyle w:val="42"/>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rPr>
            </w:pPr>
            <w:r>
              <w:rPr>
                <w:rFonts w:hint="default" w:ascii="Times New Roman" w:hAnsi="Times New Roman" w:eastAsia="宋体" w:cs="Times New Roman"/>
                <w:color w:val="000000"/>
                <w:kern w:val="0"/>
                <w:sz w:val="24"/>
                <w:szCs w:val="20"/>
                <w:lang w:val="en-US" w:eastAsia="zh-CN" w:bidi="ar"/>
              </w:rPr>
              <w:fldChar w:fldCharType="begin"/>
            </w:r>
            <w:r>
              <w:rPr>
                <w:rFonts w:hint="default" w:ascii="Times New Roman" w:hAnsi="Times New Roman" w:eastAsia="宋体" w:cs="Times New Roman"/>
                <w:color w:val="000000"/>
                <w:kern w:val="0"/>
                <w:sz w:val="24"/>
                <w:szCs w:val="20"/>
                <w:lang w:val="en-US" w:eastAsia="zh-CN" w:bidi="ar"/>
              </w:rPr>
              <w:instrText xml:space="preserve"> = 5 \* GB3 \* MERGEFORMAT </w:instrText>
            </w:r>
            <w:r>
              <w:rPr>
                <w:rFonts w:hint="default" w:ascii="Times New Roman" w:hAnsi="Times New Roman" w:eastAsia="宋体" w:cs="Times New Roman"/>
                <w:color w:val="000000"/>
                <w:kern w:val="0"/>
                <w:sz w:val="24"/>
                <w:szCs w:val="20"/>
                <w:lang w:val="en-US" w:eastAsia="zh-CN" w:bidi="ar"/>
              </w:rPr>
              <w:fldChar w:fldCharType="separate"/>
            </w:r>
            <w:r>
              <w:rPr>
                <w:rFonts w:hint="default" w:ascii="Times New Roman" w:hAnsi="Times New Roman" w:eastAsia="宋体" w:cs="Times New Roman"/>
                <w:color w:val="000000"/>
                <w:kern w:val="0"/>
                <w:sz w:val="24"/>
                <w:szCs w:val="20"/>
                <w:lang w:val="en-US" w:eastAsia="zh-CN" w:bidi="ar"/>
              </w:rPr>
              <w:t>⑤</w:t>
            </w:r>
            <w:r>
              <w:rPr>
                <w:rFonts w:hint="default" w:ascii="Times New Roman" w:hAnsi="Times New Roman" w:eastAsia="宋体" w:cs="Times New Roman"/>
                <w:color w:val="000000"/>
                <w:kern w:val="0"/>
                <w:sz w:val="24"/>
                <w:szCs w:val="20"/>
                <w:lang w:val="en-US" w:eastAsia="zh-CN" w:bidi="ar"/>
              </w:rPr>
              <w:fldChar w:fldCharType="end"/>
            </w:r>
            <w:r>
              <w:rPr>
                <w:rFonts w:hint="default" w:ascii="Times New Roman" w:hAnsi="Times New Roman" w:eastAsia="宋体" w:cs="Times New Roman"/>
                <w:color w:val="000000"/>
                <w:kern w:val="0"/>
                <w:sz w:val="24"/>
                <w:szCs w:val="20"/>
                <w:lang w:val="en-US" w:eastAsia="zh-CN" w:bidi="ar"/>
              </w:rPr>
              <w:t>为加强管理监督，贮存场所地应按《环境保护图形标志－固体废物贮存（处置）场所》（GB15562.2-1995）设置环境保护图形标志。</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rPr>
            </w:pPr>
            <w:r>
              <w:rPr>
                <w:rFonts w:hint="default" w:ascii="Times New Roman" w:hAnsi="Times New Roman" w:eastAsia="宋体" w:cs="Times New Roman"/>
              </w:rPr>
              <w:t>项目产生的一般固体废物贮存将严格执行《一般工业固体废物贮存和填埋污染控制</w:t>
            </w:r>
            <w:r>
              <w:rPr>
                <w:rFonts w:hint="default" w:ascii="Times New Roman" w:hAnsi="Times New Roman" w:eastAsia="宋体" w:cs="Times New Roman"/>
                <w:color w:val="auto"/>
              </w:rPr>
              <w:t>标准》(GB1859</w:t>
            </w:r>
            <w:r>
              <w:rPr>
                <w:rFonts w:hint="default" w:ascii="Times New Roman" w:hAnsi="Times New Roman" w:eastAsia="宋体" w:cs="Times New Roman"/>
                <w:color w:val="auto"/>
                <w:lang w:val="en-US" w:eastAsia="zh-CN"/>
              </w:rPr>
              <w:t>-</w:t>
            </w:r>
            <w:r>
              <w:rPr>
                <w:rFonts w:hint="default" w:ascii="Times New Roman" w:hAnsi="Times New Roman" w:eastAsia="宋体" w:cs="Times New Roman"/>
                <w:color w:val="auto"/>
              </w:rPr>
              <w:t>2020)</w:t>
            </w:r>
            <w:r>
              <w:rPr>
                <w:rFonts w:hint="default" w:ascii="Times New Roman" w:hAnsi="Times New Roman" w:eastAsia="宋体" w:cs="Times New Roman"/>
              </w:rPr>
              <w:t>中要求进行规范化的处理处置。一般工业固体废物污染防治措施是可行的。</w:t>
            </w:r>
          </w:p>
          <w:p>
            <w:pPr>
              <w:pStyle w:val="5"/>
              <w:suppressLineNumbers w:val="0"/>
              <w:tabs>
                <w:tab w:val="clear" w:pos="0"/>
              </w:tabs>
              <w:bidi w:val="0"/>
              <w:spacing w:before="0" w:beforeAutospacing="0" w:after="0" w:afterAutospacing="0"/>
              <w:ind w:left="720" w:leftChars="0" w:right="0" w:hanging="720" w:firstLineChars="0"/>
              <w:rPr>
                <w:rFonts w:hint="default"/>
                <w:color w:val="auto"/>
              </w:rPr>
            </w:pPr>
            <w:r>
              <w:rPr>
                <w:rFonts w:hint="default"/>
                <w:color w:val="auto"/>
              </w:rPr>
              <w:t>危险废物的贮存和管理</w:t>
            </w:r>
          </w:p>
          <w:p>
            <w:pPr>
              <w:pStyle w:val="25"/>
              <w:keepNext w:val="0"/>
              <w:keepLines w:val="0"/>
              <w:widowControl w:val="0"/>
              <w:suppressLineNumbers w:val="0"/>
              <w:tabs>
                <w:tab w:val="left" w:pos="0"/>
              </w:tabs>
              <w:autoSpaceDE w:val="0"/>
              <w:autoSpaceDN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highlight w:val="none"/>
                <w:lang w:val="en-US" w:eastAsia="zh-CN" w:bidi="ar"/>
              </w:rPr>
            </w:pPr>
            <w:r>
              <w:rPr>
                <w:rFonts w:hint="default" w:ascii="Times New Roman" w:hAnsi="Times New Roman" w:eastAsia="宋体" w:cs="Times New Roman"/>
                <w:szCs w:val="24"/>
                <w:highlight w:val="none"/>
                <w:lang w:val="en-US" w:eastAsia="zh-CN"/>
              </w:rPr>
              <w:t>切边沉降金属屑等其他危险废物分类收集，暂存在危废仓，定期交由有资质单位处置。厂区内设置的</w:t>
            </w:r>
            <w:r>
              <w:rPr>
                <w:rFonts w:hint="eastAsia" w:ascii="Times New Roman" w:hAnsi="Times New Roman" w:cs="Times New Roman"/>
                <w:szCs w:val="24"/>
                <w:highlight w:val="none"/>
                <w:lang w:val="en-US" w:eastAsia="zh-CN"/>
              </w:rPr>
              <w:t>一处</w:t>
            </w:r>
            <w:r>
              <w:rPr>
                <w:rFonts w:hint="default" w:ascii="Times New Roman" w:hAnsi="Times New Roman" w:eastAsia="宋体" w:cs="Times New Roman"/>
                <w:szCs w:val="24"/>
                <w:highlight w:val="none"/>
                <w:lang w:val="en-US" w:eastAsia="zh-CN"/>
              </w:rPr>
              <w:t>危废</w:t>
            </w:r>
            <w:r>
              <w:rPr>
                <w:rFonts w:hint="eastAsia" w:ascii="Times New Roman" w:hAnsi="Times New Roman" w:cs="Times New Roman"/>
                <w:szCs w:val="24"/>
                <w:highlight w:val="none"/>
                <w:lang w:val="en-US" w:eastAsia="zh-CN"/>
              </w:rPr>
              <w:t>仓，建筑面积25m</w:t>
            </w:r>
            <w:r>
              <w:rPr>
                <w:rFonts w:hint="eastAsia" w:ascii="Times New Roman" w:hAnsi="Times New Roman" w:cs="Times New Roman"/>
                <w:szCs w:val="24"/>
                <w:highlight w:val="none"/>
                <w:vertAlign w:val="superscript"/>
                <w:lang w:val="en-US" w:eastAsia="zh-CN"/>
              </w:rPr>
              <w:t>2</w:t>
            </w:r>
            <w:r>
              <w:rPr>
                <w:rFonts w:hint="eastAsia" w:ascii="Times New Roman" w:hAnsi="Times New Roman" w:cs="Times New Roman"/>
                <w:szCs w:val="24"/>
                <w:highlight w:val="none"/>
                <w:lang w:val="en-US" w:eastAsia="zh-CN"/>
              </w:rPr>
              <w:t>，已</w:t>
            </w:r>
            <w:r>
              <w:rPr>
                <w:rFonts w:hint="default" w:ascii="Times New Roman" w:hAnsi="Times New Roman" w:eastAsia="宋体" w:cs="Times New Roman"/>
                <w:szCs w:val="24"/>
                <w:highlight w:val="none"/>
                <w:lang w:val="en-US" w:eastAsia="zh-CN"/>
              </w:rPr>
              <w:t>按照《危险废物贮存污染控制标准》（GB18597-2023）相关要求进行建设。</w:t>
            </w:r>
            <w:r>
              <w:rPr>
                <w:rFonts w:hint="eastAsia" w:ascii="Times New Roman" w:hAnsi="Times New Roman" w:cs="Times New Roman"/>
                <w:szCs w:val="24"/>
                <w:highlight w:val="none"/>
                <w:lang w:val="en-US" w:eastAsia="zh-CN"/>
              </w:rPr>
              <w:t>危废仓</w:t>
            </w:r>
            <w:r>
              <w:rPr>
                <w:rFonts w:hint="eastAsia" w:ascii="Times New Roman" w:hAnsi="Times New Roman" w:eastAsia="宋体" w:cs="宋体"/>
                <w:color w:val="auto"/>
                <w:kern w:val="0"/>
                <w:sz w:val="24"/>
                <w:szCs w:val="20"/>
                <w:lang w:val="en-US" w:eastAsia="zh-CN" w:bidi="ar"/>
              </w:rPr>
              <w:t>地面承载能力按</w:t>
            </w:r>
            <w:r>
              <w:rPr>
                <w:rFonts w:hint="default" w:ascii="Times New Roman" w:hAnsi="Times New Roman" w:eastAsia="宋体" w:cs="宋体"/>
                <w:color w:val="auto"/>
                <w:kern w:val="0"/>
                <w:sz w:val="24"/>
                <w:szCs w:val="20"/>
                <w:lang w:val="en-US" w:eastAsia="zh-CN" w:bidi="ar"/>
              </w:rPr>
              <w:t>2.5</w:t>
            </w:r>
            <w:r>
              <w:rPr>
                <w:rFonts w:hint="eastAsia" w:ascii="Times New Roman" w:hAnsi="Times New Roman" w:eastAsia="宋体" w:cs="宋体"/>
                <w:color w:val="auto"/>
                <w:kern w:val="0"/>
                <w:sz w:val="24"/>
                <w:szCs w:val="20"/>
                <w:lang w:val="en-US" w:eastAsia="zh-CN" w:bidi="ar"/>
              </w:rPr>
              <w:t>～</w:t>
            </w:r>
            <w:r>
              <w:rPr>
                <w:rFonts w:hint="default" w:ascii="Times New Roman" w:hAnsi="Times New Roman" w:eastAsia="宋体" w:cs="宋体"/>
                <w:color w:val="auto"/>
                <w:kern w:val="0"/>
                <w:sz w:val="24"/>
                <w:szCs w:val="20"/>
                <w:lang w:val="en-US" w:eastAsia="zh-CN" w:bidi="ar"/>
              </w:rPr>
              <w:t>3.0t/m</w:t>
            </w:r>
            <w:r>
              <w:rPr>
                <w:rFonts w:hint="default" w:ascii="Times New Roman" w:hAnsi="Times New Roman" w:eastAsia="宋体" w:cs="宋体"/>
                <w:color w:val="auto"/>
                <w:kern w:val="0"/>
                <w:sz w:val="24"/>
                <w:szCs w:val="20"/>
                <w:vertAlign w:val="superscript"/>
                <w:lang w:val="en-US" w:eastAsia="zh-CN" w:bidi="ar"/>
              </w:rPr>
              <w:t>2</w:t>
            </w:r>
            <w:r>
              <w:rPr>
                <w:rFonts w:hint="eastAsia" w:ascii="Times New Roman" w:hAnsi="Times New Roman" w:eastAsia="宋体" w:cs="宋体"/>
                <w:color w:val="auto"/>
                <w:kern w:val="0"/>
                <w:sz w:val="24"/>
                <w:szCs w:val="20"/>
                <w:lang w:val="en-US" w:eastAsia="zh-CN" w:bidi="ar"/>
              </w:rPr>
              <w:t>设计，本项目按</w:t>
            </w:r>
            <w:r>
              <w:rPr>
                <w:rFonts w:hint="default" w:ascii="Times New Roman" w:hAnsi="Times New Roman" w:eastAsia="宋体" w:cs="宋体"/>
                <w:color w:val="auto"/>
                <w:kern w:val="0"/>
                <w:sz w:val="24"/>
                <w:szCs w:val="20"/>
                <w:lang w:val="en-US" w:eastAsia="zh-CN" w:bidi="ar"/>
              </w:rPr>
              <w:t>2.5t/m</w:t>
            </w:r>
            <w:r>
              <w:rPr>
                <w:rFonts w:hint="default" w:ascii="Times New Roman" w:hAnsi="Times New Roman" w:eastAsia="宋体" w:cs="宋体"/>
                <w:color w:val="auto"/>
                <w:kern w:val="0"/>
                <w:sz w:val="24"/>
                <w:szCs w:val="20"/>
                <w:vertAlign w:val="superscript"/>
                <w:lang w:val="en-US" w:eastAsia="zh-CN" w:bidi="ar"/>
              </w:rPr>
              <w:t>2</w:t>
            </w:r>
            <w:r>
              <w:rPr>
                <w:rFonts w:hint="eastAsia" w:ascii="Times New Roman" w:hAnsi="Times New Roman" w:eastAsia="宋体" w:cs="宋体"/>
                <w:color w:val="auto"/>
                <w:kern w:val="0"/>
                <w:sz w:val="24"/>
                <w:szCs w:val="20"/>
                <w:lang w:val="en-US" w:eastAsia="zh-CN" w:bidi="ar"/>
              </w:rPr>
              <w:t>计算，</w:t>
            </w:r>
            <w:r>
              <w:rPr>
                <w:rFonts w:hint="eastAsia" w:ascii="Times New Roman" w:hAnsi="Times New Roman" w:cs="宋体"/>
                <w:color w:val="auto"/>
                <w:kern w:val="0"/>
                <w:sz w:val="24"/>
                <w:szCs w:val="20"/>
                <w:lang w:val="en-US" w:eastAsia="zh-CN" w:bidi="ar"/>
              </w:rPr>
              <w:t>则</w:t>
            </w:r>
            <w:r>
              <w:rPr>
                <w:rFonts w:hint="eastAsia" w:ascii="Times New Roman" w:hAnsi="Times New Roman" w:eastAsia="宋体" w:cs="宋体"/>
                <w:color w:val="auto"/>
                <w:kern w:val="0"/>
                <w:sz w:val="24"/>
                <w:szCs w:val="20"/>
                <w:lang w:val="en-US" w:eastAsia="zh-CN" w:bidi="ar"/>
              </w:rPr>
              <w:t>项目危废</w:t>
            </w:r>
            <w:r>
              <w:rPr>
                <w:rFonts w:hint="eastAsia" w:ascii="Times New Roman" w:hAnsi="Times New Roman" w:cs="宋体"/>
                <w:color w:val="auto"/>
                <w:kern w:val="0"/>
                <w:sz w:val="24"/>
                <w:szCs w:val="20"/>
                <w:lang w:val="en-US" w:eastAsia="zh-CN" w:bidi="ar"/>
              </w:rPr>
              <w:t>仓</w:t>
            </w:r>
            <w:r>
              <w:rPr>
                <w:rFonts w:hint="eastAsia" w:ascii="Times New Roman" w:hAnsi="Times New Roman" w:eastAsia="宋体" w:cs="宋体"/>
                <w:color w:val="auto"/>
                <w:kern w:val="0"/>
                <w:sz w:val="24"/>
                <w:szCs w:val="20"/>
                <w:lang w:val="en-US" w:eastAsia="zh-CN" w:bidi="ar"/>
              </w:rPr>
              <w:t>可贮存</w:t>
            </w:r>
            <w:r>
              <w:rPr>
                <w:rFonts w:hint="eastAsia" w:ascii="Times New Roman" w:hAnsi="Times New Roman" w:cs="宋体"/>
                <w:color w:val="auto"/>
                <w:kern w:val="0"/>
                <w:sz w:val="24"/>
                <w:szCs w:val="20"/>
                <w:lang w:val="en-US" w:eastAsia="zh-CN" w:bidi="ar"/>
              </w:rPr>
              <w:t>62.5</w:t>
            </w:r>
            <w:r>
              <w:rPr>
                <w:rFonts w:hint="default" w:ascii="Times New Roman" w:hAnsi="Times New Roman" w:eastAsia="宋体" w:cs="宋体"/>
                <w:color w:val="auto"/>
                <w:kern w:val="0"/>
                <w:sz w:val="24"/>
                <w:szCs w:val="20"/>
                <w:lang w:val="en-US" w:eastAsia="zh-CN" w:bidi="ar"/>
              </w:rPr>
              <w:t>t</w:t>
            </w:r>
            <w:r>
              <w:rPr>
                <w:rFonts w:hint="eastAsia" w:ascii="Times New Roman" w:hAnsi="Times New Roman" w:eastAsia="宋体" w:cs="宋体"/>
                <w:color w:val="auto"/>
                <w:kern w:val="0"/>
                <w:sz w:val="24"/>
                <w:szCs w:val="20"/>
                <w:lang w:val="en-US" w:eastAsia="zh-CN" w:bidi="ar"/>
              </w:rPr>
              <w:t>危废。危险废物贮存周期及贮存量见下表。根据周转周期核算的最大贮存量情况统计，本项目建设</w:t>
            </w:r>
            <w:r>
              <w:rPr>
                <w:rFonts w:hint="default" w:ascii="Times New Roman" w:hAnsi="Times New Roman" w:eastAsia="宋体" w:cs="宋体"/>
                <w:color w:val="auto"/>
                <w:kern w:val="0"/>
                <w:sz w:val="24"/>
                <w:szCs w:val="20"/>
                <w:lang w:val="en-US" w:eastAsia="zh-CN" w:bidi="ar"/>
              </w:rPr>
              <w:t>25m</w:t>
            </w:r>
            <w:r>
              <w:rPr>
                <w:rFonts w:hint="default" w:ascii="Times New Roman" w:hAnsi="Times New Roman" w:eastAsia="宋体" w:cs="宋体"/>
                <w:color w:val="auto"/>
                <w:kern w:val="0"/>
                <w:sz w:val="24"/>
                <w:szCs w:val="20"/>
                <w:vertAlign w:val="superscript"/>
                <w:lang w:val="en-US" w:eastAsia="zh-CN" w:bidi="ar"/>
              </w:rPr>
              <w:t>2</w:t>
            </w:r>
            <w:r>
              <w:rPr>
                <w:rFonts w:hint="eastAsia" w:ascii="Times New Roman" w:hAnsi="Times New Roman" w:eastAsia="宋体" w:cs="宋体"/>
                <w:color w:val="auto"/>
                <w:kern w:val="0"/>
                <w:sz w:val="24"/>
                <w:szCs w:val="20"/>
                <w:lang w:val="en-US" w:eastAsia="zh-CN" w:bidi="ar"/>
              </w:rPr>
              <w:t>的危废贮存间贮存能力满足厂内危险废物的贮存要求。</w:t>
            </w:r>
          </w:p>
          <w:p>
            <w:pPr>
              <w:pStyle w:val="36"/>
              <w:keepNext w:val="0"/>
              <w:keepLines w:val="0"/>
              <w:suppressLineNumbers w:val="0"/>
              <w:bidi w:val="0"/>
              <w:spacing w:before="0" w:beforeAutospacing="0" w:after="0" w:afterAutospacing="0"/>
              <w:ind w:right="0"/>
              <w:rPr>
                <w:rFonts w:hint="default"/>
                <w:lang w:val="en-US" w:eastAsia="zh-CN"/>
              </w:rPr>
            </w:pPr>
            <w:r>
              <w:rPr>
                <w:rFonts w:hint="default"/>
              </w:rPr>
              <w:commentReference w:id="14"/>
            </w:r>
            <w:r>
              <w:rPr>
                <w:rFonts w:hint="default"/>
                <w:lang w:val="en-US" w:eastAsia="zh-CN"/>
              </w:rPr>
              <w:t>建设项目危险废物贮存场所（设施）基本情况一览表</w:t>
            </w:r>
          </w:p>
          <w:tbl>
            <w:tblPr>
              <w:tblStyle w:val="2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92"/>
              <w:gridCol w:w="850"/>
              <w:gridCol w:w="1320"/>
              <w:gridCol w:w="855"/>
              <w:gridCol w:w="1208"/>
              <w:gridCol w:w="788"/>
              <w:gridCol w:w="1180"/>
              <w:gridCol w:w="792"/>
              <w:gridCol w:w="92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492"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rPr>
                  </w:pPr>
                  <w:r>
                    <w:rPr>
                      <w:rFonts w:hint="eastAsia"/>
                      <w:highlight w:val="none"/>
                      <w:lang w:val="en-US" w:eastAsia="zh-CN"/>
                    </w:rPr>
                    <w:t>序号</w:t>
                  </w:r>
                </w:p>
              </w:tc>
              <w:tc>
                <w:tcPr>
                  <w:tcW w:w="850"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rPr>
                  </w:pPr>
                  <w:r>
                    <w:rPr>
                      <w:rFonts w:hint="eastAsia"/>
                      <w:highlight w:val="none"/>
                      <w:lang w:val="en-US" w:eastAsia="zh-CN"/>
                    </w:rPr>
                    <w:t>贮存场所名称</w:t>
                  </w:r>
                </w:p>
              </w:tc>
              <w:tc>
                <w:tcPr>
                  <w:tcW w:w="1320"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rPr>
                  </w:pPr>
                  <w:r>
                    <w:rPr>
                      <w:rFonts w:hint="eastAsia"/>
                      <w:highlight w:val="none"/>
                      <w:lang w:val="en-US" w:eastAsia="zh-CN"/>
                    </w:rPr>
                    <w:t>危险废物名称</w:t>
                  </w:r>
                </w:p>
              </w:tc>
              <w:tc>
                <w:tcPr>
                  <w:tcW w:w="855"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rPr>
                  </w:pPr>
                  <w:r>
                    <w:rPr>
                      <w:rFonts w:hint="eastAsia"/>
                      <w:highlight w:val="none"/>
                      <w:lang w:val="en-US" w:eastAsia="zh-CN"/>
                    </w:rPr>
                    <w:t>危险废物类别</w:t>
                  </w:r>
                </w:p>
              </w:tc>
              <w:tc>
                <w:tcPr>
                  <w:tcW w:w="1208"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rPr>
                  </w:pPr>
                  <w:r>
                    <w:rPr>
                      <w:rFonts w:hint="eastAsia"/>
                      <w:highlight w:val="none"/>
                      <w:lang w:val="en-US" w:eastAsia="zh-CN"/>
                    </w:rPr>
                    <w:t>危险废物代码</w:t>
                  </w:r>
                </w:p>
              </w:tc>
              <w:tc>
                <w:tcPr>
                  <w:tcW w:w="788"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rPr>
                  </w:pPr>
                  <w:r>
                    <w:rPr>
                      <w:rFonts w:hint="eastAsia"/>
                      <w:highlight w:val="none"/>
                      <w:lang w:val="en-US" w:eastAsia="zh-CN"/>
                    </w:rPr>
                    <w:t>占地面积</w:t>
                  </w:r>
                </w:p>
              </w:tc>
              <w:tc>
                <w:tcPr>
                  <w:tcW w:w="1180"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rPr>
                  </w:pPr>
                  <w:r>
                    <w:rPr>
                      <w:rFonts w:hint="eastAsia"/>
                      <w:highlight w:val="none"/>
                      <w:lang w:val="en-US" w:eastAsia="zh-CN"/>
                    </w:rPr>
                    <w:t>贮存方式</w:t>
                  </w:r>
                </w:p>
              </w:tc>
              <w:tc>
                <w:tcPr>
                  <w:tcW w:w="792"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eastAsia="宋体"/>
                      <w:highlight w:val="none"/>
                      <w:lang w:val="en-US" w:eastAsia="zh-CN"/>
                    </w:rPr>
                  </w:pPr>
                  <w:r>
                    <w:rPr>
                      <w:rFonts w:hint="eastAsia"/>
                      <w:highlight w:val="none"/>
                      <w:lang w:val="en-US" w:eastAsia="zh-CN"/>
                    </w:rPr>
                    <w:t>最大贮存量</w:t>
                  </w:r>
                  <w:r>
                    <w:rPr>
                      <w:rFonts w:hint="default"/>
                      <w:highlight w:val="none"/>
                      <w:lang w:val="en-US" w:eastAsia="zh-CN"/>
                    </w:rPr>
                    <w:t>t</w:t>
                  </w:r>
                </w:p>
              </w:tc>
              <w:tc>
                <w:tcPr>
                  <w:tcW w:w="923"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rPr>
                  </w:pPr>
                  <w:r>
                    <w:rPr>
                      <w:rFonts w:hint="eastAsia"/>
                      <w:highlight w:val="none"/>
                      <w:lang w:val="en-US" w:eastAsia="zh-CN"/>
                    </w:rPr>
                    <w:t>贮存</w:t>
                  </w:r>
                </w:p>
                <w:p>
                  <w:pPr>
                    <w:pStyle w:val="37"/>
                    <w:keepNext w:val="0"/>
                    <w:keepLines w:val="0"/>
                    <w:suppressLineNumbers w:val="0"/>
                    <w:bidi w:val="0"/>
                    <w:spacing w:before="0" w:beforeAutospacing="0" w:after="0" w:afterAutospacing="0"/>
                    <w:ind w:right="0"/>
                    <w:rPr>
                      <w:rFonts w:hint="eastAsia"/>
                      <w:highlight w:val="none"/>
                      <w:lang w:val="en-US"/>
                    </w:rPr>
                  </w:pPr>
                  <w:r>
                    <w:rPr>
                      <w:rFonts w:hint="eastAsia"/>
                      <w:highlight w:val="none"/>
                      <w:lang w:val="en-US" w:eastAsia="zh-CN"/>
                    </w:rPr>
                    <w:t>周期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492"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eastAsia="宋体"/>
                      <w:highlight w:val="none"/>
                      <w:lang w:val="en-US" w:eastAsia="zh-CN"/>
                    </w:rPr>
                  </w:pPr>
                  <w:r>
                    <w:rPr>
                      <w:rFonts w:hint="eastAsia"/>
                      <w:highlight w:val="none"/>
                      <w:lang w:val="en-US" w:eastAsia="zh-CN"/>
                    </w:rPr>
                    <w:t>1</w:t>
                  </w:r>
                </w:p>
              </w:tc>
              <w:tc>
                <w:tcPr>
                  <w:tcW w:w="850" w:type="dxa"/>
                  <w:vMerge w:val="restart"/>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rPr>
                  </w:pPr>
                  <w:r>
                    <w:rPr>
                      <w:rFonts w:hint="default"/>
                      <w:highlight w:val="none"/>
                      <w:lang w:val="en-US" w:eastAsia="zh-CN"/>
                    </w:rPr>
                    <w:t>危废仓</w:t>
                  </w:r>
                </w:p>
              </w:tc>
              <w:tc>
                <w:tcPr>
                  <w:tcW w:w="1320"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left="0" w:leftChars="0" w:right="0" w:rightChars="0" w:firstLine="0" w:firstLineChars="0"/>
                    <w:rPr>
                      <w:rFonts w:hint="eastAsia"/>
                      <w:highlight w:val="none"/>
                      <w:lang w:val="en-US"/>
                    </w:rPr>
                  </w:pPr>
                  <w:r>
                    <w:rPr>
                      <w:rFonts w:hint="default"/>
                      <w:highlight w:val="none"/>
                      <w:lang w:val="en-US" w:eastAsia="zh-CN"/>
                    </w:rPr>
                    <w:t>废空桶</w:t>
                  </w:r>
                </w:p>
              </w:tc>
              <w:tc>
                <w:tcPr>
                  <w:tcW w:w="855"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rPr>
                  </w:pPr>
                  <w:r>
                    <w:rPr>
                      <w:rFonts w:hint="default"/>
                      <w:highlight w:val="none"/>
                      <w:lang w:val="en-US"/>
                    </w:rPr>
                    <w:t>HW49</w:t>
                  </w:r>
                </w:p>
              </w:tc>
              <w:tc>
                <w:tcPr>
                  <w:tcW w:w="1208"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left="0" w:leftChars="0" w:right="0" w:rightChars="0" w:firstLine="0" w:firstLineChars="0"/>
                    <w:rPr>
                      <w:rFonts w:hint="eastAsia"/>
                      <w:highlight w:val="none"/>
                      <w:lang w:val="en-US"/>
                    </w:rPr>
                  </w:pPr>
                  <w:r>
                    <w:rPr>
                      <w:rFonts w:hint="default"/>
                      <w:highlight w:val="none"/>
                      <w:lang w:val="en-US" w:eastAsia="zh-CN"/>
                    </w:rPr>
                    <w:t>900-041-49</w:t>
                  </w:r>
                </w:p>
              </w:tc>
              <w:tc>
                <w:tcPr>
                  <w:tcW w:w="788" w:type="dxa"/>
                  <w:vMerge w:val="restart"/>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eastAsia="宋体"/>
                      <w:highlight w:val="none"/>
                      <w:lang w:val="en-US" w:eastAsia="zh-CN"/>
                    </w:rPr>
                  </w:pPr>
                  <w:r>
                    <w:rPr>
                      <w:rFonts w:hint="eastAsia"/>
                      <w:highlight w:val="none"/>
                      <w:lang w:val="en-US" w:eastAsia="zh-CN"/>
                    </w:rPr>
                    <w:t>25m</w:t>
                  </w:r>
                  <w:r>
                    <w:rPr>
                      <w:rFonts w:hint="eastAsia"/>
                      <w:highlight w:val="none"/>
                      <w:vertAlign w:val="superscript"/>
                      <w:lang w:val="en-US" w:eastAsia="zh-CN"/>
                    </w:rPr>
                    <w:t>2</w:t>
                  </w:r>
                </w:p>
              </w:tc>
              <w:tc>
                <w:tcPr>
                  <w:tcW w:w="1180"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rPr>
                  </w:pPr>
                  <w:r>
                    <w:rPr>
                      <w:rFonts w:hint="default"/>
                      <w:highlight w:val="none"/>
                      <w:lang w:val="en-US" w:eastAsia="zh-CN"/>
                    </w:rPr>
                    <w:t>整齐堆放</w:t>
                  </w:r>
                </w:p>
              </w:tc>
              <w:tc>
                <w:tcPr>
                  <w:tcW w:w="792"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eastAsia="宋体"/>
                      <w:highlight w:val="none"/>
                      <w:lang w:val="en-US" w:eastAsia="zh-CN"/>
                    </w:rPr>
                  </w:pPr>
                  <w:r>
                    <w:rPr>
                      <w:rFonts w:hint="eastAsia"/>
                      <w:highlight w:val="none"/>
                      <w:lang w:val="en-US" w:eastAsia="zh-CN"/>
                    </w:rPr>
                    <w:t>0.3</w:t>
                  </w:r>
                </w:p>
              </w:tc>
              <w:tc>
                <w:tcPr>
                  <w:tcW w:w="923"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eastAsia="宋体"/>
                      <w:highlight w:val="none"/>
                      <w:lang w:val="en-US" w:eastAsia="zh-CN"/>
                    </w:rPr>
                  </w:pPr>
                  <w:r>
                    <w:rPr>
                      <w:rFonts w:hint="eastAsia"/>
                      <w:highlight w:val="none"/>
                      <w:lang w:val="en-US" w:eastAsia="zh-CN"/>
                    </w:rPr>
                    <w:t>季度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492"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eastAsia="宋体"/>
                      <w:highlight w:val="none"/>
                      <w:lang w:val="en-US" w:eastAsia="zh-CN"/>
                    </w:rPr>
                  </w:pPr>
                  <w:r>
                    <w:rPr>
                      <w:rFonts w:hint="eastAsia"/>
                      <w:highlight w:val="none"/>
                      <w:lang w:val="en-US" w:eastAsia="zh-CN"/>
                    </w:rPr>
                    <w:t>2</w:t>
                  </w:r>
                </w:p>
              </w:tc>
              <w:tc>
                <w:tcPr>
                  <w:tcW w:w="850" w:type="dxa"/>
                  <w:vMerge w:val="continue"/>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rPr>
                  </w:pPr>
                </w:p>
              </w:tc>
              <w:tc>
                <w:tcPr>
                  <w:tcW w:w="1320"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left="0" w:leftChars="0" w:right="0" w:rightChars="0" w:firstLine="0" w:firstLineChars="0"/>
                    <w:rPr>
                      <w:rFonts w:hint="eastAsia"/>
                      <w:highlight w:val="none"/>
                      <w:lang w:val="en-US"/>
                    </w:rPr>
                  </w:pPr>
                  <w:r>
                    <w:rPr>
                      <w:rFonts w:hint="default"/>
                      <w:highlight w:val="none"/>
                      <w:lang w:val="en-US" w:eastAsia="zh-CN"/>
                    </w:rPr>
                    <w:t>废滤芯</w:t>
                  </w:r>
                </w:p>
              </w:tc>
              <w:tc>
                <w:tcPr>
                  <w:tcW w:w="855"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rPr>
                  </w:pPr>
                  <w:r>
                    <w:rPr>
                      <w:rFonts w:hint="default"/>
                      <w:highlight w:val="none"/>
                      <w:lang w:val="en-US"/>
                    </w:rPr>
                    <w:t>HW</w:t>
                  </w:r>
                  <w:r>
                    <w:rPr>
                      <w:rFonts w:hint="default"/>
                      <w:highlight w:val="none"/>
                      <w:lang w:val="en-US" w:eastAsia="zh-CN"/>
                    </w:rPr>
                    <w:t>49</w:t>
                  </w:r>
                </w:p>
              </w:tc>
              <w:tc>
                <w:tcPr>
                  <w:tcW w:w="1208"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left="0" w:leftChars="0" w:right="0" w:rightChars="0" w:firstLine="0" w:firstLineChars="0"/>
                    <w:rPr>
                      <w:rFonts w:hint="eastAsia"/>
                      <w:highlight w:val="none"/>
                      <w:lang w:val="en-US"/>
                    </w:rPr>
                  </w:pPr>
                  <w:r>
                    <w:rPr>
                      <w:rFonts w:hint="default"/>
                      <w:highlight w:val="none"/>
                      <w:lang w:val="en-US" w:eastAsia="zh-CN"/>
                    </w:rPr>
                    <w:t>900-041-49</w:t>
                  </w:r>
                </w:p>
              </w:tc>
              <w:tc>
                <w:tcPr>
                  <w:tcW w:w="788" w:type="dxa"/>
                  <w:vMerge w:val="continue"/>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rPr>
                  </w:pPr>
                </w:p>
              </w:tc>
              <w:tc>
                <w:tcPr>
                  <w:tcW w:w="1180"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rPr>
                  </w:pPr>
                  <w:r>
                    <w:rPr>
                      <w:rFonts w:hint="default"/>
                      <w:highlight w:val="none"/>
                      <w:lang w:val="en-US" w:eastAsia="zh-CN"/>
                    </w:rPr>
                    <w:t>密封袋装</w:t>
                  </w:r>
                </w:p>
              </w:tc>
              <w:tc>
                <w:tcPr>
                  <w:tcW w:w="792"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eastAsia="宋体"/>
                      <w:highlight w:val="none"/>
                      <w:lang w:val="en-US" w:eastAsia="zh-CN"/>
                    </w:rPr>
                  </w:pPr>
                  <w:r>
                    <w:rPr>
                      <w:rFonts w:hint="eastAsia"/>
                      <w:highlight w:val="none"/>
                      <w:lang w:val="en-US" w:eastAsia="zh-CN"/>
                    </w:rPr>
                    <w:t>1.2</w:t>
                  </w:r>
                </w:p>
              </w:tc>
              <w:tc>
                <w:tcPr>
                  <w:tcW w:w="923"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eastAsia="宋体"/>
                      <w:highlight w:val="none"/>
                      <w:lang w:val="en-US" w:eastAsia="zh-CN"/>
                    </w:rPr>
                  </w:pPr>
                  <w:r>
                    <w:rPr>
                      <w:rFonts w:hint="eastAsia"/>
                      <w:highlight w:val="none"/>
                      <w:lang w:val="en-US" w:eastAsia="zh-CN"/>
                    </w:rPr>
                    <w:t>半年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492"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eastAsia="宋体"/>
                      <w:highlight w:val="none"/>
                      <w:lang w:val="en-US" w:eastAsia="zh-CN"/>
                    </w:rPr>
                  </w:pPr>
                  <w:r>
                    <w:rPr>
                      <w:rFonts w:hint="eastAsia"/>
                      <w:highlight w:val="none"/>
                      <w:lang w:val="en-US" w:eastAsia="zh-CN"/>
                    </w:rPr>
                    <w:t>3</w:t>
                  </w:r>
                </w:p>
              </w:tc>
              <w:tc>
                <w:tcPr>
                  <w:tcW w:w="850" w:type="dxa"/>
                  <w:vMerge w:val="continue"/>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rPr>
                  </w:pPr>
                </w:p>
              </w:tc>
              <w:tc>
                <w:tcPr>
                  <w:tcW w:w="1320"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left="0" w:leftChars="0" w:right="0" w:rightChars="0" w:firstLine="0" w:firstLineChars="0"/>
                    <w:rPr>
                      <w:rFonts w:hint="eastAsia"/>
                      <w:highlight w:val="none"/>
                      <w:lang w:val="en-US"/>
                    </w:rPr>
                  </w:pPr>
                  <w:r>
                    <w:rPr>
                      <w:rFonts w:hint="default"/>
                      <w:highlight w:val="none"/>
                      <w:lang w:val="en-US" w:eastAsia="zh-CN"/>
                    </w:rPr>
                    <w:t>废机油</w:t>
                  </w:r>
                </w:p>
              </w:tc>
              <w:tc>
                <w:tcPr>
                  <w:tcW w:w="855"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rPr>
                  </w:pPr>
                  <w:r>
                    <w:rPr>
                      <w:rFonts w:hint="default"/>
                      <w:highlight w:val="none"/>
                      <w:lang w:val="en-US"/>
                    </w:rPr>
                    <w:t>HW</w:t>
                  </w:r>
                  <w:r>
                    <w:rPr>
                      <w:rFonts w:hint="default"/>
                      <w:highlight w:val="none"/>
                      <w:lang w:val="en-US" w:eastAsia="zh-CN"/>
                    </w:rPr>
                    <w:t>08</w:t>
                  </w:r>
                </w:p>
              </w:tc>
              <w:tc>
                <w:tcPr>
                  <w:tcW w:w="1208"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left="0" w:leftChars="0" w:right="0" w:rightChars="0" w:firstLine="0" w:firstLineChars="0"/>
                    <w:rPr>
                      <w:rFonts w:hint="eastAsia"/>
                      <w:highlight w:val="none"/>
                      <w:lang w:val="en-US"/>
                    </w:rPr>
                  </w:pPr>
                  <w:r>
                    <w:rPr>
                      <w:rFonts w:hint="default"/>
                      <w:highlight w:val="none"/>
                      <w:lang w:val="en-US" w:eastAsia="zh-CN"/>
                    </w:rPr>
                    <w:t>900-249-08</w:t>
                  </w:r>
                </w:p>
              </w:tc>
              <w:tc>
                <w:tcPr>
                  <w:tcW w:w="788" w:type="dxa"/>
                  <w:vMerge w:val="continue"/>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rPr>
                  </w:pPr>
                </w:p>
              </w:tc>
              <w:tc>
                <w:tcPr>
                  <w:tcW w:w="1180"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rPr>
                  </w:pPr>
                  <w:r>
                    <w:rPr>
                      <w:rFonts w:hint="default"/>
                      <w:highlight w:val="none"/>
                      <w:lang w:val="en-US" w:eastAsia="zh-CN"/>
                    </w:rPr>
                    <w:t>密封桶装</w:t>
                  </w:r>
                </w:p>
              </w:tc>
              <w:tc>
                <w:tcPr>
                  <w:tcW w:w="792"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eastAsia="宋体"/>
                      <w:highlight w:val="none"/>
                      <w:lang w:val="en-US" w:eastAsia="zh-CN"/>
                    </w:rPr>
                  </w:pPr>
                  <w:r>
                    <w:rPr>
                      <w:rFonts w:hint="eastAsia"/>
                      <w:highlight w:val="none"/>
                      <w:lang w:val="en-US" w:eastAsia="zh-CN"/>
                    </w:rPr>
                    <w:t>1.05</w:t>
                  </w:r>
                </w:p>
              </w:tc>
              <w:tc>
                <w:tcPr>
                  <w:tcW w:w="923"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rPr>
                  </w:pPr>
                  <w:r>
                    <w:rPr>
                      <w:rFonts w:hint="eastAsia"/>
                      <w:highlight w:val="none"/>
                      <w:lang w:val="en-US" w:eastAsia="zh-CN"/>
                    </w:rPr>
                    <w:t>季度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492"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eastAsia="宋体"/>
                      <w:highlight w:val="none"/>
                      <w:lang w:val="en-US" w:eastAsia="zh-CN"/>
                    </w:rPr>
                  </w:pPr>
                  <w:r>
                    <w:rPr>
                      <w:rFonts w:hint="eastAsia"/>
                      <w:highlight w:val="none"/>
                      <w:lang w:val="en-US" w:eastAsia="zh-CN"/>
                    </w:rPr>
                    <w:t>4</w:t>
                  </w:r>
                </w:p>
              </w:tc>
              <w:tc>
                <w:tcPr>
                  <w:tcW w:w="850" w:type="dxa"/>
                  <w:vMerge w:val="continue"/>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rPr>
                  </w:pPr>
                </w:p>
              </w:tc>
              <w:tc>
                <w:tcPr>
                  <w:tcW w:w="1320"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left="0" w:leftChars="0" w:right="0" w:rightChars="0" w:firstLine="0" w:firstLineChars="0"/>
                    <w:rPr>
                      <w:rFonts w:hint="eastAsia"/>
                      <w:highlight w:val="none"/>
                      <w:lang w:val="en-US"/>
                    </w:rPr>
                  </w:pPr>
                  <w:r>
                    <w:rPr>
                      <w:rFonts w:hint="default" w:ascii="Times New Roman" w:hAnsi="Times New Roman" w:eastAsia="宋体" w:cs="Times New Roman"/>
                      <w:sz w:val="21"/>
                      <w:szCs w:val="21"/>
                      <w:highlight w:val="none"/>
                    </w:rPr>
                    <w:t>含油</w:t>
                  </w:r>
                  <w:r>
                    <w:rPr>
                      <w:rFonts w:hint="eastAsia" w:ascii="Times New Roman" w:hAnsi="Times New Roman" w:cs="Times New Roman"/>
                      <w:sz w:val="21"/>
                      <w:szCs w:val="21"/>
                      <w:highlight w:val="none"/>
                      <w:lang w:val="en-US" w:eastAsia="zh-CN"/>
                    </w:rPr>
                    <w:t>浓缩液</w:t>
                  </w:r>
                </w:p>
              </w:tc>
              <w:tc>
                <w:tcPr>
                  <w:tcW w:w="855"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rPr>
                  </w:pPr>
                  <w:r>
                    <w:rPr>
                      <w:rFonts w:hint="default"/>
                      <w:highlight w:val="none"/>
                      <w:lang w:val="en-US"/>
                    </w:rPr>
                    <w:t>HW</w:t>
                  </w:r>
                  <w:r>
                    <w:rPr>
                      <w:rFonts w:hint="default"/>
                      <w:highlight w:val="none"/>
                      <w:lang w:val="en-US" w:eastAsia="zh-CN"/>
                    </w:rPr>
                    <w:t>08</w:t>
                  </w:r>
                </w:p>
              </w:tc>
              <w:tc>
                <w:tcPr>
                  <w:tcW w:w="1208"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left="0" w:leftChars="0" w:right="0" w:rightChars="0" w:firstLine="0" w:firstLineChars="0"/>
                    <w:rPr>
                      <w:rFonts w:hint="eastAsia"/>
                      <w:highlight w:val="none"/>
                      <w:lang w:val="en-US"/>
                    </w:rPr>
                  </w:pPr>
                  <w:r>
                    <w:rPr>
                      <w:rFonts w:hint="default"/>
                      <w:highlight w:val="none"/>
                      <w:lang w:val="en-US" w:eastAsia="zh-CN"/>
                    </w:rPr>
                    <w:t>900-210-08</w:t>
                  </w:r>
                </w:p>
              </w:tc>
              <w:tc>
                <w:tcPr>
                  <w:tcW w:w="788" w:type="dxa"/>
                  <w:vMerge w:val="continue"/>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rPr>
                  </w:pPr>
                </w:p>
              </w:tc>
              <w:tc>
                <w:tcPr>
                  <w:tcW w:w="1180"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rPr>
                  </w:pPr>
                  <w:r>
                    <w:rPr>
                      <w:rFonts w:hint="default"/>
                      <w:highlight w:val="none"/>
                      <w:lang w:val="en-US" w:eastAsia="zh-CN"/>
                    </w:rPr>
                    <w:t>密封桶装</w:t>
                  </w:r>
                </w:p>
              </w:tc>
              <w:tc>
                <w:tcPr>
                  <w:tcW w:w="792"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eastAsia="宋体"/>
                      <w:highlight w:val="none"/>
                      <w:lang w:val="en-US" w:eastAsia="zh-CN"/>
                    </w:rPr>
                  </w:pPr>
                  <w:r>
                    <w:rPr>
                      <w:rFonts w:hint="eastAsia"/>
                      <w:highlight w:val="none"/>
                      <w:lang w:val="en-US" w:eastAsia="zh-CN"/>
                    </w:rPr>
                    <w:t>3.2</w:t>
                  </w:r>
                </w:p>
              </w:tc>
              <w:tc>
                <w:tcPr>
                  <w:tcW w:w="923"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rPr>
                  </w:pPr>
                  <w:r>
                    <w:rPr>
                      <w:rFonts w:hint="eastAsia"/>
                      <w:highlight w:val="none"/>
                      <w:lang w:val="en-US" w:eastAsia="zh-CN"/>
                    </w:rPr>
                    <w:t>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492"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eastAsia="宋体"/>
                      <w:highlight w:val="none"/>
                      <w:lang w:val="en-US" w:eastAsia="zh-CN"/>
                    </w:rPr>
                  </w:pPr>
                  <w:r>
                    <w:rPr>
                      <w:rFonts w:hint="eastAsia"/>
                      <w:highlight w:val="none"/>
                      <w:lang w:val="en-US" w:eastAsia="zh-CN"/>
                    </w:rPr>
                    <w:t>5</w:t>
                  </w:r>
                </w:p>
              </w:tc>
              <w:tc>
                <w:tcPr>
                  <w:tcW w:w="850" w:type="dxa"/>
                  <w:vMerge w:val="continue"/>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rPr>
                  </w:pPr>
                </w:p>
              </w:tc>
              <w:tc>
                <w:tcPr>
                  <w:tcW w:w="1320"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left="0" w:leftChars="0" w:right="0" w:rightChars="0" w:firstLine="0" w:firstLineChars="0"/>
                    <w:rPr>
                      <w:rFonts w:hint="eastAsia"/>
                      <w:highlight w:val="none"/>
                      <w:lang w:val="en-US"/>
                    </w:rPr>
                  </w:pPr>
                  <w:r>
                    <w:rPr>
                      <w:rFonts w:hint="default"/>
                      <w:highlight w:val="none"/>
                      <w:lang w:val="en-US" w:eastAsia="zh-CN"/>
                    </w:rPr>
                    <w:t>废过滤膜</w:t>
                  </w:r>
                </w:p>
              </w:tc>
              <w:tc>
                <w:tcPr>
                  <w:tcW w:w="855"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rPr>
                  </w:pPr>
                  <w:r>
                    <w:rPr>
                      <w:rFonts w:hint="default"/>
                      <w:highlight w:val="none"/>
                      <w:lang w:val="en-US"/>
                    </w:rPr>
                    <w:t>HW49</w:t>
                  </w:r>
                </w:p>
              </w:tc>
              <w:tc>
                <w:tcPr>
                  <w:tcW w:w="1208"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left="0" w:leftChars="0" w:right="0" w:rightChars="0" w:firstLine="0" w:firstLineChars="0"/>
                    <w:rPr>
                      <w:rFonts w:hint="eastAsia"/>
                      <w:highlight w:val="none"/>
                      <w:lang w:val="en-US"/>
                    </w:rPr>
                  </w:pPr>
                  <w:r>
                    <w:rPr>
                      <w:rFonts w:hint="default"/>
                      <w:highlight w:val="none"/>
                      <w:lang w:val="en-US" w:eastAsia="zh-CN"/>
                    </w:rPr>
                    <w:t>900-041-49</w:t>
                  </w:r>
                </w:p>
              </w:tc>
              <w:tc>
                <w:tcPr>
                  <w:tcW w:w="788" w:type="dxa"/>
                  <w:vMerge w:val="continue"/>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rPr>
                  </w:pPr>
                </w:p>
              </w:tc>
              <w:tc>
                <w:tcPr>
                  <w:tcW w:w="1180"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rPr>
                  </w:pPr>
                  <w:r>
                    <w:rPr>
                      <w:rFonts w:hint="default"/>
                      <w:highlight w:val="none"/>
                      <w:lang w:val="en-US" w:eastAsia="zh-CN"/>
                    </w:rPr>
                    <w:t>密封袋装</w:t>
                  </w:r>
                </w:p>
              </w:tc>
              <w:tc>
                <w:tcPr>
                  <w:tcW w:w="792"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eastAsia="宋体"/>
                      <w:highlight w:val="none"/>
                      <w:lang w:val="en-US" w:eastAsia="zh-CN"/>
                    </w:rPr>
                  </w:pPr>
                  <w:r>
                    <w:rPr>
                      <w:rFonts w:hint="eastAsia"/>
                      <w:highlight w:val="none"/>
                      <w:lang w:val="en-US" w:eastAsia="zh-CN"/>
                    </w:rPr>
                    <w:t>2.0</w:t>
                  </w:r>
                </w:p>
              </w:tc>
              <w:tc>
                <w:tcPr>
                  <w:tcW w:w="923"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rPr>
                  </w:pPr>
                  <w:r>
                    <w:rPr>
                      <w:rFonts w:hint="eastAsia"/>
                      <w:highlight w:val="none"/>
                      <w:lang w:val="en-US" w:eastAsia="zh-CN"/>
                    </w:rPr>
                    <w:t>半年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492"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eastAsia="宋体"/>
                      <w:highlight w:val="none"/>
                      <w:lang w:val="en-US" w:eastAsia="zh-CN"/>
                    </w:rPr>
                  </w:pPr>
                  <w:r>
                    <w:rPr>
                      <w:rFonts w:hint="eastAsia"/>
                      <w:highlight w:val="none"/>
                      <w:lang w:val="en-US" w:eastAsia="zh-CN"/>
                    </w:rPr>
                    <w:t>6</w:t>
                  </w:r>
                </w:p>
              </w:tc>
              <w:tc>
                <w:tcPr>
                  <w:tcW w:w="850" w:type="dxa"/>
                  <w:vMerge w:val="continue"/>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rPr>
                  </w:pPr>
                </w:p>
              </w:tc>
              <w:tc>
                <w:tcPr>
                  <w:tcW w:w="1320"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left="0" w:leftChars="0" w:right="0" w:rightChars="0" w:firstLine="0" w:firstLineChars="0"/>
                    <w:rPr>
                      <w:rFonts w:hint="eastAsia"/>
                      <w:highlight w:val="none"/>
                      <w:lang w:val="en-US"/>
                    </w:rPr>
                  </w:pPr>
                  <w:r>
                    <w:rPr>
                      <w:rFonts w:hint="default"/>
                      <w:highlight w:val="none"/>
                      <w:lang w:val="en-US" w:eastAsia="zh-CN"/>
                    </w:rPr>
                    <w:t>切边沉降金属屑</w:t>
                  </w:r>
                </w:p>
              </w:tc>
              <w:tc>
                <w:tcPr>
                  <w:tcW w:w="855"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rPr>
                  </w:pPr>
                  <w:r>
                    <w:rPr>
                      <w:rFonts w:hint="default"/>
                      <w:highlight w:val="none"/>
                      <w:lang w:val="en-US"/>
                    </w:rPr>
                    <w:t>HW</w:t>
                  </w:r>
                  <w:r>
                    <w:rPr>
                      <w:rFonts w:hint="default"/>
                      <w:highlight w:val="none"/>
                      <w:lang w:val="en-US" w:eastAsia="zh-CN"/>
                    </w:rPr>
                    <w:t>08</w:t>
                  </w:r>
                </w:p>
              </w:tc>
              <w:tc>
                <w:tcPr>
                  <w:tcW w:w="1208"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left="0" w:leftChars="0" w:right="0" w:rightChars="0" w:firstLine="0" w:firstLineChars="0"/>
                    <w:rPr>
                      <w:rFonts w:hint="eastAsia"/>
                      <w:highlight w:val="none"/>
                      <w:lang w:val="en-US"/>
                    </w:rPr>
                  </w:pPr>
                  <w:r>
                    <w:rPr>
                      <w:rFonts w:hint="default"/>
                      <w:highlight w:val="none"/>
                      <w:lang w:val="en-US" w:eastAsia="zh-CN"/>
                    </w:rPr>
                    <w:t>900-200-08</w:t>
                  </w:r>
                </w:p>
              </w:tc>
              <w:tc>
                <w:tcPr>
                  <w:tcW w:w="788" w:type="dxa"/>
                  <w:vMerge w:val="continue"/>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rPr>
                  </w:pPr>
                </w:p>
              </w:tc>
              <w:tc>
                <w:tcPr>
                  <w:tcW w:w="1180"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rPr>
                  </w:pPr>
                  <w:r>
                    <w:rPr>
                      <w:rFonts w:hint="default"/>
                      <w:highlight w:val="none"/>
                      <w:lang w:val="en-US" w:eastAsia="zh-CN"/>
                    </w:rPr>
                    <w:t>密封袋装</w:t>
                  </w:r>
                </w:p>
              </w:tc>
              <w:tc>
                <w:tcPr>
                  <w:tcW w:w="792"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eastAsia="宋体"/>
                      <w:highlight w:val="none"/>
                      <w:lang w:val="en-US" w:eastAsia="zh-CN"/>
                    </w:rPr>
                  </w:pPr>
                  <w:r>
                    <w:rPr>
                      <w:rFonts w:hint="eastAsia"/>
                      <w:highlight w:val="none"/>
                      <w:lang w:val="en-US" w:eastAsia="zh-CN"/>
                    </w:rPr>
                    <w:t>0.68</w:t>
                  </w:r>
                </w:p>
              </w:tc>
              <w:tc>
                <w:tcPr>
                  <w:tcW w:w="923"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rPr>
                  </w:pPr>
                  <w:r>
                    <w:rPr>
                      <w:rFonts w:hint="eastAsia"/>
                      <w:highlight w:val="none"/>
                      <w:lang w:val="en-US" w:eastAsia="zh-CN"/>
                    </w:rPr>
                    <w:t>季度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6693" w:type="dxa"/>
                  <w:gridSpan w:val="7"/>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lang w:val="en-US" w:eastAsia="zh-CN"/>
                    </w:rPr>
                  </w:pPr>
                  <w:r>
                    <w:rPr>
                      <w:rFonts w:hint="eastAsia"/>
                      <w:highlight w:val="none"/>
                      <w:lang w:val="en-US" w:eastAsia="zh-CN"/>
                    </w:rPr>
                    <w:t>合计</w:t>
                  </w:r>
                </w:p>
              </w:tc>
              <w:tc>
                <w:tcPr>
                  <w:tcW w:w="792"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eastAsia="宋体"/>
                      <w:highlight w:val="none"/>
                      <w:lang w:val="en-US" w:eastAsia="zh-CN"/>
                    </w:rPr>
                  </w:pPr>
                  <w:r>
                    <w:rPr>
                      <w:rFonts w:hint="eastAsia"/>
                      <w:highlight w:val="none"/>
                      <w:lang w:val="en-US" w:eastAsia="zh-CN"/>
                    </w:rPr>
                    <w:t>8.43</w:t>
                  </w:r>
                </w:p>
              </w:tc>
              <w:tc>
                <w:tcPr>
                  <w:tcW w:w="923"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eastAsia="宋体"/>
                      <w:highlight w:val="none"/>
                      <w:lang w:val="en-US" w:eastAsia="zh-CN"/>
                    </w:rPr>
                  </w:pPr>
                  <w:r>
                    <w:rPr>
                      <w:rFonts w:hint="eastAsia"/>
                      <w:highlight w:val="none"/>
                      <w:lang w:val="en-US" w:eastAsia="zh-CN"/>
                    </w:rPr>
                    <w:t>/</w:t>
                  </w:r>
                </w:p>
              </w:tc>
            </w:tr>
          </w:tbl>
          <w:p>
            <w:pPr>
              <w:pStyle w:val="42"/>
              <w:keepNext w:val="0"/>
              <w:keepLines w:val="0"/>
              <w:suppressLineNumbers w:val="0"/>
              <w:bidi w:val="0"/>
              <w:spacing w:before="0" w:beforeAutospacing="0" w:after="0" w:afterAutospacing="0"/>
              <w:ind w:left="0" w:right="0"/>
              <w:rPr>
                <w:rFonts w:hint="default" w:eastAsia="宋体"/>
                <w:color w:val="auto"/>
                <w:lang w:val="en-US" w:eastAsia="zh-CN"/>
              </w:rPr>
            </w:pPr>
            <w:r>
              <w:rPr>
                <w:rFonts w:hint="eastAsia"/>
                <w:color w:val="auto"/>
                <w:lang w:eastAsia="zh-CN"/>
              </w:rPr>
              <w:t>（</w:t>
            </w:r>
            <w:r>
              <w:rPr>
                <w:rFonts w:hint="eastAsia"/>
                <w:color w:val="auto"/>
                <w:lang w:val="en-US" w:eastAsia="zh-CN"/>
              </w:rPr>
              <w:t>1</w:t>
            </w:r>
            <w:r>
              <w:rPr>
                <w:rFonts w:hint="eastAsia"/>
                <w:color w:val="auto"/>
                <w:lang w:eastAsia="zh-CN"/>
              </w:rPr>
              <w:t>）</w:t>
            </w:r>
            <w:r>
              <w:rPr>
                <w:rFonts w:hint="eastAsia"/>
                <w:color w:val="auto"/>
                <w:lang w:val="en-US" w:eastAsia="zh-CN"/>
              </w:rPr>
              <w:t>一般规定</w:t>
            </w:r>
          </w:p>
          <w:p>
            <w:pPr>
              <w:pStyle w:val="42"/>
              <w:keepNext w:val="0"/>
              <w:keepLines w:val="0"/>
              <w:suppressLineNumbers w:val="0"/>
              <w:bidi w:val="0"/>
              <w:spacing w:before="0" w:beforeAutospacing="0" w:after="0" w:afterAutospacing="0"/>
              <w:ind w:left="0" w:right="0"/>
              <w:rPr>
                <w:rFonts w:hint="eastAsia"/>
                <w:color w:val="auto"/>
              </w:rPr>
            </w:pPr>
            <w:r>
              <w:rPr>
                <w:rFonts w:hint="eastAsia"/>
                <w:color w:val="auto"/>
                <w:lang w:val="en-US" w:eastAsia="zh-CN"/>
              </w:rPr>
              <w:t xml:space="preserve">① </w:t>
            </w:r>
            <w:r>
              <w:rPr>
                <w:rFonts w:hint="eastAsia"/>
                <w:color w:val="auto"/>
              </w:rPr>
              <w:t>贮存设施应根据危险废物的形态、物理化学性质、包装形式和污染物迁移途径，采取必要的防风、防晒、防雨、防漏、防渗、防腐以及其他环境污染防治措施，不应露天堆放危险废物。</w:t>
            </w:r>
          </w:p>
          <w:p>
            <w:pPr>
              <w:pStyle w:val="42"/>
              <w:keepNext w:val="0"/>
              <w:keepLines w:val="0"/>
              <w:suppressLineNumbers w:val="0"/>
              <w:bidi w:val="0"/>
              <w:spacing w:before="0" w:beforeAutospacing="0" w:after="0" w:afterAutospacing="0"/>
              <w:ind w:left="0" w:right="0"/>
              <w:rPr>
                <w:rFonts w:hint="default" w:eastAsia="宋体"/>
                <w:color w:val="auto"/>
                <w:lang w:val="en-US" w:eastAsia="zh-CN"/>
              </w:rPr>
            </w:pPr>
            <w:r>
              <w:rPr>
                <w:rFonts w:hint="eastAsia"/>
                <w:color w:val="auto"/>
                <w:lang w:val="en-US" w:eastAsia="zh-CN"/>
              </w:rPr>
              <w:t>② 贮存设施应根据危险废物的类别、数量、形态、物理化学性质和污染防治等要求设置必要的贮存分区，避免不相容的危险废物接触、混合。</w:t>
            </w:r>
          </w:p>
          <w:p>
            <w:pPr>
              <w:pStyle w:val="42"/>
              <w:keepNext w:val="0"/>
              <w:keepLines w:val="0"/>
              <w:suppressLineNumbers w:val="0"/>
              <w:bidi w:val="0"/>
              <w:spacing w:before="0" w:beforeAutospacing="0" w:after="0" w:afterAutospacing="0"/>
              <w:ind w:left="0" w:right="0"/>
              <w:rPr>
                <w:rFonts w:hint="default" w:eastAsia="宋体"/>
                <w:color w:val="auto"/>
                <w:lang w:val="en-US" w:eastAsia="zh-CN"/>
              </w:rPr>
            </w:pPr>
            <w:r>
              <w:rPr>
                <w:rFonts w:hint="eastAsia"/>
                <w:color w:val="auto"/>
                <w:lang w:val="en-US" w:eastAsia="zh-CN"/>
              </w:rPr>
              <w:t>③ 贮存设施或贮存分区内地面、墙面裙脚、堵截泄漏的围堰、接触危险废物的隔板和墙体等应采用坚固的材料建造，表面无裂缝。</w:t>
            </w:r>
          </w:p>
          <w:p>
            <w:pPr>
              <w:pStyle w:val="42"/>
              <w:keepNext w:val="0"/>
              <w:keepLines w:val="0"/>
              <w:suppressLineNumbers w:val="0"/>
              <w:bidi w:val="0"/>
              <w:spacing w:before="0" w:beforeAutospacing="0" w:after="0" w:afterAutospacing="0"/>
              <w:ind w:left="0" w:right="0"/>
              <w:rPr>
                <w:rFonts w:hint="default" w:eastAsia="宋体"/>
                <w:color w:val="auto"/>
                <w:lang w:val="en-US" w:eastAsia="zh-CN"/>
              </w:rPr>
            </w:pPr>
            <w:r>
              <w:rPr>
                <w:rFonts w:hint="eastAsia"/>
                <w:color w:val="auto"/>
                <w:lang w:val="en-US" w:eastAsia="zh-CN"/>
              </w:rPr>
              <w:t>④ 贮存设施地面与裙脚应采取表面防渗措施；表面防渗材料应与所接触的物料或污染物相容，可采用抗渗混凝土、高密度聚乙烯膜、钠基膨润土防水毯或其他防渗性能等效的材料。贮存的危险废物直接接触地面的，还应进行基础防渗，防渗层为至少 1 m 厚黏土层（渗透系数不大于 10</w:t>
            </w:r>
            <w:r>
              <w:rPr>
                <w:rFonts w:hint="eastAsia"/>
                <w:color w:val="auto"/>
                <w:vertAlign w:val="superscript"/>
                <w:lang w:val="en-US" w:eastAsia="zh-CN"/>
              </w:rPr>
              <w:t>-7</w:t>
            </w:r>
            <w:r>
              <w:rPr>
                <w:rFonts w:hint="eastAsia"/>
                <w:color w:val="auto"/>
                <w:lang w:val="en-US" w:eastAsia="zh-CN"/>
              </w:rPr>
              <w:t xml:space="preserve"> cm/s），或至少2 mm 厚高密度聚乙烯膜等人工防渗材料（渗透系数不大于 10</w:t>
            </w:r>
            <w:r>
              <w:rPr>
                <w:rFonts w:hint="eastAsia"/>
                <w:color w:val="auto"/>
                <w:vertAlign w:val="superscript"/>
                <w:lang w:val="en-US" w:eastAsia="zh-CN"/>
              </w:rPr>
              <w:t xml:space="preserve">-10 </w:t>
            </w:r>
            <w:r>
              <w:rPr>
                <w:rFonts w:hint="eastAsia"/>
                <w:color w:val="auto"/>
                <w:lang w:val="en-US" w:eastAsia="zh-CN"/>
              </w:rPr>
              <w:t>cm/s），或其他防渗性能等效的材料。</w:t>
            </w:r>
          </w:p>
          <w:p>
            <w:pPr>
              <w:pStyle w:val="42"/>
              <w:keepNext w:val="0"/>
              <w:keepLines w:val="0"/>
              <w:suppressLineNumbers w:val="0"/>
              <w:bidi w:val="0"/>
              <w:spacing w:before="0" w:beforeAutospacing="0" w:after="0" w:afterAutospacing="0"/>
              <w:ind w:left="0" w:right="0"/>
              <w:rPr>
                <w:rFonts w:hint="default" w:eastAsia="宋体"/>
                <w:color w:val="auto"/>
                <w:lang w:val="en-US" w:eastAsia="zh-CN"/>
              </w:rPr>
            </w:pPr>
            <w:r>
              <w:rPr>
                <w:rFonts w:hint="eastAsia"/>
                <w:color w:val="auto"/>
                <w:lang w:val="en-US" w:eastAsia="zh-CN"/>
              </w:rPr>
              <w:t>⑤ 同一贮存设施宜采用相同的防渗、防腐工艺（包括防渗、防腐结构或材料），防渗、防腐材料应覆盖所有可能与废物及其渗滤液、渗漏液等接触的构筑物表面；采用不同防渗、防腐工艺应分别建设贮存分区。</w:t>
            </w:r>
          </w:p>
          <w:p>
            <w:pPr>
              <w:pStyle w:val="42"/>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t>⑥ 贮存设施应采取技术和管理措施防止无关人员进入。</w:t>
            </w:r>
          </w:p>
          <w:p>
            <w:pPr>
              <w:pStyle w:val="42"/>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（2）贮存库要求</w:t>
            </w:r>
          </w:p>
          <w:p>
            <w:pPr>
              <w:pStyle w:val="42"/>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① 贮存库内不同贮存分区之间应采取隔离措施。隔离措施可根据危险废物特性采用过道、隔板或隔墙等方式。</w:t>
            </w:r>
          </w:p>
          <w:p>
            <w:pPr>
              <w:pStyle w:val="42"/>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t>② 在贮存库内或通过贮存分区方式贮存液态危险废物的，应具有液体泄漏堵截设施，堵截设施最小容积不应低于对应贮存区域最大液态废物容器容积或液态废物总储量 1/10（二者取较大者）；用于贮存可能产生渗滤液的危险废物的贮存库或贮存分区应设计渗滤液收集设施，收集设施容积应满足渗滤液的收集要求。</w:t>
            </w:r>
          </w:p>
          <w:p>
            <w:pPr>
              <w:pStyle w:val="42"/>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（3）容器和包装物要求</w:t>
            </w:r>
          </w:p>
          <w:p>
            <w:pPr>
              <w:pStyle w:val="42"/>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 xml:space="preserve">① </w:t>
            </w:r>
            <w:r>
              <w:rPr>
                <w:rFonts w:hint="default"/>
                <w:color w:val="auto"/>
                <w:lang w:val="en-US" w:eastAsia="zh-CN"/>
              </w:rPr>
              <w:t>容器和包装物材质、内衬应与盛装的危险废物相容。</w:t>
            </w:r>
          </w:p>
          <w:p>
            <w:pPr>
              <w:pStyle w:val="42"/>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 xml:space="preserve">② </w:t>
            </w:r>
            <w:r>
              <w:rPr>
                <w:rFonts w:hint="default"/>
                <w:color w:val="auto"/>
                <w:lang w:val="en-US" w:eastAsia="zh-CN"/>
              </w:rPr>
              <w:t>针对不同类别、形态、物理化学性质的危险废物，其容器和包装物应满足相应的防渗、防漏、防腐和强度等要求。</w:t>
            </w:r>
          </w:p>
          <w:p>
            <w:pPr>
              <w:pStyle w:val="42"/>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③ 硬质容器和包装物及其支护结构堆叠码放时不应有明显变形，无破损泄漏。</w:t>
            </w:r>
          </w:p>
          <w:p>
            <w:pPr>
              <w:pStyle w:val="42"/>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t>④ 柔性容器和包装物堆叠码放时应封口严密，无破损泄漏。</w:t>
            </w:r>
          </w:p>
          <w:p>
            <w:pPr>
              <w:pStyle w:val="42"/>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 xml:space="preserve">⑤ </w:t>
            </w:r>
            <w:r>
              <w:rPr>
                <w:rFonts w:hint="default"/>
                <w:color w:val="auto"/>
                <w:lang w:val="en-US" w:eastAsia="zh-CN"/>
              </w:rPr>
              <w:t>使用容器盛装液态、半固态危险废物时，容器内部应留有适当的空间，以适应因温度变化等可能引发的收缩和膨胀，防止其导致容器渗漏或永久变形</w:t>
            </w:r>
            <w:r>
              <w:rPr>
                <w:rFonts w:hint="eastAsia"/>
                <w:color w:val="auto"/>
                <w:lang w:val="en-US" w:eastAsia="zh-CN"/>
              </w:rPr>
              <w:t>。</w:t>
            </w:r>
          </w:p>
          <w:p>
            <w:pPr>
              <w:pStyle w:val="42"/>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⑥ 容器和包装物外表面应保持清洁。</w:t>
            </w:r>
          </w:p>
          <w:p>
            <w:pPr>
              <w:pStyle w:val="42"/>
              <w:keepNext w:val="0"/>
              <w:keepLines w:val="0"/>
              <w:suppressLineNumbers w:val="0"/>
              <w:bidi w:val="0"/>
              <w:spacing w:before="0" w:beforeAutospacing="0" w:after="0" w:afterAutospacing="0"/>
              <w:ind w:left="0" w:right="0"/>
              <w:rPr>
                <w:rFonts w:hint="eastAsia"/>
                <w:color w:val="auto"/>
              </w:rPr>
            </w:pPr>
            <w:r>
              <w:rPr>
                <w:rFonts w:hint="eastAsia"/>
                <w:color w:val="auto"/>
              </w:rPr>
              <w:t>（</w:t>
            </w:r>
            <w:r>
              <w:rPr>
                <w:rFonts w:hint="eastAsia"/>
                <w:color w:val="auto"/>
                <w:lang w:val="en-US" w:eastAsia="zh-CN"/>
              </w:rPr>
              <w:t>4</w:t>
            </w:r>
            <w:r>
              <w:rPr>
                <w:rFonts w:hint="eastAsia"/>
                <w:color w:val="auto"/>
              </w:rPr>
              <w:t>）建立危险废物申报登记制度。</w:t>
            </w:r>
          </w:p>
          <w:p>
            <w:pPr>
              <w:pStyle w:val="42"/>
              <w:keepNext w:val="0"/>
              <w:keepLines w:val="0"/>
              <w:suppressLineNumbers w:val="0"/>
              <w:bidi w:val="0"/>
              <w:spacing w:before="0" w:beforeAutospacing="0" w:after="0" w:afterAutospacing="0"/>
              <w:ind w:left="0" w:right="0"/>
              <w:rPr>
                <w:rFonts w:hint="default"/>
                <w:color w:val="auto"/>
              </w:rPr>
            </w:pPr>
            <w:r>
              <w:rPr>
                <w:rFonts w:hint="eastAsia"/>
                <w:color w:val="auto"/>
              </w:rPr>
              <w:t>由专门人员负责危险废物的日常收集和管理，对任何进出临时贮存场所的危险废物都要记录在案，做好台账；危险废物临时贮存场所周围要设置防护栅栏，并设置警示标志。贮存所内配备通</w:t>
            </w:r>
            <w:r>
              <w:rPr>
                <w:rFonts w:hint="eastAsia"/>
                <w:color w:val="auto"/>
                <w:lang w:val="en-US" w:eastAsia="zh-CN"/>
              </w:rPr>
              <w:t>信</w:t>
            </w:r>
            <w:r>
              <w:rPr>
                <w:rFonts w:hint="eastAsia"/>
                <w:color w:val="auto"/>
              </w:rPr>
              <w:t>设备、照明设备、安全防护服装及工具，并有应急防护措施；危险废物的贮存和转运应严格按照《危险废物贮存污染控制标准》（</w:t>
            </w:r>
            <w:r>
              <w:rPr>
                <w:rFonts w:hint="default"/>
                <w:color w:val="auto"/>
              </w:rPr>
              <w:t>GB18597-20</w:t>
            </w:r>
            <w:r>
              <w:rPr>
                <w:rFonts w:hint="eastAsia"/>
                <w:color w:val="auto"/>
                <w:lang w:val="en-US" w:eastAsia="zh-CN"/>
              </w:rPr>
              <w:t>23</w:t>
            </w:r>
            <w:r>
              <w:rPr>
                <w:rFonts w:hint="eastAsia"/>
                <w:color w:val="auto"/>
              </w:rPr>
              <w:t>）和《危险废物转移管理办法》要求执行。建设单位应强化废物产生、收集、贮放各环节的管理，各种固体废物按照类别分类存放，杜绝固体废物在厂区内散失、渗漏，达到无害化的目的，避免产生二次污染。</w:t>
            </w:r>
          </w:p>
          <w:p>
            <w:pPr>
              <w:pStyle w:val="42"/>
              <w:keepNext w:val="0"/>
              <w:keepLines w:val="0"/>
              <w:suppressLineNumbers w:val="0"/>
              <w:bidi w:val="0"/>
              <w:spacing w:before="0" w:beforeAutospacing="0" w:after="0" w:afterAutospacing="0"/>
              <w:ind w:left="0" w:right="0"/>
              <w:rPr>
                <w:rFonts w:hint="default"/>
                <w:color w:val="auto"/>
              </w:rPr>
            </w:pPr>
            <w:r>
              <w:rPr>
                <w:rFonts w:hint="eastAsia"/>
                <w:color w:val="auto"/>
              </w:rPr>
              <w:t>危险废物的运输采取危险废物转移“电子联单”制度，保证运输安全，防止非法转移和非法处置，保证危险废物的安全监控，防止危险废物污染事故发生。</w:t>
            </w:r>
          </w:p>
          <w:p>
            <w:pPr>
              <w:pStyle w:val="42"/>
              <w:keepNext w:val="0"/>
              <w:keepLines w:val="0"/>
              <w:suppressLineNumbers w:val="0"/>
              <w:bidi w:val="0"/>
              <w:spacing w:before="0" w:beforeAutospacing="0" w:after="0" w:afterAutospacing="0"/>
              <w:ind w:left="0" w:right="0"/>
              <w:rPr>
                <w:rFonts w:hint="default"/>
                <w:color w:val="auto"/>
              </w:rPr>
            </w:pPr>
            <w:r>
              <w:rPr>
                <w:rFonts w:hint="eastAsia"/>
                <w:color w:val="auto"/>
              </w:rPr>
              <w:t>“电子联单”应通过福建省固体废物环境监管平台申请电子联单，危险废物产生者</w:t>
            </w:r>
            <w:r>
              <w:rPr>
                <w:rFonts w:hint="eastAsia"/>
                <w:color w:val="auto"/>
                <w:lang w:eastAsia="zh-CN"/>
              </w:rPr>
              <w:t>及其他</w:t>
            </w:r>
            <w:r>
              <w:rPr>
                <w:rFonts w:hint="eastAsia"/>
                <w:color w:val="auto"/>
              </w:rPr>
              <w:t>需要转移危险废物的单位在转移危险废物之前，须按照国家有关规定报批危险废物转移计划。经批准后，通过《信息系统》申请电子联单。</w:t>
            </w:r>
          </w:p>
          <w:p>
            <w:pPr>
              <w:pStyle w:val="42"/>
              <w:keepNext w:val="0"/>
              <w:keepLines w:val="0"/>
              <w:suppressLineNumbers w:val="0"/>
              <w:bidi w:val="0"/>
              <w:spacing w:before="0" w:beforeAutospacing="0" w:after="0" w:afterAutospacing="0"/>
              <w:ind w:left="0" w:right="0"/>
              <w:jc w:val="left"/>
              <w:rPr>
                <w:rFonts w:hint="default" w:ascii="Times New Roman" w:hAnsi="Times New Roman" w:eastAsia="宋体" w:cs="Times New Roman"/>
                <w:color w:val="000000"/>
                <w:kern w:val="0"/>
                <w:sz w:val="24"/>
                <w:szCs w:val="20"/>
                <w:highlight w:val="none"/>
                <w:lang w:val="en-US" w:eastAsia="zh-CN" w:bidi="ar"/>
              </w:rPr>
            </w:pPr>
            <w:r>
              <w:rPr>
                <w:rFonts w:hint="eastAsia"/>
                <w:color w:val="auto"/>
                <w:lang w:eastAsia="zh-CN"/>
              </w:rPr>
              <w:t>（</w:t>
            </w:r>
            <w:r>
              <w:rPr>
                <w:rFonts w:hint="eastAsia"/>
                <w:color w:val="auto"/>
                <w:lang w:val="en-US" w:eastAsia="zh-CN"/>
              </w:rPr>
              <w:t>5</w:t>
            </w:r>
            <w:r>
              <w:rPr>
                <w:rFonts w:hint="eastAsia"/>
                <w:color w:val="auto"/>
                <w:lang w:eastAsia="zh-CN"/>
              </w:rPr>
              <w:t>）</w:t>
            </w:r>
            <w:r>
              <w:rPr>
                <w:rFonts w:hint="eastAsia"/>
                <w:color w:val="auto"/>
              </w:rPr>
              <w:t>应将危险废物提供或者委托给有危险废物经营许可证的单位从事利用和处置，并签订处置合同。同时应加强对运输单位及处置单位的跟踪检查，控制运输过程中的环境风险。</w:t>
            </w:r>
          </w:p>
          <w:p>
            <w:pPr>
              <w:pStyle w:val="42"/>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color w:val="000000"/>
                <w:kern w:val="0"/>
                <w:sz w:val="24"/>
                <w:szCs w:val="20"/>
                <w:lang w:val="en-US" w:eastAsia="zh-CN" w:bidi="ar"/>
              </w:rPr>
            </w:pPr>
            <w:r>
              <w:rPr>
                <w:rFonts w:hint="default" w:ascii="Times New Roman" w:hAnsi="Times New Roman" w:eastAsia="宋体" w:cs="Times New Roman"/>
                <w:color w:val="000000"/>
                <w:kern w:val="0"/>
                <w:sz w:val="24"/>
                <w:szCs w:val="20"/>
                <w:highlight w:val="none"/>
                <w:lang w:val="en-US" w:eastAsia="zh-CN" w:bidi="ar"/>
              </w:rPr>
              <w:t>综上，本项目危险废物严格按照</w:t>
            </w:r>
            <w:r>
              <w:rPr>
                <w:rFonts w:hint="default" w:ascii="Times New Roman" w:hAnsi="Times New Roman" w:eastAsia="宋体" w:cs="Times New Roman"/>
                <w:color w:val="000000"/>
                <w:kern w:val="0"/>
                <w:sz w:val="24"/>
                <w:szCs w:val="20"/>
                <w:lang w:val="en-US" w:eastAsia="zh-CN" w:bidi="ar"/>
              </w:rPr>
              <w:t>《危险废物贮存污染控制标准》（GB18597-2023）</w:t>
            </w:r>
            <w:r>
              <w:rPr>
                <w:rFonts w:hint="default" w:ascii="Times New Roman" w:hAnsi="Times New Roman" w:eastAsia="宋体" w:cs="Times New Roman"/>
                <w:color w:val="000000"/>
                <w:kern w:val="0"/>
                <w:sz w:val="24"/>
                <w:szCs w:val="20"/>
                <w:highlight w:val="none"/>
                <w:lang w:val="en-US" w:eastAsia="zh-CN" w:bidi="ar"/>
              </w:rPr>
              <w:t>中的有关规定执行，严格按照国家《危险废物污染防治技术政策》管理规定执行；本着</w:t>
            </w:r>
            <w:r>
              <w:rPr>
                <w:rFonts w:hint="eastAsia" w:ascii="Times New Roman" w:hAnsi="Times New Roman" w:eastAsia="宋体" w:cs="Times New Roman"/>
                <w:color w:val="000000"/>
                <w:kern w:val="0"/>
                <w:sz w:val="24"/>
                <w:szCs w:val="20"/>
                <w:highlight w:val="none"/>
                <w:lang w:val="en-US" w:eastAsia="zh-CN" w:bidi="ar"/>
              </w:rPr>
              <w:t>“</w:t>
            </w:r>
            <w:r>
              <w:rPr>
                <w:rFonts w:hint="default" w:ascii="Times New Roman" w:hAnsi="Times New Roman" w:eastAsia="宋体" w:cs="Times New Roman"/>
                <w:color w:val="000000"/>
                <w:kern w:val="0"/>
                <w:sz w:val="24"/>
                <w:szCs w:val="20"/>
                <w:highlight w:val="none"/>
                <w:lang w:val="en-US" w:eastAsia="zh-CN" w:bidi="ar"/>
              </w:rPr>
              <w:t>无害化、减量化、资源化</w:t>
            </w:r>
            <w:r>
              <w:rPr>
                <w:rFonts w:hint="eastAsia" w:ascii="Times New Roman" w:hAnsi="Times New Roman" w:eastAsia="宋体" w:cs="Times New Roman"/>
                <w:color w:val="000000"/>
                <w:kern w:val="0"/>
                <w:sz w:val="24"/>
                <w:szCs w:val="20"/>
                <w:highlight w:val="none"/>
                <w:lang w:val="en-US" w:eastAsia="zh-CN" w:bidi="ar"/>
              </w:rPr>
              <w:t>”</w:t>
            </w:r>
            <w:r>
              <w:rPr>
                <w:rFonts w:hint="default" w:ascii="Times New Roman" w:hAnsi="Times New Roman" w:eastAsia="宋体" w:cs="Times New Roman"/>
                <w:color w:val="000000"/>
                <w:kern w:val="0"/>
                <w:sz w:val="24"/>
                <w:szCs w:val="20"/>
                <w:highlight w:val="none"/>
                <w:lang w:val="en-US" w:eastAsia="zh-CN" w:bidi="ar"/>
              </w:rPr>
              <w:t>的原则，固体废物基本可以得到综合利用和有效处置，对环境造成的影响较小。因此项目产生的各种危险废物均有合理的处理途径，不会产生二次环</w:t>
            </w:r>
            <w:r>
              <w:rPr>
                <w:rFonts w:hint="default" w:ascii="Times New Roman" w:hAnsi="Times New Roman" w:eastAsia="宋体" w:cs="Times New Roman"/>
                <w:color w:val="000000"/>
                <w:kern w:val="0"/>
                <w:sz w:val="24"/>
                <w:szCs w:val="20"/>
                <w:lang w:val="en-US" w:eastAsia="zh-CN" w:bidi="ar"/>
              </w:rPr>
              <w:t>境污染，措施可行。</w:t>
            </w:r>
          </w:p>
          <w:p>
            <w:pPr>
              <w:pStyle w:val="4"/>
              <w:keepNext w:val="0"/>
              <w:keepLines w:val="0"/>
              <w:suppressLineNumbers w:val="0"/>
              <w:bidi w:val="0"/>
              <w:spacing w:before="0" w:beforeAutospacing="0" w:after="0" w:afterAutospacing="0"/>
              <w:ind w:left="0" w:right="0"/>
              <w:rPr>
                <w:rFonts w:hint="default"/>
              </w:rPr>
            </w:pPr>
            <w:r>
              <w:rPr>
                <w:rFonts w:hint="eastAsia"/>
              </w:rPr>
              <w:t>地下水、土壤</w:t>
            </w:r>
          </w:p>
          <w:p>
            <w:pPr>
              <w:pStyle w:val="5"/>
              <w:suppressLineNumbers w:val="0"/>
              <w:bidi w:val="0"/>
              <w:spacing w:before="0" w:beforeAutospacing="0" w:after="0" w:afterAutospacing="0"/>
              <w:ind w:right="0"/>
              <w:rPr>
                <w:rFonts w:hint="default"/>
              </w:rPr>
            </w:pPr>
            <w:r>
              <w:rPr>
                <w:rFonts w:hint="default"/>
                <w:lang w:val="en-US" w:eastAsia="zh-CN"/>
              </w:rPr>
              <w:t>影响识别</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cs="Times New Roman"/>
              </w:rPr>
            </w:pPr>
            <w:r>
              <w:rPr>
                <w:rFonts w:hint="default" w:ascii="Times New Roman" w:hAnsi="Times New Roman" w:cs="Times New Roman"/>
                <w:color w:val="auto"/>
              </w:rPr>
              <w:t>项目对土壤、地下水环境的影响途径及因子识别</w:t>
            </w:r>
            <w:r>
              <w:rPr>
                <w:rFonts w:hint="default" w:ascii="Times New Roman" w:hAnsi="Times New Roman" w:cs="Times New Roman"/>
              </w:rPr>
              <w:t>如下表所示。</w:t>
            </w:r>
          </w:p>
          <w:p>
            <w:pPr>
              <w:pStyle w:val="36"/>
              <w:keepNext w:val="0"/>
              <w:keepLines w:val="0"/>
              <w:suppressLineNumbers w:val="0"/>
              <w:spacing w:before="0" w:beforeAutospacing="0" w:after="0" w:afterAutospacing="0"/>
              <w:ind w:right="0"/>
              <w:rPr>
                <w:rFonts w:hint="default"/>
                <w:lang w:val="en-US" w:eastAsia="zh-CN"/>
              </w:rPr>
            </w:pPr>
            <w:r>
              <w:rPr>
                <w:rFonts w:hint="default"/>
                <w:lang w:val="en-US" w:eastAsia="zh-CN"/>
              </w:rPr>
              <w:t>地下水、土壤环境影响源及影响因子识别一览表</w:t>
            </w:r>
          </w:p>
          <w:tbl>
            <w:tblPr>
              <w:tblStyle w:val="27"/>
              <w:tblW w:w="840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89"/>
              <w:gridCol w:w="1620"/>
              <w:gridCol w:w="1250"/>
              <w:gridCol w:w="2869"/>
              <w:gridCol w:w="87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789"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污染源</w:t>
                  </w:r>
                </w:p>
              </w:tc>
              <w:tc>
                <w:tcPr>
                  <w:tcW w:w="162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工艺流程/节点</w:t>
                  </w:r>
                </w:p>
              </w:tc>
              <w:tc>
                <w:tcPr>
                  <w:tcW w:w="125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污染途径</w:t>
                  </w:r>
                </w:p>
              </w:tc>
              <w:tc>
                <w:tcPr>
                  <w:tcW w:w="2869"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污染物类型</w:t>
                  </w:r>
                </w:p>
              </w:tc>
              <w:tc>
                <w:tcPr>
                  <w:tcW w:w="87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89"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rPr>
                  </w:pPr>
                  <w:r>
                    <w:rPr>
                      <w:rFonts w:hint="eastAsia"/>
                      <w:lang w:val="en-US" w:eastAsia="zh-CN"/>
                    </w:rPr>
                    <w:t>危化品仓</w:t>
                  </w:r>
                </w:p>
              </w:tc>
              <w:tc>
                <w:tcPr>
                  <w:tcW w:w="162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存储桶</w:t>
                  </w:r>
                </w:p>
              </w:tc>
              <w:tc>
                <w:tcPr>
                  <w:tcW w:w="125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垂直入渗</w:t>
                  </w:r>
                </w:p>
              </w:tc>
              <w:tc>
                <w:tcPr>
                  <w:tcW w:w="2869"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矿物油</w:t>
                  </w:r>
                </w:p>
              </w:tc>
              <w:tc>
                <w:tcPr>
                  <w:tcW w:w="87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事故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89"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污水处理设施</w:t>
                  </w:r>
                </w:p>
              </w:tc>
              <w:tc>
                <w:tcPr>
                  <w:tcW w:w="162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lang w:val="en-US" w:eastAsia="zh-CN"/>
                    </w:rPr>
                    <w:t>地面</w:t>
                  </w:r>
                </w:p>
              </w:tc>
              <w:tc>
                <w:tcPr>
                  <w:tcW w:w="125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垂直入渗</w:t>
                  </w:r>
                </w:p>
              </w:tc>
              <w:tc>
                <w:tcPr>
                  <w:tcW w:w="2869"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pH、</w:t>
                  </w:r>
                  <w:r>
                    <w:rPr>
                      <w:rFonts w:hint="default"/>
                    </w:rPr>
                    <w:t>COD、</w:t>
                  </w:r>
                  <w:r>
                    <w:rPr>
                      <w:rFonts w:hint="default"/>
                      <w:color w:val="auto"/>
                    </w:rPr>
                    <w:t>BOD</w:t>
                  </w:r>
                  <w:r>
                    <w:rPr>
                      <w:rFonts w:hint="default"/>
                      <w:color w:val="auto"/>
                      <w:vertAlign w:val="subscript"/>
                    </w:rPr>
                    <w:t>5</w:t>
                  </w:r>
                  <w:r>
                    <w:rPr>
                      <w:rFonts w:hint="default"/>
                      <w:color w:val="auto"/>
                    </w:rPr>
                    <w:t>、</w:t>
                  </w:r>
                  <w:r>
                    <w:rPr>
                      <w:rFonts w:hint="default"/>
                    </w:rPr>
                    <w:t>氨氮、SS</w:t>
                  </w:r>
                  <w:r>
                    <w:rPr>
                      <w:rFonts w:hint="default"/>
                      <w:lang w:eastAsia="zh-CN"/>
                    </w:rPr>
                    <w:t>、</w:t>
                  </w:r>
                  <w:r>
                    <w:rPr>
                      <w:rFonts w:hint="default"/>
                      <w:lang w:val="en-US" w:eastAsia="zh-CN"/>
                    </w:rPr>
                    <w:t>石油类、LAS、总磷</w:t>
                  </w:r>
                </w:p>
              </w:tc>
              <w:tc>
                <w:tcPr>
                  <w:tcW w:w="87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事故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89"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rPr>
                  </w:pPr>
                  <w:r>
                    <w:rPr>
                      <w:rFonts w:hint="default"/>
                      <w:lang w:val="en-US" w:eastAsia="zh-CN"/>
                    </w:rPr>
                    <w:t>危</w:t>
                  </w:r>
                  <w:r>
                    <w:rPr>
                      <w:rFonts w:hint="eastAsia"/>
                      <w:lang w:val="en-US" w:eastAsia="zh-CN"/>
                    </w:rPr>
                    <w:t>废仓</w:t>
                  </w:r>
                </w:p>
              </w:tc>
              <w:tc>
                <w:tcPr>
                  <w:tcW w:w="162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废空桶、</w:t>
                  </w:r>
                  <w:r>
                    <w:rPr>
                      <w:rFonts w:hint="default" w:ascii="Times New Roman" w:hAnsi="Times New Roman" w:eastAsia="宋体" w:cs="Times New Roman"/>
                      <w:sz w:val="21"/>
                      <w:szCs w:val="21"/>
                    </w:rPr>
                    <w:t>含油</w:t>
                  </w:r>
                  <w:r>
                    <w:rPr>
                      <w:rFonts w:hint="eastAsia" w:ascii="Times New Roman" w:hAnsi="Times New Roman" w:cs="Times New Roman"/>
                      <w:sz w:val="21"/>
                      <w:szCs w:val="21"/>
                      <w:lang w:val="en-US" w:eastAsia="zh-CN"/>
                    </w:rPr>
                    <w:t>浓缩液</w:t>
                  </w:r>
                  <w:r>
                    <w:rPr>
                      <w:rFonts w:hint="default"/>
                      <w:lang w:val="en-US" w:eastAsia="zh-CN"/>
                    </w:rPr>
                    <w:t>等</w:t>
                  </w:r>
                </w:p>
              </w:tc>
              <w:tc>
                <w:tcPr>
                  <w:tcW w:w="125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垂直入渗</w:t>
                  </w:r>
                </w:p>
              </w:tc>
              <w:tc>
                <w:tcPr>
                  <w:tcW w:w="2869"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lang w:val="en-US" w:eastAsia="zh-CN"/>
                    </w:rPr>
                    <w:t>矿物油</w:t>
                  </w:r>
                </w:p>
              </w:tc>
              <w:tc>
                <w:tcPr>
                  <w:tcW w:w="87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事故</w:t>
                  </w:r>
                </w:p>
              </w:tc>
            </w:tr>
          </w:tbl>
          <w:p>
            <w:pPr>
              <w:pStyle w:val="5"/>
              <w:suppressLineNumbers w:val="0"/>
              <w:bidi w:val="0"/>
              <w:spacing w:before="0" w:beforeAutospacing="0" w:after="0" w:afterAutospacing="0"/>
              <w:ind w:right="0"/>
              <w:rPr>
                <w:rFonts w:hint="default"/>
              </w:rPr>
            </w:pPr>
            <w:r>
              <w:rPr>
                <w:rFonts w:hint="default"/>
                <w:lang w:val="en-US" w:eastAsia="zh-CN"/>
              </w:rPr>
              <w:t>分区防控措施</w:t>
            </w:r>
          </w:p>
          <w:p>
            <w:pPr>
              <w:pStyle w:val="42"/>
              <w:keepNext w:val="0"/>
              <w:keepLines w:val="0"/>
              <w:suppressLineNumbers w:val="0"/>
              <w:bidi w:val="0"/>
              <w:spacing w:before="0" w:beforeAutospacing="0" w:after="0" w:afterAutospacing="0"/>
              <w:ind w:left="0" w:right="0"/>
              <w:rPr>
                <w:rFonts w:hint="default"/>
              </w:rPr>
            </w:pPr>
            <w:r>
              <w:rPr>
                <w:rFonts w:hint="eastAsia"/>
                <w:lang w:eastAsia="zh-CN"/>
              </w:rPr>
              <w:t>（</w:t>
            </w:r>
            <w:r>
              <w:rPr>
                <w:rFonts w:hint="eastAsia"/>
                <w:lang w:val="en-US" w:eastAsia="zh-CN"/>
              </w:rPr>
              <w:t>1</w:t>
            </w:r>
            <w:r>
              <w:rPr>
                <w:rFonts w:hint="eastAsia"/>
                <w:lang w:eastAsia="zh-CN"/>
              </w:rPr>
              <w:t>）</w:t>
            </w:r>
            <w:r>
              <w:rPr>
                <w:rFonts w:hint="default"/>
              </w:rPr>
              <w:t>防渗区划</w:t>
            </w:r>
          </w:p>
          <w:p>
            <w:pPr>
              <w:pStyle w:val="42"/>
              <w:keepNext w:val="0"/>
              <w:keepLines w:val="0"/>
              <w:suppressLineNumbers w:val="0"/>
              <w:spacing w:before="0" w:beforeAutospacing="0" w:after="0" w:afterAutospacing="0"/>
              <w:ind w:left="0" w:right="0" w:firstLine="0"/>
              <w:rPr>
                <w:rFonts w:hint="default" w:ascii="Times New Roman" w:hAnsi="Times New Roman" w:eastAsia="宋体" w:cs="Times New Roman"/>
              </w:rPr>
            </w:pPr>
            <w:r>
              <w:rPr>
                <w:rFonts w:hint="default" w:ascii="Times New Roman" w:hAnsi="Times New Roman" w:eastAsia="宋体" w:cs="Times New Roman"/>
              </w:rPr>
              <w:t>根据《环境影响评价技术导则 地下水环境》（HJ610-2016），本项目防渗分区</w:t>
            </w:r>
            <w:r>
              <w:rPr>
                <w:rFonts w:hint="default" w:ascii="Times New Roman" w:hAnsi="Times New Roman" w:eastAsia="宋体" w:cs="Times New Roman"/>
                <w:lang w:val="en-US" w:eastAsia="zh-CN"/>
              </w:rPr>
              <w:t>划定</w:t>
            </w:r>
            <w:r>
              <w:rPr>
                <w:rFonts w:hint="default" w:ascii="Times New Roman" w:hAnsi="Times New Roman" w:eastAsia="宋体" w:cs="Times New Roman"/>
              </w:rPr>
              <w:t>按下表确定。</w:t>
            </w:r>
          </w:p>
          <w:p>
            <w:pPr>
              <w:pStyle w:val="36"/>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污染控制难易程度分级参照表</w:t>
            </w:r>
          </w:p>
          <w:tbl>
            <w:tblPr>
              <w:tblStyle w:val="28"/>
              <w:tblW w:w="840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77"/>
              <w:gridCol w:w="62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77"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污染物控制难易程度</w:t>
                  </w:r>
                </w:p>
              </w:tc>
              <w:tc>
                <w:tcPr>
                  <w:tcW w:w="623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污染物类型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77"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难</w:t>
                  </w:r>
                </w:p>
              </w:tc>
              <w:tc>
                <w:tcPr>
                  <w:tcW w:w="623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对地下水环境有污染的物料或污染物</w:t>
                  </w:r>
                  <w:r>
                    <w:rPr>
                      <w:rFonts w:hint="eastAsia"/>
                      <w:lang w:eastAsia="zh-CN"/>
                    </w:rPr>
                    <w:t>泄漏</w:t>
                  </w:r>
                  <w:r>
                    <w:rPr>
                      <w:rFonts w:hint="default"/>
                    </w:rPr>
                    <w:t>后，不能及时发现和处理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77"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易</w:t>
                  </w:r>
                </w:p>
              </w:tc>
              <w:tc>
                <w:tcPr>
                  <w:tcW w:w="623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对地下水环境有污染的物料或污染物</w:t>
                  </w:r>
                  <w:r>
                    <w:rPr>
                      <w:rFonts w:hint="eastAsia"/>
                      <w:lang w:eastAsia="zh-CN"/>
                    </w:rPr>
                    <w:t>泄漏</w:t>
                  </w:r>
                  <w:r>
                    <w:rPr>
                      <w:rFonts w:hint="default"/>
                    </w:rPr>
                    <w:t>后，可及时发现和处理</w:t>
                  </w:r>
                </w:p>
              </w:tc>
            </w:tr>
          </w:tbl>
          <w:p>
            <w:pPr>
              <w:pStyle w:val="36"/>
              <w:keepNext w:val="0"/>
              <w:keepLines w:val="0"/>
              <w:suppressLineNumbers w:val="0"/>
              <w:bidi w:val="0"/>
              <w:spacing w:before="0" w:beforeAutospacing="0" w:after="0" w:afterAutospacing="0"/>
              <w:ind w:right="0"/>
              <w:rPr>
                <w:rFonts w:hint="default"/>
                <w:lang w:val="en-US" w:eastAsia="zh-CN"/>
              </w:rPr>
            </w:pPr>
            <w:r>
              <w:rPr>
                <w:rFonts w:hint="eastAsia"/>
                <w:lang w:val="en-US" w:eastAsia="zh-CN"/>
              </w:rPr>
              <w:t>天然包气袋防污性能分级参照表</w:t>
            </w:r>
          </w:p>
          <w:tbl>
            <w:tblPr>
              <w:tblStyle w:val="28"/>
              <w:tblW w:w="840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71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1"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分级</w:t>
                  </w:r>
                </w:p>
              </w:tc>
              <w:tc>
                <w:tcPr>
                  <w:tcW w:w="7166"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包气带岩土的渗透性能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1"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强</w:t>
                  </w:r>
                </w:p>
              </w:tc>
              <w:tc>
                <w:tcPr>
                  <w:tcW w:w="7166"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岩（土）层单层厚度Mb≥1.0m，渗透系数K≤1×10-6cm/s，且分布连续、稳定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1"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中</w:t>
                  </w:r>
                </w:p>
              </w:tc>
              <w:tc>
                <w:tcPr>
                  <w:tcW w:w="7166"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岩（土）层单层厚度0.5m≤Mb&lt;1.0m，渗透系数K≤1×10-6cm/s，且分布连续、稳定</w:t>
                  </w:r>
                </w:p>
                <w:p>
                  <w:pPr>
                    <w:pStyle w:val="37"/>
                    <w:keepNext w:val="0"/>
                    <w:keepLines w:val="0"/>
                    <w:suppressLineNumbers w:val="0"/>
                    <w:bidi w:val="0"/>
                    <w:spacing w:before="0" w:beforeAutospacing="0" w:after="0" w:afterAutospacing="0"/>
                    <w:ind w:right="0"/>
                    <w:rPr>
                      <w:rFonts w:hint="default"/>
                    </w:rPr>
                  </w:pPr>
                  <w:r>
                    <w:rPr>
                      <w:rFonts w:hint="default"/>
                    </w:rPr>
                    <w:t>岩（土）层单层厚度Mb≥1.0m，渗透系数1×10-6cm/s&lt;K≤1×10-4cm/s，且分布连续、稳定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1"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弱</w:t>
                  </w:r>
                </w:p>
              </w:tc>
              <w:tc>
                <w:tcPr>
                  <w:tcW w:w="7166"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岩土层不满足上述“强”和“中”条件</w:t>
                  </w:r>
                </w:p>
              </w:tc>
            </w:tr>
          </w:tbl>
          <w:p>
            <w:pPr>
              <w:pStyle w:val="36"/>
              <w:keepNext w:val="0"/>
              <w:keepLines w:val="0"/>
              <w:suppressLineNumbers w:val="0"/>
              <w:bidi w:val="0"/>
              <w:spacing w:before="0" w:beforeAutospacing="0" w:after="0" w:afterAutospacing="0"/>
              <w:ind w:right="0"/>
              <w:rPr>
                <w:rFonts w:hint="eastAsia"/>
                <w:lang w:val="en-US" w:eastAsia="zh-CN"/>
              </w:rPr>
            </w:pPr>
            <w:r>
              <w:rPr>
                <w:rFonts w:hint="eastAsia"/>
                <w:lang w:val="en-US" w:eastAsia="zh-CN"/>
              </w:rPr>
              <w:t>防渗分区参照表</w:t>
            </w:r>
          </w:p>
          <w:tbl>
            <w:tblPr>
              <w:tblStyle w:val="28"/>
              <w:tblW w:w="840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513"/>
              <w:gridCol w:w="1426"/>
              <w:gridCol w:w="1534"/>
              <w:gridCol w:w="26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防渗分区</w:t>
                  </w:r>
                </w:p>
              </w:tc>
              <w:tc>
                <w:tcPr>
                  <w:tcW w:w="1513"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天然包气带防污性能</w:t>
                  </w:r>
                </w:p>
              </w:tc>
              <w:tc>
                <w:tcPr>
                  <w:tcW w:w="1426"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污染控制难易程度</w:t>
                  </w:r>
                </w:p>
              </w:tc>
              <w:tc>
                <w:tcPr>
                  <w:tcW w:w="1534"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污染物类型</w:t>
                  </w:r>
                </w:p>
              </w:tc>
              <w:tc>
                <w:tcPr>
                  <w:tcW w:w="2663"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防渗技术要求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0" w:type="dxa"/>
                  <w:vMerge w:val="restart"/>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重点防渗区</w:t>
                  </w:r>
                </w:p>
              </w:tc>
              <w:tc>
                <w:tcPr>
                  <w:tcW w:w="1513"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弱</w:t>
                  </w:r>
                </w:p>
              </w:tc>
              <w:tc>
                <w:tcPr>
                  <w:tcW w:w="1426"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难</w:t>
                  </w:r>
                </w:p>
              </w:tc>
              <w:tc>
                <w:tcPr>
                  <w:tcW w:w="1534" w:type="dxa"/>
                  <w:vMerge w:val="restart"/>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重金属、持久性有机污染物</w:t>
                  </w:r>
                </w:p>
              </w:tc>
              <w:tc>
                <w:tcPr>
                  <w:tcW w:w="2663" w:type="dxa"/>
                  <w:vMerge w:val="restart"/>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等效黏土防渗层Mb≥6.0m，K≤1×10-7cm/s，或参照GB18598执行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0" w:type="dxa"/>
                  <w:vMerge w:val="continue"/>
                  <w:tcBorders>
                    <w:tl2br w:val="nil"/>
                    <w:tr2bl w:val="nil"/>
                  </w:tcBorders>
                  <w:vAlign w:val="center"/>
                </w:tcPr>
                <w:p>
                  <w:pPr>
                    <w:pStyle w:val="37"/>
                    <w:keepNext w:val="0"/>
                    <w:keepLines w:val="0"/>
                    <w:suppressLineNumbers w:val="0"/>
                    <w:spacing w:before="0" w:beforeAutospacing="0" w:after="0" w:afterAutospacing="0"/>
                    <w:ind w:left="0" w:right="0"/>
                    <w:rPr>
                      <w:rFonts w:hint="default"/>
                    </w:rPr>
                  </w:pPr>
                </w:p>
              </w:tc>
              <w:tc>
                <w:tcPr>
                  <w:tcW w:w="1513" w:type="dxa"/>
                  <w:tcBorders>
                    <w:tl2br w:val="nil"/>
                    <w:tr2bl w:val="nil"/>
                  </w:tcBorders>
                  <w:vAlign w:val="center"/>
                </w:tcPr>
                <w:p>
                  <w:pPr>
                    <w:pStyle w:val="37"/>
                    <w:keepNext w:val="0"/>
                    <w:keepLines w:val="0"/>
                    <w:suppressLineNumbers w:val="0"/>
                    <w:spacing w:before="0" w:beforeAutospacing="0" w:after="0" w:afterAutospacing="0"/>
                    <w:ind w:left="0" w:right="0"/>
                    <w:rPr>
                      <w:rFonts w:hint="default"/>
                    </w:rPr>
                  </w:pPr>
                  <w:r>
                    <w:rPr>
                      <w:rFonts w:hint="default"/>
                    </w:rPr>
                    <w:t>中-强</w:t>
                  </w:r>
                </w:p>
              </w:tc>
              <w:tc>
                <w:tcPr>
                  <w:tcW w:w="1426" w:type="dxa"/>
                  <w:tcBorders>
                    <w:tl2br w:val="nil"/>
                    <w:tr2bl w:val="nil"/>
                  </w:tcBorders>
                  <w:vAlign w:val="center"/>
                </w:tcPr>
                <w:p>
                  <w:pPr>
                    <w:pStyle w:val="37"/>
                    <w:keepNext w:val="0"/>
                    <w:keepLines w:val="0"/>
                    <w:suppressLineNumbers w:val="0"/>
                    <w:spacing w:before="0" w:beforeAutospacing="0" w:after="0" w:afterAutospacing="0"/>
                    <w:ind w:left="0" w:right="0"/>
                    <w:rPr>
                      <w:rFonts w:hint="default"/>
                    </w:rPr>
                  </w:pPr>
                  <w:r>
                    <w:rPr>
                      <w:rFonts w:hint="default"/>
                    </w:rPr>
                    <w:t>难</w:t>
                  </w:r>
                </w:p>
              </w:tc>
              <w:tc>
                <w:tcPr>
                  <w:tcW w:w="1534" w:type="dxa"/>
                  <w:vMerge w:val="continue"/>
                  <w:tcBorders>
                    <w:tl2br w:val="nil"/>
                    <w:tr2bl w:val="nil"/>
                  </w:tcBorders>
                  <w:vAlign w:val="center"/>
                </w:tcPr>
                <w:p>
                  <w:pPr>
                    <w:pStyle w:val="37"/>
                    <w:keepNext w:val="0"/>
                    <w:keepLines w:val="0"/>
                    <w:suppressLineNumbers w:val="0"/>
                    <w:spacing w:before="0" w:beforeAutospacing="0" w:after="0" w:afterAutospacing="0"/>
                    <w:ind w:left="0" w:right="0"/>
                    <w:rPr>
                      <w:rFonts w:hint="default"/>
                    </w:rPr>
                  </w:pPr>
                </w:p>
              </w:tc>
              <w:tc>
                <w:tcPr>
                  <w:tcW w:w="2663" w:type="dxa"/>
                  <w:vMerge w:val="continue"/>
                  <w:tcBorders>
                    <w:tl2br w:val="nil"/>
                    <w:tr2bl w:val="nil"/>
                  </w:tcBorders>
                  <w:vAlign w:val="center"/>
                </w:tcPr>
                <w:p>
                  <w:pPr>
                    <w:pStyle w:val="37"/>
                    <w:keepNext w:val="0"/>
                    <w:keepLines w:val="0"/>
                    <w:suppressLineNumbers w:val="0"/>
                    <w:spacing w:before="0" w:beforeAutospacing="0" w:after="0" w:afterAutospacing="0"/>
                    <w:ind w:left="0" w:right="0"/>
                    <w:rPr>
                      <w:rFonts w:hint="default"/>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0" w:type="dxa"/>
                  <w:vMerge w:val="continue"/>
                  <w:tcBorders>
                    <w:tl2br w:val="nil"/>
                    <w:tr2bl w:val="nil"/>
                  </w:tcBorders>
                  <w:vAlign w:val="center"/>
                </w:tcPr>
                <w:p>
                  <w:pPr>
                    <w:pStyle w:val="37"/>
                    <w:keepNext w:val="0"/>
                    <w:keepLines w:val="0"/>
                    <w:suppressLineNumbers w:val="0"/>
                    <w:spacing w:before="0" w:beforeAutospacing="0" w:after="0" w:afterAutospacing="0"/>
                    <w:ind w:left="0" w:right="0"/>
                    <w:rPr>
                      <w:rFonts w:hint="default"/>
                    </w:rPr>
                  </w:pPr>
                </w:p>
              </w:tc>
              <w:tc>
                <w:tcPr>
                  <w:tcW w:w="1513" w:type="dxa"/>
                  <w:tcBorders>
                    <w:tl2br w:val="nil"/>
                    <w:tr2bl w:val="nil"/>
                  </w:tcBorders>
                  <w:vAlign w:val="center"/>
                </w:tcPr>
                <w:p>
                  <w:pPr>
                    <w:pStyle w:val="37"/>
                    <w:keepNext w:val="0"/>
                    <w:keepLines w:val="0"/>
                    <w:suppressLineNumbers w:val="0"/>
                    <w:spacing w:before="0" w:beforeAutospacing="0" w:after="0" w:afterAutospacing="0"/>
                    <w:ind w:left="0" w:right="0"/>
                    <w:rPr>
                      <w:rFonts w:hint="default"/>
                    </w:rPr>
                  </w:pPr>
                  <w:r>
                    <w:rPr>
                      <w:rFonts w:hint="default"/>
                    </w:rPr>
                    <w:t>弱</w:t>
                  </w:r>
                </w:p>
              </w:tc>
              <w:tc>
                <w:tcPr>
                  <w:tcW w:w="1426" w:type="dxa"/>
                  <w:tcBorders>
                    <w:tl2br w:val="nil"/>
                    <w:tr2bl w:val="nil"/>
                  </w:tcBorders>
                  <w:vAlign w:val="center"/>
                </w:tcPr>
                <w:p>
                  <w:pPr>
                    <w:pStyle w:val="37"/>
                    <w:keepNext w:val="0"/>
                    <w:keepLines w:val="0"/>
                    <w:suppressLineNumbers w:val="0"/>
                    <w:spacing w:before="0" w:beforeAutospacing="0" w:after="0" w:afterAutospacing="0"/>
                    <w:ind w:left="0" w:right="0"/>
                    <w:rPr>
                      <w:rFonts w:hint="default"/>
                    </w:rPr>
                  </w:pPr>
                  <w:r>
                    <w:rPr>
                      <w:rFonts w:hint="default"/>
                    </w:rPr>
                    <w:t>易</w:t>
                  </w:r>
                </w:p>
              </w:tc>
              <w:tc>
                <w:tcPr>
                  <w:tcW w:w="1534" w:type="dxa"/>
                  <w:vMerge w:val="continue"/>
                  <w:tcBorders>
                    <w:tl2br w:val="nil"/>
                    <w:tr2bl w:val="nil"/>
                  </w:tcBorders>
                  <w:vAlign w:val="center"/>
                </w:tcPr>
                <w:p>
                  <w:pPr>
                    <w:pStyle w:val="37"/>
                    <w:keepNext w:val="0"/>
                    <w:keepLines w:val="0"/>
                    <w:suppressLineNumbers w:val="0"/>
                    <w:spacing w:before="0" w:beforeAutospacing="0" w:after="0" w:afterAutospacing="0"/>
                    <w:ind w:left="0" w:right="0"/>
                    <w:rPr>
                      <w:rFonts w:hint="default"/>
                    </w:rPr>
                  </w:pPr>
                </w:p>
              </w:tc>
              <w:tc>
                <w:tcPr>
                  <w:tcW w:w="2663" w:type="dxa"/>
                  <w:vMerge w:val="continue"/>
                  <w:tcBorders>
                    <w:tl2br w:val="nil"/>
                    <w:tr2bl w:val="nil"/>
                  </w:tcBorders>
                  <w:vAlign w:val="center"/>
                </w:tcPr>
                <w:p>
                  <w:pPr>
                    <w:pStyle w:val="37"/>
                    <w:keepNext w:val="0"/>
                    <w:keepLines w:val="0"/>
                    <w:suppressLineNumbers w:val="0"/>
                    <w:spacing w:before="0" w:beforeAutospacing="0" w:after="0" w:afterAutospacing="0"/>
                    <w:ind w:left="0" w:right="0"/>
                    <w:rPr>
                      <w:rFonts w:hint="default"/>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0" w:type="dxa"/>
                  <w:vMerge w:val="restart"/>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一般防渗区</w:t>
                  </w:r>
                </w:p>
              </w:tc>
              <w:tc>
                <w:tcPr>
                  <w:tcW w:w="1513"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弱</w:t>
                  </w:r>
                </w:p>
              </w:tc>
              <w:tc>
                <w:tcPr>
                  <w:tcW w:w="1426"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易-难</w:t>
                  </w:r>
                </w:p>
              </w:tc>
              <w:tc>
                <w:tcPr>
                  <w:tcW w:w="1534" w:type="dxa"/>
                  <w:vMerge w:val="restart"/>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其他类型</w:t>
                  </w:r>
                </w:p>
              </w:tc>
              <w:tc>
                <w:tcPr>
                  <w:tcW w:w="2663" w:type="dxa"/>
                  <w:vMerge w:val="restart"/>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等效黏土防渗层Mb≥1.5m，K≤1×10-7cm/s，或参照GB16889执行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0" w:type="dxa"/>
                  <w:vMerge w:val="continue"/>
                  <w:tcBorders>
                    <w:tl2br w:val="nil"/>
                    <w:tr2bl w:val="nil"/>
                  </w:tcBorders>
                  <w:vAlign w:val="center"/>
                </w:tcPr>
                <w:p>
                  <w:pPr>
                    <w:pStyle w:val="37"/>
                    <w:keepNext w:val="0"/>
                    <w:keepLines w:val="0"/>
                    <w:suppressLineNumbers w:val="0"/>
                    <w:spacing w:before="0" w:beforeAutospacing="0" w:after="0" w:afterAutospacing="0"/>
                    <w:ind w:left="0" w:right="0"/>
                    <w:rPr>
                      <w:rFonts w:hint="default"/>
                    </w:rPr>
                  </w:pPr>
                </w:p>
              </w:tc>
              <w:tc>
                <w:tcPr>
                  <w:tcW w:w="1513" w:type="dxa"/>
                  <w:tcBorders>
                    <w:tl2br w:val="nil"/>
                    <w:tr2bl w:val="nil"/>
                  </w:tcBorders>
                  <w:vAlign w:val="center"/>
                </w:tcPr>
                <w:p>
                  <w:pPr>
                    <w:pStyle w:val="37"/>
                    <w:keepNext w:val="0"/>
                    <w:keepLines w:val="0"/>
                    <w:suppressLineNumbers w:val="0"/>
                    <w:spacing w:before="0" w:beforeAutospacing="0" w:after="0" w:afterAutospacing="0"/>
                    <w:ind w:left="0" w:right="0"/>
                    <w:rPr>
                      <w:rFonts w:hint="default"/>
                    </w:rPr>
                  </w:pPr>
                  <w:r>
                    <w:rPr>
                      <w:rFonts w:hint="default"/>
                    </w:rPr>
                    <w:t>中-强</w:t>
                  </w:r>
                </w:p>
              </w:tc>
              <w:tc>
                <w:tcPr>
                  <w:tcW w:w="1426" w:type="dxa"/>
                  <w:tcBorders>
                    <w:tl2br w:val="nil"/>
                    <w:tr2bl w:val="nil"/>
                  </w:tcBorders>
                  <w:vAlign w:val="center"/>
                </w:tcPr>
                <w:p>
                  <w:pPr>
                    <w:pStyle w:val="37"/>
                    <w:keepNext w:val="0"/>
                    <w:keepLines w:val="0"/>
                    <w:suppressLineNumbers w:val="0"/>
                    <w:spacing w:before="0" w:beforeAutospacing="0" w:after="0" w:afterAutospacing="0"/>
                    <w:ind w:left="0" w:right="0"/>
                    <w:rPr>
                      <w:rFonts w:hint="default"/>
                    </w:rPr>
                  </w:pPr>
                  <w:r>
                    <w:rPr>
                      <w:rFonts w:hint="default"/>
                    </w:rPr>
                    <w:t>难</w:t>
                  </w:r>
                </w:p>
              </w:tc>
              <w:tc>
                <w:tcPr>
                  <w:tcW w:w="1534" w:type="dxa"/>
                  <w:vMerge w:val="continue"/>
                  <w:tcBorders>
                    <w:tl2br w:val="nil"/>
                    <w:tr2bl w:val="nil"/>
                  </w:tcBorders>
                  <w:vAlign w:val="center"/>
                </w:tcPr>
                <w:p>
                  <w:pPr>
                    <w:pStyle w:val="37"/>
                    <w:keepNext w:val="0"/>
                    <w:keepLines w:val="0"/>
                    <w:suppressLineNumbers w:val="0"/>
                    <w:spacing w:before="0" w:beforeAutospacing="0" w:after="0" w:afterAutospacing="0"/>
                    <w:ind w:left="0" w:right="0"/>
                    <w:rPr>
                      <w:rFonts w:hint="default"/>
                    </w:rPr>
                  </w:pPr>
                </w:p>
              </w:tc>
              <w:tc>
                <w:tcPr>
                  <w:tcW w:w="2663" w:type="dxa"/>
                  <w:vMerge w:val="continue"/>
                  <w:tcBorders>
                    <w:tl2br w:val="nil"/>
                    <w:tr2bl w:val="nil"/>
                  </w:tcBorders>
                  <w:vAlign w:val="center"/>
                </w:tcPr>
                <w:p>
                  <w:pPr>
                    <w:pStyle w:val="37"/>
                    <w:keepNext w:val="0"/>
                    <w:keepLines w:val="0"/>
                    <w:suppressLineNumbers w:val="0"/>
                    <w:spacing w:before="0" w:beforeAutospacing="0" w:after="0" w:afterAutospacing="0"/>
                    <w:ind w:left="0" w:right="0"/>
                    <w:rPr>
                      <w:rFonts w:hint="default"/>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0" w:type="dxa"/>
                  <w:vMerge w:val="continue"/>
                  <w:tcBorders>
                    <w:tl2br w:val="nil"/>
                    <w:tr2bl w:val="nil"/>
                  </w:tcBorders>
                  <w:vAlign w:val="center"/>
                </w:tcPr>
                <w:p>
                  <w:pPr>
                    <w:pStyle w:val="37"/>
                    <w:keepNext w:val="0"/>
                    <w:keepLines w:val="0"/>
                    <w:suppressLineNumbers w:val="0"/>
                    <w:spacing w:before="0" w:beforeAutospacing="0" w:after="0" w:afterAutospacing="0"/>
                    <w:ind w:left="0" w:right="0"/>
                    <w:rPr>
                      <w:rFonts w:hint="default"/>
                    </w:rPr>
                  </w:pPr>
                </w:p>
              </w:tc>
              <w:tc>
                <w:tcPr>
                  <w:tcW w:w="1513" w:type="dxa"/>
                  <w:tcBorders>
                    <w:tl2br w:val="nil"/>
                    <w:tr2bl w:val="nil"/>
                  </w:tcBorders>
                  <w:vAlign w:val="center"/>
                </w:tcPr>
                <w:p>
                  <w:pPr>
                    <w:pStyle w:val="37"/>
                    <w:keepNext w:val="0"/>
                    <w:keepLines w:val="0"/>
                    <w:suppressLineNumbers w:val="0"/>
                    <w:spacing w:before="0" w:beforeAutospacing="0" w:after="0" w:afterAutospacing="0"/>
                    <w:ind w:left="0" w:right="0"/>
                    <w:rPr>
                      <w:rFonts w:hint="default"/>
                    </w:rPr>
                  </w:pPr>
                  <w:r>
                    <w:rPr>
                      <w:rFonts w:hint="default"/>
                    </w:rPr>
                    <w:t>中</w:t>
                  </w:r>
                </w:p>
              </w:tc>
              <w:tc>
                <w:tcPr>
                  <w:tcW w:w="1426" w:type="dxa"/>
                  <w:tcBorders>
                    <w:tl2br w:val="nil"/>
                    <w:tr2bl w:val="nil"/>
                  </w:tcBorders>
                  <w:vAlign w:val="center"/>
                </w:tcPr>
                <w:p>
                  <w:pPr>
                    <w:pStyle w:val="37"/>
                    <w:keepNext w:val="0"/>
                    <w:keepLines w:val="0"/>
                    <w:suppressLineNumbers w:val="0"/>
                    <w:spacing w:before="0" w:beforeAutospacing="0" w:after="0" w:afterAutospacing="0"/>
                    <w:ind w:left="0" w:right="0"/>
                    <w:rPr>
                      <w:rFonts w:hint="default"/>
                    </w:rPr>
                  </w:pPr>
                  <w:r>
                    <w:rPr>
                      <w:rFonts w:hint="default"/>
                    </w:rPr>
                    <w:t>易</w:t>
                  </w:r>
                </w:p>
              </w:tc>
              <w:tc>
                <w:tcPr>
                  <w:tcW w:w="1534" w:type="dxa"/>
                  <w:vMerge w:val="restart"/>
                  <w:tcBorders>
                    <w:tl2br w:val="nil"/>
                    <w:tr2bl w:val="nil"/>
                  </w:tcBorders>
                  <w:vAlign w:val="center"/>
                </w:tcPr>
                <w:p>
                  <w:pPr>
                    <w:pStyle w:val="37"/>
                    <w:keepNext w:val="0"/>
                    <w:keepLines w:val="0"/>
                    <w:suppressLineNumbers w:val="0"/>
                    <w:spacing w:before="0" w:beforeAutospacing="0" w:after="0" w:afterAutospacing="0"/>
                    <w:ind w:left="0" w:right="0"/>
                    <w:rPr>
                      <w:rFonts w:hint="default"/>
                    </w:rPr>
                  </w:pPr>
                  <w:r>
                    <w:rPr>
                      <w:rFonts w:hint="default"/>
                    </w:rPr>
                    <w:t>重金属、持久性有机污染物</w:t>
                  </w:r>
                </w:p>
              </w:tc>
              <w:tc>
                <w:tcPr>
                  <w:tcW w:w="2663" w:type="dxa"/>
                  <w:vMerge w:val="continue"/>
                  <w:tcBorders>
                    <w:tl2br w:val="nil"/>
                    <w:tr2bl w:val="nil"/>
                  </w:tcBorders>
                  <w:vAlign w:val="center"/>
                </w:tcPr>
                <w:p>
                  <w:pPr>
                    <w:pStyle w:val="37"/>
                    <w:keepNext w:val="0"/>
                    <w:keepLines w:val="0"/>
                    <w:suppressLineNumbers w:val="0"/>
                    <w:spacing w:before="0" w:beforeAutospacing="0" w:after="0" w:afterAutospacing="0"/>
                    <w:ind w:left="0" w:right="0"/>
                    <w:rPr>
                      <w:rFonts w:hint="default"/>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0" w:type="dxa"/>
                  <w:vMerge w:val="continue"/>
                  <w:tcBorders>
                    <w:tl2br w:val="nil"/>
                    <w:tr2bl w:val="nil"/>
                  </w:tcBorders>
                  <w:vAlign w:val="center"/>
                </w:tcPr>
                <w:p>
                  <w:pPr>
                    <w:pStyle w:val="37"/>
                    <w:keepNext w:val="0"/>
                    <w:keepLines w:val="0"/>
                    <w:suppressLineNumbers w:val="0"/>
                    <w:spacing w:before="0" w:beforeAutospacing="0" w:after="0" w:afterAutospacing="0"/>
                    <w:ind w:left="0" w:right="0"/>
                    <w:rPr>
                      <w:rFonts w:hint="default"/>
                    </w:rPr>
                  </w:pPr>
                </w:p>
              </w:tc>
              <w:tc>
                <w:tcPr>
                  <w:tcW w:w="1513" w:type="dxa"/>
                  <w:tcBorders>
                    <w:tl2br w:val="nil"/>
                    <w:tr2bl w:val="nil"/>
                  </w:tcBorders>
                  <w:vAlign w:val="center"/>
                </w:tcPr>
                <w:p>
                  <w:pPr>
                    <w:pStyle w:val="37"/>
                    <w:keepNext w:val="0"/>
                    <w:keepLines w:val="0"/>
                    <w:suppressLineNumbers w:val="0"/>
                    <w:spacing w:before="0" w:beforeAutospacing="0" w:after="0" w:afterAutospacing="0"/>
                    <w:ind w:left="0" w:right="0"/>
                    <w:rPr>
                      <w:rFonts w:hint="default"/>
                    </w:rPr>
                  </w:pPr>
                  <w:r>
                    <w:rPr>
                      <w:rFonts w:hint="default"/>
                    </w:rPr>
                    <w:t>强</w:t>
                  </w:r>
                </w:p>
              </w:tc>
              <w:tc>
                <w:tcPr>
                  <w:tcW w:w="1426" w:type="dxa"/>
                  <w:tcBorders>
                    <w:tl2br w:val="nil"/>
                    <w:tr2bl w:val="nil"/>
                  </w:tcBorders>
                  <w:vAlign w:val="center"/>
                </w:tcPr>
                <w:p>
                  <w:pPr>
                    <w:pStyle w:val="37"/>
                    <w:keepNext w:val="0"/>
                    <w:keepLines w:val="0"/>
                    <w:suppressLineNumbers w:val="0"/>
                    <w:spacing w:before="0" w:beforeAutospacing="0" w:after="0" w:afterAutospacing="0"/>
                    <w:ind w:left="0" w:right="0"/>
                    <w:rPr>
                      <w:rFonts w:hint="default"/>
                    </w:rPr>
                  </w:pPr>
                  <w:r>
                    <w:rPr>
                      <w:rFonts w:hint="default"/>
                    </w:rPr>
                    <w:t>易</w:t>
                  </w:r>
                </w:p>
              </w:tc>
              <w:tc>
                <w:tcPr>
                  <w:tcW w:w="1534" w:type="dxa"/>
                  <w:vMerge w:val="continue"/>
                  <w:tcBorders>
                    <w:tl2br w:val="nil"/>
                    <w:tr2bl w:val="nil"/>
                  </w:tcBorders>
                  <w:vAlign w:val="center"/>
                </w:tcPr>
                <w:p>
                  <w:pPr>
                    <w:pStyle w:val="37"/>
                    <w:keepNext w:val="0"/>
                    <w:keepLines w:val="0"/>
                    <w:suppressLineNumbers w:val="0"/>
                    <w:spacing w:before="0" w:beforeAutospacing="0" w:after="0" w:afterAutospacing="0"/>
                    <w:ind w:left="0" w:right="0"/>
                    <w:rPr>
                      <w:rFonts w:hint="default"/>
                    </w:rPr>
                  </w:pPr>
                </w:p>
              </w:tc>
              <w:tc>
                <w:tcPr>
                  <w:tcW w:w="2663" w:type="dxa"/>
                  <w:vMerge w:val="continue"/>
                  <w:tcBorders>
                    <w:tl2br w:val="nil"/>
                    <w:tr2bl w:val="nil"/>
                  </w:tcBorders>
                  <w:vAlign w:val="center"/>
                </w:tcPr>
                <w:p>
                  <w:pPr>
                    <w:pStyle w:val="37"/>
                    <w:keepNext w:val="0"/>
                    <w:keepLines w:val="0"/>
                    <w:suppressLineNumbers w:val="0"/>
                    <w:spacing w:before="0" w:beforeAutospacing="0" w:after="0" w:afterAutospacing="0"/>
                    <w:ind w:left="0" w:right="0"/>
                    <w:rPr>
                      <w:rFonts w:hint="default"/>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简单防渗区</w:t>
                  </w:r>
                </w:p>
              </w:tc>
              <w:tc>
                <w:tcPr>
                  <w:tcW w:w="1513"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中-强</w:t>
                  </w:r>
                </w:p>
              </w:tc>
              <w:tc>
                <w:tcPr>
                  <w:tcW w:w="1426"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易</w:t>
                  </w:r>
                </w:p>
              </w:tc>
              <w:tc>
                <w:tcPr>
                  <w:tcW w:w="1534"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其他类型</w:t>
                  </w:r>
                </w:p>
              </w:tc>
              <w:tc>
                <w:tcPr>
                  <w:tcW w:w="2663"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一般地面硬化</w:t>
                  </w:r>
                </w:p>
              </w:tc>
            </w:tr>
          </w:tbl>
          <w:p>
            <w:pPr>
              <w:pStyle w:val="42"/>
              <w:keepNext w:val="0"/>
              <w:keepLines w:val="0"/>
              <w:pageBreakBefore w:val="0"/>
              <w:widowControl w:val="0"/>
              <w:suppressLineNumbers w:val="0"/>
              <w:kinsoku/>
              <w:wordWrap/>
              <w:overflowPunct/>
              <w:topLinePunct w:val="0"/>
              <w:autoSpaceDE/>
              <w:autoSpaceDN/>
              <w:bidi w:val="0"/>
              <w:adjustRightInd/>
              <w:snapToGrid/>
              <w:spacing w:before="0" w:beforeLines="-2147483648" w:beforeAutospacing="0" w:after="0" w:afterAutospacing="0"/>
              <w:ind w:left="0" w:right="0" w:firstLine="0"/>
              <w:textAlignment w:val="auto"/>
              <w:rPr>
                <w:rFonts w:hint="eastAsia"/>
              </w:rPr>
            </w:pPr>
            <w:r>
              <w:rPr>
                <w:rFonts w:hint="eastAsia"/>
              </w:rPr>
              <w:t>项目防渗分区判定结果详见下表。</w:t>
            </w:r>
          </w:p>
          <w:p>
            <w:pPr>
              <w:pStyle w:val="36"/>
              <w:keepNext w:val="0"/>
              <w:keepLines w:val="0"/>
              <w:suppressLineNumbers w:val="0"/>
              <w:bidi w:val="0"/>
              <w:spacing w:before="0" w:beforeAutospacing="0" w:after="0" w:afterAutospacing="0"/>
              <w:ind w:right="0"/>
              <w:rPr>
                <w:rFonts w:hint="default"/>
                <w:lang w:val="en-US" w:eastAsia="zh-CN"/>
              </w:rPr>
            </w:pPr>
            <w:r>
              <w:rPr>
                <w:rFonts w:hint="eastAsia"/>
                <w:lang w:val="en-US" w:eastAsia="zh-CN"/>
              </w:rPr>
              <w:t>厂区防渗分区一览表</w:t>
            </w:r>
          </w:p>
          <w:tbl>
            <w:tblPr>
              <w:tblStyle w:val="27"/>
              <w:tblW w:w="840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54"/>
              <w:gridCol w:w="2057"/>
              <w:gridCol w:w="1350"/>
              <w:gridCol w:w="1065"/>
              <w:gridCol w:w="990"/>
              <w:gridCol w:w="1020"/>
              <w:gridCol w:w="14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454"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编号</w:t>
                  </w:r>
                </w:p>
              </w:tc>
              <w:tc>
                <w:tcPr>
                  <w:tcW w:w="2057"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判定内容</w:t>
                  </w:r>
                </w:p>
              </w:tc>
              <w:tc>
                <w:tcPr>
                  <w:tcW w:w="135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天然包气带防污性能</w:t>
                  </w:r>
                </w:p>
              </w:tc>
              <w:tc>
                <w:tcPr>
                  <w:tcW w:w="106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污染控制难易程度</w:t>
                  </w:r>
                </w:p>
              </w:tc>
              <w:tc>
                <w:tcPr>
                  <w:tcW w:w="99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污染物类型</w:t>
                  </w:r>
                </w:p>
              </w:tc>
              <w:tc>
                <w:tcPr>
                  <w:tcW w:w="102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判定结果</w:t>
                  </w:r>
                </w:p>
              </w:tc>
              <w:tc>
                <w:tcPr>
                  <w:tcW w:w="1471"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防渗区域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54"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1</w:t>
                  </w:r>
                </w:p>
              </w:tc>
              <w:tc>
                <w:tcPr>
                  <w:tcW w:w="2057"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eastAsia="zh-CN"/>
                    </w:rPr>
                  </w:pPr>
                  <w:r>
                    <w:rPr>
                      <w:rFonts w:hint="default"/>
                      <w:lang w:val="en-US" w:eastAsia="zh-CN"/>
                    </w:rPr>
                    <w:t>危废仓</w:t>
                  </w:r>
                </w:p>
              </w:tc>
              <w:tc>
                <w:tcPr>
                  <w:tcW w:w="135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中</w:t>
                  </w:r>
                </w:p>
              </w:tc>
              <w:tc>
                <w:tcPr>
                  <w:tcW w:w="106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难</w:t>
                  </w:r>
                </w:p>
              </w:tc>
              <w:tc>
                <w:tcPr>
                  <w:tcW w:w="990" w:type="dxa"/>
                  <w:vMerge w:val="restart"/>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eastAsia="zh-CN"/>
                    </w:rPr>
                  </w:pPr>
                  <w:r>
                    <w:rPr>
                      <w:rFonts w:hint="default"/>
                    </w:rPr>
                    <w:t>持久性有机污染物</w:t>
                  </w:r>
                </w:p>
              </w:tc>
              <w:tc>
                <w:tcPr>
                  <w:tcW w:w="1020" w:type="dxa"/>
                  <w:vMerge w:val="restart"/>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重点防渗</w:t>
                  </w:r>
                  <w:r>
                    <w:rPr>
                      <w:rFonts w:hint="default"/>
                    </w:rPr>
                    <w:t>区</w:t>
                  </w:r>
                </w:p>
              </w:tc>
              <w:tc>
                <w:tcPr>
                  <w:tcW w:w="1471"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地面、墙体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54" w:type="dxa"/>
                  <w:tcBorders>
                    <w:tl2br w:val="nil"/>
                    <w:tr2bl w:val="nil"/>
                  </w:tcBorders>
                  <w:vAlign w:val="center"/>
                </w:tcPr>
                <w:p>
                  <w:pPr>
                    <w:pStyle w:val="37"/>
                    <w:keepNext w:val="0"/>
                    <w:keepLines w:val="0"/>
                    <w:suppressLineNumbers w:val="0"/>
                    <w:bidi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4"/>
                      <w:lang w:val="en-US" w:eastAsia="zh-CN" w:bidi="ar-SA"/>
                    </w:rPr>
                  </w:pPr>
                  <w:r>
                    <w:rPr>
                      <w:rFonts w:hint="default"/>
                    </w:rPr>
                    <w:t>2</w:t>
                  </w:r>
                </w:p>
              </w:tc>
              <w:tc>
                <w:tcPr>
                  <w:tcW w:w="2057"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eastAsia="宋体"/>
                      <w:lang w:val="en-US" w:eastAsia="zh-CN"/>
                    </w:rPr>
                  </w:pPr>
                  <w:r>
                    <w:rPr>
                      <w:rFonts w:hint="eastAsia"/>
                      <w:lang w:val="en-US" w:eastAsia="zh-CN"/>
                    </w:rPr>
                    <w:t>铝壳废边暂存间</w:t>
                  </w:r>
                </w:p>
              </w:tc>
              <w:tc>
                <w:tcPr>
                  <w:tcW w:w="135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中</w:t>
                  </w:r>
                </w:p>
              </w:tc>
              <w:tc>
                <w:tcPr>
                  <w:tcW w:w="106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难</w:t>
                  </w:r>
                </w:p>
              </w:tc>
              <w:tc>
                <w:tcPr>
                  <w:tcW w:w="990"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p>
              </w:tc>
              <w:tc>
                <w:tcPr>
                  <w:tcW w:w="1020"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p>
              </w:tc>
              <w:tc>
                <w:tcPr>
                  <w:tcW w:w="1471"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地面、墙体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54" w:type="dxa"/>
                  <w:tcBorders>
                    <w:tl2br w:val="nil"/>
                    <w:tr2bl w:val="nil"/>
                  </w:tcBorders>
                  <w:vAlign w:val="center"/>
                </w:tcPr>
                <w:p>
                  <w:pPr>
                    <w:pStyle w:val="37"/>
                    <w:keepNext w:val="0"/>
                    <w:keepLines w:val="0"/>
                    <w:suppressLineNumbers w:val="0"/>
                    <w:bidi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4"/>
                      <w:lang w:val="en-US" w:eastAsia="zh-CN" w:bidi="ar-SA"/>
                    </w:rPr>
                  </w:pPr>
                  <w:r>
                    <w:rPr>
                      <w:rFonts w:hint="default"/>
                      <w:lang w:val="en-US" w:eastAsia="zh-CN"/>
                    </w:rPr>
                    <w:t>3</w:t>
                  </w:r>
                </w:p>
              </w:tc>
              <w:tc>
                <w:tcPr>
                  <w:tcW w:w="2057"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危化品仓</w:t>
                  </w:r>
                </w:p>
              </w:tc>
              <w:tc>
                <w:tcPr>
                  <w:tcW w:w="135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中</w:t>
                  </w:r>
                </w:p>
              </w:tc>
              <w:tc>
                <w:tcPr>
                  <w:tcW w:w="106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难</w:t>
                  </w:r>
                </w:p>
              </w:tc>
              <w:tc>
                <w:tcPr>
                  <w:tcW w:w="990"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p>
              </w:tc>
              <w:tc>
                <w:tcPr>
                  <w:tcW w:w="1020"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p>
              </w:tc>
              <w:tc>
                <w:tcPr>
                  <w:tcW w:w="1471"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地面</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4" w:type="dxa"/>
                  <w:tcBorders>
                    <w:tl2br w:val="nil"/>
                    <w:tr2bl w:val="nil"/>
                  </w:tcBorders>
                  <w:vAlign w:val="center"/>
                </w:tcPr>
                <w:p>
                  <w:pPr>
                    <w:pStyle w:val="37"/>
                    <w:keepNext w:val="0"/>
                    <w:keepLines w:val="0"/>
                    <w:suppressLineNumbers w:val="0"/>
                    <w:bidi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4"/>
                      <w:lang w:val="en-US" w:eastAsia="zh-CN" w:bidi="ar-SA"/>
                    </w:rPr>
                  </w:pPr>
                  <w:r>
                    <w:rPr>
                      <w:rFonts w:hint="default"/>
                      <w:lang w:val="en-US" w:eastAsia="zh-CN"/>
                    </w:rPr>
                    <w:t>4</w:t>
                  </w:r>
                </w:p>
              </w:tc>
              <w:tc>
                <w:tcPr>
                  <w:tcW w:w="2057"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污水收集管道</w:t>
                  </w:r>
                </w:p>
              </w:tc>
              <w:tc>
                <w:tcPr>
                  <w:tcW w:w="135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中</w:t>
                  </w:r>
                </w:p>
              </w:tc>
              <w:tc>
                <w:tcPr>
                  <w:tcW w:w="106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难</w:t>
                  </w:r>
                </w:p>
              </w:tc>
              <w:tc>
                <w:tcPr>
                  <w:tcW w:w="990" w:type="dxa"/>
                  <w:vMerge w:val="continue"/>
                  <w:tcBorders>
                    <w:tl2br w:val="nil"/>
                    <w:tr2bl w:val="nil"/>
                  </w:tcBorders>
                  <w:vAlign w:val="center"/>
                </w:tcPr>
                <w:p>
                  <w:pPr>
                    <w:pStyle w:val="37"/>
                    <w:keepNext w:val="0"/>
                    <w:keepLines w:val="0"/>
                    <w:suppressLineNumbers w:val="0"/>
                    <w:adjustRightInd w:val="0"/>
                    <w:snapToGrid w:val="0"/>
                    <w:spacing w:before="0" w:beforeAutospacing="0" w:after="0" w:afterAutospacing="0"/>
                    <w:ind w:left="0" w:right="0"/>
                    <w:jc w:val="center"/>
                    <w:rPr>
                      <w:rFonts w:hint="default"/>
                    </w:rPr>
                  </w:pPr>
                </w:p>
              </w:tc>
              <w:tc>
                <w:tcPr>
                  <w:tcW w:w="1020" w:type="dxa"/>
                  <w:vMerge w:val="continue"/>
                  <w:tcBorders>
                    <w:tl2br w:val="nil"/>
                    <w:tr2bl w:val="nil"/>
                  </w:tcBorders>
                  <w:vAlign w:val="center"/>
                </w:tcPr>
                <w:p>
                  <w:pPr>
                    <w:pStyle w:val="37"/>
                    <w:keepNext w:val="0"/>
                    <w:keepLines w:val="0"/>
                    <w:suppressLineNumbers w:val="0"/>
                    <w:adjustRightInd w:val="0"/>
                    <w:snapToGrid w:val="0"/>
                    <w:spacing w:before="0" w:beforeAutospacing="0" w:after="0" w:afterAutospacing="0"/>
                    <w:ind w:left="0" w:right="0"/>
                    <w:jc w:val="center"/>
                    <w:rPr>
                      <w:rFonts w:hint="default"/>
                    </w:rPr>
                  </w:pPr>
                </w:p>
              </w:tc>
              <w:tc>
                <w:tcPr>
                  <w:tcW w:w="1471" w:type="dxa"/>
                  <w:tcBorders>
                    <w:tl2br w:val="nil"/>
                    <w:tr2bl w:val="nil"/>
                  </w:tcBorders>
                  <w:vAlign w:val="center"/>
                </w:tcPr>
                <w:p>
                  <w:pPr>
                    <w:pStyle w:val="37"/>
                    <w:keepNext w:val="0"/>
                    <w:keepLines w:val="0"/>
                    <w:suppressLineNumbers w:val="0"/>
                    <w:adjustRightInd w:val="0"/>
                    <w:snapToGrid w:val="0"/>
                    <w:spacing w:before="0" w:beforeAutospacing="0" w:after="0" w:afterAutospacing="0"/>
                    <w:ind w:left="0" w:right="0"/>
                    <w:jc w:val="center"/>
                    <w:rPr>
                      <w:rFonts w:hint="default"/>
                      <w:lang w:val="en-US" w:eastAsia="zh-CN"/>
                    </w:rPr>
                  </w:pPr>
                  <w:r>
                    <w:rPr>
                      <w:rFonts w:hint="default"/>
                      <w:lang w:val="en-US" w:eastAsia="zh-CN"/>
                    </w:rPr>
                    <w:t>管道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454" w:type="dxa"/>
                  <w:tcBorders>
                    <w:tl2br w:val="nil"/>
                    <w:tr2bl w:val="nil"/>
                  </w:tcBorders>
                  <w:vAlign w:val="center"/>
                </w:tcPr>
                <w:p>
                  <w:pPr>
                    <w:pStyle w:val="37"/>
                    <w:keepNext w:val="0"/>
                    <w:keepLines w:val="0"/>
                    <w:suppressLineNumbers w:val="0"/>
                    <w:bidi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4"/>
                      <w:lang w:val="en-US" w:eastAsia="zh-CN" w:bidi="ar-SA"/>
                    </w:rPr>
                  </w:pPr>
                  <w:r>
                    <w:rPr>
                      <w:rFonts w:hint="default"/>
                      <w:lang w:val="en-US" w:eastAsia="zh-CN"/>
                    </w:rPr>
                    <w:t>5</w:t>
                  </w:r>
                </w:p>
              </w:tc>
              <w:tc>
                <w:tcPr>
                  <w:tcW w:w="2057"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rPr>
                    <w:t>污水处理</w:t>
                  </w:r>
                  <w:r>
                    <w:rPr>
                      <w:rFonts w:hint="default"/>
                      <w:lang w:val="en-US" w:eastAsia="zh-CN"/>
                    </w:rPr>
                    <w:t>设施</w:t>
                  </w:r>
                </w:p>
              </w:tc>
              <w:tc>
                <w:tcPr>
                  <w:tcW w:w="135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rPr>
                    <w:t>中</w:t>
                  </w:r>
                </w:p>
              </w:tc>
              <w:tc>
                <w:tcPr>
                  <w:tcW w:w="106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易</w:t>
                  </w:r>
                </w:p>
              </w:tc>
              <w:tc>
                <w:tcPr>
                  <w:tcW w:w="990"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p>
              </w:tc>
              <w:tc>
                <w:tcPr>
                  <w:tcW w:w="1020" w:type="dxa"/>
                  <w:vMerge w:val="restart"/>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一般防渗区</w:t>
                  </w:r>
                </w:p>
              </w:tc>
              <w:tc>
                <w:tcPr>
                  <w:tcW w:w="1471"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地面</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4" w:type="dxa"/>
                  <w:tcBorders>
                    <w:tl2br w:val="nil"/>
                    <w:tr2bl w:val="nil"/>
                  </w:tcBorders>
                  <w:vAlign w:val="center"/>
                </w:tcPr>
                <w:p>
                  <w:pPr>
                    <w:pStyle w:val="37"/>
                    <w:keepNext w:val="0"/>
                    <w:keepLines w:val="0"/>
                    <w:suppressLineNumbers w:val="0"/>
                    <w:bidi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4"/>
                      <w:lang w:val="en-US" w:eastAsia="zh-CN" w:bidi="ar-SA"/>
                    </w:rPr>
                  </w:pPr>
                  <w:r>
                    <w:rPr>
                      <w:rFonts w:hint="default"/>
                      <w:lang w:val="en-US" w:eastAsia="zh-CN"/>
                    </w:rPr>
                    <w:t>6</w:t>
                  </w:r>
                </w:p>
              </w:tc>
              <w:tc>
                <w:tcPr>
                  <w:tcW w:w="2057"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rPr>
                    <w:t>一般固废暂存</w:t>
                  </w:r>
                  <w:r>
                    <w:rPr>
                      <w:rFonts w:hint="default"/>
                      <w:lang w:val="en-US" w:eastAsia="zh-CN"/>
                    </w:rPr>
                    <w:t>间（</w:t>
                  </w:r>
                  <w:r>
                    <w:rPr>
                      <w:rFonts w:hint="eastAsia"/>
                      <w:lang w:val="en-US" w:eastAsia="zh-CN"/>
                    </w:rPr>
                    <w:t>冲压料报废仓</w:t>
                  </w:r>
                  <w:r>
                    <w:rPr>
                      <w:rFonts w:hint="default"/>
                      <w:lang w:val="en-US" w:eastAsia="zh-CN"/>
                    </w:rPr>
                    <w:t>、其他</w:t>
                  </w:r>
                  <w:r>
                    <w:rPr>
                      <w:rFonts w:hint="eastAsia"/>
                      <w:lang w:val="en-US" w:eastAsia="zh-CN"/>
                    </w:rPr>
                    <w:t>报废仓、清洗后料片暂存区</w:t>
                  </w:r>
                  <w:r>
                    <w:rPr>
                      <w:rFonts w:hint="default"/>
                      <w:lang w:val="en-US" w:eastAsia="zh-CN"/>
                    </w:rPr>
                    <w:t>）</w:t>
                  </w:r>
                </w:p>
              </w:tc>
              <w:tc>
                <w:tcPr>
                  <w:tcW w:w="135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rPr>
                    <w:t>中</w:t>
                  </w:r>
                </w:p>
              </w:tc>
              <w:tc>
                <w:tcPr>
                  <w:tcW w:w="106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rPr>
                    <w:t>易</w:t>
                  </w:r>
                </w:p>
              </w:tc>
              <w:tc>
                <w:tcPr>
                  <w:tcW w:w="990"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p>
              </w:tc>
              <w:tc>
                <w:tcPr>
                  <w:tcW w:w="1020"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p>
              </w:tc>
              <w:tc>
                <w:tcPr>
                  <w:tcW w:w="1471"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地面</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4" w:type="dxa"/>
                  <w:tcBorders>
                    <w:tl2br w:val="nil"/>
                    <w:tr2bl w:val="nil"/>
                  </w:tcBorders>
                  <w:vAlign w:val="center"/>
                </w:tcPr>
                <w:p>
                  <w:pPr>
                    <w:pStyle w:val="37"/>
                    <w:keepNext w:val="0"/>
                    <w:keepLines w:val="0"/>
                    <w:suppressLineNumbers w:val="0"/>
                    <w:bidi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4"/>
                      <w:lang w:val="en-US" w:eastAsia="zh-CN" w:bidi="ar-SA"/>
                    </w:rPr>
                  </w:pPr>
                  <w:r>
                    <w:rPr>
                      <w:rFonts w:hint="default"/>
                      <w:lang w:val="en-US" w:eastAsia="zh-CN"/>
                    </w:rPr>
                    <w:t>7</w:t>
                  </w:r>
                </w:p>
              </w:tc>
              <w:tc>
                <w:tcPr>
                  <w:tcW w:w="2057"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生产车间、清洗车间</w:t>
                  </w:r>
                </w:p>
              </w:tc>
              <w:tc>
                <w:tcPr>
                  <w:tcW w:w="135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中</w:t>
                  </w:r>
                </w:p>
              </w:tc>
              <w:tc>
                <w:tcPr>
                  <w:tcW w:w="106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易</w:t>
                  </w:r>
                </w:p>
              </w:tc>
              <w:tc>
                <w:tcPr>
                  <w:tcW w:w="990" w:type="dxa"/>
                  <w:vMerge w:val="restart"/>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其他类型</w:t>
                  </w:r>
                </w:p>
              </w:tc>
              <w:tc>
                <w:tcPr>
                  <w:tcW w:w="1020" w:type="dxa"/>
                  <w:vMerge w:val="restart"/>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简单防渗区</w:t>
                  </w:r>
                </w:p>
              </w:tc>
              <w:tc>
                <w:tcPr>
                  <w:tcW w:w="1471"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地面</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4"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eastAsia"/>
                      <w:lang w:val="en-US" w:eastAsia="zh-CN"/>
                    </w:rPr>
                    <w:t>8</w:t>
                  </w:r>
                </w:p>
              </w:tc>
              <w:tc>
                <w:tcPr>
                  <w:tcW w:w="2057"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办公区、厂内道路</w:t>
                  </w:r>
                </w:p>
              </w:tc>
              <w:tc>
                <w:tcPr>
                  <w:tcW w:w="1350"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rPr>
                    <w:t>中</w:t>
                  </w:r>
                </w:p>
              </w:tc>
              <w:tc>
                <w:tcPr>
                  <w:tcW w:w="1065"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rPr>
                    <w:t>易</w:t>
                  </w:r>
                </w:p>
              </w:tc>
              <w:tc>
                <w:tcPr>
                  <w:tcW w:w="990"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p>
              </w:tc>
              <w:tc>
                <w:tcPr>
                  <w:tcW w:w="1020" w:type="dxa"/>
                  <w:vMerge w:val="continue"/>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p>
              </w:tc>
              <w:tc>
                <w:tcPr>
                  <w:tcW w:w="1471" w:type="dxa"/>
                  <w:tcBorders>
                    <w:tl2br w:val="nil"/>
                    <w:tr2bl w:val="nil"/>
                  </w:tcBorders>
                  <w:vAlign w:val="center"/>
                </w:tcPr>
                <w:p>
                  <w:pPr>
                    <w:pStyle w:val="37"/>
                    <w:keepNext w:val="0"/>
                    <w:keepLines w:val="0"/>
                    <w:suppressLineNumbers w:val="0"/>
                    <w:bidi w:val="0"/>
                    <w:spacing w:before="0" w:beforeAutospacing="0" w:after="0" w:afterAutospacing="0"/>
                    <w:ind w:right="0"/>
                    <w:rPr>
                      <w:rFonts w:hint="default"/>
                    </w:rPr>
                  </w:pPr>
                  <w:r>
                    <w:rPr>
                      <w:rFonts w:hint="default"/>
                    </w:rPr>
                    <w:t>地面</w:t>
                  </w:r>
                </w:p>
              </w:tc>
            </w:tr>
          </w:tbl>
          <w:p>
            <w:pPr>
              <w:pStyle w:val="42"/>
              <w:keepNext w:val="0"/>
              <w:keepLines w:val="0"/>
              <w:pageBreakBefore w:val="0"/>
              <w:widowControl w:val="0"/>
              <w:suppressLineNumbers w:val="0"/>
              <w:kinsoku/>
              <w:wordWrap/>
              <w:overflowPunct/>
              <w:topLinePunct w:val="0"/>
              <w:autoSpaceDE/>
              <w:autoSpaceDN/>
              <w:bidi w:val="0"/>
              <w:adjustRightInd/>
              <w:snapToGrid/>
              <w:spacing w:before="0" w:beforeLines="-2147483648" w:beforeAutospacing="0" w:after="0" w:afterAutospacing="0" w:line="360" w:lineRule="auto"/>
              <w:ind w:left="0" w:right="0" w:firstLine="0"/>
              <w:textAlignment w:val="auto"/>
              <w:rPr>
                <w:rFonts w:hint="default" w:ascii="Times New Roman" w:hAnsi="Times New Roman" w:eastAsia="宋体" w:cs="Times New Roman"/>
                <w:highlight w:val="none"/>
              </w:rPr>
            </w:pPr>
            <w:r>
              <w:rPr>
                <w:rFonts w:hint="default" w:ascii="Times New Roman" w:hAnsi="Times New Roman" w:eastAsia="宋体" w:cs="Times New Roman"/>
                <w:highlight w:val="none"/>
              </w:rPr>
              <w:t>由判定结果可知，本项目</w:t>
            </w:r>
            <w:r>
              <w:rPr>
                <w:rFonts w:hint="default" w:ascii="Times New Roman" w:hAnsi="Times New Roman" w:eastAsia="宋体" w:cs="Times New Roman"/>
                <w:szCs w:val="21"/>
                <w:lang w:val="en-US" w:eastAsia="zh-CN"/>
              </w:rPr>
              <w:t>危废仓、</w:t>
            </w:r>
            <w:r>
              <w:rPr>
                <w:rFonts w:hint="eastAsia"/>
                <w:lang w:val="en-US" w:eastAsia="zh-CN"/>
              </w:rPr>
              <w:t>铝壳废边暂存间</w:t>
            </w:r>
            <w:r>
              <w:rPr>
                <w:rFonts w:hint="default" w:ascii="Times New Roman" w:hAnsi="Times New Roman" w:eastAsia="宋体" w:cs="Times New Roman"/>
                <w:highlight w:val="none"/>
              </w:rPr>
              <w:t>、</w:t>
            </w:r>
            <w:r>
              <w:rPr>
                <w:rFonts w:hint="default" w:ascii="Times New Roman" w:hAnsi="Times New Roman" w:eastAsia="宋体" w:cs="Times New Roman"/>
                <w:szCs w:val="21"/>
                <w:highlight w:val="none"/>
                <w:lang w:val="en-US" w:eastAsia="zh-CN"/>
              </w:rPr>
              <w:t>危化品仓</w:t>
            </w:r>
            <w:r>
              <w:rPr>
                <w:rFonts w:hint="default" w:ascii="Times New Roman" w:hAnsi="Times New Roman" w:eastAsia="宋体" w:cs="Times New Roman"/>
                <w:highlight w:val="none"/>
              </w:rPr>
              <w:t>、</w:t>
            </w:r>
            <w:r>
              <w:rPr>
                <w:rFonts w:hint="default" w:ascii="Times New Roman" w:hAnsi="Times New Roman" w:eastAsia="宋体" w:cs="Times New Roman"/>
                <w:highlight w:val="none"/>
                <w:lang w:val="en-US" w:eastAsia="zh-CN"/>
              </w:rPr>
              <w:t>污水收集管线</w:t>
            </w:r>
            <w:r>
              <w:rPr>
                <w:rFonts w:hint="default" w:ascii="Times New Roman" w:hAnsi="Times New Roman" w:eastAsia="宋体" w:cs="Times New Roman"/>
                <w:highlight w:val="none"/>
              </w:rPr>
              <w:t>为重点防渗区；污水处理</w:t>
            </w:r>
            <w:r>
              <w:rPr>
                <w:rFonts w:hint="default" w:ascii="Times New Roman" w:hAnsi="Times New Roman" w:eastAsia="宋体" w:cs="Times New Roman"/>
                <w:highlight w:val="none"/>
                <w:lang w:val="en-US" w:eastAsia="zh-CN"/>
              </w:rPr>
              <w:t>设施</w:t>
            </w:r>
            <w:r>
              <w:rPr>
                <w:rFonts w:hint="default" w:ascii="Times New Roman" w:hAnsi="Times New Roman" w:eastAsia="宋体" w:cs="Times New Roman"/>
                <w:highlight w:val="none"/>
              </w:rPr>
              <w:t>、</w:t>
            </w:r>
            <w:r>
              <w:rPr>
                <w:rFonts w:hint="default" w:ascii="Times New Roman" w:hAnsi="Times New Roman" w:eastAsia="宋体" w:cs="Times New Roman"/>
                <w:szCs w:val="21"/>
                <w:highlight w:val="none"/>
                <w:lang w:val="en-US" w:eastAsia="zh-CN"/>
              </w:rPr>
              <w:t>冲压料报废仓、其他报废仓</w:t>
            </w:r>
            <w:r>
              <w:rPr>
                <w:rFonts w:hint="eastAsia" w:eastAsia="宋体" w:cs="Times New Roman"/>
                <w:szCs w:val="21"/>
                <w:highlight w:val="none"/>
                <w:lang w:val="en-US" w:eastAsia="zh-CN"/>
              </w:rPr>
              <w:t>、清洗后废料暂存区</w:t>
            </w:r>
            <w:r>
              <w:rPr>
                <w:rFonts w:hint="default" w:ascii="Times New Roman" w:hAnsi="Times New Roman" w:eastAsia="宋体" w:cs="Times New Roman"/>
                <w:highlight w:val="none"/>
              </w:rPr>
              <w:t>为一般防渗区；</w:t>
            </w:r>
            <w:r>
              <w:rPr>
                <w:rFonts w:hint="default" w:ascii="Times New Roman" w:hAnsi="Times New Roman" w:eastAsia="宋体" w:cs="Times New Roman"/>
                <w:highlight w:val="none"/>
                <w:lang w:val="en-US" w:eastAsia="zh-CN"/>
              </w:rPr>
              <w:t>生产车间</w:t>
            </w:r>
            <w:r>
              <w:rPr>
                <w:rFonts w:hint="default" w:ascii="Times New Roman" w:hAnsi="Times New Roman" w:eastAsia="宋体" w:cs="Times New Roman"/>
                <w:szCs w:val="21"/>
                <w:highlight w:val="none"/>
                <w:lang w:val="en-US" w:eastAsia="zh-CN"/>
              </w:rPr>
              <w:t>、清洗车间</w:t>
            </w:r>
            <w:r>
              <w:rPr>
                <w:rFonts w:hint="eastAsia" w:ascii="Times New Roman" w:hAnsi="Times New Roman" w:eastAsia="宋体" w:cs="Times New Roman"/>
                <w:szCs w:val="21"/>
                <w:highlight w:val="none"/>
                <w:lang w:val="en-US" w:eastAsia="zh-CN"/>
              </w:rPr>
              <w:t>、</w:t>
            </w:r>
            <w:r>
              <w:rPr>
                <w:rFonts w:hint="default" w:ascii="Times New Roman" w:hAnsi="Times New Roman" w:eastAsia="宋体" w:cs="Times New Roman"/>
                <w:highlight w:val="none"/>
                <w:lang w:val="en-US" w:eastAsia="zh-CN"/>
              </w:rPr>
              <w:t>办公区及厂内道路</w:t>
            </w:r>
            <w:r>
              <w:rPr>
                <w:rFonts w:hint="default" w:ascii="Times New Roman" w:hAnsi="Times New Roman" w:eastAsia="宋体" w:cs="Times New Roman"/>
                <w:highlight w:val="none"/>
              </w:rPr>
              <w:t>为简单防渗区。具体防渗分区详见附图</w:t>
            </w:r>
            <w:r>
              <w:rPr>
                <w:rFonts w:hint="default" w:ascii="Times New Roman" w:hAnsi="Times New Roman" w:eastAsia="宋体" w:cs="Times New Roman"/>
                <w:highlight w:val="none"/>
                <w:lang w:val="en-US" w:eastAsia="zh-CN"/>
              </w:rPr>
              <w:t>6</w:t>
            </w:r>
            <w:r>
              <w:rPr>
                <w:rFonts w:hint="default" w:ascii="Times New Roman" w:hAnsi="Times New Roman" w:eastAsia="宋体" w:cs="Times New Roman"/>
                <w:highlight w:val="none"/>
              </w:rPr>
              <w:t>。</w:t>
            </w:r>
          </w:p>
          <w:p>
            <w:pPr>
              <w:pStyle w:val="42"/>
              <w:keepNext w:val="0"/>
              <w:keepLines w:val="0"/>
              <w:suppressLineNumbers w:val="0"/>
              <w:bidi w:val="0"/>
              <w:spacing w:before="0" w:beforeAutospacing="0" w:after="0" w:afterAutospacing="0"/>
              <w:ind w:left="0" w:right="0"/>
              <w:rPr>
                <w:rFonts w:hint="default"/>
              </w:rPr>
            </w:pPr>
            <w:r>
              <w:rPr>
                <w:rFonts w:hint="eastAsia"/>
                <w:lang w:eastAsia="zh-CN"/>
              </w:rPr>
              <w:t>（</w:t>
            </w:r>
            <w:r>
              <w:rPr>
                <w:rFonts w:hint="eastAsia"/>
                <w:lang w:val="en-US" w:eastAsia="zh-CN"/>
              </w:rPr>
              <w:t>2</w:t>
            </w:r>
            <w:r>
              <w:rPr>
                <w:rFonts w:hint="eastAsia"/>
                <w:lang w:eastAsia="zh-CN"/>
              </w:rPr>
              <w:t>）</w:t>
            </w:r>
            <w:r>
              <w:rPr>
                <w:rFonts w:hint="default"/>
              </w:rPr>
              <w:t>防渗要求</w:t>
            </w:r>
          </w:p>
          <w:p>
            <w:pPr>
              <w:pStyle w:val="42"/>
              <w:keepNext w:val="0"/>
              <w:keepLines w:val="0"/>
              <w:suppressLineNumbers w:val="0"/>
              <w:bidi w:val="0"/>
              <w:spacing w:before="0" w:beforeAutospacing="0" w:after="0" w:afterAutospacing="0"/>
              <w:ind w:left="0" w:right="0"/>
              <w:rPr>
                <w:rFonts w:hint="default"/>
              </w:rPr>
            </w:pPr>
            <w:r>
              <w:rPr>
                <w:rFonts w:hint="default"/>
              </w:rPr>
              <w:fldChar w:fldCharType="begin"/>
            </w:r>
            <w:r>
              <w:rPr>
                <w:rFonts w:hint="default"/>
              </w:rPr>
              <w:instrText xml:space="preserve"> = 1 \* GB3 \* MERGEFORMAT </w:instrText>
            </w:r>
            <w:r>
              <w:rPr>
                <w:rFonts w:hint="default"/>
              </w:rPr>
              <w:fldChar w:fldCharType="separate"/>
            </w:r>
            <w:r>
              <w:rPr>
                <w:rFonts w:hint="default"/>
              </w:rPr>
              <w:t>①</w:t>
            </w:r>
            <w:r>
              <w:rPr>
                <w:rFonts w:hint="default"/>
              </w:rPr>
              <w:fldChar w:fldCharType="end"/>
            </w:r>
            <w:r>
              <w:rPr>
                <w:rFonts w:hint="default"/>
              </w:rPr>
              <w:t>重点防渗区</w:t>
            </w:r>
          </w:p>
          <w:p>
            <w:pPr>
              <w:pStyle w:val="42"/>
              <w:keepNext w:val="0"/>
              <w:keepLines w:val="0"/>
              <w:suppressLineNumbers w:val="0"/>
              <w:bidi w:val="0"/>
              <w:spacing w:before="0" w:beforeAutospacing="0" w:after="0" w:afterAutospacing="0"/>
              <w:ind w:left="0" w:right="0"/>
              <w:rPr>
                <w:rFonts w:hint="default" w:eastAsia="宋体"/>
                <w:lang w:val="en-US" w:eastAsia="zh-CN"/>
              </w:rPr>
            </w:pPr>
            <w:r>
              <w:rPr>
                <w:rFonts w:hint="default"/>
              </w:rPr>
              <w:t>指污染地下水环境的物料泄漏后，不容易被及时发现和处理的区域。本项目重点污染防治区主要包括</w:t>
            </w:r>
            <w:r>
              <w:rPr>
                <w:rFonts w:hint="default" w:ascii="Times New Roman" w:hAnsi="Times New Roman" w:eastAsia="宋体" w:cs="Times New Roman"/>
                <w:szCs w:val="21"/>
                <w:lang w:val="en-US" w:eastAsia="zh-CN"/>
              </w:rPr>
              <w:t>危废仓、</w:t>
            </w:r>
            <w:r>
              <w:rPr>
                <w:rFonts w:hint="eastAsia"/>
                <w:lang w:val="en-US" w:eastAsia="zh-CN"/>
              </w:rPr>
              <w:t>铝壳废边暂存间</w:t>
            </w:r>
            <w:r>
              <w:rPr>
                <w:rFonts w:hint="default" w:ascii="Times New Roman" w:hAnsi="Times New Roman" w:eastAsia="宋体" w:cs="Times New Roman"/>
                <w:highlight w:val="none"/>
              </w:rPr>
              <w:t>、</w:t>
            </w:r>
            <w:r>
              <w:rPr>
                <w:rFonts w:hint="default" w:ascii="Times New Roman" w:hAnsi="Times New Roman" w:eastAsia="宋体" w:cs="Times New Roman"/>
                <w:szCs w:val="21"/>
                <w:highlight w:val="none"/>
                <w:lang w:val="en-US" w:eastAsia="zh-CN"/>
              </w:rPr>
              <w:t>危化品仓</w:t>
            </w:r>
            <w:r>
              <w:rPr>
                <w:rFonts w:hint="default" w:ascii="Times New Roman" w:hAnsi="Times New Roman" w:eastAsia="宋体" w:cs="Times New Roman"/>
                <w:highlight w:val="none"/>
              </w:rPr>
              <w:t>、</w:t>
            </w:r>
            <w:r>
              <w:rPr>
                <w:rFonts w:hint="default" w:ascii="Times New Roman" w:hAnsi="Times New Roman" w:eastAsia="宋体" w:cs="Times New Roman"/>
                <w:highlight w:val="none"/>
                <w:lang w:val="en-US" w:eastAsia="zh-CN"/>
              </w:rPr>
              <w:t>污水收集管线</w:t>
            </w:r>
            <w:r>
              <w:rPr>
                <w:rFonts w:hint="default"/>
              </w:rPr>
              <w:t>。</w:t>
            </w:r>
            <w:r>
              <w:rPr>
                <w:rFonts w:hint="eastAsia"/>
                <w:lang w:val="en-US" w:eastAsia="zh-CN"/>
              </w:rPr>
              <w:t>其中</w:t>
            </w:r>
            <w:r>
              <w:rPr>
                <w:rFonts w:hint="default" w:ascii="Times New Roman" w:hAnsi="Times New Roman" w:eastAsia="宋体" w:cs="Times New Roman"/>
                <w:szCs w:val="21"/>
                <w:lang w:val="en-US" w:eastAsia="zh-CN"/>
              </w:rPr>
              <w:t>危废仓、</w:t>
            </w:r>
            <w:r>
              <w:rPr>
                <w:rFonts w:hint="default" w:ascii="Times New Roman" w:hAnsi="Times New Roman" w:eastAsia="宋体" w:cs="Times New Roman"/>
                <w:szCs w:val="21"/>
                <w:highlight w:val="none"/>
                <w:lang w:val="en-US" w:eastAsia="zh-CN"/>
              </w:rPr>
              <w:t>危化品仓</w:t>
            </w:r>
            <w:r>
              <w:rPr>
                <w:rFonts w:hint="default" w:ascii="Times New Roman" w:hAnsi="Times New Roman" w:eastAsia="宋体" w:cs="Times New Roman"/>
                <w:highlight w:val="none"/>
              </w:rPr>
              <w:t>、</w:t>
            </w:r>
            <w:r>
              <w:rPr>
                <w:rFonts w:hint="default" w:ascii="Times New Roman" w:hAnsi="Times New Roman" w:eastAsia="宋体" w:cs="Times New Roman"/>
                <w:highlight w:val="none"/>
                <w:lang w:val="en-US" w:eastAsia="zh-CN"/>
              </w:rPr>
              <w:t>污水收集管</w:t>
            </w:r>
            <w:r>
              <w:rPr>
                <w:rFonts w:hint="eastAsia" w:ascii="Times New Roman" w:hAnsi="Times New Roman" w:eastAsia="宋体" w:cs="Times New Roman"/>
                <w:highlight w:val="none"/>
                <w:lang w:val="en-US" w:eastAsia="zh-CN"/>
              </w:rPr>
              <w:t>已按重点防渗区进行防渗。</w:t>
            </w:r>
          </w:p>
          <w:p>
            <w:pPr>
              <w:pStyle w:val="42"/>
              <w:keepNext w:val="0"/>
              <w:keepLines w:val="0"/>
              <w:suppressLineNumbers w:val="0"/>
              <w:bidi w:val="0"/>
              <w:spacing w:before="0" w:beforeAutospacing="0" w:after="0" w:afterAutospacing="0"/>
              <w:ind w:left="0" w:right="0"/>
              <w:rPr>
                <w:rFonts w:hint="default"/>
              </w:rPr>
            </w:pPr>
            <w:r>
              <w:rPr>
                <w:rFonts w:hint="default"/>
              </w:rPr>
              <w:t>重点污染区防渗要求：</w:t>
            </w:r>
            <w:r>
              <w:rPr>
                <w:rFonts w:hint="default"/>
                <w:lang w:val="en-US" w:eastAsia="zh-CN"/>
              </w:rPr>
              <w:t>参照</w:t>
            </w:r>
            <w:r>
              <w:rPr>
                <w:rFonts w:hint="default"/>
              </w:rPr>
              <w:t>《危险废物贮存污染控制标准》（GB18597-2001）、《危险废物污染防治技术政策》等危险废物处理的相关标准、法律法规的要求</w:t>
            </w:r>
            <w:r>
              <w:rPr>
                <w:rFonts w:hint="default"/>
                <w:lang w:val="en-US" w:eastAsia="zh-CN"/>
              </w:rPr>
              <w:t>进行设计，</w:t>
            </w:r>
            <w:r>
              <w:rPr>
                <w:rFonts w:hint="default"/>
              </w:rPr>
              <w:t>防渗层为至少1m厚黏土层（渗透系数≤10</w:t>
            </w:r>
            <w:r>
              <w:rPr>
                <w:rFonts w:hint="default"/>
                <w:vertAlign w:val="superscript"/>
              </w:rPr>
              <w:t>-7</w:t>
            </w:r>
            <w:r>
              <w:rPr>
                <w:rFonts w:hint="default"/>
              </w:rPr>
              <w:t>cm/s），或2mm厚高密度聚氯乙烯，或至少2mm厚</w:t>
            </w:r>
            <w:r>
              <w:rPr>
                <w:rFonts w:hint="eastAsia"/>
                <w:lang w:eastAsia="zh-CN"/>
              </w:rPr>
              <w:t>的其他</w:t>
            </w:r>
            <w:r>
              <w:rPr>
                <w:rFonts w:hint="default"/>
              </w:rPr>
              <w:t>人工材料，渗透系数≤10</w:t>
            </w:r>
            <w:r>
              <w:rPr>
                <w:rFonts w:hint="default"/>
                <w:vertAlign w:val="superscript"/>
              </w:rPr>
              <w:t>-10</w:t>
            </w:r>
            <w:r>
              <w:rPr>
                <w:rFonts w:hint="default"/>
              </w:rPr>
              <w:t>cm/s。</w:t>
            </w:r>
          </w:p>
          <w:p>
            <w:pPr>
              <w:pStyle w:val="42"/>
              <w:keepNext w:val="0"/>
              <w:keepLines w:val="0"/>
              <w:suppressLineNumbers w:val="0"/>
              <w:bidi w:val="0"/>
              <w:spacing w:before="0" w:beforeAutospacing="0" w:after="0" w:afterAutospacing="0"/>
              <w:ind w:left="0" w:right="0"/>
              <w:rPr>
                <w:rFonts w:hint="default"/>
              </w:rPr>
            </w:pPr>
            <w:r>
              <w:rPr>
                <w:rFonts w:hint="default"/>
              </w:rPr>
              <w:fldChar w:fldCharType="begin"/>
            </w:r>
            <w:r>
              <w:rPr>
                <w:rFonts w:hint="default"/>
              </w:rPr>
              <w:instrText xml:space="preserve"> = 2 \* GB3 \* MERGEFORMAT </w:instrText>
            </w:r>
            <w:r>
              <w:rPr>
                <w:rFonts w:hint="default"/>
              </w:rPr>
              <w:fldChar w:fldCharType="separate"/>
            </w:r>
            <w:r>
              <w:rPr>
                <w:rFonts w:hint="default"/>
              </w:rPr>
              <w:t>②</w:t>
            </w:r>
            <w:r>
              <w:rPr>
                <w:rFonts w:hint="default"/>
              </w:rPr>
              <w:fldChar w:fldCharType="end"/>
            </w:r>
            <w:r>
              <w:rPr>
                <w:rFonts w:hint="default"/>
              </w:rPr>
              <w:t>一般防渗区</w:t>
            </w:r>
          </w:p>
          <w:p>
            <w:pPr>
              <w:pStyle w:val="42"/>
              <w:keepNext w:val="0"/>
              <w:keepLines w:val="0"/>
              <w:suppressLineNumbers w:val="0"/>
              <w:bidi w:val="0"/>
              <w:spacing w:before="0" w:beforeAutospacing="0" w:after="0" w:afterAutospacing="0"/>
              <w:ind w:left="0" w:right="0"/>
              <w:rPr>
                <w:rFonts w:hint="default"/>
              </w:rPr>
            </w:pPr>
            <w:r>
              <w:rPr>
                <w:rFonts w:hint="default"/>
              </w:rPr>
              <w:t>指裸露于地面的生产功能单元，污染地下水环境的物料泄漏后，容易被及时发现和处理的区域。本项目主要包括污水处理站、一般固废暂存</w:t>
            </w:r>
            <w:r>
              <w:rPr>
                <w:rFonts w:hint="default"/>
                <w:lang w:val="en-US" w:eastAsia="zh-CN"/>
              </w:rPr>
              <w:t>间（冲压料报废仓、其他报废仓</w:t>
            </w:r>
            <w:r>
              <w:rPr>
                <w:rFonts w:hint="eastAsia"/>
                <w:lang w:val="en-US" w:eastAsia="zh-CN"/>
              </w:rPr>
              <w:t>、清洗后铝壳废边暂存区</w:t>
            </w:r>
            <w:r>
              <w:rPr>
                <w:rFonts w:hint="default"/>
                <w:lang w:val="en-US" w:eastAsia="zh-CN"/>
              </w:rPr>
              <w:t>）等区域</w:t>
            </w:r>
            <w:r>
              <w:rPr>
                <w:rFonts w:hint="default"/>
              </w:rPr>
              <w:t>。</w:t>
            </w:r>
          </w:p>
          <w:p>
            <w:pPr>
              <w:pStyle w:val="42"/>
              <w:keepNext w:val="0"/>
              <w:keepLines w:val="0"/>
              <w:suppressLineNumbers w:val="0"/>
              <w:bidi w:val="0"/>
              <w:spacing w:before="0" w:beforeAutospacing="0" w:after="0" w:afterAutospacing="0"/>
              <w:ind w:left="0" w:right="0"/>
              <w:rPr>
                <w:rFonts w:hint="default"/>
              </w:rPr>
            </w:pPr>
            <w:r>
              <w:rPr>
                <w:rFonts w:hint="default"/>
              </w:rPr>
              <w:t>对于一般污染防治区，参照《一般工业固体废物贮存和填埋场污染控制标准》(GB18599-2020)Ⅱ类场进行设计。</w:t>
            </w:r>
          </w:p>
          <w:p>
            <w:pPr>
              <w:pStyle w:val="42"/>
              <w:keepNext w:val="0"/>
              <w:keepLines w:val="0"/>
              <w:suppressLineNumbers w:val="0"/>
              <w:bidi w:val="0"/>
              <w:spacing w:before="0" w:beforeAutospacing="0" w:after="0" w:afterAutospacing="0"/>
              <w:ind w:left="0" w:right="0"/>
              <w:rPr>
                <w:rFonts w:hint="default"/>
              </w:rPr>
            </w:pPr>
            <w:r>
              <w:rPr>
                <w:rFonts w:hint="default"/>
              </w:rPr>
              <w:t>一般污染区防渗要求：人工合成材料应采用高密度聚乙烯膜，厚度不小于1.5 mm，并满足GB/T17643规定的技术指标要求。采用其他人工合成材料的，其防渗性能至少相当于1.5 mm高密度聚乙烯膜的防渗性能。粘土衬层厚度应不小于0.75 m，且经压实、人工改性等措施处理后的饱和渗透系数不应大于1.0×10-7cm/s。使用其他</w:t>
            </w:r>
            <w:r>
              <w:rPr>
                <w:rFonts w:hint="default"/>
                <w:lang w:eastAsia="zh-CN"/>
              </w:rPr>
              <w:t>黏土</w:t>
            </w:r>
            <w:r>
              <w:rPr>
                <w:rFonts w:hint="default"/>
              </w:rPr>
              <w:t>类防渗衬层材料时，应具有同等以上隔水效力。</w:t>
            </w:r>
          </w:p>
          <w:p>
            <w:pPr>
              <w:pStyle w:val="42"/>
              <w:keepNext w:val="0"/>
              <w:keepLines w:val="0"/>
              <w:suppressLineNumbers w:val="0"/>
              <w:bidi w:val="0"/>
              <w:spacing w:before="0" w:beforeAutospacing="0" w:after="0" w:afterAutospacing="0"/>
              <w:ind w:left="0" w:right="0"/>
              <w:rPr>
                <w:rFonts w:hint="default"/>
              </w:rPr>
            </w:pPr>
            <w:r>
              <w:rPr>
                <w:rFonts w:hint="default"/>
              </w:rPr>
              <w:fldChar w:fldCharType="begin"/>
            </w:r>
            <w:r>
              <w:rPr>
                <w:rFonts w:hint="default"/>
              </w:rPr>
              <w:instrText xml:space="preserve"> = 3 \* GB3 \* MERGEFORMAT </w:instrText>
            </w:r>
            <w:r>
              <w:rPr>
                <w:rFonts w:hint="default"/>
              </w:rPr>
              <w:fldChar w:fldCharType="separate"/>
            </w:r>
            <w:r>
              <w:rPr>
                <w:rFonts w:hint="default"/>
              </w:rPr>
              <w:t>③</w:t>
            </w:r>
            <w:r>
              <w:rPr>
                <w:rFonts w:hint="default"/>
              </w:rPr>
              <w:fldChar w:fldCharType="end"/>
            </w:r>
            <w:r>
              <w:rPr>
                <w:rFonts w:hint="default"/>
              </w:rPr>
              <w:t>简单防渗区</w:t>
            </w:r>
          </w:p>
          <w:p>
            <w:pPr>
              <w:pStyle w:val="42"/>
              <w:keepNext w:val="0"/>
              <w:keepLines w:val="0"/>
              <w:suppressLineNumbers w:val="0"/>
              <w:bidi w:val="0"/>
              <w:spacing w:before="0" w:beforeAutospacing="0" w:after="0" w:afterAutospacing="0"/>
              <w:ind w:left="0" w:right="0"/>
              <w:rPr>
                <w:rFonts w:hint="default"/>
              </w:rPr>
            </w:pPr>
            <w:r>
              <w:rPr>
                <w:rFonts w:hint="default"/>
              </w:rPr>
              <w:t>指不会对地下水环境造成污染的区域，主要包括</w:t>
            </w:r>
            <w:r>
              <w:rPr>
                <w:rFonts w:hint="eastAsia"/>
                <w:lang w:val="en-US" w:eastAsia="zh-CN"/>
              </w:rPr>
              <w:t>生产车间、</w:t>
            </w:r>
            <w:r>
              <w:rPr>
                <w:rFonts w:hint="default"/>
                <w:lang w:val="en-US" w:eastAsia="zh-CN"/>
              </w:rPr>
              <w:t>办公区及厂内道路</w:t>
            </w:r>
            <w:r>
              <w:rPr>
                <w:rFonts w:hint="default"/>
              </w:rPr>
              <w:t>等。对于基本上不产生污染物的非污染防治区，不采取专门针对地下水污染的防治措施，但装置区外系统管廊区地基处理应分层压实。</w:t>
            </w:r>
          </w:p>
          <w:p>
            <w:pPr>
              <w:pStyle w:val="42"/>
              <w:keepNext w:val="0"/>
              <w:keepLines w:val="0"/>
              <w:suppressLineNumbers w:val="0"/>
              <w:bidi w:val="0"/>
              <w:spacing w:before="0" w:beforeAutospacing="0" w:after="0" w:afterAutospacing="0"/>
              <w:ind w:left="0" w:right="0"/>
              <w:rPr>
                <w:rFonts w:hint="default"/>
              </w:rPr>
            </w:pPr>
            <w:r>
              <w:rPr>
                <w:rFonts w:hint="default"/>
              </w:rPr>
              <w:t>为保证防渗工程正常施工、运行，达到设计防渗等级，应对工程质量进行管理控制：</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rPr>
            </w:pPr>
            <w:r>
              <w:rPr>
                <w:rFonts w:hint="default" w:ascii="Times New Roman" w:hAnsi="Times New Roman" w:eastAsia="宋体" w:cs="Times New Roman"/>
              </w:rPr>
              <w:t>a.选择具有相应资质的设计单位对工程进行设计，防渗工程的设计符合相应要求及设计规范；</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rPr>
            </w:pPr>
            <w:r>
              <w:rPr>
                <w:rFonts w:hint="default" w:ascii="Times New Roman" w:hAnsi="Times New Roman" w:eastAsia="宋体" w:cs="Times New Roman"/>
              </w:rPr>
              <w:t>b.工程材料符合设计要求，并按照有关规定和要求进行质量检验，保证使用材料全部合格；</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rPr>
            </w:pPr>
            <w:r>
              <w:rPr>
                <w:rFonts w:hint="default" w:ascii="Times New Roman" w:hAnsi="Times New Roman" w:eastAsia="宋体" w:cs="Times New Roman"/>
              </w:rPr>
              <w:t>c.聘请优秀专业施工队伍，施工方法符合规范要求；</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rPr>
            </w:pPr>
            <w:r>
              <w:rPr>
                <w:rFonts w:hint="default" w:ascii="Times New Roman" w:hAnsi="Times New Roman" w:eastAsia="宋体" w:cs="Times New Roman"/>
              </w:rPr>
              <w:t>d.工程完工后应进行质量检测；</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rPr>
            </w:pPr>
            <w:r>
              <w:rPr>
                <w:rFonts w:hint="default" w:ascii="Times New Roman" w:hAnsi="Times New Roman" w:eastAsia="宋体" w:cs="Times New Roman"/>
              </w:rPr>
              <w:t>e.在防渗措施投入使用后，应加强日常的维护管理。</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rPr>
            </w:pPr>
            <w:r>
              <w:rPr>
                <w:rFonts w:hint="default" w:ascii="Times New Roman" w:hAnsi="Times New Roman" w:eastAsia="宋体" w:cs="Times New Roman"/>
              </w:rPr>
              <w:t>综上所述，采取分区防渗等措施后，对土壤及地下水环境影响较小，防治措施可行。</w:t>
            </w:r>
          </w:p>
          <w:p>
            <w:pPr>
              <w:pStyle w:val="42"/>
              <w:keepNext w:val="0"/>
              <w:keepLines w:val="0"/>
              <w:suppressLineNumbers w:val="0"/>
              <w:bidi w:val="0"/>
              <w:spacing w:before="0" w:beforeAutospacing="0" w:after="0" w:afterAutospacing="0" w:line="360" w:lineRule="auto"/>
              <w:ind w:left="0" w:right="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（3）防扩散措施</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rPr>
            </w:pPr>
            <w:r>
              <w:rPr>
                <w:rFonts w:hint="default" w:ascii="Times New Roman" w:hAnsi="Times New Roman" w:eastAsia="宋体" w:cs="Times New Roman"/>
              </w:rPr>
              <w:t>①项目</w:t>
            </w:r>
            <w:r>
              <w:rPr>
                <w:rFonts w:hint="default" w:ascii="Times New Roman" w:hAnsi="Times New Roman" w:eastAsia="宋体" w:cs="Times New Roman"/>
                <w:szCs w:val="21"/>
                <w:lang w:val="en-US" w:eastAsia="zh-CN"/>
              </w:rPr>
              <w:t>危废仓、</w:t>
            </w:r>
            <w:r>
              <w:rPr>
                <w:rFonts w:hint="eastAsia"/>
                <w:lang w:val="en-US" w:eastAsia="zh-CN"/>
              </w:rPr>
              <w:t>铝壳废边暂存间</w:t>
            </w:r>
            <w:r>
              <w:rPr>
                <w:rFonts w:hint="default" w:ascii="Times New Roman" w:hAnsi="Times New Roman" w:eastAsia="宋体" w:cs="Times New Roman"/>
                <w:highlight w:val="none"/>
              </w:rPr>
              <w:t>、</w:t>
            </w:r>
            <w:r>
              <w:rPr>
                <w:rFonts w:hint="default" w:ascii="Times New Roman" w:hAnsi="Times New Roman" w:eastAsia="宋体" w:cs="Times New Roman"/>
                <w:szCs w:val="21"/>
                <w:highlight w:val="none"/>
                <w:lang w:val="en-US" w:eastAsia="zh-CN"/>
              </w:rPr>
              <w:t>危化品仓</w:t>
            </w:r>
            <w:r>
              <w:rPr>
                <w:rFonts w:hint="default" w:ascii="Times New Roman" w:hAnsi="Times New Roman" w:eastAsia="宋体" w:cs="Times New Roman"/>
              </w:rPr>
              <w:t>等四周建设导流沟装置，防止危险废物、液态原料等泄漏时四处扩散，并可</w:t>
            </w:r>
            <w:r>
              <w:rPr>
                <w:rFonts w:hint="eastAsia" w:ascii="Times New Roman" w:hAnsi="Times New Roman" w:eastAsia="宋体" w:cs="Times New Roman"/>
                <w:lang w:eastAsia="zh-CN"/>
              </w:rPr>
              <w:t>及时</w:t>
            </w:r>
            <w:r>
              <w:rPr>
                <w:rFonts w:hint="default" w:ascii="Times New Roman" w:hAnsi="Times New Roman" w:eastAsia="宋体" w:cs="Times New Roman"/>
              </w:rPr>
              <w:t>移除或者清理污染源；</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rPr>
            </w:pPr>
            <w:r>
              <w:rPr>
                <w:rFonts w:hint="default" w:ascii="Times New Roman" w:hAnsi="Times New Roman" w:eastAsia="宋体" w:cs="Times New Roman"/>
              </w:rPr>
              <w:t>②若发生危险废物泄漏、生产废水处理设施泄漏等，必要时委托有资质的单位对厂址周边地下水、土壤等进行跟踪监测，掌握厂址周边污染变化趋势。</w:t>
            </w:r>
          </w:p>
          <w:p>
            <w:pPr>
              <w:pStyle w:val="42"/>
              <w:keepNext w:val="0"/>
              <w:keepLines w:val="0"/>
              <w:suppressLineNumbers w:val="0"/>
              <w:bidi w:val="0"/>
              <w:spacing w:before="0" w:beforeAutospacing="0" w:after="0" w:afterAutospacing="0"/>
              <w:ind w:left="0" w:right="0"/>
              <w:rPr>
                <w:rFonts w:hint="default"/>
                <w:lang w:val="en-US" w:eastAsia="zh-CN"/>
              </w:rPr>
            </w:pPr>
            <w:r>
              <w:rPr>
                <w:rFonts w:hint="default"/>
              </w:rPr>
              <w:t>③在今后的生产活动中，做好设备维护、检修，杜绝跑、冒、滴、漏现象。同时，加强污染物产生主要环节的收集治理，加强厂区安全防护、环境风险防范措施，以便及时发现事故隐患，及时采取有效的应对措施。</w:t>
            </w:r>
          </w:p>
          <w:p>
            <w:pPr>
              <w:pStyle w:val="42"/>
              <w:keepNext w:val="0"/>
              <w:keepLines w:val="0"/>
              <w:suppressLineNumbers w:val="0"/>
              <w:bidi w:val="0"/>
              <w:spacing w:before="0" w:beforeAutospacing="0" w:after="0" w:afterAutospacing="0" w:line="360" w:lineRule="auto"/>
              <w:ind w:left="0" w:right="0"/>
              <w:rPr>
                <w:rFonts w:hint="default" w:ascii="Times New Roman" w:hAnsi="Times New Roman" w:eastAsia="宋体" w:cs="Times New Roman"/>
                <w:lang w:val="en-US" w:eastAsia="zh-CN"/>
              </w:rPr>
            </w:pPr>
            <w:r>
              <w:rPr>
                <w:rFonts w:hint="default" w:ascii="Times New Roman" w:hAnsi="Times New Roman" w:eastAsia="宋体" w:cs="Times New Roman"/>
              </w:rPr>
              <w:t>④</w:t>
            </w:r>
            <w:r>
              <w:rPr>
                <w:rFonts w:hint="default" w:ascii="Times New Roman" w:hAnsi="Times New Roman" w:eastAsia="宋体" w:cs="Times New Roman"/>
                <w:lang w:val="en-US" w:eastAsia="zh-CN"/>
              </w:rPr>
              <w:t>项目防渗层如果发生破损等防渗层性能降低的情况下，项目污染源对潜水含水层环境有一定的影响，因此环评要求应对危废暂存间及污水处理站设置必要的检漏时间及周期，在一个检漏周期内，对可能有污染物跑冒滴漏等产生的地区进行必要的检漏工作，及时发现污染物渗漏等事件，采取补救措施。</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lang w:val="en-US" w:eastAsia="zh-CN"/>
              </w:rPr>
            </w:pPr>
            <w:r>
              <w:rPr>
                <w:rFonts w:hint="default" w:ascii="Times New Roman" w:hAnsi="Times New Roman" w:eastAsia="宋体" w:cs="Times New Roman"/>
              </w:rPr>
              <w:t>综上，</w:t>
            </w:r>
            <w:r>
              <w:rPr>
                <w:rFonts w:hint="default" w:ascii="Times New Roman" w:hAnsi="Times New Roman" w:eastAsia="宋体" w:cs="Times New Roman"/>
                <w:lang w:val="en-US" w:eastAsia="zh-CN"/>
              </w:rPr>
              <w:t>项目经采取上述分区防渗措施后，对区域地下水、土壤环境影响较小。</w:t>
            </w:r>
          </w:p>
          <w:p>
            <w:pPr>
              <w:pStyle w:val="4"/>
              <w:keepNext w:val="0"/>
              <w:keepLines w:val="0"/>
              <w:suppressLineNumbers w:val="0"/>
              <w:bidi w:val="0"/>
              <w:spacing w:before="0" w:beforeAutospacing="0" w:after="0" w:afterAutospacing="0"/>
              <w:ind w:left="0" w:right="0"/>
              <w:rPr>
                <w:rFonts w:hint="default"/>
              </w:rPr>
            </w:pPr>
            <w:r>
              <w:rPr>
                <w:rFonts w:hint="eastAsia"/>
              </w:rPr>
              <w:t>环境风险</w:t>
            </w:r>
          </w:p>
          <w:p>
            <w:pPr>
              <w:pStyle w:val="5"/>
              <w:suppressLineNumbers w:val="0"/>
              <w:bidi w:val="0"/>
              <w:spacing w:before="0" w:beforeAutospacing="0" w:after="0" w:afterAutospacing="0"/>
              <w:ind w:right="0"/>
              <w:rPr>
                <w:rFonts w:hint="default"/>
              </w:rPr>
            </w:pPr>
            <w:r>
              <w:rPr>
                <w:rFonts w:hint="default"/>
              </w:rPr>
              <w:t>风险调查</w:t>
            </w:r>
          </w:p>
          <w:p>
            <w:pPr>
              <w:pStyle w:val="42"/>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根据《建设项目环境风险评价技术导则》（HJ169-2018），项目风险识别范围主要包括生产设施风险识别和生产过程涉及的物质风险识别。项目生产设施主要包括生产装置、储运设施、公用工程和辅助生产设施以及环境保护设施等。物质风险识别主要包括原辅材料、燃料、中间产品、副产品、最终产品、污染物、火灾和爆炸伴生/次生物等。</w:t>
            </w:r>
          </w:p>
          <w:p>
            <w:pPr>
              <w:pStyle w:val="42"/>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bidi="ar"/>
              </w:rPr>
              <w:t>结合本项目分析，项目涉及的环境风险物质</w:t>
            </w:r>
            <w:r>
              <w:rPr>
                <w:rFonts w:hint="default" w:ascii="Times New Roman" w:hAnsi="Times New Roman" w:eastAsia="宋体" w:cs="Times New Roman"/>
                <w:sz w:val="24"/>
                <w:szCs w:val="24"/>
                <w:highlight w:val="none"/>
                <w:lang w:val="en-US" w:eastAsia="zh-CN" w:bidi="ar"/>
              </w:rPr>
              <w:t>主要为拉伸油、清洗废水（COD浓度≥10000mg/L）</w:t>
            </w:r>
            <w:r>
              <w:rPr>
                <w:rFonts w:hint="default" w:ascii="Times New Roman" w:hAnsi="Times New Roman" w:eastAsia="宋体" w:cs="Times New Roman"/>
                <w:sz w:val="24"/>
                <w:szCs w:val="24"/>
                <w:highlight w:val="none"/>
                <w:lang w:bidi="ar"/>
              </w:rPr>
              <w:t>。涉及的危险物质见下表</w:t>
            </w:r>
            <w:r>
              <w:rPr>
                <w:rFonts w:hint="default" w:ascii="Times New Roman" w:hAnsi="Times New Roman" w:eastAsia="宋体" w:cs="Times New Roman"/>
                <w:sz w:val="24"/>
                <w:szCs w:val="24"/>
                <w:highlight w:val="none"/>
                <w:lang w:eastAsia="zh-CN" w:bidi="ar"/>
              </w:rPr>
              <w:t>。</w:t>
            </w:r>
          </w:p>
          <w:p>
            <w:pPr>
              <w:pStyle w:val="36"/>
              <w:keepNext w:val="0"/>
              <w:keepLines w:val="0"/>
              <w:suppressLineNumbers w:val="0"/>
              <w:bidi w:val="0"/>
              <w:spacing w:before="0" w:beforeAutospacing="0" w:after="0" w:afterAutospacing="0"/>
              <w:ind w:right="0"/>
              <w:rPr>
                <w:rFonts w:hint="default"/>
                <w:highlight w:val="none"/>
                <w:lang w:val="en-US" w:eastAsia="zh-CN"/>
              </w:rPr>
            </w:pPr>
            <w:r>
              <w:rPr>
                <w:rFonts w:hint="default"/>
                <w:highlight w:val="none"/>
                <w:lang w:val="en-US" w:eastAsia="zh-CN"/>
              </w:rPr>
              <w:t>本项目风险物质量大储存量和分布情况一览表</w:t>
            </w:r>
            <w:commentRangeStart w:id="15"/>
            <w:commentRangeStart w:id="16"/>
            <w:r>
              <w:rPr>
                <w:rFonts w:hint="default"/>
                <w:highlight w:val="none"/>
              </w:rPr>
              <w:commentReference w:id="15"/>
            </w:r>
            <w:commentRangeEnd w:id="15"/>
            <w:commentRangeEnd w:id="16"/>
            <w:r>
              <w:rPr>
                <w:rFonts w:hint="default"/>
                <w:highlight w:val="none"/>
              </w:rPr>
              <w:commentReference w:id="16"/>
            </w:r>
          </w:p>
          <w:tbl>
            <w:tblPr>
              <w:tblStyle w:val="27"/>
              <w:tblW w:w="838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125"/>
              <w:gridCol w:w="1618"/>
              <w:gridCol w:w="1590"/>
              <w:gridCol w:w="1519"/>
              <w:gridCol w:w="991"/>
              <w:gridCol w:w="99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54"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rPr>
                  </w:pPr>
                  <w:r>
                    <w:rPr>
                      <w:rFonts w:hint="default"/>
                      <w:highlight w:val="none"/>
                    </w:rPr>
                    <w:t>序号</w:t>
                  </w:r>
                </w:p>
              </w:tc>
              <w:tc>
                <w:tcPr>
                  <w:tcW w:w="1125"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rPr>
                  </w:pPr>
                  <w:r>
                    <w:rPr>
                      <w:rFonts w:hint="default"/>
                      <w:highlight w:val="none"/>
                    </w:rPr>
                    <w:t>名称</w:t>
                  </w:r>
                </w:p>
              </w:tc>
              <w:tc>
                <w:tcPr>
                  <w:tcW w:w="1618"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rPr>
                  </w:pPr>
                  <w:r>
                    <w:rPr>
                      <w:rFonts w:hint="default"/>
                      <w:highlight w:val="none"/>
                    </w:rPr>
                    <w:t>储存位置</w:t>
                  </w:r>
                </w:p>
              </w:tc>
              <w:tc>
                <w:tcPr>
                  <w:tcW w:w="1590"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rPr>
                  </w:pPr>
                  <w:r>
                    <w:rPr>
                      <w:rFonts w:hint="default"/>
                      <w:highlight w:val="none"/>
                    </w:rPr>
                    <w:t>在线/仓储量（t）</w:t>
                  </w:r>
                </w:p>
              </w:tc>
              <w:tc>
                <w:tcPr>
                  <w:tcW w:w="1519"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rPr>
                  </w:pPr>
                  <w:r>
                    <w:rPr>
                      <w:rFonts w:hint="default"/>
                      <w:highlight w:val="none"/>
                    </w:rPr>
                    <w:t>厂内最大存在量（t）</w:t>
                  </w:r>
                </w:p>
              </w:tc>
              <w:tc>
                <w:tcPr>
                  <w:tcW w:w="991"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rPr>
                  </w:pPr>
                  <w:r>
                    <w:rPr>
                      <w:rFonts w:hint="default"/>
                      <w:highlight w:val="none"/>
                    </w:rPr>
                    <w:t>临界量/t</w:t>
                  </w:r>
                </w:p>
              </w:tc>
              <w:tc>
                <w:tcPr>
                  <w:tcW w:w="991"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eastAsia="宋体"/>
                      <w:highlight w:val="none"/>
                      <w:lang w:val="en-US" w:eastAsia="zh-CN"/>
                    </w:rPr>
                  </w:pPr>
                  <w:r>
                    <w:rPr>
                      <w:rFonts w:hint="eastAsia"/>
                      <w:highlight w:val="none"/>
                      <w:lang w:val="en-US" w:eastAsia="zh-CN"/>
                    </w:rPr>
                    <w:t>Q值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4" w:type="dxa"/>
                  <w:vMerge w:val="restart"/>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rPr>
                  </w:pPr>
                  <w:r>
                    <w:rPr>
                      <w:rFonts w:hint="default"/>
                      <w:highlight w:val="none"/>
                    </w:rPr>
                    <w:t>1</w:t>
                  </w:r>
                </w:p>
              </w:tc>
              <w:tc>
                <w:tcPr>
                  <w:tcW w:w="1125" w:type="dxa"/>
                  <w:vMerge w:val="restart"/>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lang w:eastAsia="zh-CN"/>
                    </w:rPr>
                  </w:pPr>
                  <w:r>
                    <w:rPr>
                      <w:rFonts w:hint="default"/>
                      <w:highlight w:val="none"/>
                      <w:lang w:val="en-US" w:eastAsia="zh-CN"/>
                    </w:rPr>
                    <w:t>拉伸油</w:t>
                  </w:r>
                </w:p>
              </w:tc>
              <w:tc>
                <w:tcPr>
                  <w:tcW w:w="1618"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lang w:val="en-US" w:eastAsia="zh-CN"/>
                    </w:rPr>
                  </w:pPr>
                  <w:r>
                    <w:rPr>
                      <w:rFonts w:hint="eastAsia"/>
                      <w:highlight w:val="none"/>
                      <w:lang w:val="en-US" w:eastAsia="zh-CN"/>
                    </w:rPr>
                    <w:t>危化品仓</w:t>
                  </w:r>
                </w:p>
              </w:tc>
              <w:tc>
                <w:tcPr>
                  <w:tcW w:w="1590"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lang w:val="en-US" w:eastAsia="zh-CN"/>
                    </w:rPr>
                  </w:pPr>
                  <w:r>
                    <w:rPr>
                      <w:rFonts w:hint="default"/>
                      <w:highlight w:val="none"/>
                      <w:lang w:val="en-US" w:eastAsia="zh-CN"/>
                    </w:rPr>
                    <w:t>1.0</w:t>
                  </w:r>
                </w:p>
              </w:tc>
              <w:tc>
                <w:tcPr>
                  <w:tcW w:w="1519" w:type="dxa"/>
                  <w:vMerge w:val="restart"/>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lang w:val="en-US" w:eastAsia="zh-CN"/>
                    </w:rPr>
                  </w:pPr>
                  <w:r>
                    <w:rPr>
                      <w:rFonts w:hint="default"/>
                      <w:highlight w:val="none"/>
                      <w:lang w:val="en-US" w:eastAsia="zh-CN"/>
                    </w:rPr>
                    <w:t>18.78</w:t>
                  </w:r>
                </w:p>
              </w:tc>
              <w:tc>
                <w:tcPr>
                  <w:tcW w:w="991" w:type="dxa"/>
                  <w:vMerge w:val="restart"/>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lang w:val="en-US" w:eastAsia="zh-CN"/>
                    </w:rPr>
                  </w:pPr>
                  <w:r>
                    <w:rPr>
                      <w:rFonts w:hint="default"/>
                      <w:highlight w:val="none"/>
                      <w:lang w:val="en-US" w:eastAsia="zh-CN"/>
                    </w:rPr>
                    <w:t>2500</w:t>
                  </w:r>
                </w:p>
              </w:tc>
              <w:tc>
                <w:tcPr>
                  <w:tcW w:w="991" w:type="dxa"/>
                  <w:vMerge w:val="restart"/>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lang w:val="en-US" w:eastAsia="zh-CN"/>
                    </w:rPr>
                  </w:pPr>
                  <w:r>
                    <w:rPr>
                      <w:rFonts w:hint="eastAsia"/>
                      <w:highlight w:val="none"/>
                      <w:lang w:val="en-US" w:eastAsia="zh-CN"/>
                    </w:rPr>
                    <w:t>0.0075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4" w:type="dxa"/>
                  <w:vMerge w:val="continue"/>
                  <w:tcBorders>
                    <w:tl2br w:val="nil"/>
                    <w:tr2bl w:val="nil"/>
                  </w:tcBorders>
                  <w:shd w:val="clear" w:color="auto" w:fill="auto"/>
                  <w:vAlign w:val="center"/>
                </w:tcPr>
                <w:p>
                  <w:pPr>
                    <w:pStyle w:val="37"/>
                    <w:keepNext w:val="0"/>
                    <w:keepLines w:val="0"/>
                    <w:widowControl/>
                    <w:suppressLineNumbers w:val="0"/>
                    <w:spacing w:before="0" w:beforeAutospacing="0" w:after="0" w:afterAutospacing="0"/>
                    <w:ind w:left="0" w:right="0"/>
                    <w:rPr>
                      <w:rFonts w:hint="default"/>
                      <w:highlight w:val="none"/>
                    </w:rPr>
                  </w:pPr>
                </w:p>
              </w:tc>
              <w:tc>
                <w:tcPr>
                  <w:tcW w:w="1125" w:type="dxa"/>
                  <w:vMerge w:val="continue"/>
                  <w:tcBorders>
                    <w:tl2br w:val="nil"/>
                    <w:tr2bl w:val="nil"/>
                  </w:tcBorders>
                  <w:shd w:val="clear" w:color="auto" w:fill="auto"/>
                  <w:vAlign w:val="center"/>
                </w:tcPr>
                <w:p>
                  <w:pPr>
                    <w:pStyle w:val="37"/>
                    <w:keepNext w:val="0"/>
                    <w:keepLines w:val="0"/>
                    <w:widowControl/>
                    <w:suppressLineNumbers w:val="0"/>
                    <w:spacing w:before="0" w:beforeAutospacing="0" w:after="0" w:afterAutospacing="0"/>
                    <w:ind w:left="0" w:right="0"/>
                    <w:rPr>
                      <w:rFonts w:hint="default"/>
                      <w:highlight w:val="none"/>
                    </w:rPr>
                  </w:pPr>
                </w:p>
              </w:tc>
              <w:tc>
                <w:tcPr>
                  <w:tcW w:w="1618" w:type="dxa"/>
                  <w:tcBorders>
                    <w:tl2br w:val="nil"/>
                    <w:tr2bl w:val="nil"/>
                  </w:tcBorders>
                  <w:shd w:val="clear" w:color="auto" w:fill="auto"/>
                  <w:vAlign w:val="center"/>
                </w:tcPr>
                <w:p>
                  <w:pPr>
                    <w:pStyle w:val="37"/>
                    <w:keepNext w:val="0"/>
                    <w:keepLines w:val="0"/>
                    <w:widowControl/>
                    <w:suppressLineNumbers w:val="0"/>
                    <w:spacing w:before="0" w:beforeAutospacing="0" w:after="0" w:afterAutospacing="0"/>
                    <w:ind w:left="0" w:right="0"/>
                    <w:rPr>
                      <w:rFonts w:hint="default"/>
                      <w:highlight w:val="none"/>
                      <w:lang w:val="en-US" w:eastAsia="zh-CN"/>
                    </w:rPr>
                  </w:pPr>
                  <w:r>
                    <w:rPr>
                      <w:rFonts w:hint="default"/>
                      <w:highlight w:val="none"/>
                      <w:lang w:val="en-US" w:eastAsia="zh-CN"/>
                    </w:rPr>
                    <w:t>生产线</w:t>
                  </w:r>
                </w:p>
              </w:tc>
              <w:tc>
                <w:tcPr>
                  <w:tcW w:w="1590" w:type="dxa"/>
                  <w:tcBorders>
                    <w:tl2br w:val="nil"/>
                    <w:tr2bl w:val="nil"/>
                  </w:tcBorders>
                  <w:shd w:val="clear" w:color="auto" w:fill="auto"/>
                  <w:vAlign w:val="center"/>
                </w:tcPr>
                <w:p>
                  <w:pPr>
                    <w:pStyle w:val="37"/>
                    <w:keepNext w:val="0"/>
                    <w:keepLines w:val="0"/>
                    <w:widowControl/>
                    <w:suppressLineNumbers w:val="0"/>
                    <w:spacing w:before="0" w:beforeAutospacing="0" w:after="0" w:afterAutospacing="0"/>
                    <w:ind w:left="0" w:right="0"/>
                    <w:rPr>
                      <w:rFonts w:hint="default"/>
                      <w:highlight w:val="none"/>
                      <w:lang w:val="en-US" w:eastAsia="zh-CN"/>
                    </w:rPr>
                  </w:pPr>
                  <w:r>
                    <w:rPr>
                      <w:rFonts w:hint="default"/>
                      <w:highlight w:val="none"/>
                      <w:lang w:val="en-US" w:eastAsia="zh-CN"/>
                    </w:rPr>
                    <w:t>17.78</w:t>
                  </w:r>
                </w:p>
              </w:tc>
              <w:tc>
                <w:tcPr>
                  <w:tcW w:w="1519" w:type="dxa"/>
                  <w:vMerge w:val="continue"/>
                  <w:tcBorders>
                    <w:tl2br w:val="nil"/>
                    <w:tr2bl w:val="nil"/>
                  </w:tcBorders>
                  <w:shd w:val="clear" w:color="auto" w:fill="auto"/>
                  <w:vAlign w:val="center"/>
                </w:tcPr>
                <w:p>
                  <w:pPr>
                    <w:pStyle w:val="37"/>
                    <w:keepNext w:val="0"/>
                    <w:keepLines w:val="0"/>
                    <w:widowControl/>
                    <w:suppressLineNumbers w:val="0"/>
                    <w:spacing w:before="0" w:beforeAutospacing="0" w:after="0" w:afterAutospacing="0"/>
                    <w:ind w:left="0" w:right="0"/>
                    <w:rPr>
                      <w:rFonts w:hint="default"/>
                      <w:highlight w:val="none"/>
                    </w:rPr>
                  </w:pPr>
                </w:p>
              </w:tc>
              <w:tc>
                <w:tcPr>
                  <w:tcW w:w="991" w:type="dxa"/>
                  <w:vMerge w:val="continue"/>
                  <w:tcBorders>
                    <w:tl2br w:val="nil"/>
                    <w:tr2bl w:val="nil"/>
                  </w:tcBorders>
                  <w:shd w:val="clear" w:color="auto" w:fill="auto"/>
                  <w:vAlign w:val="center"/>
                </w:tcPr>
                <w:p>
                  <w:pPr>
                    <w:pStyle w:val="37"/>
                    <w:keepNext w:val="0"/>
                    <w:keepLines w:val="0"/>
                    <w:widowControl/>
                    <w:suppressLineNumbers w:val="0"/>
                    <w:spacing w:before="0" w:beforeAutospacing="0" w:after="0" w:afterAutospacing="0"/>
                    <w:ind w:left="0" w:right="0"/>
                    <w:rPr>
                      <w:rFonts w:hint="default"/>
                      <w:highlight w:val="none"/>
                    </w:rPr>
                  </w:pPr>
                </w:p>
              </w:tc>
              <w:tc>
                <w:tcPr>
                  <w:tcW w:w="991" w:type="dxa"/>
                  <w:vMerge w:val="continue"/>
                  <w:tcBorders>
                    <w:tl2br w:val="nil"/>
                    <w:tr2bl w:val="nil"/>
                  </w:tcBorders>
                  <w:shd w:val="clear" w:color="auto" w:fill="auto"/>
                  <w:vAlign w:val="center"/>
                </w:tcPr>
                <w:p>
                  <w:pPr>
                    <w:pStyle w:val="37"/>
                    <w:keepNext w:val="0"/>
                    <w:keepLines w:val="0"/>
                    <w:widowControl/>
                    <w:suppressLineNumbers w:val="0"/>
                    <w:spacing w:before="0" w:beforeAutospacing="0" w:after="0" w:afterAutospacing="0"/>
                    <w:ind w:left="0" w:right="0"/>
                    <w:rPr>
                      <w:rFonts w:hint="default"/>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4"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lang w:val="en-US" w:eastAsia="zh-CN"/>
                    </w:rPr>
                  </w:pPr>
                  <w:r>
                    <w:rPr>
                      <w:rFonts w:hint="default"/>
                      <w:highlight w:val="none"/>
                      <w:lang w:val="en-US" w:eastAsia="zh-CN"/>
                    </w:rPr>
                    <w:t>2</w:t>
                  </w:r>
                </w:p>
              </w:tc>
              <w:tc>
                <w:tcPr>
                  <w:tcW w:w="1125"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lang w:val="en-US" w:eastAsia="zh-CN"/>
                    </w:rPr>
                  </w:pPr>
                  <w:r>
                    <w:rPr>
                      <w:rFonts w:hint="default"/>
                      <w:highlight w:val="none"/>
                      <w:lang w:val="en-US" w:eastAsia="zh-CN"/>
                    </w:rPr>
                    <w:t>清洗废水</w:t>
                  </w:r>
                </w:p>
              </w:tc>
              <w:tc>
                <w:tcPr>
                  <w:tcW w:w="1618"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lang w:val="en-US" w:eastAsia="zh-CN"/>
                    </w:rPr>
                  </w:pPr>
                  <w:r>
                    <w:rPr>
                      <w:rFonts w:hint="default"/>
                      <w:highlight w:val="none"/>
                      <w:lang w:val="en-US" w:eastAsia="zh-CN"/>
                    </w:rPr>
                    <w:t>污水处理设施</w:t>
                  </w:r>
                </w:p>
              </w:tc>
              <w:tc>
                <w:tcPr>
                  <w:tcW w:w="1590"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lang w:val="en-US" w:eastAsia="zh-CN"/>
                    </w:rPr>
                  </w:pPr>
                  <w:r>
                    <w:rPr>
                      <w:rFonts w:hint="eastAsia"/>
                      <w:highlight w:val="none"/>
                      <w:lang w:val="en-US" w:eastAsia="zh-CN"/>
                    </w:rPr>
                    <w:t>5.0</w:t>
                  </w:r>
                </w:p>
              </w:tc>
              <w:tc>
                <w:tcPr>
                  <w:tcW w:w="1519"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lang w:val="en-US" w:eastAsia="zh-CN"/>
                    </w:rPr>
                  </w:pPr>
                  <w:r>
                    <w:rPr>
                      <w:rFonts w:hint="eastAsia"/>
                      <w:highlight w:val="none"/>
                      <w:lang w:val="en-US" w:eastAsia="zh-CN"/>
                    </w:rPr>
                    <w:t>5.0</w:t>
                  </w:r>
                </w:p>
              </w:tc>
              <w:tc>
                <w:tcPr>
                  <w:tcW w:w="991"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lang w:val="en-US" w:eastAsia="zh-CN"/>
                    </w:rPr>
                  </w:pPr>
                  <w:r>
                    <w:rPr>
                      <w:rFonts w:hint="default"/>
                      <w:highlight w:val="none"/>
                      <w:lang w:val="en-US" w:eastAsia="zh-CN"/>
                    </w:rPr>
                    <w:t>10</w:t>
                  </w:r>
                </w:p>
              </w:tc>
              <w:tc>
                <w:tcPr>
                  <w:tcW w:w="991"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lang w:val="en-US" w:eastAsia="zh-CN"/>
                    </w:rPr>
                  </w:pPr>
                  <w:r>
                    <w:rPr>
                      <w:rFonts w:hint="eastAsia"/>
                      <w:highlight w:val="none"/>
                      <w:lang w:val="en-US" w:eastAsia="zh-CN"/>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4"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lang w:val="en-US" w:eastAsia="zh-CN"/>
                    </w:rPr>
                  </w:pPr>
                  <w:r>
                    <w:rPr>
                      <w:rFonts w:hint="eastAsia"/>
                      <w:highlight w:val="none"/>
                      <w:lang w:val="en-US" w:eastAsia="zh-CN"/>
                    </w:rPr>
                    <w:t>3</w:t>
                  </w:r>
                </w:p>
              </w:tc>
              <w:tc>
                <w:tcPr>
                  <w:tcW w:w="1125"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lang w:val="en-US" w:eastAsia="zh-CN"/>
                    </w:rPr>
                  </w:pPr>
                  <w:r>
                    <w:rPr>
                      <w:rFonts w:hint="eastAsia"/>
                      <w:highlight w:val="none"/>
                      <w:lang w:val="en-US" w:eastAsia="zh-CN"/>
                    </w:rPr>
                    <w:t>废机油</w:t>
                  </w:r>
                </w:p>
              </w:tc>
              <w:tc>
                <w:tcPr>
                  <w:tcW w:w="1618"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lang w:val="en-US" w:eastAsia="zh-CN"/>
                    </w:rPr>
                  </w:pPr>
                  <w:r>
                    <w:rPr>
                      <w:rFonts w:hint="eastAsia"/>
                      <w:highlight w:val="none"/>
                      <w:lang w:val="en-US" w:eastAsia="zh-CN"/>
                    </w:rPr>
                    <w:t>危废仓</w:t>
                  </w:r>
                </w:p>
              </w:tc>
              <w:tc>
                <w:tcPr>
                  <w:tcW w:w="1590"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lang w:val="en-US" w:eastAsia="zh-CN"/>
                    </w:rPr>
                  </w:pPr>
                  <w:r>
                    <w:rPr>
                      <w:rFonts w:hint="eastAsia"/>
                      <w:highlight w:val="none"/>
                      <w:lang w:val="en-US" w:eastAsia="zh-CN"/>
                    </w:rPr>
                    <w:t>1.05</w:t>
                  </w:r>
                </w:p>
              </w:tc>
              <w:tc>
                <w:tcPr>
                  <w:tcW w:w="1519"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lang w:val="en-US" w:eastAsia="zh-CN"/>
                    </w:rPr>
                  </w:pPr>
                  <w:r>
                    <w:rPr>
                      <w:rFonts w:hint="eastAsia"/>
                      <w:highlight w:val="none"/>
                      <w:lang w:val="en-US" w:eastAsia="zh-CN"/>
                    </w:rPr>
                    <w:t>1.05</w:t>
                  </w:r>
                </w:p>
              </w:tc>
              <w:tc>
                <w:tcPr>
                  <w:tcW w:w="991"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lang w:val="en-US" w:eastAsia="zh-CN"/>
                    </w:rPr>
                  </w:pPr>
                  <w:r>
                    <w:rPr>
                      <w:rFonts w:hint="eastAsia"/>
                      <w:highlight w:val="none"/>
                      <w:lang w:val="en-US" w:eastAsia="zh-CN"/>
                    </w:rPr>
                    <w:t>2500</w:t>
                  </w:r>
                </w:p>
              </w:tc>
              <w:tc>
                <w:tcPr>
                  <w:tcW w:w="991"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lang w:val="en-US" w:eastAsia="zh-CN"/>
                    </w:rPr>
                  </w:pPr>
                  <w:r>
                    <w:rPr>
                      <w:rFonts w:hint="eastAsia"/>
                      <w:highlight w:val="none"/>
                      <w:lang w:val="en-US" w:eastAsia="zh-CN"/>
                    </w:rPr>
                    <w:t>0.0004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4"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lang w:val="en-US" w:eastAsia="zh-CN"/>
                    </w:rPr>
                  </w:pPr>
                  <w:r>
                    <w:rPr>
                      <w:rFonts w:hint="eastAsia"/>
                      <w:highlight w:val="none"/>
                      <w:lang w:val="en-US" w:eastAsia="zh-CN"/>
                    </w:rPr>
                    <w:t>4</w:t>
                  </w:r>
                </w:p>
              </w:tc>
              <w:tc>
                <w:tcPr>
                  <w:tcW w:w="1125"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eastAsia="zh-CN"/>
                    </w:rPr>
                  </w:pPr>
                  <w:r>
                    <w:rPr>
                      <w:rFonts w:hint="default" w:ascii="Times New Roman" w:hAnsi="Times New Roman" w:eastAsia="宋体" w:cs="Times New Roman"/>
                      <w:sz w:val="21"/>
                      <w:szCs w:val="21"/>
                      <w:highlight w:val="none"/>
                    </w:rPr>
                    <w:t>含油</w:t>
                  </w:r>
                  <w:r>
                    <w:rPr>
                      <w:rFonts w:hint="eastAsia" w:ascii="Times New Roman" w:hAnsi="Times New Roman" w:cs="Times New Roman"/>
                      <w:sz w:val="21"/>
                      <w:szCs w:val="21"/>
                      <w:highlight w:val="none"/>
                      <w:lang w:val="en-US" w:eastAsia="zh-CN"/>
                    </w:rPr>
                    <w:t>浓缩液</w:t>
                  </w:r>
                </w:p>
              </w:tc>
              <w:tc>
                <w:tcPr>
                  <w:tcW w:w="1618"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eastAsia="zh-CN"/>
                    </w:rPr>
                  </w:pPr>
                  <w:r>
                    <w:rPr>
                      <w:rFonts w:hint="eastAsia"/>
                      <w:highlight w:val="none"/>
                      <w:lang w:val="en-US" w:eastAsia="zh-CN"/>
                    </w:rPr>
                    <w:t>危废仓</w:t>
                  </w:r>
                </w:p>
              </w:tc>
              <w:tc>
                <w:tcPr>
                  <w:tcW w:w="1590"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lang w:val="en-US" w:eastAsia="zh-CN"/>
                    </w:rPr>
                  </w:pPr>
                  <w:r>
                    <w:rPr>
                      <w:rFonts w:hint="eastAsia"/>
                      <w:highlight w:val="none"/>
                      <w:lang w:val="en-US" w:eastAsia="zh-CN"/>
                    </w:rPr>
                    <w:t>3.2</w:t>
                  </w:r>
                </w:p>
              </w:tc>
              <w:tc>
                <w:tcPr>
                  <w:tcW w:w="1519"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lang w:val="en-US" w:eastAsia="zh-CN"/>
                    </w:rPr>
                  </w:pPr>
                  <w:r>
                    <w:rPr>
                      <w:rFonts w:hint="eastAsia"/>
                      <w:highlight w:val="none"/>
                      <w:lang w:val="en-US" w:eastAsia="zh-CN"/>
                    </w:rPr>
                    <w:t>3.2</w:t>
                  </w:r>
                </w:p>
              </w:tc>
              <w:tc>
                <w:tcPr>
                  <w:tcW w:w="991"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eastAsia"/>
                      <w:highlight w:val="none"/>
                      <w:lang w:val="en-US" w:eastAsia="zh-CN"/>
                    </w:rPr>
                  </w:pPr>
                  <w:r>
                    <w:rPr>
                      <w:rFonts w:hint="eastAsia"/>
                      <w:highlight w:val="none"/>
                      <w:lang w:val="en-US" w:eastAsia="zh-CN"/>
                    </w:rPr>
                    <w:t>2500</w:t>
                  </w:r>
                </w:p>
              </w:tc>
              <w:tc>
                <w:tcPr>
                  <w:tcW w:w="991"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lang w:val="en-US" w:eastAsia="zh-CN"/>
                    </w:rPr>
                  </w:pPr>
                  <w:r>
                    <w:rPr>
                      <w:rFonts w:hint="eastAsia"/>
                      <w:highlight w:val="none"/>
                      <w:lang w:val="en-US" w:eastAsia="zh-CN"/>
                    </w:rPr>
                    <w:t>0.0013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97" w:type="dxa"/>
                  <w:gridSpan w:val="6"/>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lang w:val="en-US" w:eastAsia="zh-CN"/>
                    </w:rPr>
                  </w:pPr>
                  <w:r>
                    <w:rPr>
                      <w:rFonts w:hint="eastAsia"/>
                      <w:highlight w:val="none"/>
                      <w:lang w:val="en-US" w:eastAsia="zh-CN"/>
                    </w:rPr>
                    <w:t>合计</w:t>
                  </w:r>
                </w:p>
              </w:tc>
              <w:tc>
                <w:tcPr>
                  <w:tcW w:w="991" w:type="dxa"/>
                  <w:tcBorders>
                    <w:tl2br w:val="nil"/>
                    <w:tr2bl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lang w:val="en-US" w:eastAsia="zh-CN"/>
                    </w:rPr>
                  </w:pPr>
                  <w:r>
                    <w:rPr>
                      <w:rFonts w:hint="eastAsia"/>
                      <w:highlight w:val="none"/>
                      <w:lang w:val="en-US" w:eastAsia="zh-CN"/>
                    </w:rPr>
                    <w:t>0.5092</w:t>
                  </w:r>
                </w:p>
              </w:tc>
            </w:tr>
          </w:tbl>
          <w:p>
            <w:pPr>
              <w:pStyle w:val="5"/>
              <w:suppressLineNumbers w:val="0"/>
              <w:bidi w:val="0"/>
              <w:spacing w:before="0" w:beforeAutospacing="0" w:after="0" w:afterAutospacing="0"/>
              <w:ind w:right="0"/>
              <w:rPr>
                <w:rFonts w:hint="default"/>
                <w:highlight w:val="none"/>
              </w:rPr>
            </w:pPr>
            <w:r>
              <w:rPr>
                <w:rFonts w:hint="default"/>
                <w:highlight w:val="none"/>
              </w:rPr>
              <w:t>风险潜势初判</w:t>
            </w:r>
          </w:p>
          <w:p>
            <w:pPr>
              <w:pStyle w:val="42"/>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根据《建设项目环境风险评价技术导则》(HJ169-2018)中附录C，计算所涉及的每种危险物质在厂界内的最大存在总量与其在附录B中对应临界量的比值Q。当只涉及一种危险物质时，计算该物质的数量与其临界量比值，即为Q：当存在多种危险物质时，则按下式计算物质总量与其临界量比值(Q)：</w:t>
            </w:r>
          </w:p>
          <w:p>
            <w:pPr>
              <w:pStyle w:val="42"/>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position w:val="-10"/>
                <w:sz w:val="24"/>
                <w:szCs w:val="24"/>
                <w:highlight w:val="none"/>
                <w:lang w:bidi="ar"/>
              </w:rPr>
              <w:drawing>
                <wp:inline distT="0" distB="0" distL="114300" distR="114300">
                  <wp:extent cx="2009775" cy="219075"/>
                  <wp:effectExtent l="0" t="0" r="9525" b="6985"/>
                  <wp:docPr id="1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pic:cNvPicPr>
                            <a:picLocks noChangeAspect="1"/>
                          </pic:cNvPicPr>
                        </pic:nvPicPr>
                        <pic:blipFill>
                          <a:blip r:embed="rId17"/>
                          <a:stretch>
                            <a:fillRect/>
                          </a:stretch>
                        </pic:blipFill>
                        <pic:spPr>
                          <a:xfrm>
                            <a:off x="0" y="0"/>
                            <a:ext cx="2009775" cy="219075"/>
                          </a:xfrm>
                          <a:prstGeom prst="rect">
                            <a:avLst/>
                          </a:prstGeom>
                          <a:noFill/>
                          <a:ln>
                            <a:noFill/>
                          </a:ln>
                        </pic:spPr>
                      </pic:pic>
                    </a:graphicData>
                  </a:graphic>
                </wp:inline>
              </w:drawing>
            </w:r>
          </w:p>
          <w:p>
            <w:pPr>
              <w:pStyle w:val="42"/>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式中：q</w:t>
            </w:r>
            <w:r>
              <w:rPr>
                <w:rFonts w:hint="default" w:ascii="Times New Roman" w:hAnsi="Times New Roman" w:eastAsia="宋体" w:cs="Times New Roman"/>
                <w:sz w:val="24"/>
                <w:szCs w:val="24"/>
                <w:highlight w:val="none"/>
                <w:vertAlign w:val="subscript"/>
                <w:lang w:bidi="ar"/>
              </w:rPr>
              <w:t>1</w:t>
            </w:r>
            <w:r>
              <w:rPr>
                <w:rFonts w:hint="default" w:ascii="Times New Roman" w:hAnsi="Times New Roman" w:eastAsia="宋体" w:cs="Times New Roman"/>
                <w:sz w:val="24"/>
                <w:szCs w:val="24"/>
                <w:highlight w:val="none"/>
                <w:lang w:bidi="ar"/>
              </w:rPr>
              <w:t>，q</w:t>
            </w:r>
            <w:r>
              <w:rPr>
                <w:rFonts w:hint="default" w:ascii="Times New Roman" w:hAnsi="Times New Roman" w:eastAsia="宋体" w:cs="Times New Roman"/>
                <w:sz w:val="24"/>
                <w:szCs w:val="24"/>
                <w:highlight w:val="none"/>
                <w:vertAlign w:val="subscript"/>
                <w:lang w:bidi="ar"/>
              </w:rPr>
              <w:t>2</w:t>
            </w:r>
            <w:r>
              <w:rPr>
                <w:rFonts w:hint="default" w:ascii="Times New Roman" w:hAnsi="Times New Roman" w:eastAsia="宋体" w:cs="Times New Roman"/>
                <w:sz w:val="24"/>
                <w:szCs w:val="24"/>
                <w:highlight w:val="none"/>
                <w:lang w:bidi="ar"/>
              </w:rPr>
              <w:t>，…，qn—每种危险物质的最大存在总量，t，</w:t>
            </w:r>
          </w:p>
          <w:p>
            <w:pPr>
              <w:pStyle w:val="42"/>
              <w:keepNext w:val="0"/>
              <w:keepLines w:val="0"/>
              <w:suppressLineNumbers w:val="0"/>
              <w:spacing w:before="0" w:beforeAutospacing="0" w:after="0" w:afterAutospacing="0" w:line="360" w:lineRule="auto"/>
              <w:ind w:left="0" w:right="0" w:firstLine="1200" w:firstLineChars="5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Q</w:t>
            </w:r>
            <w:r>
              <w:rPr>
                <w:rFonts w:hint="default" w:ascii="Times New Roman" w:hAnsi="Times New Roman" w:eastAsia="宋体" w:cs="Times New Roman"/>
                <w:sz w:val="24"/>
                <w:szCs w:val="24"/>
                <w:highlight w:val="none"/>
                <w:vertAlign w:val="subscript"/>
                <w:lang w:bidi="ar"/>
              </w:rPr>
              <w:t>1</w:t>
            </w:r>
            <w:r>
              <w:rPr>
                <w:rFonts w:hint="default" w:ascii="Times New Roman" w:hAnsi="Times New Roman" w:eastAsia="宋体" w:cs="Times New Roman"/>
                <w:sz w:val="24"/>
                <w:szCs w:val="24"/>
                <w:highlight w:val="none"/>
                <w:lang w:bidi="ar"/>
              </w:rPr>
              <w:t>，Q</w:t>
            </w:r>
            <w:r>
              <w:rPr>
                <w:rFonts w:hint="default" w:ascii="Times New Roman" w:hAnsi="Times New Roman" w:eastAsia="宋体" w:cs="Times New Roman"/>
                <w:sz w:val="24"/>
                <w:szCs w:val="24"/>
                <w:highlight w:val="none"/>
                <w:vertAlign w:val="subscript"/>
                <w:lang w:bidi="ar"/>
              </w:rPr>
              <w:t>2</w:t>
            </w:r>
            <w:r>
              <w:rPr>
                <w:rFonts w:hint="default" w:ascii="Times New Roman" w:hAnsi="Times New Roman" w:eastAsia="宋体" w:cs="Times New Roman"/>
                <w:sz w:val="24"/>
                <w:szCs w:val="24"/>
                <w:highlight w:val="none"/>
                <w:lang w:bidi="ar"/>
              </w:rPr>
              <w:t>，…，Q</w:t>
            </w:r>
            <w:r>
              <w:rPr>
                <w:rFonts w:hint="default" w:ascii="Times New Roman" w:hAnsi="Times New Roman" w:eastAsia="宋体" w:cs="Times New Roman"/>
                <w:sz w:val="24"/>
                <w:szCs w:val="24"/>
                <w:highlight w:val="none"/>
                <w:vertAlign w:val="subscript"/>
                <w:lang w:bidi="ar"/>
              </w:rPr>
              <w:t>n</w:t>
            </w:r>
            <w:r>
              <w:rPr>
                <w:rFonts w:hint="default" w:ascii="Times New Roman" w:hAnsi="Times New Roman" w:eastAsia="宋体" w:cs="Times New Roman"/>
                <w:sz w:val="24"/>
                <w:szCs w:val="24"/>
                <w:highlight w:val="none"/>
                <w:lang w:bidi="ar"/>
              </w:rPr>
              <w:t>—</w:t>
            </w:r>
            <w:r>
              <w:rPr>
                <w:rFonts w:hint="default" w:ascii="Times New Roman" w:hAnsi="Times New Roman" w:eastAsia="宋体" w:cs="Times New Roman"/>
                <w:sz w:val="24"/>
                <w:szCs w:val="24"/>
                <w:highlight w:val="none"/>
                <w:vertAlign w:val="subscript"/>
                <w:lang w:bidi="ar"/>
              </w:rPr>
              <w:t xml:space="preserve"> </w:t>
            </w:r>
            <w:r>
              <w:rPr>
                <w:rFonts w:hint="default" w:ascii="Times New Roman" w:hAnsi="Times New Roman" w:eastAsia="宋体" w:cs="Times New Roman"/>
                <w:sz w:val="24"/>
                <w:szCs w:val="24"/>
                <w:highlight w:val="none"/>
                <w:lang w:bidi="ar"/>
              </w:rPr>
              <w:t>每种危险物质的临界量，t。</w:t>
            </w:r>
          </w:p>
          <w:p>
            <w:pPr>
              <w:pStyle w:val="42"/>
              <w:keepNext w:val="0"/>
              <w:keepLines w:val="0"/>
              <w:suppressLineNumbers w:val="0"/>
              <w:spacing w:before="0" w:beforeAutospacing="0" w:after="0" w:afterAutospacing="0" w:line="360" w:lineRule="auto"/>
              <w:ind w:left="0" w:right="0" w:firstLine="1200" w:firstLineChars="5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当Q&lt;1时，该项目</w:t>
            </w:r>
            <w:r>
              <w:rPr>
                <w:rFonts w:hint="eastAsia" w:ascii="Times New Roman" w:hAnsi="Times New Roman" w:eastAsia="宋体" w:cs="Times New Roman"/>
                <w:sz w:val="24"/>
                <w:szCs w:val="24"/>
                <w:highlight w:val="none"/>
                <w:lang w:eastAsia="zh-CN" w:bidi="ar"/>
              </w:rPr>
              <w:t>环境风险</w:t>
            </w:r>
            <w:r>
              <w:rPr>
                <w:rFonts w:hint="default" w:ascii="Times New Roman" w:hAnsi="Times New Roman" w:eastAsia="宋体" w:cs="Times New Roman"/>
                <w:sz w:val="24"/>
                <w:szCs w:val="24"/>
                <w:highlight w:val="none"/>
                <w:lang w:bidi="ar"/>
              </w:rPr>
              <w:t>潜势为Ⅰ</w:t>
            </w:r>
          </w:p>
          <w:p>
            <w:pPr>
              <w:pStyle w:val="42"/>
              <w:keepNext w:val="0"/>
              <w:keepLines w:val="0"/>
              <w:suppressLineNumbers w:val="0"/>
              <w:spacing w:before="0" w:beforeAutospacing="0" w:after="0" w:afterAutospacing="0" w:line="360" w:lineRule="auto"/>
              <w:ind w:left="0" w:right="0" w:firstLine="1200" w:firstLineChars="5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当Q≥1时，将Q值划分为：(1)1≤Q&lt;10；(2)10≤Q&lt;100；(3)Q≥100。</w:t>
            </w:r>
          </w:p>
          <w:p>
            <w:pPr>
              <w:pStyle w:val="42"/>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本项目Q=</w:t>
            </w:r>
            <w:r>
              <w:rPr>
                <w:rFonts w:hint="eastAsia" w:cs="Times New Roman"/>
                <w:color w:val="auto"/>
                <w:sz w:val="24"/>
                <w:szCs w:val="24"/>
                <w:highlight w:val="none"/>
                <w:lang w:val="en-US" w:eastAsia="zh-CN" w:bidi="ar"/>
              </w:rPr>
              <w:t>0.5092</w:t>
            </w:r>
            <w:r>
              <w:rPr>
                <w:rFonts w:hint="default" w:ascii="Times New Roman" w:hAnsi="Times New Roman" w:eastAsia="宋体" w:cs="Times New Roman"/>
                <w:color w:val="auto"/>
                <w:sz w:val="24"/>
                <w:szCs w:val="24"/>
                <w:highlight w:val="none"/>
                <w:lang w:bidi="ar"/>
              </w:rPr>
              <w:t>&lt;1</w:t>
            </w:r>
            <w:r>
              <w:rPr>
                <w:rFonts w:hint="default" w:ascii="Times New Roman" w:hAnsi="Times New Roman" w:eastAsia="宋体" w:cs="Times New Roman"/>
                <w:sz w:val="24"/>
                <w:szCs w:val="24"/>
                <w:highlight w:val="none"/>
                <w:lang w:bidi="ar"/>
              </w:rPr>
              <w:t>，环境风险潜势为Ⅰ，可开展简单分析。</w:t>
            </w:r>
          </w:p>
          <w:p>
            <w:pPr>
              <w:pStyle w:val="5"/>
              <w:suppressLineNumbers w:val="0"/>
              <w:bidi w:val="0"/>
              <w:spacing w:before="0" w:beforeAutospacing="0" w:after="0" w:afterAutospacing="0"/>
              <w:ind w:right="0"/>
              <w:rPr>
                <w:rFonts w:hint="default"/>
              </w:rPr>
            </w:pPr>
            <w:r>
              <w:rPr>
                <w:rFonts w:hint="default"/>
              </w:rPr>
              <w:t>环境风险识别</w:t>
            </w:r>
          </w:p>
          <w:p>
            <w:pPr>
              <w:pStyle w:val="42"/>
              <w:keepNext w:val="0"/>
              <w:keepLines w:val="0"/>
              <w:suppressLineNumbers w:val="0"/>
              <w:autoSpaceDE/>
              <w:autoSpaceDN/>
              <w:adjustRightInd/>
              <w:spacing w:before="0" w:beforeAutospacing="0" w:after="0" w:afterAutospacing="0" w:line="360" w:lineRule="auto"/>
              <w:ind w:left="0" w:right="0" w:firstLine="480" w:firstLineChars="200"/>
              <w:jc w:val="lef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项目潜在环境风险事故主要为</w:t>
            </w:r>
            <w:r>
              <w:rPr>
                <w:rFonts w:hint="default" w:ascii="Times New Roman" w:hAnsi="Times New Roman" w:eastAsia="宋体" w:cs="Times New Roman"/>
                <w:sz w:val="24"/>
                <w:szCs w:val="24"/>
                <w:highlight w:val="none"/>
                <w:lang w:val="en-US" w:eastAsia="zh-CN"/>
              </w:rPr>
              <w:t>拉伸油遇</w:t>
            </w:r>
            <w:r>
              <w:rPr>
                <w:rFonts w:hint="default" w:ascii="Times New Roman" w:hAnsi="Times New Roman" w:eastAsia="宋体" w:cs="Times New Roman"/>
                <w:sz w:val="24"/>
                <w:szCs w:val="24"/>
                <w:highlight w:val="none"/>
              </w:rPr>
              <w:t>明火或火源引发火灾，产生的次生、伴生污染</w:t>
            </w:r>
            <w:r>
              <w:rPr>
                <w:rFonts w:hint="eastAsia" w:cs="Times New Roman"/>
                <w:sz w:val="24"/>
                <w:szCs w:val="24"/>
                <w:highlight w:val="none"/>
                <w:lang w:val="en-US" w:eastAsia="zh-CN"/>
              </w:rPr>
              <w:t>或者储存桶破裂，拉伸油泄漏</w:t>
            </w:r>
            <w:r>
              <w:rPr>
                <w:rFonts w:hint="default" w:ascii="Times New Roman" w:hAnsi="Times New Roman" w:eastAsia="宋体" w:cs="Times New Roman"/>
                <w:sz w:val="24"/>
                <w:szCs w:val="24"/>
                <w:highlight w:val="none"/>
              </w:rPr>
              <w:t>。通过对项目危险物质的识别，项目潜在环境风险事故识别结果见下表。</w:t>
            </w:r>
          </w:p>
          <w:p>
            <w:pPr>
              <w:pStyle w:val="36"/>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项目危险物质潜在环境风险事故一览表</w:t>
            </w:r>
          </w:p>
          <w:tbl>
            <w:tblPr>
              <w:tblStyle w:val="27"/>
              <w:tblW w:w="8404" w:type="dxa"/>
              <w:jc w:val="center"/>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1612"/>
              <w:gridCol w:w="3163"/>
              <w:gridCol w:w="2143"/>
            </w:tblGrid>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486" w:type="dxa"/>
                  <w:tcBorders>
                    <w:top w:val="single" w:color="auto" w:sz="12" w:space="0"/>
                    <w:left w:val="nil"/>
                    <w:bottom w:val="single" w:color="auto" w:sz="6" w:space="0"/>
                    <w:right w:val="single" w:color="auto" w:sz="6" w:space="0"/>
                  </w:tcBorders>
                  <w:shd w:val="clear" w:color="auto" w:fill="auto"/>
                  <w:vAlign w:val="center"/>
                </w:tcPr>
                <w:p>
                  <w:pPr>
                    <w:pStyle w:val="37"/>
                    <w:keepNext w:val="0"/>
                    <w:keepLines w:val="0"/>
                    <w:suppressLineNumbers w:val="0"/>
                    <w:bidi w:val="0"/>
                    <w:spacing w:before="0" w:beforeAutospacing="0" w:after="0" w:afterAutospacing="0"/>
                    <w:ind w:right="0"/>
                    <w:rPr>
                      <w:rFonts w:hint="default"/>
                    </w:rPr>
                  </w:pPr>
                  <w:r>
                    <w:rPr>
                      <w:rFonts w:hint="default"/>
                    </w:rPr>
                    <w:t>潜在事故</w:t>
                  </w:r>
                </w:p>
                <w:p>
                  <w:pPr>
                    <w:pStyle w:val="37"/>
                    <w:keepNext w:val="0"/>
                    <w:keepLines w:val="0"/>
                    <w:suppressLineNumbers w:val="0"/>
                    <w:bidi w:val="0"/>
                    <w:spacing w:before="0" w:beforeAutospacing="0" w:after="0" w:afterAutospacing="0"/>
                    <w:ind w:right="0"/>
                    <w:rPr>
                      <w:rFonts w:hint="default"/>
                    </w:rPr>
                  </w:pPr>
                  <w:r>
                    <w:rPr>
                      <w:rFonts w:hint="default"/>
                    </w:rPr>
                    <w:t>类型</w:t>
                  </w:r>
                </w:p>
              </w:tc>
              <w:tc>
                <w:tcPr>
                  <w:tcW w:w="1612" w:type="dxa"/>
                  <w:tcBorders>
                    <w:top w:val="single" w:color="auto" w:sz="12" w:space="0"/>
                    <w:left w:val="single" w:color="auto" w:sz="6" w:space="0"/>
                    <w:bottom w:val="single" w:color="auto" w:sz="6" w:space="0"/>
                    <w:right w:val="single" w:color="auto" w:sz="6" w:space="0"/>
                  </w:tcBorders>
                  <w:shd w:val="clear" w:color="auto" w:fill="auto"/>
                  <w:vAlign w:val="center"/>
                </w:tcPr>
                <w:p>
                  <w:pPr>
                    <w:pStyle w:val="37"/>
                    <w:keepNext w:val="0"/>
                    <w:keepLines w:val="0"/>
                    <w:suppressLineNumbers w:val="0"/>
                    <w:bidi w:val="0"/>
                    <w:spacing w:before="0" w:beforeAutospacing="0" w:after="0" w:afterAutospacing="0"/>
                    <w:ind w:right="0"/>
                    <w:rPr>
                      <w:rFonts w:hint="default"/>
                    </w:rPr>
                  </w:pPr>
                  <w:r>
                    <w:rPr>
                      <w:rFonts w:hint="default"/>
                    </w:rPr>
                    <w:t>事故原因</w:t>
                  </w:r>
                </w:p>
              </w:tc>
              <w:tc>
                <w:tcPr>
                  <w:tcW w:w="3163" w:type="dxa"/>
                  <w:tcBorders>
                    <w:top w:val="single" w:color="auto" w:sz="12" w:space="0"/>
                    <w:left w:val="single" w:color="auto" w:sz="6" w:space="0"/>
                    <w:bottom w:val="single" w:color="auto" w:sz="6" w:space="0"/>
                    <w:right w:val="single" w:color="auto" w:sz="6" w:space="0"/>
                  </w:tcBorders>
                  <w:shd w:val="clear" w:color="auto" w:fill="auto"/>
                  <w:vAlign w:val="center"/>
                </w:tcPr>
                <w:p>
                  <w:pPr>
                    <w:pStyle w:val="37"/>
                    <w:keepNext w:val="0"/>
                    <w:keepLines w:val="0"/>
                    <w:suppressLineNumbers w:val="0"/>
                    <w:bidi w:val="0"/>
                    <w:spacing w:before="0" w:beforeAutospacing="0" w:after="0" w:afterAutospacing="0"/>
                    <w:ind w:right="0"/>
                    <w:rPr>
                      <w:rFonts w:hint="default"/>
                    </w:rPr>
                  </w:pPr>
                  <w:r>
                    <w:rPr>
                      <w:rFonts w:hint="default"/>
                    </w:rPr>
                    <w:t>危险物质向环境转移的</w:t>
                  </w:r>
                </w:p>
                <w:p>
                  <w:pPr>
                    <w:pStyle w:val="37"/>
                    <w:keepNext w:val="0"/>
                    <w:keepLines w:val="0"/>
                    <w:suppressLineNumbers w:val="0"/>
                    <w:bidi w:val="0"/>
                    <w:spacing w:before="0" w:beforeAutospacing="0" w:after="0" w:afterAutospacing="0"/>
                    <w:ind w:right="0"/>
                    <w:rPr>
                      <w:rFonts w:hint="default"/>
                    </w:rPr>
                  </w:pPr>
                  <w:r>
                    <w:rPr>
                      <w:rFonts w:hint="default"/>
                    </w:rPr>
                    <w:t>可能途径</w:t>
                  </w:r>
                </w:p>
              </w:tc>
              <w:tc>
                <w:tcPr>
                  <w:tcW w:w="2143" w:type="dxa"/>
                  <w:tcBorders>
                    <w:top w:val="single" w:color="auto" w:sz="12" w:space="0"/>
                    <w:left w:val="single" w:color="auto" w:sz="6" w:space="0"/>
                    <w:bottom w:val="single" w:color="auto" w:sz="6" w:space="0"/>
                    <w:right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rPr>
                  </w:pPr>
                  <w:r>
                    <w:rPr>
                      <w:rFonts w:hint="default"/>
                    </w:rPr>
                    <w:t>影响程度</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486" w:type="dxa"/>
                  <w:tcBorders>
                    <w:top w:val="single" w:color="auto" w:sz="6" w:space="0"/>
                    <w:left w:val="nil"/>
                    <w:bottom w:val="single" w:color="auto" w:sz="6" w:space="0"/>
                    <w:right w:val="single" w:color="auto" w:sz="6" w:space="0"/>
                  </w:tcBorders>
                  <w:shd w:val="clear" w:color="auto" w:fill="auto"/>
                  <w:vAlign w:val="center"/>
                </w:tcPr>
                <w:p>
                  <w:pPr>
                    <w:pStyle w:val="37"/>
                    <w:keepNext w:val="0"/>
                    <w:keepLines w:val="0"/>
                    <w:suppressLineNumbers w:val="0"/>
                    <w:bidi w:val="0"/>
                    <w:spacing w:before="0" w:beforeAutospacing="0" w:after="0" w:afterAutospacing="0"/>
                    <w:ind w:right="0"/>
                    <w:rPr>
                      <w:rFonts w:hint="default"/>
                    </w:rPr>
                  </w:pPr>
                  <w:r>
                    <w:rPr>
                      <w:rFonts w:hint="default"/>
                    </w:rPr>
                    <w:t>火灾事故</w:t>
                  </w:r>
                </w:p>
              </w:tc>
              <w:tc>
                <w:tcPr>
                  <w:tcW w:w="1612" w:type="dxa"/>
                  <w:tcBorders>
                    <w:top w:val="single" w:color="auto" w:sz="6" w:space="0"/>
                    <w:left w:val="single" w:color="auto" w:sz="6" w:space="0"/>
                    <w:bottom w:val="single" w:color="auto" w:sz="6" w:space="0"/>
                    <w:right w:val="single" w:color="auto" w:sz="6" w:space="0"/>
                  </w:tcBorders>
                  <w:shd w:val="clear" w:color="auto" w:fill="auto"/>
                  <w:vAlign w:val="center"/>
                </w:tcPr>
                <w:p>
                  <w:pPr>
                    <w:pStyle w:val="37"/>
                    <w:keepNext w:val="0"/>
                    <w:keepLines w:val="0"/>
                    <w:suppressLineNumbers w:val="0"/>
                    <w:bidi w:val="0"/>
                    <w:spacing w:before="0" w:beforeAutospacing="0" w:after="0" w:afterAutospacing="0"/>
                    <w:ind w:right="0"/>
                    <w:rPr>
                      <w:rFonts w:hint="default"/>
                    </w:rPr>
                  </w:pPr>
                  <w:r>
                    <w:rPr>
                      <w:rFonts w:hint="default"/>
                    </w:rPr>
                    <w:t>电线短路、静电火花等，遇明火或高热发生火灾事故</w:t>
                  </w:r>
                </w:p>
              </w:tc>
              <w:tc>
                <w:tcPr>
                  <w:tcW w:w="316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37"/>
                    <w:keepNext w:val="0"/>
                    <w:keepLines w:val="0"/>
                    <w:suppressLineNumbers w:val="0"/>
                    <w:bidi w:val="0"/>
                    <w:spacing w:before="0" w:beforeAutospacing="0" w:after="0" w:afterAutospacing="0"/>
                    <w:ind w:right="0"/>
                    <w:rPr>
                      <w:rFonts w:hint="default"/>
                    </w:rPr>
                  </w:pPr>
                  <w:r>
                    <w:rPr>
                      <w:rFonts w:hint="default"/>
                    </w:rPr>
                    <w:t>火灾产生的热辐射、浓烟、有害气体等直接进入环境，火灾扑救过程产生的消防废水</w:t>
                  </w:r>
                </w:p>
              </w:tc>
              <w:tc>
                <w:tcPr>
                  <w:tcW w:w="2143" w:type="dxa"/>
                  <w:tcBorders>
                    <w:top w:val="single" w:color="auto" w:sz="6" w:space="0"/>
                    <w:left w:val="single" w:color="auto" w:sz="6" w:space="0"/>
                    <w:bottom w:val="single" w:color="auto" w:sz="6" w:space="0"/>
                    <w:right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rPr>
                  </w:pPr>
                  <w:r>
                    <w:rPr>
                      <w:rFonts w:hint="default"/>
                    </w:rPr>
                    <w:t>对外环境影响</w:t>
                  </w:r>
                </w:p>
                <w:p>
                  <w:pPr>
                    <w:pStyle w:val="37"/>
                    <w:keepNext w:val="0"/>
                    <w:keepLines w:val="0"/>
                    <w:suppressLineNumbers w:val="0"/>
                    <w:bidi w:val="0"/>
                    <w:spacing w:before="0" w:beforeAutospacing="0" w:after="0" w:afterAutospacing="0"/>
                    <w:ind w:right="0"/>
                    <w:rPr>
                      <w:rFonts w:hint="default"/>
                    </w:rPr>
                  </w:pPr>
                  <w:r>
                    <w:rPr>
                      <w:rFonts w:hint="default"/>
                    </w:rPr>
                    <w:t>较严重</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486" w:type="dxa"/>
                  <w:tcBorders>
                    <w:top w:val="single" w:color="auto" w:sz="6" w:space="0"/>
                    <w:left w:val="nil"/>
                    <w:bottom w:val="single" w:color="auto" w:sz="6" w:space="0"/>
                    <w:right w:val="single" w:color="auto" w:sz="6" w:space="0"/>
                  </w:tcBorders>
                  <w:shd w:val="clear" w:color="auto" w:fill="auto"/>
                  <w:vAlign w:val="center"/>
                </w:tcPr>
                <w:p>
                  <w:pPr>
                    <w:pStyle w:val="37"/>
                    <w:keepNext w:val="0"/>
                    <w:keepLines w:val="0"/>
                    <w:suppressLineNumbers w:val="0"/>
                    <w:bidi w:val="0"/>
                    <w:spacing w:before="0" w:beforeAutospacing="0" w:after="0" w:afterAutospacing="0"/>
                    <w:ind w:right="0"/>
                    <w:rPr>
                      <w:rFonts w:hint="default" w:eastAsia="宋体"/>
                      <w:highlight w:val="none"/>
                      <w:lang w:val="en-US" w:eastAsia="zh-CN"/>
                    </w:rPr>
                  </w:pPr>
                  <w:r>
                    <w:rPr>
                      <w:rFonts w:hint="eastAsia"/>
                      <w:highlight w:val="none"/>
                      <w:lang w:val="en-US" w:eastAsia="zh-CN"/>
                    </w:rPr>
                    <w:t>拉伸泄漏</w:t>
                  </w:r>
                </w:p>
              </w:tc>
              <w:tc>
                <w:tcPr>
                  <w:tcW w:w="1612" w:type="dxa"/>
                  <w:tcBorders>
                    <w:top w:val="single" w:color="auto" w:sz="6" w:space="0"/>
                    <w:left w:val="single" w:color="auto" w:sz="6" w:space="0"/>
                    <w:bottom w:val="single" w:color="auto" w:sz="6" w:space="0"/>
                    <w:right w:val="single" w:color="auto" w:sz="6" w:space="0"/>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rPr>
                  </w:pPr>
                  <w:r>
                    <w:rPr>
                      <w:rFonts w:hint="default"/>
                      <w:highlight w:val="none"/>
                      <w:lang w:val="en-US" w:eastAsia="zh-CN"/>
                    </w:rPr>
                    <w:t>储存桶破裂</w:t>
                  </w:r>
                </w:p>
              </w:tc>
              <w:tc>
                <w:tcPr>
                  <w:tcW w:w="316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rPr>
                  </w:pPr>
                  <w:r>
                    <w:rPr>
                      <w:rFonts w:hint="default"/>
                      <w:highlight w:val="none"/>
                      <w:lang w:val="en-US" w:eastAsia="zh-CN"/>
                    </w:rPr>
                    <w:t>储存桶破裂泄漏，导致泄漏废水渗漏进入土壤、地下水</w:t>
                  </w:r>
                </w:p>
              </w:tc>
              <w:tc>
                <w:tcPr>
                  <w:tcW w:w="2143" w:type="dxa"/>
                  <w:tcBorders>
                    <w:top w:val="single" w:color="auto" w:sz="6" w:space="0"/>
                    <w:left w:val="single" w:color="auto" w:sz="6" w:space="0"/>
                    <w:bottom w:val="single" w:color="auto" w:sz="6" w:space="0"/>
                    <w:right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highlight w:val="none"/>
                    </w:rPr>
                  </w:pPr>
                  <w:r>
                    <w:rPr>
                      <w:rFonts w:hint="default"/>
                      <w:highlight w:val="none"/>
                      <w:lang w:val="en-US" w:eastAsia="zh-CN"/>
                    </w:rPr>
                    <w:t>渗漏影响土壤、地下水环境</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486" w:type="dxa"/>
                  <w:tcBorders>
                    <w:top w:val="single" w:color="auto" w:sz="6" w:space="0"/>
                    <w:left w:val="nil"/>
                    <w:bottom w:val="single" w:color="auto" w:sz="6" w:space="0"/>
                    <w:right w:val="single" w:color="auto" w:sz="6" w:space="0"/>
                  </w:tcBorders>
                  <w:shd w:val="clear" w:color="auto" w:fill="auto"/>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废水泄漏</w:t>
                  </w:r>
                </w:p>
              </w:tc>
              <w:tc>
                <w:tcPr>
                  <w:tcW w:w="1612" w:type="dxa"/>
                  <w:tcBorders>
                    <w:top w:val="single" w:color="auto" w:sz="6" w:space="0"/>
                    <w:left w:val="single" w:color="auto" w:sz="6" w:space="0"/>
                    <w:bottom w:val="single" w:color="auto" w:sz="6" w:space="0"/>
                    <w:right w:val="single" w:color="auto" w:sz="6" w:space="0"/>
                  </w:tcBorders>
                  <w:shd w:val="clear" w:color="auto" w:fill="auto"/>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污水管网破裂</w:t>
                  </w:r>
                </w:p>
              </w:tc>
              <w:tc>
                <w:tcPr>
                  <w:tcW w:w="316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37"/>
                    <w:keepNext w:val="0"/>
                    <w:keepLines w:val="0"/>
                    <w:suppressLineNumbers w:val="0"/>
                    <w:bidi w:val="0"/>
                    <w:spacing w:before="0" w:beforeAutospacing="0" w:after="0" w:afterAutospacing="0"/>
                    <w:ind w:right="0"/>
                    <w:rPr>
                      <w:rFonts w:hint="default"/>
                    </w:rPr>
                  </w:pPr>
                  <w:r>
                    <w:rPr>
                      <w:rFonts w:hint="default"/>
                      <w:lang w:val="en-US" w:eastAsia="zh-CN"/>
                    </w:rPr>
                    <w:t>污水管线破裂泄漏，导致泄漏废水渗漏进入土壤、地下水</w:t>
                  </w:r>
                </w:p>
              </w:tc>
              <w:tc>
                <w:tcPr>
                  <w:tcW w:w="2143" w:type="dxa"/>
                  <w:tcBorders>
                    <w:top w:val="single" w:color="auto" w:sz="6" w:space="0"/>
                    <w:left w:val="single" w:color="auto" w:sz="6" w:space="0"/>
                    <w:bottom w:val="single" w:color="auto" w:sz="6" w:space="0"/>
                    <w:right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rPr>
                  </w:pPr>
                  <w:r>
                    <w:rPr>
                      <w:rFonts w:hint="default"/>
                      <w:lang w:val="en-US" w:eastAsia="zh-CN"/>
                    </w:rPr>
                    <w:t>渗漏影响土壤、地下水环境</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486" w:type="dxa"/>
                  <w:tcBorders>
                    <w:top w:val="single" w:color="auto" w:sz="6" w:space="0"/>
                    <w:left w:val="nil"/>
                    <w:bottom w:val="single" w:color="auto" w:sz="12" w:space="0"/>
                    <w:right w:val="single" w:color="auto" w:sz="6" w:space="0"/>
                  </w:tcBorders>
                  <w:shd w:val="clear" w:color="auto" w:fill="auto"/>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废水事故排放</w:t>
                  </w:r>
                </w:p>
              </w:tc>
              <w:tc>
                <w:tcPr>
                  <w:tcW w:w="1612" w:type="dxa"/>
                  <w:tcBorders>
                    <w:top w:val="single" w:color="auto" w:sz="6" w:space="0"/>
                    <w:left w:val="single" w:color="auto" w:sz="6" w:space="0"/>
                    <w:bottom w:val="single" w:color="auto" w:sz="12" w:space="0"/>
                    <w:right w:val="single" w:color="auto" w:sz="6" w:space="0"/>
                  </w:tcBorders>
                  <w:shd w:val="clear" w:color="auto" w:fill="auto"/>
                  <w:vAlign w:val="center"/>
                </w:tcPr>
                <w:p>
                  <w:pPr>
                    <w:pStyle w:val="37"/>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污水处理设备出现故障</w:t>
                  </w:r>
                </w:p>
              </w:tc>
              <w:tc>
                <w:tcPr>
                  <w:tcW w:w="3163" w:type="dxa"/>
                  <w:tcBorders>
                    <w:top w:val="single" w:color="auto" w:sz="6" w:space="0"/>
                    <w:left w:val="single" w:color="auto" w:sz="6" w:space="0"/>
                    <w:bottom w:val="single" w:color="auto" w:sz="12" w:space="0"/>
                    <w:right w:val="single" w:color="auto" w:sz="6" w:space="0"/>
                  </w:tcBorders>
                  <w:shd w:val="clear" w:color="auto" w:fill="auto"/>
                  <w:vAlign w:val="center"/>
                </w:tcPr>
                <w:p>
                  <w:pPr>
                    <w:pStyle w:val="37"/>
                    <w:keepNext w:val="0"/>
                    <w:keepLines w:val="0"/>
                    <w:suppressLineNumbers w:val="0"/>
                    <w:bidi w:val="0"/>
                    <w:spacing w:before="0" w:beforeAutospacing="0" w:after="0" w:afterAutospacing="0"/>
                    <w:ind w:right="0"/>
                    <w:rPr>
                      <w:rFonts w:hint="default"/>
                    </w:rPr>
                  </w:pPr>
                  <w:r>
                    <w:rPr>
                      <w:rFonts w:hint="default"/>
                      <w:lang w:val="en-US" w:eastAsia="zh-CN"/>
                    </w:rPr>
                    <w:t>生产废水的超标排放纳入霞浦县污水处理厂</w:t>
                  </w:r>
                </w:p>
              </w:tc>
              <w:tc>
                <w:tcPr>
                  <w:tcW w:w="2143" w:type="dxa"/>
                  <w:tcBorders>
                    <w:top w:val="single" w:color="auto" w:sz="6" w:space="0"/>
                    <w:left w:val="single" w:color="auto" w:sz="6" w:space="0"/>
                    <w:bottom w:val="single" w:color="auto" w:sz="12" w:space="0"/>
                    <w:right w:val="nil"/>
                  </w:tcBorders>
                  <w:shd w:val="clear" w:color="auto" w:fill="auto"/>
                  <w:vAlign w:val="center"/>
                </w:tcPr>
                <w:p>
                  <w:pPr>
                    <w:pStyle w:val="37"/>
                    <w:keepNext w:val="0"/>
                    <w:keepLines w:val="0"/>
                    <w:suppressLineNumbers w:val="0"/>
                    <w:bidi w:val="0"/>
                    <w:spacing w:before="0" w:beforeAutospacing="0" w:after="0" w:afterAutospacing="0"/>
                    <w:ind w:right="0"/>
                    <w:rPr>
                      <w:rFonts w:hint="default"/>
                    </w:rPr>
                  </w:pPr>
                  <w:r>
                    <w:rPr>
                      <w:rFonts w:hint="default"/>
                      <w:lang w:val="en-US" w:eastAsia="zh-CN"/>
                    </w:rPr>
                    <w:t>可能对污水处理厂造成一定影响</w:t>
                  </w:r>
                </w:p>
              </w:tc>
            </w:tr>
          </w:tbl>
          <w:p>
            <w:pPr>
              <w:pStyle w:val="5"/>
              <w:suppressLineNumbers w:val="0"/>
              <w:bidi w:val="0"/>
              <w:spacing w:before="0" w:beforeAutospacing="0" w:after="0" w:afterAutospacing="0"/>
              <w:ind w:right="0"/>
              <w:rPr>
                <w:rFonts w:hint="default"/>
              </w:rPr>
            </w:pPr>
            <w:r>
              <w:rPr>
                <w:rFonts w:hint="default"/>
              </w:rPr>
              <w:t>环境风险防范措施及应急要求</w:t>
            </w:r>
          </w:p>
          <w:p>
            <w:pPr>
              <w:pStyle w:val="42"/>
              <w:keepNext w:val="0"/>
              <w:keepLines w:val="0"/>
              <w:suppressLineNumbers w:val="0"/>
              <w:bidi w:val="0"/>
              <w:spacing w:before="0" w:beforeAutospacing="0" w:after="0" w:afterAutospacing="0" w:line="360" w:lineRule="auto"/>
              <w:ind w:left="0" w:right="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针对本项目有可能发生的环境风险事故，本评价提出如下措施：</w:t>
            </w:r>
          </w:p>
          <w:p>
            <w:pPr>
              <w:pStyle w:val="42"/>
              <w:keepNext w:val="0"/>
              <w:keepLines w:val="0"/>
              <w:numPr>
                <w:ilvl w:val="-1"/>
                <w:numId w:val="0"/>
              </w:numPr>
              <w:suppressLineNumbers w:val="0"/>
              <w:bidi w:val="0"/>
              <w:spacing w:before="0" w:beforeAutospacing="0" w:after="0" w:afterAutospacing="0" w:line="360" w:lineRule="auto"/>
              <w:ind w:left="0" w:right="0" w:firstLine="480"/>
              <w:rPr>
                <w:rFonts w:hint="default" w:ascii="Times New Roman" w:hAnsi="Times New Roman" w:eastAsia="宋体" w:cs="Times New Roman"/>
                <w:sz w:val="24"/>
                <w:szCs w:val="24"/>
                <w:highlight w:val="none"/>
                <w:lang w:val="en-US" w:eastAsia="zh-CN"/>
              </w:rPr>
            </w:pPr>
            <w:r>
              <w:rPr>
                <w:rFonts w:hint="eastAsia" w:cs="Times New Roman"/>
                <w:sz w:val="24"/>
                <w:szCs w:val="24"/>
                <w:highlight w:val="none"/>
                <w:lang w:val="en-US" w:eastAsia="zh-CN"/>
              </w:rPr>
              <w:t>（1）</w:t>
            </w:r>
            <w:r>
              <w:rPr>
                <w:rFonts w:hint="default" w:ascii="Times New Roman" w:hAnsi="Times New Roman" w:eastAsia="宋体" w:cs="Times New Roman"/>
                <w:sz w:val="24"/>
                <w:szCs w:val="24"/>
                <w:highlight w:val="none"/>
                <w:lang w:val="en-US" w:eastAsia="zh-CN"/>
              </w:rPr>
              <w:t>重点防渗区防腐防渗</w:t>
            </w:r>
          </w:p>
          <w:p>
            <w:pPr>
              <w:pStyle w:val="42"/>
              <w:keepNext w:val="0"/>
              <w:keepLines w:val="0"/>
              <w:suppressLineNumbers w:val="0"/>
              <w:bidi w:val="0"/>
              <w:spacing w:before="0" w:beforeAutospacing="0" w:after="0" w:afterAutospacing="0" w:line="360" w:lineRule="auto"/>
              <w:ind w:left="0" w:right="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lang w:val="en-US" w:eastAsia="zh-CN"/>
              </w:rPr>
              <w:t>危废仓、</w:t>
            </w:r>
            <w:r>
              <w:rPr>
                <w:rFonts w:hint="eastAsia" w:ascii="Times New Roman" w:hAnsi="Times New Roman" w:eastAsia="宋体" w:cs="Times New Roman"/>
                <w:sz w:val="24"/>
                <w:szCs w:val="24"/>
                <w:lang w:val="en-US" w:eastAsia="zh-CN"/>
              </w:rPr>
              <w:t>铝壳废边暂存间</w:t>
            </w:r>
            <w:r>
              <w:rPr>
                <w:rFonts w:hint="default" w:ascii="Times New Roman" w:hAnsi="Times New Roman" w:eastAsia="宋体" w:cs="Times New Roman"/>
                <w:sz w:val="24"/>
                <w:szCs w:val="24"/>
                <w:highlight w:val="none"/>
              </w:rPr>
              <w:t>、</w:t>
            </w:r>
            <w:r>
              <w:rPr>
                <w:rFonts w:hint="default" w:ascii="Times New Roman" w:hAnsi="Times New Roman" w:eastAsia="宋体" w:cs="Times New Roman"/>
                <w:sz w:val="24"/>
                <w:szCs w:val="24"/>
                <w:highlight w:val="none"/>
                <w:lang w:val="en-US" w:eastAsia="zh-CN"/>
              </w:rPr>
              <w:t>危化品仓以</w:t>
            </w:r>
            <w:r>
              <w:rPr>
                <w:rFonts w:hint="eastAsia" w:cs="Times New Roman"/>
                <w:sz w:val="24"/>
                <w:szCs w:val="24"/>
                <w:highlight w:val="none"/>
                <w:lang w:val="en-US" w:eastAsia="zh-CN"/>
              </w:rPr>
              <w:t>及</w:t>
            </w:r>
            <w:r>
              <w:rPr>
                <w:rFonts w:hint="default" w:ascii="Times New Roman" w:hAnsi="Times New Roman" w:eastAsia="宋体" w:cs="Times New Roman"/>
                <w:sz w:val="24"/>
                <w:szCs w:val="24"/>
                <w:highlight w:val="none"/>
                <w:lang w:val="en-US" w:eastAsia="zh-CN"/>
              </w:rPr>
              <w:t>污水收集管线为厂区重点防渗区，</w:t>
            </w:r>
            <w:r>
              <w:rPr>
                <w:rFonts w:hint="default" w:ascii="Times New Roman" w:hAnsi="Times New Roman" w:eastAsia="宋体" w:cs="Times New Roman"/>
                <w:color w:val="auto"/>
                <w:sz w:val="24"/>
                <w:szCs w:val="24"/>
                <w:highlight w:val="none"/>
                <w:lang w:val="en-US" w:eastAsia="zh-CN"/>
              </w:rPr>
              <w:t>参照</w:t>
            </w:r>
            <w:r>
              <w:rPr>
                <w:rFonts w:hint="default" w:ascii="Times New Roman" w:hAnsi="Times New Roman" w:eastAsia="宋体" w:cs="Times New Roman"/>
                <w:color w:val="auto"/>
                <w:sz w:val="24"/>
                <w:szCs w:val="24"/>
                <w:highlight w:val="none"/>
              </w:rPr>
              <w:t>《危险废物贮存污染控制标准》（GB18597-20</w:t>
            </w:r>
            <w:r>
              <w:rPr>
                <w:rFonts w:hint="eastAsia" w:cs="Times New Roman"/>
                <w:color w:val="auto"/>
                <w:sz w:val="24"/>
                <w:szCs w:val="24"/>
                <w:highlight w:val="none"/>
                <w:lang w:val="en-US" w:eastAsia="zh-CN"/>
              </w:rPr>
              <w:t>23</w:t>
            </w:r>
            <w:r>
              <w:rPr>
                <w:rFonts w:hint="default" w:ascii="Times New Roman" w:hAnsi="Times New Roman" w:eastAsia="宋体" w:cs="Times New Roman"/>
                <w:color w:val="auto"/>
                <w:sz w:val="24"/>
                <w:szCs w:val="24"/>
                <w:highlight w:val="none"/>
              </w:rPr>
              <w:t>）、《危险废物污染防治技术政策》等危险废物处理的相关标准、法律法规的要求</w:t>
            </w:r>
            <w:r>
              <w:rPr>
                <w:rFonts w:hint="default" w:ascii="Times New Roman" w:hAnsi="Times New Roman" w:eastAsia="宋体" w:cs="Times New Roman"/>
                <w:color w:val="auto"/>
                <w:sz w:val="24"/>
                <w:szCs w:val="24"/>
                <w:highlight w:val="none"/>
                <w:lang w:val="en-US" w:eastAsia="zh-CN"/>
              </w:rPr>
              <w:t>进行设计，</w:t>
            </w:r>
            <w:r>
              <w:rPr>
                <w:rFonts w:hint="default" w:ascii="Times New Roman" w:hAnsi="Times New Roman" w:eastAsia="宋体" w:cs="Times New Roman"/>
                <w:sz w:val="24"/>
                <w:szCs w:val="24"/>
                <w:highlight w:val="none"/>
              </w:rPr>
              <w:t>防渗层为至少1m厚黏土层（渗透系数≤10</w:t>
            </w:r>
            <w:r>
              <w:rPr>
                <w:rFonts w:hint="default" w:ascii="Times New Roman" w:hAnsi="Times New Roman" w:eastAsia="宋体" w:cs="Times New Roman"/>
                <w:sz w:val="24"/>
                <w:szCs w:val="24"/>
                <w:highlight w:val="none"/>
                <w:vertAlign w:val="superscript"/>
              </w:rPr>
              <w:t>-7</w:t>
            </w:r>
            <w:r>
              <w:rPr>
                <w:rFonts w:hint="default" w:ascii="Times New Roman" w:hAnsi="Times New Roman" w:eastAsia="宋体" w:cs="Times New Roman"/>
                <w:sz w:val="24"/>
                <w:szCs w:val="24"/>
                <w:highlight w:val="none"/>
              </w:rPr>
              <w:t>cm/s），或2mm厚高密度聚氯乙烯，或至少2mm厚的其它人工材料，渗透系数≤10</w:t>
            </w:r>
            <w:r>
              <w:rPr>
                <w:rFonts w:hint="default" w:ascii="Times New Roman" w:hAnsi="Times New Roman" w:eastAsia="宋体" w:cs="Times New Roman"/>
                <w:sz w:val="24"/>
                <w:szCs w:val="24"/>
                <w:highlight w:val="none"/>
                <w:vertAlign w:val="superscript"/>
              </w:rPr>
              <w:t>-10</w:t>
            </w:r>
            <w:r>
              <w:rPr>
                <w:rFonts w:hint="default" w:ascii="Times New Roman" w:hAnsi="Times New Roman" w:eastAsia="宋体" w:cs="Times New Roman"/>
                <w:sz w:val="24"/>
                <w:szCs w:val="24"/>
                <w:highlight w:val="none"/>
              </w:rPr>
              <w:t>cm/s。</w:t>
            </w:r>
          </w:p>
          <w:p>
            <w:pPr>
              <w:pStyle w:val="42"/>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（2）</w:t>
            </w:r>
            <w:r>
              <w:rPr>
                <w:rFonts w:hint="default"/>
                <w:lang w:val="en-US" w:eastAsia="zh-CN"/>
              </w:rPr>
              <w:t>化学品类泄漏</w:t>
            </w:r>
          </w:p>
          <w:p>
            <w:pPr>
              <w:pStyle w:val="42"/>
              <w:keepNext w:val="0"/>
              <w:keepLines w:val="0"/>
              <w:suppressLineNumbers w:val="0"/>
              <w:bidi w:val="0"/>
              <w:spacing w:before="0" w:beforeAutospacing="0" w:after="0" w:afterAutospacing="0" w:line="360" w:lineRule="auto"/>
              <w:ind w:left="0" w:right="0"/>
              <w:rPr>
                <w:rFonts w:hint="default" w:ascii="Times New Roman" w:hAnsi="Times New Roman" w:eastAsia="宋体" w:cs="Times New Roman"/>
                <w:sz w:val="24"/>
                <w:szCs w:val="24"/>
                <w:highlight w:val="cyan"/>
                <w:lang w:eastAsia="zh-CN"/>
              </w:rPr>
            </w:pPr>
            <w:r>
              <w:rPr>
                <w:rFonts w:hint="default" w:ascii="Times New Roman" w:hAnsi="Times New Roman" w:eastAsia="宋体" w:cs="Times New Roman"/>
                <w:sz w:val="24"/>
                <w:szCs w:val="24"/>
                <w:highlight w:val="none"/>
              </w:rPr>
              <w:t>当发生该类事故时，对泄漏物料进行收集，将其大部分重新收集至贮槽(桶)内。通常回收完</w:t>
            </w:r>
            <w:r>
              <w:rPr>
                <w:rFonts w:hint="default" w:ascii="Times New Roman" w:hAnsi="Times New Roman" w:eastAsia="宋体" w:cs="Times New Roman"/>
                <w:sz w:val="24"/>
                <w:szCs w:val="24"/>
                <w:highlight w:val="none"/>
                <w:lang w:val="en-US" w:eastAsia="zh-CN"/>
              </w:rPr>
              <w:t>泄漏</w:t>
            </w:r>
            <w:r>
              <w:rPr>
                <w:rFonts w:hint="default" w:ascii="Times New Roman" w:hAnsi="Times New Roman" w:eastAsia="宋体" w:cs="Times New Roman"/>
                <w:sz w:val="24"/>
                <w:szCs w:val="24"/>
                <w:highlight w:val="none"/>
              </w:rPr>
              <w:t>的物料后，用干沙对地面进行吸附，吸附后的干沙将收集按照危废管理进行处置，不允许出现随意倾倒。发生该类事故，只要措施控制得当，不会造成泄漏物进入地表水系而造成明显的水环境污染事故。项目使用的油类物质应储存在阴凉、通风仓间内，远离火种、热源，包装要求密闭，</w:t>
            </w:r>
            <w:r>
              <w:rPr>
                <w:rFonts w:hint="default" w:ascii="Times New Roman" w:hAnsi="Times New Roman" w:eastAsia="宋体" w:cs="Times New Roman"/>
                <w:sz w:val="24"/>
                <w:szCs w:val="24"/>
                <w:highlight w:val="none"/>
                <w:lang w:val="en-US" w:eastAsia="zh-CN"/>
              </w:rPr>
              <w:t>油类</w:t>
            </w:r>
            <w:r>
              <w:rPr>
                <w:rFonts w:hint="default" w:ascii="Times New Roman" w:hAnsi="Times New Roman" w:eastAsia="宋体" w:cs="Times New Roman"/>
                <w:sz w:val="24"/>
                <w:szCs w:val="24"/>
                <w:highlight w:val="none"/>
              </w:rPr>
              <w:t>存放区需设置围堰和地面硬化，设置的围堰高度0.5m，且地面已做好防渗措施，渗透系数≤1.0×10</w:t>
            </w:r>
            <w:r>
              <w:rPr>
                <w:rFonts w:hint="default" w:ascii="Times New Roman" w:hAnsi="Times New Roman" w:eastAsia="宋体" w:cs="Times New Roman"/>
                <w:sz w:val="24"/>
                <w:szCs w:val="24"/>
                <w:highlight w:val="none"/>
                <w:vertAlign w:val="superscript"/>
              </w:rPr>
              <w:t>-10</w:t>
            </w:r>
            <w:r>
              <w:rPr>
                <w:rFonts w:hint="default" w:ascii="Times New Roman" w:hAnsi="Times New Roman" w:eastAsia="宋体" w:cs="Times New Roman"/>
                <w:sz w:val="24"/>
                <w:szCs w:val="24"/>
                <w:highlight w:val="none"/>
              </w:rPr>
              <w:t>cm/s</w:t>
            </w:r>
            <w:r>
              <w:rPr>
                <w:rFonts w:hint="default" w:ascii="Times New Roman" w:hAnsi="Times New Roman" w:eastAsia="宋体" w:cs="Times New Roman"/>
                <w:sz w:val="24"/>
                <w:szCs w:val="24"/>
                <w:highlight w:val="none"/>
                <w:lang w:eastAsia="zh-CN"/>
              </w:rPr>
              <w:t>。</w:t>
            </w:r>
          </w:p>
          <w:p>
            <w:pPr>
              <w:pStyle w:val="42"/>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（3）</w:t>
            </w:r>
            <w:r>
              <w:rPr>
                <w:rFonts w:hint="default"/>
                <w:lang w:val="en-US" w:eastAsia="zh-CN"/>
              </w:rPr>
              <w:t>水环境风险防范措施</w:t>
            </w:r>
          </w:p>
          <w:p>
            <w:pPr>
              <w:pStyle w:val="42"/>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color w:val="000000"/>
                <w:kern w:val="2"/>
                <w:sz w:val="24"/>
                <w:szCs w:val="24"/>
                <w:highlight w:val="none"/>
              </w:rPr>
            </w:pPr>
            <w:r>
              <w:rPr>
                <w:rFonts w:hint="default" w:ascii="Times New Roman" w:hAnsi="Times New Roman" w:eastAsia="宋体" w:cs="Times New Roman"/>
                <w:color w:val="000000"/>
                <w:kern w:val="2"/>
                <w:sz w:val="24"/>
                <w:szCs w:val="24"/>
                <w:highlight w:val="none"/>
                <w:lang w:val="en-US" w:eastAsia="zh-CN" w:bidi="ar"/>
              </w:rPr>
              <w:t>①污水输送管道须符合国家安全质量要求且采用可靠的防腐涂层及保护层，其施工须保证接头处焊接牢固以避免废水在输送过程中泄漏。</w:t>
            </w:r>
          </w:p>
          <w:p>
            <w:pPr>
              <w:pStyle w:val="42"/>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color w:val="000000"/>
                <w:kern w:val="2"/>
                <w:sz w:val="24"/>
                <w:szCs w:val="24"/>
                <w:highlight w:val="none"/>
              </w:rPr>
            </w:pPr>
            <w:r>
              <w:rPr>
                <w:rFonts w:hint="default" w:ascii="Times New Roman" w:hAnsi="Times New Roman" w:eastAsia="宋体" w:cs="Times New Roman"/>
                <w:color w:val="000000"/>
                <w:kern w:val="2"/>
                <w:sz w:val="24"/>
                <w:szCs w:val="24"/>
                <w:highlight w:val="none"/>
                <w:lang w:val="en-US" w:eastAsia="zh-CN" w:bidi="ar"/>
              </w:rPr>
              <w:t>②加强设备管理，认真做好污水设备、管道、阀门的检查工作，对</w:t>
            </w:r>
            <w:r>
              <w:rPr>
                <w:rFonts w:hint="eastAsia" w:ascii="Times New Roman" w:hAnsi="Times New Roman" w:eastAsia="宋体" w:cs="Times New Roman"/>
                <w:color w:val="000000"/>
                <w:kern w:val="2"/>
                <w:sz w:val="24"/>
                <w:szCs w:val="24"/>
                <w:highlight w:val="none"/>
                <w:lang w:val="en-US" w:eastAsia="zh-CN" w:bidi="ar"/>
              </w:rPr>
              <w:t>存在</w:t>
            </w:r>
            <w:r>
              <w:rPr>
                <w:rFonts w:hint="default" w:ascii="Times New Roman" w:hAnsi="Times New Roman" w:eastAsia="宋体" w:cs="Times New Roman"/>
                <w:color w:val="000000"/>
                <w:kern w:val="2"/>
                <w:sz w:val="24"/>
                <w:szCs w:val="24"/>
                <w:highlight w:val="none"/>
                <w:lang w:val="en-US" w:eastAsia="zh-CN" w:bidi="ar"/>
              </w:rPr>
              <w:t>安全隐患的设备、管道、阀门及时进行修理或更换。</w:t>
            </w:r>
          </w:p>
          <w:p>
            <w:pPr>
              <w:pStyle w:val="42"/>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color w:val="000000"/>
                <w:kern w:val="2"/>
                <w:sz w:val="24"/>
                <w:szCs w:val="24"/>
                <w:highlight w:val="none"/>
              </w:rPr>
            </w:pPr>
            <w:r>
              <w:rPr>
                <w:rFonts w:hint="default" w:ascii="Times New Roman" w:hAnsi="Times New Roman" w:eastAsia="宋体" w:cs="Times New Roman"/>
                <w:color w:val="000000"/>
                <w:kern w:val="2"/>
                <w:sz w:val="24"/>
                <w:szCs w:val="24"/>
                <w:highlight w:val="none"/>
                <w:lang w:val="en-US" w:eastAsia="zh-CN" w:bidi="ar"/>
              </w:rPr>
              <w:t>③做好车间地面硬化，防止因物料泄漏、洒落而污染土壤；加强生产管理，避免跑、冒、滴、漏引发水环境污染。</w:t>
            </w:r>
          </w:p>
          <w:p>
            <w:pPr>
              <w:pStyle w:val="42"/>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color w:val="000000"/>
                <w:kern w:val="2"/>
                <w:sz w:val="24"/>
                <w:szCs w:val="24"/>
                <w:highlight w:val="none"/>
              </w:rPr>
            </w:pPr>
            <w:r>
              <w:rPr>
                <w:rFonts w:hint="default" w:ascii="Times New Roman" w:hAnsi="Times New Roman" w:eastAsia="宋体" w:cs="Times New Roman"/>
                <w:color w:val="000000"/>
                <w:kern w:val="2"/>
                <w:sz w:val="24"/>
                <w:szCs w:val="24"/>
                <w:highlight w:val="none"/>
                <w:lang w:val="en-US" w:eastAsia="zh-CN" w:bidi="ar"/>
              </w:rPr>
              <w:t>④完善突发火灾事故洗消废水应急收集、处置措施，确保事故性废水纳入事故应急池。</w:t>
            </w:r>
          </w:p>
          <w:p>
            <w:pPr>
              <w:pStyle w:val="42"/>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color w:val="000000"/>
                <w:kern w:val="2"/>
                <w:sz w:val="24"/>
                <w:szCs w:val="24"/>
                <w:highlight w:val="none"/>
              </w:rPr>
            </w:pPr>
            <w:r>
              <w:rPr>
                <w:rFonts w:hint="default" w:ascii="Times New Roman" w:hAnsi="Times New Roman" w:eastAsia="宋体" w:cs="Times New Roman"/>
                <w:color w:val="000000"/>
                <w:kern w:val="2"/>
                <w:sz w:val="24"/>
                <w:szCs w:val="24"/>
                <w:highlight w:val="none"/>
                <w:lang w:val="en-US" w:eastAsia="zh-CN" w:bidi="ar"/>
              </w:rPr>
              <w:t>⑤按照《环境影响评价技术导则 地下水环境》（HJ610-2016），将厂区划分为一般污染防治区、重点污染防治区、简单污染防治区，并针对不同区域设置不同的防渗措施。</w:t>
            </w:r>
          </w:p>
          <w:p>
            <w:pPr>
              <w:pStyle w:val="42"/>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color w:val="000000"/>
                <w:kern w:val="2"/>
                <w:sz w:val="24"/>
                <w:szCs w:val="24"/>
                <w:highlight w:val="none"/>
              </w:rPr>
            </w:pPr>
            <w:r>
              <w:rPr>
                <w:rFonts w:hint="default" w:ascii="Times New Roman" w:hAnsi="Times New Roman" w:eastAsia="宋体" w:cs="Times New Roman"/>
                <w:color w:val="000000"/>
                <w:kern w:val="2"/>
                <w:sz w:val="24"/>
                <w:szCs w:val="24"/>
                <w:highlight w:val="none"/>
                <w:lang w:val="en-US" w:eastAsia="zh-CN" w:bidi="ar"/>
              </w:rPr>
              <w:t>⑥厂区雨水总排口安装截断阀门，并处于常闭状态，以防止发生火灾事故的情况下消防废水通过雨水管网流出厂区，同时设置消防废水导排设施将厂区的事故消防水自收集渠引至事故废水收集池。</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eastAsia="zh-CN"/>
              </w:rPr>
              <w:fldChar w:fldCharType="begin"/>
            </w:r>
            <w:r>
              <w:rPr>
                <w:rFonts w:hint="default" w:ascii="Times New Roman" w:hAnsi="Times New Roman" w:eastAsia="宋体" w:cs="Times New Roman"/>
                <w:color w:val="auto"/>
                <w:sz w:val="24"/>
                <w:szCs w:val="24"/>
                <w:highlight w:val="none"/>
                <w:lang w:eastAsia="zh-CN"/>
              </w:rPr>
              <w:instrText xml:space="preserve"> = 7 \* GB3 \* MERGEFORMAT </w:instrText>
            </w:r>
            <w:r>
              <w:rPr>
                <w:rFonts w:hint="default" w:ascii="Times New Roman" w:hAnsi="Times New Roman" w:eastAsia="宋体" w:cs="Times New Roman"/>
                <w:color w:val="auto"/>
                <w:sz w:val="24"/>
                <w:szCs w:val="24"/>
                <w:highlight w:val="none"/>
                <w:lang w:eastAsia="zh-CN"/>
              </w:rPr>
              <w:fldChar w:fldCharType="separate"/>
            </w:r>
            <w:r>
              <w:rPr>
                <w:rFonts w:hint="default" w:ascii="Times New Roman" w:hAnsi="Times New Roman" w:eastAsia="宋体" w:cs="Times New Roman"/>
                <w:sz w:val="24"/>
                <w:szCs w:val="24"/>
                <w:highlight w:val="none"/>
              </w:rPr>
              <w:t>⑦</w:t>
            </w:r>
            <w:r>
              <w:rPr>
                <w:rFonts w:hint="default" w:ascii="Times New Roman" w:hAnsi="Times New Roman" w:eastAsia="宋体" w:cs="Times New Roman"/>
                <w:color w:val="auto"/>
                <w:sz w:val="24"/>
                <w:szCs w:val="24"/>
                <w:highlight w:val="none"/>
                <w:lang w:eastAsia="zh-CN"/>
              </w:rPr>
              <w:fldChar w:fldCharType="end"/>
            </w:r>
            <w:r>
              <w:rPr>
                <w:rFonts w:hint="default" w:ascii="Times New Roman" w:hAnsi="Times New Roman" w:eastAsia="宋体" w:cs="Times New Roman"/>
                <w:color w:val="auto"/>
                <w:sz w:val="24"/>
                <w:szCs w:val="24"/>
                <w:highlight w:val="none"/>
              </w:rPr>
              <w:t>事故应急池容积核算</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项目事故应急池根据《事故状态下水体污染的预防与控制技术要求》</w:t>
            </w:r>
            <w:r>
              <w:rPr>
                <w:rFonts w:hint="eastAsia"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Q/SY08190-2019</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和《消防给水及消火栓系统技术规范》（GB50974-2014）中的相关规定设置。事故应急池主要用于区内发生事故或火灾时，控制、收集和存放污染事故水（包括污染雨水）及污染消防水。事故应急水池容量按下式计算：</w:t>
            </w:r>
          </w:p>
          <w:p>
            <w:pPr>
              <w:pStyle w:val="42"/>
              <w:keepNext w:val="0"/>
              <w:keepLines w:val="0"/>
              <w:suppressLineNumbers w:val="0"/>
              <w:adjustRightInd/>
              <w:snapToGrid/>
              <w:spacing w:before="0" w:beforeAutospacing="0" w:after="0" w:afterAutospacing="0" w:line="360" w:lineRule="auto"/>
              <w:ind w:left="0" w:right="0" w:firstLine="480" w:firstLineChars="200"/>
              <w:jc w:val="center"/>
              <w:rPr>
                <w:rFonts w:hint="default" w:ascii="Times New Roman" w:hAnsi="Times New Roman" w:eastAsia="宋体" w:cs="Times New Roman"/>
                <w:color w:val="auto"/>
                <w:sz w:val="24"/>
                <w:szCs w:val="24"/>
                <w:highlight w:val="none"/>
                <w:vertAlign w:val="subscript"/>
              </w:rPr>
            </w:pPr>
            <w:r>
              <w:rPr>
                <w:rFonts w:hint="default" w:ascii="Times New Roman" w:hAnsi="Times New Roman" w:eastAsia="宋体" w:cs="Times New Roman"/>
                <w:color w:val="auto"/>
                <w:sz w:val="24"/>
                <w:szCs w:val="24"/>
                <w:highlight w:val="none"/>
              </w:rPr>
              <w:t>V</w:t>
            </w:r>
            <w:r>
              <w:rPr>
                <w:rFonts w:hint="default" w:ascii="Times New Roman" w:hAnsi="Times New Roman" w:eastAsia="宋体" w:cs="Times New Roman"/>
                <w:color w:val="auto"/>
                <w:sz w:val="24"/>
                <w:szCs w:val="24"/>
                <w:highlight w:val="none"/>
                <w:vertAlign w:val="subscript"/>
              </w:rPr>
              <w:t>总</w:t>
            </w:r>
            <w:r>
              <w:rPr>
                <w:rFonts w:hint="default" w:ascii="Times New Roman" w:hAnsi="Times New Roman" w:eastAsia="宋体" w:cs="Times New Roman"/>
                <w:color w:val="auto"/>
                <w:sz w:val="24"/>
                <w:szCs w:val="24"/>
                <w:highlight w:val="none"/>
              </w:rPr>
              <w:t>=（V</w:t>
            </w:r>
            <w:r>
              <w:rPr>
                <w:rFonts w:hint="default" w:ascii="Times New Roman" w:hAnsi="Times New Roman" w:eastAsia="宋体" w:cs="Times New Roman"/>
                <w:color w:val="auto"/>
                <w:sz w:val="24"/>
                <w:szCs w:val="24"/>
                <w:highlight w:val="none"/>
                <w:vertAlign w:val="subscript"/>
              </w:rPr>
              <w:t>1</w:t>
            </w:r>
            <w:r>
              <w:rPr>
                <w:rFonts w:hint="default" w:ascii="Times New Roman" w:hAnsi="Times New Roman" w:eastAsia="宋体" w:cs="Times New Roman"/>
                <w:color w:val="auto"/>
                <w:sz w:val="24"/>
                <w:szCs w:val="24"/>
                <w:highlight w:val="none"/>
              </w:rPr>
              <w:t>+V</w:t>
            </w:r>
            <w:r>
              <w:rPr>
                <w:rFonts w:hint="default" w:ascii="Times New Roman" w:hAnsi="Times New Roman" w:eastAsia="宋体" w:cs="Times New Roman"/>
                <w:color w:val="auto"/>
                <w:sz w:val="24"/>
                <w:szCs w:val="24"/>
                <w:highlight w:val="none"/>
                <w:vertAlign w:val="subscript"/>
              </w:rPr>
              <w:t>2</w:t>
            </w:r>
            <w:r>
              <w:rPr>
                <w:rFonts w:hint="default" w:ascii="Times New Roman" w:hAnsi="Times New Roman" w:eastAsia="宋体" w:cs="Times New Roman"/>
                <w:color w:val="auto"/>
                <w:sz w:val="24"/>
                <w:szCs w:val="24"/>
                <w:highlight w:val="none"/>
              </w:rPr>
              <w:t>-V</w:t>
            </w:r>
            <w:r>
              <w:rPr>
                <w:rFonts w:hint="default" w:ascii="Times New Roman" w:hAnsi="Times New Roman" w:eastAsia="宋体" w:cs="Times New Roman"/>
                <w:color w:val="auto"/>
                <w:sz w:val="24"/>
                <w:szCs w:val="24"/>
                <w:highlight w:val="none"/>
                <w:vertAlign w:val="subscript"/>
              </w:rPr>
              <w:t>3</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vertAlign w:val="subscript"/>
              </w:rPr>
              <w:t>max</w:t>
            </w:r>
            <w:r>
              <w:rPr>
                <w:rFonts w:hint="default" w:ascii="Times New Roman" w:hAnsi="Times New Roman" w:eastAsia="宋体" w:cs="Times New Roman"/>
                <w:color w:val="auto"/>
                <w:sz w:val="24"/>
                <w:szCs w:val="24"/>
                <w:highlight w:val="none"/>
              </w:rPr>
              <w:t>+V</w:t>
            </w:r>
            <w:r>
              <w:rPr>
                <w:rFonts w:hint="default" w:ascii="Times New Roman" w:hAnsi="Times New Roman" w:eastAsia="宋体" w:cs="Times New Roman"/>
                <w:color w:val="auto"/>
                <w:sz w:val="24"/>
                <w:szCs w:val="24"/>
                <w:highlight w:val="none"/>
                <w:vertAlign w:val="subscript"/>
              </w:rPr>
              <w:t>4</w:t>
            </w:r>
            <w:r>
              <w:rPr>
                <w:rFonts w:hint="default" w:ascii="Times New Roman" w:hAnsi="Times New Roman" w:eastAsia="宋体" w:cs="Times New Roman"/>
                <w:color w:val="auto"/>
                <w:sz w:val="24"/>
                <w:szCs w:val="24"/>
                <w:highlight w:val="none"/>
              </w:rPr>
              <w:t>+V</w:t>
            </w:r>
            <w:r>
              <w:rPr>
                <w:rFonts w:hint="default" w:ascii="Times New Roman" w:hAnsi="Times New Roman" w:eastAsia="宋体" w:cs="Times New Roman"/>
                <w:color w:val="auto"/>
                <w:sz w:val="24"/>
                <w:szCs w:val="24"/>
                <w:highlight w:val="none"/>
                <w:vertAlign w:val="subscript"/>
              </w:rPr>
              <w:t>5</w:t>
            </w:r>
          </w:p>
          <w:p>
            <w:pPr>
              <w:pStyle w:val="42"/>
              <w:keepNext w:val="0"/>
              <w:keepLines w:val="0"/>
              <w:suppressLineNumbers w:val="0"/>
              <w:autoSpaceDE/>
              <w:autoSpaceDN/>
              <w:spacing w:before="0" w:beforeAutospacing="0" w:after="0" w:afterAutospacing="0" w:line="360" w:lineRule="auto"/>
              <w:ind w:left="0" w:right="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式中：（</w:t>
            </w:r>
            <w:r>
              <w:rPr>
                <w:rFonts w:hint="default" w:ascii="Times New Roman" w:hAnsi="Times New Roman" w:eastAsia="宋体" w:cs="Times New Roman"/>
                <w:i/>
                <w:color w:val="auto"/>
                <w:sz w:val="24"/>
                <w:szCs w:val="24"/>
                <w:highlight w:val="none"/>
              </w:rPr>
              <w:t>V</w:t>
            </w:r>
            <w:r>
              <w:rPr>
                <w:rFonts w:hint="default" w:ascii="Times New Roman" w:hAnsi="Times New Roman" w:eastAsia="宋体" w:cs="Times New Roman"/>
                <w:i/>
                <w:color w:val="auto"/>
                <w:sz w:val="24"/>
                <w:szCs w:val="24"/>
                <w:highlight w:val="none"/>
                <w:vertAlign w:val="subscript"/>
              </w:rPr>
              <w:t>1</w:t>
            </w:r>
            <w:r>
              <w:rPr>
                <w:rFonts w:hint="default" w:ascii="Times New Roman" w:hAnsi="Times New Roman" w:eastAsia="宋体" w:cs="Times New Roman"/>
                <w:i/>
                <w:color w:val="auto"/>
                <w:sz w:val="24"/>
                <w:szCs w:val="24"/>
                <w:highlight w:val="none"/>
              </w:rPr>
              <w:t>+ V</w:t>
            </w:r>
            <w:r>
              <w:rPr>
                <w:rFonts w:hint="default" w:ascii="Times New Roman" w:hAnsi="Times New Roman" w:eastAsia="宋体" w:cs="Times New Roman"/>
                <w:i/>
                <w:color w:val="auto"/>
                <w:sz w:val="24"/>
                <w:szCs w:val="24"/>
                <w:highlight w:val="none"/>
                <w:vertAlign w:val="subscript"/>
              </w:rPr>
              <w:t>2</w:t>
            </w:r>
            <w:r>
              <w:rPr>
                <w:rFonts w:hint="default" w:ascii="Times New Roman" w:hAnsi="Times New Roman" w:eastAsia="宋体" w:cs="Times New Roman"/>
                <w:i/>
                <w:color w:val="auto"/>
                <w:sz w:val="24"/>
                <w:szCs w:val="24"/>
                <w:highlight w:val="none"/>
              </w:rPr>
              <w:t>-V</w:t>
            </w:r>
            <w:r>
              <w:rPr>
                <w:rFonts w:hint="default" w:ascii="Times New Roman" w:hAnsi="Times New Roman" w:eastAsia="宋体" w:cs="Times New Roman"/>
                <w:i/>
                <w:color w:val="auto"/>
                <w:sz w:val="24"/>
                <w:szCs w:val="24"/>
                <w:highlight w:val="none"/>
                <w:vertAlign w:val="subscript"/>
              </w:rPr>
              <w:t>3</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i/>
                <w:color w:val="auto"/>
                <w:sz w:val="24"/>
                <w:szCs w:val="24"/>
                <w:highlight w:val="none"/>
                <w:vertAlign w:val="subscript"/>
              </w:rPr>
              <w:t>max</w:t>
            </w:r>
            <w:r>
              <w:rPr>
                <w:rFonts w:hint="default" w:ascii="Times New Roman" w:hAnsi="Times New Roman" w:eastAsia="宋体" w:cs="Times New Roman"/>
                <w:color w:val="auto"/>
                <w:sz w:val="24"/>
                <w:szCs w:val="24"/>
                <w:highlight w:val="none"/>
              </w:rPr>
              <w:t>——指对收集系统范围内不同罐组或装置分别计算</w:t>
            </w:r>
            <w:r>
              <w:rPr>
                <w:rFonts w:hint="default" w:ascii="Times New Roman" w:hAnsi="Times New Roman" w:eastAsia="宋体" w:cs="Times New Roman"/>
                <w:i/>
                <w:color w:val="auto"/>
                <w:sz w:val="24"/>
                <w:szCs w:val="24"/>
                <w:highlight w:val="none"/>
              </w:rPr>
              <w:t>V</w:t>
            </w:r>
            <w:r>
              <w:rPr>
                <w:rFonts w:hint="default" w:ascii="Times New Roman" w:hAnsi="Times New Roman" w:eastAsia="宋体" w:cs="Times New Roman"/>
                <w:i/>
                <w:color w:val="auto"/>
                <w:sz w:val="24"/>
                <w:szCs w:val="24"/>
                <w:highlight w:val="none"/>
                <w:vertAlign w:val="subscript"/>
              </w:rPr>
              <w:t>1</w:t>
            </w:r>
            <w:r>
              <w:rPr>
                <w:rFonts w:hint="default" w:ascii="Times New Roman" w:hAnsi="Times New Roman" w:eastAsia="宋体" w:cs="Times New Roman"/>
                <w:i/>
                <w:color w:val="auto"/>
                <w:sz w:val="24"/>
                <w:szCs w:val="24"/>
                <w:highlight w:val="none"/>
              </w:rPr>
              <w:t>+ V</w:t>
            </w:r>
            <w:r>
              <w:rPr>
                <w:rFonts w:hint="default" w:ascii="Times New Roman" w:hAnsi="Times New Roman" w:eastAsia="宋体" w:cs="Times New Roman"/>
                <w:i/>
                <w:color w:val="auto"/>
                <w:sz w:val="24"/>
                <w:szCs w:val="24"/>
                <w:highlight w:val="none"/>
                <w:vertAlign w:val="subscript"/>
              </w:rPr>
              <w:t>2</w:t>
            </w:r>
            <w:r>
              <w:rPr>
                <w:rFonts w:hint="default" w:ascii="Times New Roman" w:hAnsi="Times New Roman" w:eastAsia="宋体" w:cs="Times New Roman"/>
                <w:i/>
                <w:color w:val="auto"/>
                <w:sz w:val="24"/>
                <w:szCs w:val="24"/>
                <w:highlight w:val="none"/>
              </w:rPr>
              <w:t>-V</w:t>
            </w:r>
            <w:r>
              <w:rPr>
                <w:rFonts w:hint="default" w:ascii="Times New Roman" w:hAnsi="Times New Roman" w:eastAsia="宋体" w:cs="Times New Roman"/>
                <w:i/>
                <w:color w:val="auto"/>
                <w:sz w:val="24"/>
                <w:szCs w:val="24"/>
                <w:highlight w:val="none"/>
                <w:vertAlign w:val="subscript"/>
              </w:rPr>
              <w:t>3</w:t>
            </w:r>
            <w:r>
              <w:rPr>
                <w:rFonts w:hint="default" w:ascii="Times New Roman" w:hAnsi="Times New Roman" w:eastAsia="宋体" w:cs="Times New Roman"/>
                <w:color w:val="auto"/>
                <w:sz w:val="24"/>
                <w:szCs w:val="24"/>
                <w:highlight w:val="none"/>
              </w:rPr>
              <w:t>，取其中最大值；</w:t>
            </w:r>
          </w:p>
          <w:p>
            <w:pPr>
              <w:keepNext w:val="0"/>
              <w:keepLines w:val="0"/>
              <w:suppressLineNumbers w:val="0"/>
              <w:autoSpaceDE w:val="0"/>
              <w:autoSpaceDN w:val="0"/>
              <w:spacing w:before="0" w:beforeAutospacing="0" w:after="0" w:afterAutospacing="0" w:line="360" w:lineRule="auto"/>
              <w:ind w:left="0" w:right="0" w:firstLine="720" w:firstLineChars="300"/>
              <w:textAlignment w:val="baseline"/>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i/>
                <w:color w:val="auto"/>
                <w:sz w:val="24"/>
                <w:szCs w:val="24"/>
                <w:highlight w:val="none"/>
              </w:rPr>
              <w:t>V</w:t>
            </w:r>
            <w:r>
              <w:rPr>
                <w:rFonts w:hint="default" w:ascii="Times New Roman" w:hAnsi="Times New Roman" w:eastAsia="宋体" w:cs="Times New Roman"/>
                <w:i/>
                <w:color w:val="auto"/>
                <w:sz w:val="24"/>
                <w:szCs w:val="24"/>
                <w:highlight w:val="none"/>
                <w:vertAlign w:val="subscript"/>
              </w:rPr>
              <w:t>1</w:t>
            </w:r>
            <w:r>
              <w:rPr>
                <w:rFonts w:hint="default" w:ascii="Times New Roman" w:hAnsi="Times New Roman" w:eastAsia="宋体" w:cs="Times New Roman"/>
                <w:color w:val="auto"/>
                <w:sz w:val="24"/>
                <w:szCs w:val="24"/>
                <w:highlight w:val="none"/>
              </w:rPr>
              <w:t xml:space="preserve"> ——收集系统范围内发生事故的一个罐组或一套装置的物料量，m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项目</w:t>
            </w:r>
            <w:r>
              <w:rPr>
                <w:rFonts w:hint="eastAsia" w:cs="Times New Roman"/>
                <w:color w:val="auto"/>
                <w:sz w:val="24"/>
                <w:szCs w:val="24"/>
                <w:highlight w:val="none"/>
                <w:lang w:val="en-US" w:eastAsia="zh-CN"/>
              </w:rPr>
              <w:t>危险物质最大容积为拉伸油</w:t>
            </w:r>
            <w:r>
              <w:rPr>
                <w:rFonts w:hint="eastAsia" w:cs="Times New Roman"/>
                <w:color w:val="auto"/>
                <w:sz w:val="24"/>
                <w:highlight w:val="none"/>
                <w:lang w:val="en-US" w:eastAsia="zh-CN"/>
              </w:rPr>
              <w:t>储存桶，其</w:t>
            </w:r>
            <w:r>
              <w:rPr>
                <w:rFonts w:hint="default" w:ascii="Times New Roman" w:hAnsi="Times New Roman" w:eastAsia="宋体" w:cs="Times New Roman"/>
                <w:color w:val="auto"/>
                <w:sz w:val="24"/>
                <w:szCs w:val="24"/>
                <w:highlight w:val="none"/>
                <w:lang w:val="en-US" w:eastAsia="zh-CN"/>
              </w:rPr>
              <w:t>最大贮存量为1m</w:t>
            </w:r>
            <w:r>
              <w:rPr>
                <w:rFonts w:hint="default" w:ascii="Times New Roman" w:hAnsi="Times New Roman" w:eastAsia="宋体" w:cs="Times New Roman"/>
                <w:color w:val="auto"/>
                <w:sz w:val="24"/>
                <w:szCs w:val="24"/>
                <w:highlight w:val="none"/>
                <w:vertAlign w:val="superscript"/>
                <w:lang w:val="en-US" w:eastAsia="zh-CN"/>
              </w:rPr>
              <w:t>3</w:t>
            </w:r>
            <w:r>
              <w:rPr>
                <w:rFonts w:hint="default" w:ascii="Times New Roman" w:hAnsi="Times New Roman" w:eastAsia="宋体" w:cs="Times New Roman"/>
                <w:color w:val="auto"/>
                <w:sz w:val="24"/>
                <w:szCs w:val="24"/>
                <w:highlight w:val="none"/>
                <w:lang w:val="en-US" w:eastAsia="zh-CN"/>
              </w:rPr>
              <w:t>，则V</w:t>
            </w:r>
            <w:r>
              <w:rPr>
                <w:rFonts w:hint="default" w:ascii="Times New Roman" w:hAnsi="Times New Roman" w:eastAsia="宋体" w:cs="Times New Roman"/>
                <w:color w:val="auto"/>
                <w:sz w:val="24"/>
                <w:szCs w:val="24"/>
                <w:highlight w:val="none"/>
                <w:vertAlign w:val="subscript"/>
                <w:lang w:val="en-US" w:eastAsia="zh-CN"/>
              </w:rPr>
              <w:t>1</w:t>
            </w:r>
            <w:r>
              <w:rPr>
                <w:rFonts w:hint="default" w:ascii="Times New Roman" w:hAnsi="Times New Roman" w:eastAsia="宋体" w:cs="Times New Roman"/>
                <w:color w:val="auto"/>
                <w:sz w:val="24"/>
                <w:szCs w:val="24"/>
                <w:highlight w:val="none"/>
                <w:lang w:val="en-US" w:eastAsia="zh-CN"/>
              </w:rPr>
              <w:t>=1m</w:t>
            </w:r>
            <w:r>
              <w:rPr>
                <w:rFonts w:hint="default" w:ascii="Times New Roman" w:hAnsi="Times New Roman" w:eastAsia="宋体" w:cs="Times New Roman"/>
                <w:color w:val="auto"/>
                <w:sz w:val="24"/>
                <w:szCs w:val="24"/>
                <w:highlight w:val="none"/>
                <w:vertAlign w:val="superscript"/>
                <w:lang w:val="en-US" w:eastAsia="zh-CN"/>
              </w:rPr>
              <w:t>3</w:t>
            </w:r>
            <w:r>
              <w:rPr>
                <w:rFonts w:hint="default" w:ascii="Times New Roman" w:hAnsi="Times New Roman" w:cs="Times New Roman"/>
                <w:color w:val="auto"/>
                <w:sz w:val="24"/>
                <w:highlight w:val="none"/>
              </w:rPr>
              <w:t>。</w:t>
            </w:r>
          </w:p>
          <w:p>
            <w:pPr>
              <w:pStyle w:val="42"/>
              <w:keepNext w:val="0"/>
              <w:keepLines w:val="0"/>
              <w:suppressLineNumbers w:val="0"/>
              <w:autoSpaceDE/>
              <w:autoSpaceDN/>
              <w:spacing w:before="0" w:beforeAutospacing="0" w:after="0" w:afterAutospacing="0" w:line="360" w:lineRule="auto"/>
              <w:ind w:left="0" w:right="0" w:firstLine="720" w:firstLineChars="3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i/>
                <w:color w:val="auto"/>
                <w:sz w:val="24"/>
                <w:szCs w:val="24"/>
                <w:highlight w:val="none"/>
              </w:rPr>
              <w:t>V</w:t>
            </w:r>
            <w:r>
              <w:rPr>
                <w:rFonts w:hint="default" w:ascii="Times New Roman" w:hAnsi="Times New Roman" w:eastAsia="宋体" w:cs="Times New Roman"/>
                <w:i/>
                <w:color w:val="auto"/>
                <w:sz w:val="24"/>
                <w:szCs w:val="24"/>
                <w:highlight w:val="none"/>
                <w:vertAlign w:val="subscript"/>
              </w:rPr>
              <w:t>2</w:t>
            </w:r>
            <w:r>
              <w:rPr>
                <w:rFonts w:hint="default" w:ascii="Times New Roman" w:hAnsi="Times New Roman" w:eastAsia="宋体" w:cs="Times New Roman"/>
                <w:color w:val="auto"/>
                <w:sz w:val="24"/>
                <w:szCs w:val="24"/>
                <w:highlight w:val="none"/>
              </w:rPr>
              <w:t>——发生事故的储罐或装置的消防水量，m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；根据《消防给水及消火栓系统技术规范》(GB50974-2014)，</w:t>
            </w:r>
            <w:r>
              <w:rPr>
                <w:rFonts w:hint="eastAsia" w:cs="Times New Roman"/>
                <w:color w:val="auto"/>
                <w:sz w:val="24"/>
                <w:szCs w:val="24"/>
                <w:highlight w:val="none"/>
                <w:lang w:val="en-US" w:eastAsia="zh-CN"/>
              </w:rPr>
              <w:t>危化品仓</w:t>
            </w:r>
            <w:r>
              <w:rPr>
                <w:rFonts w:hint="default" w:ascii="Times New Roman" w:hAnsi="Times New Roman" w:eastAsia="宋体" w:cs="Times New Roman"/>
                <w:color w:val="auto"/>
                <w:sz w:val="24"/>
                <w:szCs w:val="24"/>
                <w:highlight w:val="none"/>
              </w:rPr>
              <w:t>消防栓设计流量以15L/s计，则事故情况下一旦发生火灾，事故时间以</w:t>
            </w:r>
            <w:r>
              <w:rPr>
                <w:rFonts w:hint="default"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rPr>
              <w:t>h计，则消防</w:t>
            </w:r>
            <w:r>
              <w:rPr>
                <w:rFonts w:hint="default" w:ascii="Times New Roman" w:hAnsi="Times New Roman" w:eastAsia="宋体" w:cs="Times New Roman"/>
                <w:color w:val="auto"/>
                <w:sz w:val="24"/>
                <w:szCs w:val="24"/>
                <w:highlight w:val="none"/>
                <w:lang w:val="en-US" w:eastAsia="zh-CN"/>
              </w:rPr>
              <w:t>一次</w:t>
            </w:r>
            <w:r>
              <w:rPr>
                <w:rFonts w:hint="default" w:ascii="Times New Roman" w:hAnsi="Times New Roman" w:eastAsia="宋体" w:cs="Times New Roman"/>
                <w:color w:val="auto"/>
                <w:sz w:val="24"/>
                <w:szCs w:val="24"/>
                <w:highlight w:val="none"/>
              </w:rPr>
              <w:t>用水量为V</w:t>
            </w:r>
            <w:r>
              <w:rPr>
                <w:rFonts w:hint="default" w:ascii="Times New Roman" w:hAnsi="Times New Roman" w:eastAsia="宋体" w:cs="Times New Roman"/>
                <w:color w:val="auto"/>
                <w:sz w:val="24"/>
                <w:szCs w:val="24"/>
                <w:highlight w:val="none"/>
                <w:vertAlign w:val="subscript"/>
              </w:rPr>
              <w:t>2</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108</w:t>
            </w:r>
            <w:r>
              <w:rPr>
                <w:rFonts w:hint="default" w:ascii="Times New Roman" w:hAnsi="Times New Roman" w:eastAsia="宋体" w:cs="Times New Roman"/>
                <w:color w:val="auto"/>
                <w:sz w:val="24"/>
                <w:szCs w:val="24"/>
                <w:highlight w:val="none"/>
              </w:rPr>
              <w:t>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w:t>
            </w:r>
          </w:p>
          <w:p>
            <w:pPr>
              <w:pStyle w:val="42"/>
              <w:keepNext w:val="0"/>
              <w:keepLines w:val="0"/>
              <w:suppressLineNumbers w:val="0"/>
              <w:autoSpaceDE/>
              <w:autoSpaceDN/>
              <w:spacing w:before="0" w:beforeAutospacing="0" w:after="0" w:afterAutospacing="0" w:line="360" w:lineRule="auto"/>
              <w:ind w:left="0" w:right="0" w:firstLine="720" w:firstLineChars="300"/>
              <w:textAlignment w:val="auto"/>
              <w:rPr>
                <w:rFonts w:hint="default" w:cs="Times New Roman"/>
                <w:color w:val="auto"/>
                <w:sz w:val="24"/>
                <w:szCs w:val="24"/>
                <w:highlight w:val="none"/>
                <w:lang w:val="en-US" w:eastAsia="zh-CN"/>
              </w:rPr>
            </w:pPr>
            <w:r>
              <w:rPr>
                <w:rFonts w:hint="default" w:ascii="Times New Roman" w:hAnsi="Times New Roman" w:eastAsia="宋体" w:cs="Times New Roman"/>
                <w:i/>
                <w:color w:val="auto"/>
                <w:sz w:val="24"/>
                <w:szCs w:val="24"/>
                <w:highlight w:val="none"/>
              </w:rPr>
              <w:t>V</w:t>
            </w:r>
            <w:r>
              <w:rPr>
                <w:rFonts w:hint="default" w:ascii="Times New Roman" w:hAnsi="Times New Roman" w:eastAsia="宋体" w:cs="Times New Roman"/>
                <w:i/>
                <w:color w:val="auto"/>
                <w:sz w:val="24"/>
                <w:szCs w:val="24"/>
                <w:highlight w:val="none"/>
                <w:vertAlign w:val="subscript"/>
              </w:rPr>
              <w:t xml:space="preserve">3 </w:t>
            </w:r>
            <w:r>
              <w:rPr>
                <w:rFonts w:hint="default" w:ascii="Times New Roman" w:hAnsi="Times New Roman" w:eastAsia="宋体" w:cs="Times New Roman"/>
                <w:color w:val="auto"/>
                <w:sz w:val="24"/>
                <w:szCs w:val="24"/>
                <w:highlight w:val="none"/>
              </w:rPr>
              <w:t>——发生事故时可以转输到其他储存或处理设施的物料量，m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；项目</w:t>
            </w:r>
            <w:r>
              <w:rPr>
                <w:rFonts w:hint="eastAsia" w:cs="Times New Roman"/>
                <w:color w:val="auto"/>
                <w:sz w:val="24"/>
                <w:szCs w:val="24"/>
                <w:highlight w:val="none"/>
                <w:lang w:val="en-US" w:eastAsia="zh-CN"/>
              </w:rPr>
              <w:t>危化品仓拉伸油储存区的围堰容积为1.2</w:t>
            </w:r>
            <w:r>
              <w:rPr>
                <w:rFonts w:hint="default" w:ascii="Times New Roman" w:hAnsi="Times New Roman" w:eastAsia="宋体" w:cs="Times New Roman"/>
                <w:color w:val="auto"/>
                <w:sz w:val="24"/>
                <w:szCs w:val="24"/>
                <w:highlight w:val="none"/>
                <w:lang w:val="en-US" w:eastAsia="zh-CN"/>
              </w:rPr>
              <w:t>m</w:t>
            </w:r>
            <w:r>
              <w:rPr>
                <w:rFonts w:hint="default" w:ascii="Times New Roman" w:hAnsi="Times New Roman" w:eastAsia="宋体" w:cs="Times New Roman"/>
                <w:color w:val="auto"/>
                <w:sz w:val="24"/>
                <w:szCs w:val="24"/>
                <w:highlight w:val="none"/>
                <w:vertAlign w:val="superscript"/>
                <w:lang w:val="en-US" w:eastAsia="zh-CN"/>
              </w:rPr>
              <w:t>3</w:t>
            </w:r>
            <w:r>
              <w:rPr>
                <w:rFonts w:hint="eastAsia" w:ascii="Times New Roman" w:hAnsi="Times New Roman" w:cs="Times New Roman"/>
                <w:color w:val="auto"/>
                <w:sz w:val="24"/>
                <w:szCs w:val="24"/>
                <w:highlight w:val="none"/>
                <w:vertAlign w:val="baseline"/>
                <w:lang w:val="en-US" w:eastAsia="zh-CN"/>
              </w:rPr>
              <w:t>，则</w:t>
            </w:r>
            <w:r>
              <w:rPr>
                <w:rFonts w:hint="default" w:ascii="Times New Roman" w:hAnsi="Times New Roman" w:eastAsia="宋体" w:cs="Times New Roman"/>
                <w:color w:val="auto"/>
                <w:sz w:val="24"/>
                <w:szCs w:val="24"/>
                <w:highlight w:val="none"/>
                <w:lang w:val="en-US" w:eastAsia="zh-CN"/>
              </w:rPr>
              <w:t>V</w:t>
            </w:r>
            <w:r>
              <w:rPr>
                <w:rFonts w:hint="eastAsia" w:ascii="Times New Roman" w:hAnsi="Times New Roman" w:cs="Times New Roman"/>
                <w:color w:val="auto"/>
                <w:sz w:val="24"/>
                <w:szCs w:val="24"/>
                <w:highlight w:val="none"/>
                <w:vertAlign w:val="subscript"/>
                <w:lang w:val="en-US" w:eastAsia="zh-CN"/>
              </w:rPr>
              <w:t>3</w:t>
            </w:r>
            <w:r>
              <w:rPr>
                <w:rFonts w:hint="default" w:ascii="Times New Roman" w:hAnsi="Times New Roman" w:eastAsia="宋体" w:cs="Times New Roman"/>
                <w:color w:val="auto"/>
                <w:sz w:val="24"/>
                <w:szCs w:val="24"/>
                <w:highlight w:val="none"/>
                <w:lang w:val="en-US" w:eastAsia="zh-CN"/>
              </w:rPr>
              <w:t>=1</w:t>
            </w:r>
            <w:r>
              <w:rPr>
                <w:rFonts w:hint="eastAsia" w:ascii="Times New Roman" w:hAnsi="Times New Roman"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lang w:val="en-US" w:eastAsia="zh-CN"/>
              </w:rPr>
              <w:t>m</w:t>
            </w:r>
            <w:r>
              <w:rPr>
                <w:rFonts w:hint="default" w:ascii="Times New Roman" w:hAnsi="Times New Roman" w:eastAsia="宋体" w:cs="Times New Roman"/>
                <w:color w:val="auto"/>
                <w:sz w:val="24"/>
                <w:szCs w:val="24"/>
                <w:highlight w:val="none"/>
                <w:vertAlign w:val="superscript"/>
                <w:lang w:val="en-US" w:eastAsia="zh-CN"/>
              </w:rPr>
              <w:t>3</w:t>
            </w:r>
            <w:r>
              <w:rPr>
                <w:rFonts w:hint="default" w:ascii="Times New Roman" w:hAnsi="Times New Roman" w:cs="Times New Roman"/>
                <w:color w:val="auto"/>
                <w:sz w:val="24"/>
                <w:highlight w:val="none"/>
              </w:rPr>
              <w:t>。</w:t>
            </w:r>
          </w:p>
          <w:p>
            <w:pPr>
              <w:keepNext w:val="0"/>
              <w:keepLines w:val="0"/>
              <w:suppressLineNumbers w:val="0"/>
              <w:autoSpaceDE w:val="0"/>
              <w:autoSpaceDN w:val="0"/>
              <w:spacing w:before="0" w:beforeAutospacing="0" w:after="0" w:afterAutospacing="0" w:line="360" w:lineRule="auto"/>
              <w:ind w:left="0" w:right="0" w:firstLine="720" w:firstLineChars="300"/>
              <w:textAlignment w:val="baseline"/>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i/>
                <w:color w:val="auto"/>
                <w:sz w:val="24"/>
                <w:szCs w:val="24"/>
                <w:highlight w:val="none"/>
              </w:rPr>
              <w:t>V</w:t>
            </w:r>
            <w:r>
              <w:rPr>
                <w:rFonts w:hint="default" w:ascii="Times New Roman" w:hAnsi="Times New Roman" w:eastAsia="宋体" w:cs="Times New Roman"/>
                <w:i/>
                <w:color w:val="auto"/>
                <w:sz w:val="24"/>
                <w:szCs w:val="24"/>
                <w:highlight w:val="none"/>
                <w:vertAlign w:val="subscript"/>
              </w:rPr>
              <w:t>4</w:t>
            </w:r>
            <w:r>
              <w:rPr>
                <w:rFonts w:hint="default" w:ascii="Times New Roman" w:hAnsi="Times New Roman" w:eastAsia="宋体" w:cs="Times New Roman"/>
                <w:color w:val="auto"/>
                <w:sz w:val="24"/>
                <w:szCs w:val="24"/>
                <w:highlight w:val="none"/>
              </w:rPr>
              <w:t>——发生事故时仍必须进入该收集系统的生产废水量，m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w:t>
            </w:r>
            <w:r>
              <w:rPr>
                <w:rStyle w:val="43"/>
                <w:rFonts w:hint="default"/>
              </w:rPr>
              <w:t>本项目</w:t>
            </w:r>
            <w:r>
              <w:rPr>
                <w:rStyle w:val="43"/>
                <w:rFonts w:hint="default"/>
                <w:lang w:val="en-US" w:eastAsia="zh-CN"/>
              </w:rPr>
              <w:t>污水处理设备出现故障</w:t>
            </w:r>
            <w:r>
              <w:rPr>
                <w:rStyle w:val="43"/>
                <w:rFonts w:hint="eastAsia"/>
                <w:lang w:val="en-US" w:eastAsia="zh-CN"/>
              </w:rPr>
              <w:t>，未处理的生产废水进入事故应急池以便故障排查。</w:t>
            </w:r>
            <w:r>
              <w:rPr>
                <w:rFonts w:hint="eastAsia" w:cs="Times New Roman"/>
                <w:color w:val="auto"/>
                <w:sz w:val="24"/>
                <w:highlight w:val="none"/>
                <w:lang w:val="en-US" w:eastAsia="zh-CN"/>
              </w:rPr>
              <w:t>事故时间按2h计，以污水处理设施处理能力计算，则</w:t>
            </w:r>
            <w:r>
              <w:rPr>
                <w:rFonts w:hint="default" w:ascii="Times New Roman" w:hAnsi="Times New Roman" w:eastAsia="宋体" w:cs="Times New Roman"/>
                <w:color w:val="auto"/>
                <w:sz w:val="24"/>
                <w:szCs w:val="24"/>
                <w:highlight w:val="none"/>
              </w:rPr>
              <w:t>生产废水量</w:t>
            </w:r>
            <w:r>
              <w:rPr>
                <w:rFonts w:hint="eastAsia" w:ascii="Times New Roman" w:hAnsi="Times New Roman" w:cs="Times New Roman"/>
                <w:color w:val="auto"/>
                <w:sz w:val="24"/>
                <w:szCs w:val="24"/>
                <w:highlight w:val="none"/>
                <w:lang w:val="en-US" w:eastAsia="zh-CN"/>
              </w:rPr>
              <w:t>进入量约</w:t>
            </w:r>
            <w:r>
              <w:rPr>
                <w:rFonts w:hint="eastAsia" w:cs="Times New Roman"/>
                <w:color w:val="auto"/>
                <w:sz w:val="24"/>
                <w:highlight w:val="none"/>
                <w:lang w:val="en-US" w:eastAsia="zh-CN"/>
              </w:rPr>
              <w:t>为16.5</w:t>
            </w:r>
            <w:r>
              <w:rPr>
                <w:rFonts w:hint="default" w:ascii="Times New Roman" w:hAnsi="Times New Roman" w:cs="Times New Roman"/>
                <w:color w:val="auto"/>
                <w:sz w:val="24"/>
                <w:highlight w:val="none"/>
              </w:rPr>
              <w:t>m</w:t>
            </w:r>
            <w:r>
              <w:rPr>
                <w:rFonts w:hint="default" w:ascii="Times New Roman" w:hAnsi="Times New Roman" w:cs="Times New Roman"/>
                <w:color w:val="auto"/>
                <w:sz w:val="24"/>
                <w:highlight w:val="none"/>
                <w:vertAlign w:val="superscript"/>
              </w:rPr>
              <w:t>3</w:t>
            </w:r>
            <w:r>
              <w:rPr>
                <w:rFonts w:hint="eastAsia" w:cs="Times New Roman"/>
                <w:color w:val="auto"/>
                <w:sz w:val="24"/>
                <w:highlight w:val="none"/>
                <w:vertAlign w:val="baseline"/>
                <w:lang w:eastAsia="zh-CN"/>
              </w:rPr>
              <w:t>，</w:t>
            </w:r>
            <w:r>
              <w:rPr>
                <w:rFonts w:hint="eastAsia" w:cs="Times New Roman"/>
                <w:color w:val="auto"/>
                <w:sz w:val="24"/>
                <w:highlight w:val="none"/>
                <w:vertAlign w:val="baseline"/>
                <w:lang w:val="en-US" w:eastAsia="zh-CN"/>
              </w:rPr>
              <w:t>则</w:t>
            </w:r>
            <w:r>
              <w:rPr>
                <w:rFonts w:hint="default" w:ascii="Times New Roman" w:hAnsi="Times New Roman" w:eastAsia="宋体" w:cs="Times New Roman"/>
                <w:color w:val="auto"/>
                <w:sz w:val="24"/>
                <w:szCs w:val="24"/>
                <w:highlight w:val="none"/>
                <w:lang w:val="en-US" w:eastAsia="zh-CN"/>
              </w:rPr>
              <w:t>V</w:t>
            </w:r>
            <w:r>
              <w:rPr>
                <w:rFonts w:hint="default" w:ascii="Times New Roman" w:hAnsi="Times New Roman" w:eastAsia="宋体" w:cs="Times New Roman"/>
                <w:color w:val="auto"/>
                <w:sz w:val="24"/>
                <w:szCs w:val="24"/>
                <w:highlight w:val="none"/>
                <w:vertAlign w:val="subscript"/>
                <w:lang w:val="en-US" w:eastAsia="zh-CN"/>
              </w:rPr>
              <w:t>4</w:t>
            </w:r>
            <w:r>
              <w:rPr>
                <w:rFonts w:hint="eastAsia" w:cs="Times New Roman"/>
                <w:color w:val="auto"/>
                <w:sz w:val="24"/>
                <w:szCs w:val="24"/>
                <w:highlight w:val="none"/>
                <w:lang w:val="en-US" w:eastAsia="zh-CN"/>
              </w:rPr>
              <w:t>=16.5</w:t>
            </w:r>
            <w:r>
              <w:rPr>
                <w:rFonts w:hint="default" w:ascii="Times New Roman" w:hAnsi="Times New Roman" w:eastAsia="宋体" w:cs="Times New Roman"/>
                <w:color w:val="auto"/>
                <w:sz w:val="24"/>
                <w:szCs w:val="24"/>
                <w:highlight w:val="none"/>
              </w:rPr>
              <w:t>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vertAlign w:val="baseline"/>
                <w:lang w:eastAsia="zh-CN"/>
              </w:rPr>
              <w:t>。</w:t>
            </w:r>
          </w:p>
          <w:p>
            <w:pPr>
              <w:pStyle w:val="42"/>
              <w:keepNext w:val="0"/>
              <w:keepLines w:val="0"/>
              <w:widowControl w:val="0"/>
              <w:suppressLineNumbers w:val="0"/>
              <w:spacing w:before="0" w:beforeAutospacing="0" w:after="0" w:afterAutospacing="0" w:line="360" w:lineRule="auto"/>
              <w:ind w:left="0" w:right="0" w:firstLine="720" w:firstLineChars="300"/>
              <w:jc w:val="both"/>
              <w:rPr>
                <w:rFonts w:hint="default" w:ascii="Times New Roman" w:hAnsi="Times New Roman" w:eastAsia="宋体" w:cs="Times New Roman"/>
                <w:color w:val="auto"/>
                <w:kern w:val="2"/>
                <w:sz w:val="24"/>
                <w:szCs w:val="24"/>
                <w:highlight w:val="none"/>
                <w:vertAlign w:val="baseline"/>
                <w:lang w:val="en-US" w:eastAsia="zh-CN" w:bidi="ar"/>
              </w:rPr>
            </w:pPr>
            <w:r>
              <w:rPr>
                <w:rFonts w:hint="default" w:ascii="Times New Roman" w:hAnsi="Times New Roman" w:eastAsia="宋体" w:cs="Times New Roman"/>
                <w:i/>
                <w:iCs/>
                <w:color w:val="auto"/>
                <w:kern w:val="2"/>
                <w:sz w:val="24"/>
                <w:szCs w:val="24"/>
                <w:highlight w:val="none"/>
                <w:lang w:val="en-US" w:eastAsia="zh-CN" w:bidi="ar"/>
              </w:rPr>
              <w:t>V</w:t>
            </w:r>
            <w:r>
              <w:rPr>
                <w:rFonts w:hint="default" w:ascii="Times New Roman" w:hAnsi="Times New Roman" w:eastAsia="宋体" w:cs="Times New Roman"/>
                <w:color w:val="auto"/>
                <w:kern w:val="2"/>
                <w:sz w:val="24"/>
                <w:szCs w:val="24"/>
                <w:highlight w:val="none"/>
                <w:vertAlign w:val="subscript"/>
                <w:lang w:val="en-US" w:eastAsia="zh-CN" w:bidi="ar"/>
              </w:rPr>
              <w:t>5</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kern w:val="2"/>
                <w:sz w:val="24"/>
                <w:szCs w:val="24"/>
                <w:highlight w:val="none"/>
                <w:lang w:val="en-US" w:eastAsia="zh-CN" w:bidi="ar"/>
              </w:rPr>
              <w:t>发生事故时可能进入该收集系统的降雨量，m</w:t>
            </w:r>
            <w:r>
              <w:rPr>
                <w:rFonts w:hint="default" w:ascii="Times New Roman" w:hAnsi="Times New Roman" w:eastAsia="宋体" w:cs="Times New Roman"/>
                <w:color w:val="auto"/>
                <w:kern w:val="2"/>
                <w:sz w:val="24"/>
                <w:szCs w:val="24"/>
                <w:highlight w:val="none"/>
                <w:vertAlign w:val="superscript"/>
                <w:lang w:val="en-US" w:eastAsia="zh-CN" w:bidi="ar"/>
              </w:rPr>
              <w:t>3</w:t>
            </w:r>
            <w:r>
              <w:rPr>
                <w:rFonts w:hint="default" w:ascii="Times New Roman" w:hAnsi="Times New Roman" w:eastAsia="宋体" w:cs="Times New Roman"/>
                <w:color w:val="auto"/>
                <w:kern w:val="2"/>
                <w:sz w:val="24"/>
                <w:szCs w:val="24"/>
                <w:highlight w:val="none"/>
                <w:vertAlign w:val="baseline"/>
                <w:lang w:val="en-US" w:eastAsia="zh-CN" w:bidi="ar"/>
              </w:rPr>
              <w:t>。本项目</w:t>
            </w:r>
            <w:r>
              <w:rPr>
                <w:rFonts w:hint="eastAsia" w:ascii="Times New Roman" w:hAnsi="Times New Roman" w:eastAsia="宋体" w:cs="Times New Roman"/>
                <w:color w:val="auto"/>
                <w:kern w:val="2"/>
                <w:sz w:val="24"/>
                <w:szCs w:val="24"/>
                <w:highlight w:val="none"/>
                <w:vertAlign w:val="baseline"/>
                <w:lang w:val="en-US" w:eastAsia="zh-CN" w:bidi="ar"/>
              </w:rPr>
              <w:t>最大可信事故为</w:t>
            </w:r>
            <w:r>
              <w:rPr>
                <w:rFonts w:hint="default"/>
                <w:lang w:val="en-US" w:eastAsia="zh-CN"/>
              </w:rPr>
              <w:t>污水处理设备出现故障</w:t>
            </w:r>
            <w:r>
              <w:rPr>
                <w:rFonts w:hint="eastAsia"/>
                <w:lang w:val="en-US" w:eastAsia="zh-CN"/>
              </w:rPr>
              <w:t>导致废水事故排放，且项目</w:t>
            </w:r>
            <w:r>
              <w:rPr>
                <w:rFonts w:hint="default" w:ascii="Times New Roman" w:hAnsi="Times New Roman" w:eastAsia="宋体" w:cs="Times New Roman"/>
                <w:color w:val="auto"/>
                <w:kern w:val="2"/>
                <w:sz w:val="24"/>
                <w:szCs w:val="24"/>
                <w:highlight w:val="none"/>
                <w:vertAlign w:val="baseline"/>
                <w:lang w:val="en-US" w:eastAsia="zh-CN" w:bidi="ar"/>
              </w:rPr>
              <w:t>生产、贮存均在室内，</w:t>
            </w:r>
            <w:r>
              <w:rPr>
                <w:rFonts w:hint="eastAsia" w:cs="Times New Roman"/>
                <w:color w:val="auto"/>
                <w:kern w:val="2"/>
                <w:sz w:val="24"/>
                <w:szCs w:val="24"/>
                <w:highlight w:val="none"/>
                <w:vertAlign w:val="baseline"/>
                <w:lang w:val="en-US" w:eastAsia="zh-CN" w:bidi="ar"/>
              </w:rPr>
              <w:t>为此不考虑</w:t>
            </w:r>
            <w:r>
              <w:rPr>
                <w:rFonts w:hint="default" w:ascii="Times New Roman" w:hAnsi="Times New Roman" w:eastAsia="宋体" w:cs="Times New Roman"/>
                <w:color w:val="auto"/>
                <w:kern w:val="2"/>
                <w:sz w:val="24"/>
                <w:szCs w:val="24"/>
                <w:highlight w:val="none"/>
                <w:vertAlign w:val="baseline"/>
                <w:lang w:val="en-US" w:eastAsia="zh-CN" w:bidi="ar"/>
              </w:rPr>
              <w:t>进入收集系统的雨</w:t>
            </w:r>
            <w:r>
              <w:rPr>
                <w:rFonts w:hint="eastAsia" w:cs="Times New Roman"/>
                <w:color w:val="auto"/>
                <w:kern w:val="2"/>
                <w:sz w:val="24"/>
                <w:szCs w:val="24"/>
                <w:highlight w:val="none"/>
                <w:vertAlign w:val="baseline"/>
                <w:lang w:val="en-US" w:eastAsia="zh-CN" w:bidi="ar"/>
              </w:rPr>
              <w:t>水量。</w:t>
            </w:r>
          </w:p>
          <w:p>
            <w:pPr>
              <w:pStyle w:val="42"/>
              <w:keepNext w:val="0"/>
              <w:keepLines w:val="0"/>
              <w:suppressLineNumbers w:val="0"/>
              <w:bidi w:val="0"/>
              <w:spacing w:before="0" w:beforeAutospacing="0" w:after="0" w:afterAutospacing="0" w:line="360" w:lineRule="auto"/>
              <w:ind w:left="0" w:right="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故V</w:t>
            </w:r>
            <w:r>
              <w:rPr>
                <w:rFonts w:hint="default" w:ascii="Times New Roman" w:hAnsi="Times New Roman" w:eastAsia="宋体" w:cs="Times New Roman"/>
                <w:color w:val="auto"/>
                <w:sz w:val="24"/>
                <w:szCs w:val="24"/>
                <w:highlight w:val="none"/>
                <w:vertAlign w:val="subscript"/>
                <w:lang w:val="en-US" w:eastAsia="zh-CN"/>
              </w:rPr>
              <w:t>总</w:t>
            </w:r>
            <w:r>
              <w:rPr>
                <w:rFonts w:hint="default" w:ascii="Times New Roman" w:hAnsi="Times New Roman" w:eastAsia="宋体" w:cs="Times New Roman"/>
                <w:color w:val="auto"/>
                <w:sz w:val="24"/>
                <w:szCs w:val="24"/>
                <w:highlight w:val="none"/>
                <w:lang w:val="en-US" w:eastAsia="zh-CN"/>
              </w:rPr>
              <w:t>=（</w:t>
            </w:r>
            <w:r>
              <w:rPr>
                <w:rFonts w:hint="eastAsia"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lang w:val="en-US" w:eastAsia="zh-CN"/>
              </w:rPr>
              <w:t>+108-</w:t>
            </w:r>
            <w:r>
              <w:rPr>
                <w:rFonts w:hint="eastAsia" w:cs="Times New Roman"/>
                <w:color w:val="auto"/>
                <w:sz w:val="24"/>
                <w:szCs w:val="24"/>
                <w:highlight w:val="none"/>
                <w:lang w:val="en-US" w:eastAsia="zh-CN"/>
              </w:rPr>
              <w:t>1.2</w:t>
            </w:r>
            <w:r>
              <w:rPr>
                <w:rFonts w:hint="default" w:ascii="Times New Roman" w:hAnsi="Times New Roman" w:eastAsia="宋体" w:cs="Times New Roman"/>
                <w:color w:val="auto"/>
                <w:sz w:val="24"/>
                <w:szCs w:val="24"/>
                <w:highlight w:val="none"/>
                <w:lang w:val="en-US" w:eastAsia="zh-CN"/>
              </w:rPr>
              <w:t>）+</w:t>
            </w:r>
            <w:r>
              <w:rPr>
                <w:rFonts w:hint="eastAsia" w:cs="Times New Roman"/>
                <w:color w:val="auto"/>
                <w:sz w:val="24"/>
                <w:szCs w:val="24"/>
                <w:highlight w:val="none"/>
                <w:lang w:val="en-US" w:eastAsia="zh-CN"/>
              </w:rPr>
              <w:t>16.5</w:t>
            </w:r>
            <w:r>
              <w:rPr>
                <w:rFonts w:hint="default" w:ascii="Times New Roman" w:hAnsi="Times New Roman" w:eastAsia="宋体" w:cs="Times New Roman"/>
                <w:color w:val="auto"/>
                <w:sz w:val="24"/>
                <w:szCs w:val="24"/>
                <w:highlight w:val="none"/>
                <w:lang w:val="en-US" w:eastAsia="zh-CN"/>
              </w:rPr>
              <w:t>+0=</w:t>
            </w:r>
            <w:r>
              <w:rPr>
                <w:rFonts w:hint="eastAsia" w:cs="Times New Roman"/>
                <w:color w:val="auto"/>
                <w:sz w:val="24"/>
                <w:szCs w:val="24"/>
                <w:highlight w:val="none"/>
                <w:lang w:val="en-US" w:eastAsia="zh-CN"/>
              </w:rPr>
              <w:t>124.3</w:t>
            </w:r>
            <w:r>
              <w:rPr>
                <w:rFonts w:hint="default" w:ascii="Times New Roman" w:hAnsi="Times New Roman" w:eastAsia="宋体" w:cs="Times New Roman"/>
                <w:color w:val="auto"/>
                <w:sz w:val="24"/>
                <w:szCs w:val="24"/>
                <w:highlight w:val="none"/>
                <w:lang w:val="en-US" w:eastAsia="zh-CN"/>
              </w:rPr>
              <w:t>m</w:t>
            </w:r>
            <w:r>
              <w:rPr>
                <w:rFonts w:hint="default" w:ascii="Times New Roman" w:hAnsi="Times New Roman" w:eastAsia="宋体" w:cs="Times New Roman"/>
                <w:color w:val="auto"/>
                <w:sz w:val="24"/>
                <w:szCs w:val="24"/>
                <w:highlight w:val="none"/>
                <w:vertAlign w:val="superscript"/>
                <w:lang w:val="en-US" w:eastAsia="zh-CN"/>
              </w:rPr>
              <w:t>3</w:t>
            </w:r>
            <w:r>
              <w:rPr>
                <w:rFonts w:hint="default" w:ascii="Times New Roman" w:hAnsi="Times New Roman" w:eastAsia="宋体" w:cs="Times New Roman"/>
                <w:color w:val="auto"/>
                <w:sz w:val="24"/>
                <w:szCs w:val="24"/>
                <w:highlight w:val="none"/>
                <w:lang w:val="en-US" w:eastAsia="zh-CN"/>
              </w:rPr>
              <w:t>。</w:t>
            </w:r>
          </w:p>
          <w:p>
            <w:pPr>
              <w:pStyle w:val="42"/>
              <w:keepNext w:val="0"/>
              <w:keepLines w:val="0"/>
              <w:suppressLineNumbers w:val="0"/>
              <w:bidi w:val="0"/>
              <w:spacing w:before="0" w:beforeAutospacing="0" w:after="0" w:afterAutospacing="0"/>
              <w:ind w:left="0" w:right="0"/>
              <w:rPr>
                <w:rFonts w:hint="eastAsia"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项目</w:t>
            </w:r>
            <w:r>
              <w:rPr>
                <w:rFonts w:hint="eastAsia" w:ascii="Times New Roman" w:hAnsi="Times New Roman" w:eastAsia="宋体" w:cs="Times New Roman"/>
                <w:color w:val="auto"/>
                <w:sz w:val="24"/>
                <w:szCs w:val="24"/>
                <w:highlight w:val="none"/>
                <w:lang w:val="en-US" w:eastAsia="zh-CN"/>
              </w:rPr>
              <w:t>厂内已设有</w:t>
            </w:r>
            <w:r>
              <w:rPr>
                <w:rFonts w:hint="eastAsia" w:cs="Times New Roman"/>
                <w:sz w:val="24"/>
                <w:szCs w:val="24"/>
                <w:highlight w:val="none"/>
                <w:lang w:val="en-US" w:eastAsia="zh-CN"/>
              </w:rPr>
              <w:t>一个60m</w:t>
            </w:r>
            <w:r>
              <w:rPr>
                <w:rFonts w:hint="eastAsia"/>
                <w:sz w:val="24"/>
                <w:szCs w:val="24"/>
                <w:vertAlign w:val="superscript"/>
                <w:lang w:val="en-US" w:eastAsia="zh-CN"/>
              </w:rPr>
              <w:t>3</w:t>
            </w:r>
            <w:r>
              <w:rPr>
                <w:rFonts w:hint="eastAsia" w:cs="Times New Roman"/>
                <w:sz w:val="24"/>
                <w:szCs w:val="24"/>
                <w:highlight w:val="none"/>
                <w:lang w:val="en-US" w:eastAsia="zh-CN"/>
              </w:rPr>
              <w:t>地下应急池及6个15m</w:t>
            </w:r>
            <w:r>
              <w:rPr>
                <w:rFonts w:hint="eastAsia"/>
                <w:sz w:val="24"/>
                <w:szCs w:val="24"/>
                <w:vertAlign w:val="superscript"/>
                <w:lang w:val="en-US" w:eastAsia="zh-CN"/>
              </w:rPr>
              <w:t>3</w:t>
            </w:r>
            <w:r>
              <w:rPr>
                <w:rFonts w:hint="eastAsia"/>
                <w:vertAlign w:val="baseline"/>
                <w:lang w:val="en-US" w:eastAsia="zh-CN"/>
              </w:rPr>
              <w:t>的应急桶，应急容积共150</w:t>
            </w:r>
            <w:r>
              <w:rPr>
                <w:rFonts w:hint="eastAsia" w:cs="Times New Roman"/>
                <w:sz w:val="24"/>
                <w:szCs w:val="24"/>
                <w:highlight w:val="none"/>
                <w:lang w:val="en-US" w:eastAsia="zh-CN"/>
              </w:rPr>
              <w:t>m</w:t>
            </w:r>
            <w:r>
              <w:rPr>
                <w:rFonts w:hint="eastAsia"/>
                <w:sz w:val="24"/>
                <w:szCs w:val="24"/>
                <w:vertAlign w:val="superscript"/>
                <w:lang w:val="en-US" w:eastAsia="zh-CN"/>
              </w:rPr>
              <w:t>3</w:t>
            </w:r>
            <w:r>
              <w:rPr>
                <w:rFonts w:hint="eastAsia"/>
                <w:sz w:val="24"/>
                <w:szCs w:val="24"/>
                <w:vertAlign w:val="baseline"/>
                <w:lang w:val="en-US" w:eastAsia="zh-CN"/>
              </w:rPr>
              <w:t>，</w:t>
            </w:r>
            <w:r>
              <w:rPr>
                <w:rFonts w:hint="eastAsia"/>
                <w:vertAlign w:val="baseline"/>
                <w:lang w:val="en-US" w:eastAsia="zh-CN"/>
              </w:rPr>
              <w:t>可满足项目事故废水收集要求。项目</w:t>
            </w:r>
            <w:r>
              <w:rPr>
                <w:rFonts w:hint="eastAsia"/>
                <w:lang w:val="en-US" w:eastAsia="zh-CN"/>
              </w:rPr>
              <w:t>设置地下污水收集管线，确保所有事故废水得到有效收集。且在应急设施北侧设置有雨水排放口，一旦发生事故，应立即关闭雨水管道阀门，切断雨水排放口，打开应急池管道阀门，确保消防废水等</w:t>
            </w:r>
            <w:r>
              <w:rPr>
                <w:rFonts w:hint="eastAsia"/>
                <w:highlight w:val="none"/>
                <w:lang w:val="en-US" w:eastAsia="zh-CN"/>
              </w:rPr>
              <w:t>能迅速、安全地集中到事故应急池，待事故结束后再行处理。</w:t>
            </w:r>
          </w:p>
          <w:p>
            <w:pPr>
              <w:pStyle w:val="42"/>
              <w:keepNext w:val="0"/>
              <w:keepLines w:val="0"/>
              <w:suppressLineNumbers w:val="0"/>
              <w:spacing w:before="0" w:beforeAutospacing="0" w:after="0" w:afterAutospacing="0" w:line="360" w:lineRule="auto"/>
              <w:ind w:left="0" w:right="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eastAsia="zh-CN"/>
              </w:rPr>
              <w:fldChar w:fldCharType="begin"/>
            </w:r>
            <w:r>
              <w:rPr>
                <w:rFonts w:hint="default" w:ascii="Times New Roman" w:hAnsi="Times New Roman" w:eastAsia="宋体" w:cs="Times New Roman"/>
                <w:color w:val="auto"/>
                <w:sz w:val="24"/>
                <w:szCs w:val="24"/>
                <w:highlight w:val="none"/>
                <w:lang w:eastAsia="zh-CN"/>
              </w:rPr>
              <w:instrText xml:space="preserve"> = 8 \* GB3 \* MERGEFORMAT </w:instrText>
            </w:r>
            <w:r>
              <w:rPr>
                <w:rFonts w:hint="default" w:ascii="Times New Roman" w:hAnsi="Times New Roman" w:eastAsia="宋体" w:cs="Times New Roman"/>
                <w:color w:val="auto"/>
                <w:sz w:val="24"/>
                <w:szCs w:val="24"/>
                <w:highlight w:val="none"/>
                <w:lang w:eastAsia="zh-CN"/>
              </w:rPr>
              <w:fldChar w:fldCharType="separate"/>
            </w:r>
            <w:r>
              <w:rPr>
                <w:rFonts w:hint="default" w:ascii="Times New Roman" w:hAnsi="Times New Roman" w:eastAsia="宋体" w:cs="Times New Roman"/>
                <w:sz w:val="24"/>
                <w:szCs w:val="24"/>
                <w:highlight w:val="none"/>
              </w:rPr>
              <w:t>⑧</w:t>
            </w:r>
            <w:r>
              <w:rPr>
                <w:rFonts w:hint="default" w:ascii="Times New Roman" w:hAnsi="Times New Roman" w:eastAsia="宋体" w:cs="Times New Roman"/>
                <w:color w:val="auto"/>
                <w:sz w:val="24"/>
                <w:szCs w:val="24"/>
                <w:highlight w:val="none"/>
                <w:lang w:eastAsia="zh-CN"/>
              </w:rPr>
              <w:fldChar w:fldCharType="end"/>
            </w:r>
            <w:r>
              <w:rPr>
                <w:rFonts w:hint="eastAsia" w:cs="Times New Roman"/>
                <w:color w:val="auto"/>
                <w:sz w:val="24"/>
                <w:szCs w:val="24"/>
                <w:highlight w:val="none"/>
                <w:lang w:val="en-US" w:eastAsia="zh-CN"/>
              </w:rPr>
              <w:t>项目地埋式</w:t>
            </w:r>
            <w:r>
              <w:rPr>
                <w:rFonts w:hint="default" w:ascii="Times New Roman" w:hAnsi="Times New Roman" w:eastAsia="宋体" w:cs="Times New Roman"/>
                <w:color w:val="auto"/>
                <w:sz w:val="24"/>
                <w:szCs w:val="24"/>
                <w:highlight w:val="none"/>
              </w:rPr>
              <w:t>事故应急池</w:t>
            </w:r>
            <w:r>
              <w:rPr>
                <w:rFonts w:hint="eastAsia" w:ascii="Times New Roman" w:hAnsi="Times New Roman" w:eastAsia="宋体" w:cs="Times New Roman"/>
                <w:color w:val="auto"/>
                <w:sz w:val="24"/>
                <w:szCs w:val="24"/>
                <w:highlight w:val="none"/>
                <w:lang w:val="en-US" w:eastAsia="zh-CN"/>
              </w:rPr>
              <w:t>已</w:t>
            </w:r>
            <w:r>
              <w:rPr>
                <w:rFonts w:hint="eastAsia" w:cs="Times New Roman"/>
                <w:color w:val="auto"/>
                <w:sz w:val="24"/>
                <w:szCs w:val="24"/>
                <w:highlight w:val="none"/>
                <w:lang w:val="en-US" w:eastAsia="zh-CN"/>
              </w:rPr>
              <w:t>按照重点防渗技术要求进行防腐防渗，</w:t>
            </w:r>
            <w:r>
              <w:rPr>
                <w:rFonts w:hint="default" w:ascii="Times New Roman" w:hAnsi="Times New Roman" w:eastAsia="宋体" w:cs="Times New Roman"/>
                <w:color w:val="auto"/>
                <w:sz w:val="24"/>
                <w:szCs w:val="24"/>
                <w:highlight w:val="none"/>
              </w:rPr>
              <w:t>防止消防废水、泄漏物料等渗透或泄漏至外环境。</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此外，</w:t>
            </w:r>
            <w:r>
              <w:rPr>
                <w:rFonts w:hint="default" w:ascii="Times New Roman" w:hAnsi="Times New Roman" w:eastAsia="宋体" w:cs="Times New Roman"/>
                <w:snapToGrid w:val="0"/>
                <w:color w:val="auto"/>
                <w:kern w:val="2"/>
                <w:sz w:val="24"/>
                <w:szCs w:val="24"/>
                <w:highlight w:val="none"/>
                <w:lang w:val="en-US" w:eastAsia="zh-CN" w:bidi="ar-SA"/>
              </w:rPr>
              <w:t>参照《水体污染防控紧急措施设计导则》的有关要求，本次环境影响评价针对企业事故废水排放采取三级防控措施来杜绝环境风险事故废水排放对外环境造成的污染事件，将污染物控制在储存区、装置区、事故池内。</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A.</w:t>
            </w:r>
            <w:r>
              <w:rPr>
                <w:rFonts w:hint="default" w:ascii="Times New Roman" w:hAnsi="Times New Roman" w:eastAsia="宋体" w:cs="Times New Roman"/>
                <w:color w:val="auto"/>
                <w:sz w:val="24"/>
                <w:szCs w:val="24"/>
                <w:highlight w:val="none"/>
              </w:rPr>
              <w:t>第一级防控措施</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第一级防控措施位于</w:t>
            </w:r>
            <w:r>
              <w:rPr>
                <w:rFonts w:hint="default" w:ascii="Times New Roman" w:hAnsi="Times New Roman" w:eastAsia="宋体" w:cs="Times New Roman"/>
                <w:sz w:val="24"/>
                <w:szCs w:val="24"/>
                <w:lang w:val="en-US" w:eastAsia="zh-CN"/>
              </w:rPr>
              <w:t>危废仓</w:t>
            </w:r>
            <w:r>
              <w:rPr>
                <w:rFonts w:hint="default" w:ascii="Times New Roman" w:hAnsi="Times New Roman" w:eastAsia="宋体" w:cs="Times New Roman"/>
                <w:sz w:val="24"/>
                <w:szCs w:val="24"/>
                <w:highlight w:val="none"/>
              </w:rPr>
              <w:t>、</w:t>
            </w:r>
            <w:r>
              <w:rPr>
                <w:rFonts w:hint="default" w:ascii="Times New Roman" w:hAnsi="Times New Roman" w:eastAsia="宋体" w:cs="Times New Roman"/>
                <w:sz w:val="24"/>
                <w:szCs w:val="24"/>
                <w:highlight w:val="none"/>
                <w:lang w:val="en-US" w:eastAsia="zh-CN"/>
              </w:rPr>
              <w:t>危化品仓</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设置围堰和防火堤</w:t>
            </w:r>
            <w:r>
              <w:rPr>
                <w:rFonts w:hint="default" w:ascii="Times New Roman" w:hAnsi="Times New Roman" w:eastAsia="宋体" w:cs="Times New Roman"/>
                <w:color w:val="auto"/>
                <w:sz w:val="24"/>
                <w:szCs w:val="24"/>
                <w:highlight w:val="none"/>
              </w:rPr>
              <w:t>。围堰外设置排水切换阀门，将泄漏时的危险物质切换至收集系统，防止事故</w:t>
            </w:r>
            <w:r>
              <w:rPr>
                <w:rFonts w:hint="default" w:ascii="Times New Roman" w:hAnsi="Times New Roman" w:eastAsia="宋体" w:cs="Times New Roman"/>
                <w:color w:val="auto"/>
                <w:sz w:val="24"/>
                <w:szCs w:val="24"/>
                <w:highlight w:val="none"/>
                <w:lang w:eastAsia="zh-CN"/>
              </w:rPr>
              <w:t>泄漏</w:t>
            </w:r>
            <w:r>
              <w:rPr>
                <w:rFonts w:hint="default" w:ascii="Times New Roman" w:hAnsi="Times New Roman" w:eastAsia="宋体" w:cs="Times New Roman"/>
                <w:color w:val="auto"/>
                <w:sz w:val="24"/>
                <w:szCs w:val="24"/>
                <w:highlight w:val="none"/>
              </w:rPr>
              <w:t>造成污染水环境。</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B.</w:t>
            </w:r>
            <w:r>
              <w:rPr>
                <w:rFonts w:hint="default" w:ascii="Times New Roman" w:hAnsi="Times New Roman" w:eastAsia="宋体" w:cs="Times New Roman"/>
                <w:color w:val="auto"/>
                <w:sz w:val="24"/>
                <w:szCs w:val="24"/>
                <w:highlight w:val="none"/>
              </w:rPr>
              <w:t>第二级防控措施</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设置连接污水处理系统</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事故</w:t>
            </w:r>
            <w:r>
              <w:rPr>
                <w:rFonts w:hint="default" w:ascii="Times New Roman" w:hAnsi="Times New Roman" w:eastAsia="宋体" w:cs="Times New Roman"/>
                <w:color w:val="auto"/>
                <w:sz w:val="24"/>
                <w:szCs w:val="24"/>
                <w:highlight w:val="none"/>
                <w:lang w:val="en-US" w:eastAsia="zh-CN"/>
              </w:rPr>
              <w:t>应急</w:t>
            </w:r>
            <w:r>
              <w:rPr>
                <w:rFonts w:hint="default" w:ascii="Times New Roman" w:hAnsi="Times New Roman" w:eastAsia="宋体" w:cs="Times New Roman"/>
                <w:color w:val="auto"/>
                <w:sz w:val="24"/>
                <w:szCs w:val="24"/>
                <w:highlight w:val="none"/>
              </w:rPr>
              <w:t>池及其阀门切换装置。其将在厂内发生泄漏事故时启切换，通向雨水系统的阀门关闭，通向应急事故池的阀门打开，及时收集污染的雨水及事故废水至污水处理系统。</w:t>
            </w:r>
            <w:r>
              <w:rPr>
                <w:rFonts w:hint="eastAsia" w:cs="Times New Roman"/>
                <w:color w:val="auto"/>
                <w:sz w:val="24"/>
                <w:szCs w:val="24"/>
                <w:highlight w:val="none"/>
                <w:lang w:val="en-US" w:eastAsia="zh-CN"/>
              </w:rPr>
              <w:t>项目</w:t>
            </w:r>
            <w:r>
              <w:rPr>
                <w:rFonts w:hint="eastAsia" w:ascii="Times New Roman" w:hAnsi="Times New Roman" w:eastAsia="宋体" w:cs="Times New Roman"/>
                <w:color w:val="auto"/>
                <w:sz w:val="24"/>
                <w:szCs w:val="24"/>
                <w:highlight w:val="none"/>
                <w:lang w:val="en-US" w:eastAsia="zh-CN"/>
              </w:rPr>
              <w:t>设有</w:t>
            </w:r>
            <w:r>
              <w:rPr>
                <w:rFonts w:hint="eastAsia" w:cs="Times New Roman"/>
                <w:sz w:val="24"/>
                <w:szCs w:val="24"/>
                <w:highlight w:val="none"/>
                <w:lang w:val="en-US" w:eastAsia="zh-CN"/>
              </w:rPr>
              <w:t>一个60m</w:t>
            </w:r>
            <w:r>
              <w:rPr>
                <w:rFonts w:hint="eastAsia"/>
                <w:sz w:val="24"/>
                <w:szCs w:val="24"/>
                <w:vertAlign w:val="superscript"/>
                <w:lang w:val="en-US" w:eastAsia="zh-CN"/>
              </w:rPr>
              <w:t>3</w:t>
            </w:r>
            <w:r>
              <w:rPr>
                <w:rFonts w:hint="eastAsia" w:cs="Times New Roman"/>
                <w:sz w:val="24"/>
                <w:szCs w:val="24"/>
                <w:highlight w:val="none"/>
                <w:lang w:val="en-US" w:eastAsia="zh-CN"/>
              </w:rPr>
              <w:t>地下应急池及6个15m</w:t>
            </w:r>
            <w:r>
              <w:rPr>
                <w:rFonts w:hint="eastAsia"/>
                <w:sz w:val="24"/>
                <w:szCs w:val="24"/>
                <w:vertAlign w:val="superscript"/>
                <w:lang w:val="en-US" w:eastAsia="zh-CN"/>
              </w:rPr>
              <w:t>3</w:t>
            </w:r>
            <w:r>
              <w:rPr>
                <w:rFonts w:hint="eastAsia"/>
                <w:vertAlign w:val="baseline"/>
                <w:lang w:val="en-US" w:eastAsia="zh-CN"/>
              </w:rPr>
              <w:t>的应急桶，</w:t>
            </w:r>
            <w:r>
              <w:rPr>
                <w:rFonts w:hint="eastAsia" w:ascii="Times New Roman" w:hAnsi="Times New Roman" w:eastAsia="宋体" w:cs="Times New Roman"/>
                <w:color w:val="auto"/>
                <w:sz w:val="24"/>
                <w:szCs w:val="24"/>
                <w:highlight w:val="none"/>
                <w:lang w:val="en-US" w:eastAsia="zh-CN"/>
              </w:rPr>
              <w:t>可</w:t>
            </w:r>
            <w:r>
              <w:rPr>
                <w:rFonts w:hint="default" w:ascii="Times New Roman" w:hAnsi="Times New Roman" w:eastAsia="宋体" w:cs="Times New Roman"/>
                <w:color w:val="auto"/>
                <w:sz w:val="24"/>
                <w:szCs w:val="24"/>
                <w:highlight w:val="none"/>
              </w:rPr>
              <w:t>满足事故废水的收集及暂存要求。通过第二级防控措施，污染可控制在厂区范围内，避免泄漏污染厂界外环境。</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C.</w:t>
            </w:r>
            <w:r>
              <w:rPr>
                <w:rFonts w:hint="default" w:ascii="Times New Roman" w:hAnsi="Times New Roman" w:eastAsia="宋体" w:cs="Times New Roman"/>
                <w:color w:val="auto"/>
                <w:sz w:val="24"/>
                <w:szCs w:val="24"/>
                <w:highlight w:val="none"/>
                <w:lang w:val="en-US" w:eastAsia="zh-CN"/>
              </w:rPr>
              <w:t>第三级防控措施</w:t>
            </w:r>
          </w:p>
          <w:p>
            <w:pPr>
              <w:pStyle w:val="42"/>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snapToGrid w:val="0"/>
                <w:color w:val="auto"/>
                <w:sz w:val="24"/>
                <w:szCs w:val="24"/>
                <w:highlight w:val="none"/>
                <w:lang w:val="en-GB"/>
              </w:rPr>
              <w:t>第三级防控措施是与园区应急系统联防联</w:t>
            </w:r>
            <w:r>
              <w:rPr>
                <w:rFonts w:hint="default" w:ascii="Times New Roman" w:hAnsi="Times New Roman" w:eastAsia="宋体" w:cs="Times New Roman"/>
                <w:snapToGrid w:val="0"/>
                <w:color w:val="auto"/>
                <w:sz w:val="24"/>
                <w:szCs w:val="24"/>
                <w:highlight w:val="none"/>
                <w:lang w:val="en-US" w:eastAsia="zh-CN"/>
              </w:rPr>
              <w:t>动</w:t>
            </w:r>
            <w:r>
              <w:rPr>
                <w:rFonts w:hint="default" w:ascii="Times New Roman" w:hAnsi="Times New Roman" w:eastAsia="宋体" w:cs="Times New Roman"/>
                <w:snapToGrid w:val="0"/>
                <w:color w:val="auto"/>
                <w:sz w:val="24"/>
                <w:szCs w:val="24"/>
                <w:highlight w:val="none"/>
                <w:lang w:val="en-GB" w:eastAsia="zh-CN"/>
              </w:rPr>
              <w:t>，</w:t>
            </w:r>
            <w:r>
              <w:rPr>
                <w:rFonts w:hint="default" w:ascii="Times New Roman" w:hAnsi="Times New Roman" w:eastAsia="宋体" w:cs="Times New Roman"/>
                <w:color w:val="auto"/>
                <w:sz w:val="24"/>
                <w:szCs w:val="24"/>
                <w:highlight w:val="none"/>
                <w:lang w:val="en-US" w:eastAsia="zh-CN"/>
              </w:rPr>
              <w:t>是在企业污水收集池进入厂区污水处理系统处理后在进入开发区污水管网前建设终端事故池，以储存并调控事故废水，将重大事故泄漏物和污染消防水控制在厂区内，防止其进入企业污水处理厂终端。</w:t>
            </w:r>
            <w:r>
              <w:rPr>
                <w:rFonts w:hint="default" w:ascii="Times New Roman" w:hAnsi="Times New Roman" w:eastAsia="宋体" w:cs="Times New Roman"/>
                <w:color w:val="auto"/>
                <w:sz w:val="24"/>
                <w:szCs w:val="24"/>
                <w:highlight w:val="none"/>
              </w:rPr>
              <w:t>当本项目发生火灾事故，产生的</w:t>
            </w:r>
            <w:r>
              <w:rPr>
                <w:rFonts w:hint="default" w:ascii="Times New Roman" w:hAnsi="Times New Roman" w:eastAsia="宋体" w:cs="Times New Roman"/>
                <w:color w:val="auto"/>
                <w:sz w:val="24"/>
                <w:szCs w:val="24"/>
                <w:highlight w:val="none"/>
                <w:lang w:val="en-US" w:eastAsia="zh-CN"/>
              </w:rPr>
              <w:t>事故废水</w:t>
            </w:r>
            <w:r>
              <w:rPr>
                <w:rFonts w:hint="default" w:ascii="Times New Roman" w:hAnsi="Times New Roman" w:eastAsia="宋体" w:cs="Times New Roman"/>
                <w:color w:val="auto"/>
                <w:sz w:val="24"/>
                <w:szCs w:val="24"/>
                <w:highlight w:val="none"/>
              </w:rPr>
              <w:t>量突破项目自身的事故池规模，可用泵将</w:t>
            </w:r>
            <w:r>
              <w:rPr>
                <w:rFonts w:hint="default" w:ascii="Times New Roman" w:hAnsi="Times New Roman" w:eastAsia="宋体" w:cs="Times New Roman"/>
                <w:color w:val="auto"/>
                <w:sz w:val="24"/>
                <w:szCs w:val="24"/>
                <w:highlight w:val="none"/>
                <w:lang w:val="en-US" w:eastAsia="zh-CN"/>
              </w:rPr>
              <w:t>事故废水</w:t>
            </w:r>
            <w:r>
              <w:rPr>
                <w:rFonts w:hint="default" w:ascii="Times New Roman" w:hAnsi="Times New Roman" w:eastAsia="宋体" w:cs="Times New Roman"/>
                <w:color w:val="auto"/>
                <w:sz w:val="24"/>
                <w:szCs w:val="24"/>
                <w:highlight w:val="none"/>
              </w:rPr>
              <w:t>引至园区的事故应急池存储，然后再</w:t>
            </w:r>
            <w:r>
              <w:rPr>
                <w:rFonts w:hint="default" w:ascii="Times New Roman" w:hAnsi="Times New Roman" w:eastAsia="宋体" w:cs="Times New Roman"/>
                <w:color w:val="auto"/>
                <w:sz w:val="24"/>
                <w:szCs w:val="24"/>
                <w:highlight w:val="none"/>
                <w:lang w:eastAsia="zh-CN"/>
              </w:rPr>
              <w:t>将</w:t>
            </w:r>
            <w:r>
              <w:rPr>
                <w:rFonts w:hint="default" w:ascii="Times New Roman" w:hAnsi="Times New Roman" w:eastAsia="宋体" w:cs="Times New Roman"/>
                <w:color w:val="auto"/>
                <w:sz w:val="24"/>
                <w:szCs w:val="24"/>
                <w:highlight w:val="none"/>
              </w:rPr>
              <w:t>消防事故废水引入污水处理厂处理达标后排放。</w:t>
            </w:r>
          </w:p>
          <w:p>
            <w:pPr>
              <w:pStyle w:val="42"/>
              <w:keepNext w:val="0"/>
              <w:keepLines w:val="0"/>
              <w:suppressLineNumbers w:val="0"/>
              <w:bidi w:val="0"/>
              <w:spacing w:before="0" w:beforeAutospacing="0" w:after="0" w:afterAutospacing="0"/>
              <w:ind w:left="0" w:right="0"/>
              <w:rPr>
                <w:rFonts w:hint="default"/>
                <w:lang w:eastAsia="zh-CN"/>
              </w:rPr>
            </w:pPr>
            <w:r>
              <w:rPr>
                <w:rFonts w:hint="eastAsia"/>
                <w:lang w:val="en-US" w:eastAsia="zh-CN"/>
              </w:rPr>
              <w:t>（4）</w:t>
            </w:r>
            <w:r>
              <w:rPr>
                <w:rFonts w:hint="default"/>
                <w:lang w:val="en-US" w:eastAsia="zh-CN"/>
              </w:rPr>
              <w:t>火灾、爆炸风险防范措施</w:t>
            </w:r>
          </w:p>
          <w:p>
            <w:pPr>
              <w:pStyle w:val="42"/>
              <w:keepNext w:val="0"/>
              <w:keepLines w:val="0"/>
              <w:suppressLineNumbers w:val="0"/>
              <w:adjustRightInd/>
              <w:snapToGrid/>
              <w:spacing w:before="0" w:beforeAutospacing="0" w:after="0" w:afterAutospacing="0" w:line="360" w:lineRule="auto"/>
              <w:ind w:left="0" w:right="0" w:firstLine="480" w:firstLineChars="200"/>
              <w:rPr>
                <w:rFonts w:hint="default" w:ascii="Times New Roman" w:hAnsi="Times New Roman" w:eastAsia="宋体" w:cs="Times New Roman"/>
                <w:bCs/>
                <w:sz w:val="24"/>
                <w:szCs w:val="24"/>
                <w:highlight w:val="none"/>
                <w:lang w:bidi="ar"/>
              </w:rPr>
            </w:pPr>
            <w:r>
              <w:rPr>
                <w:rFonts w:hint="default" w:ascii="Times New Roman" w:hAnsi="Times New Roman" w:eastAsia="宋体" w:cs="Times New Roman"/>
                <w:bCs/>
                <w:sz w:val="24"/>
                <w:szCs w:val="24"/>
                <w:highlight w:val="none"/>
                <w:lang w:bidi="ar"/>
              </w:rPr>
              <w:fldChar w:fldCharType="begin"/>
            </w:r>
            <w:r>
              <w:rPr>
                <w:rFonts w:hint="default" w:ascii="Times New Roman" w:hAnsi="Times New Roman" w:eastAsia="宋体" w:cs="Times New Roman"/>
                <w:bCs/>
                <w:sz w:val="24"/>
                <w:szCs w:val="24"/>
                <w:highlight w:val="none"/>
                <w:lang w:bidi="ar"/>
              </w:rPr>
              <w:instrText xml:space="preserve"> = 1 \* GB3 \* MERGEFORMAT </w:instrText>
            </w:r>
            <w:r>
              <w:rPr>
                <w:rFonts w:hint="default" w:ascii="Times New Roman" w:hAnsi="Times New Roman" w:eastAsia="宋体" w:cs="Times New Roman"/>
                <w:bCs/>
                <w:sz w:val="24"/>
                <w:szCs w:val="24"/>
                <w:highlight w:val="none"/>
                <w:lang w:bidi="ar"/>
              </w:rPr>
              <w:fldChar w:fldCharType="separate"/>
            </w:r>
            <w:r>
              <w:rPr>
                <w:rFonts w:hint="default" w:ascii="Times New Roman" w:hAnsi="Times New Roman" w:eastAsia="宋体" w:cs="Times New Roman"/>
                <w:sz w:val="24"/>
                <w:szCs w:val="24"/>
                <w:highlight w:val="none"/>
              </w:rPr>
              <w:t>①</w:t>
            </w:r>
            <w:r>
              <w:rPr>
                <w:rFonts w:hint="default" w:ascii="Times New Roman" w:hAnsi="Times New Roman" w:eastAsia="宋体" w:cs="Times New Roman"/>
                <w:bCs/>
                <w:sz w:val="24"/>
                <w:szCs w:val="24"/>
                <w:highlight w:val="none"/>
                <w:lang w:bidi="ar"/>
              </w:rPr>
              <w:fldChar w:fldCharType="end"/>
            </w:r>
            <w:r>
              <w:rPr>
                <w:rFonts w:hint="default" w:ascii="Times New Roman" w:hAnsi="Times New Roman" w:eastAsia="宋体" w:cs="Times New Roman"/>
                <w:bCs/>
                <w:sz w:val="24"/>
                <w:szCs w:val="24"/>
                <w:highlight w:val="none"/>
                <w:lang w:bidi="ar"/>
              </w:rPr>
              <w:t>对所有建筑物的防火要求，包括材料的选用、布置、构造、疏散等均按《建筑设计防火规范</w:t>
            </w:r>
            <w:r>
              <w:rPr>
                <w:rFonts w:hint="eastAsia" w:ascii="Times New Roman" w:hAnsi="Times New Roman" w:eastAsia="宋体" w:cs="Times New Roman"/>
                <w:bCs/>
                <w:sz w:val="24"/>
                <w:szCs w:val="24"/>
                <w:highlight w:val="none"/>
                <w:lang w:eastAsia="zh-CN" w:bidi="ar"/>
              </w:rPr>
              <w:t>》《</w:t>
            </w:r>
            <w:r>
              <w:rPr>
                <w:rFonts w:hint="default" w:ascii="Times New Roman" w:hAnsi="Times New Roman" w:eastAsia="宋体" w:cs="Times New Roman"/>
                <w:bCs/>
                <w:sz w:val="24"/>
                <w:szCs w:val="24"/>
                <w:highlight w:val="none"/>
                <w:lang w:bidi="ar"/>
              </w:rPr>
              <w:t>建筑内部装修设计的防火规范</w:t>
            </w:r>
            <w:r>
              <w:rPr>
                <w:rFonts w:hint="eastAsia" w:ascii="Times New Roman" w:hAnsi="Times New Roman" w:eastAsia="宋体" w:cs="Times New Roman"/>
                <w:bCs/>
                <w:sz w:val="24"/>
                <w:szCs w:val="24"/>
                <w:highlight w:val="none"/>
                <w:lang w:eastAsia="zh-CN" w:bidi="ar"/>
              </w:rPr>
              <w:t>》《</w:t>
            </w:r>
            <w:r>
              <w:rPr>
                <w:rFonts w:hint="default" w:ascii="Times New Roman" w:hAnsi="Times New Roman" w:eastAsia="宋体" w:cs="Times New Roman"/>
                <w:bCs/>
                <w:sz w:val="24"/>
                <w:szCs w:val="24"/>
                <w:highlight w:val="none"/>
                <w:lang w:bidi="ar"/>
              </w:rPr>
              <w:t>建筑灭火器配置设计规范》等要求进行设计与施工；</w:t>
            </w:r>
          </w:p>
          <w:p>
            <w:pPr>
              <w:pStyle w:val="42"/>
              <w:keepNext w:val="0"/>
              <w:keepLines w:val="0"/>
              <w:suppressLineNumbers w:val="0"/>
              <w:adjustRightInd/>
              <w:snapToGrid/>
              <w:spacing w:before="0" w:beforeAutospacing="0" w:after="0" w:afterAutospacing="0" w:line="360" w:lineRule="auto"/>
              <w:ind w:left="0" w:right="0" w:firstLine="480" w:firstLineChars="200"/>
              <w:rPr>
                <w:rFonts w:hint="default" w:ascii="Times New Roman" w:hAnsi="Times New Roman" w:eastAsia="宋体" w:cs="Times New Roman"/>
                <w:bCs/>
                <w:sz w:val="24"/>
                <w:szCs w:val="24"/>
                <w:highlight w:val="none"/>
              </w:rPr>
            </w:pPr>
            <w:r>
              <w:rPr>
                <w:rFonts w:hint="default" w:ascii="Times New Roman" w:hAnsi="Times New Roman" w:eastAsia="宋体" w:cs="Times New Roman"/>
                <w:bCs/>
                <w:sz w:val="24"/>
                <w:szCs w:val="24"/>
                <w:highlight w:val="none"/>
                <w:lang w:bidi="ar"/>
              </w:rPr>
              <w:fldChar w:fldCharType="begin"/>
            </w:r>
            <w:r>
              <w:rPr>
                <w:rFonts w:hint="default" w:ascii="Times New Roman" w:hAnsi="Times New Roman" w:eastAsia="宋体" w:cs="Times New Roman"/>
                <w:bCs/>
                <w:sz w:val="24"/>
                <w:szCs w:val="24"/>
                <w:highlight w:val="none"/>
                <w:lang w:bidi="ar"/>
              </w:rPr>
              <w:instrText xml:space="preserve"> = 2 \* GB3 \* MERGEFORMAT </w:instrText>
            </w:r>
            <w:r>
              <w:rPr>
                <w:rFonts w:hint="default" w:ascii="Times New Roman" w:hAnsi="Times New Roman" w:eastAsia="宋体" w:cs="Times New Roman"/>
                <w:bCs/>
                <w:sz w:val="24"/>
                <w:szCs w:val="24"/>
                <w:highlight w:val="none"/>
                <w:lang w:bidi="ar"/>
              </w:rPr>
              <w:fldChar w:fldCharType="separate"/>
            </w:r>
            <w:r>
              <w:rPr>
                <w:rFonts w:hint="default" w:ascii="Times New Roman" w:hAnsi="Times New Roman" w:eastAsia="宋体" w:cs="Times New Roman"/>
                <w:sz w:val="24"/>
                <w:szCs w:val="24"/>
                <w:highlight w:val="none"/>
              </w:rPr>
              <w:t>②</w:t>
            </w:r>
            <w:r>
              <w:rPr>
                <w:rFonts w:hint="default" w:ascii="Times New Roman" w:hAnsi="Times New Roman" w:eastAsia="宋体" w:cs="Times New Roman"/>
                <w:bCs/>
                <w:sz w:val="24"/>
                <w:szCs w:val="24"/>
                <w:highlight w:val="none"/>
                <w:lang w:bidi="ar"/>
              </w:rPr>
              <w:fldChar w:fldCharType="end"/>
            </w:r>
            <w:r>
              <w:rPr>
                <w:rFonts w:hint="default" w:ascii="Times New Roman" w:hAnsi="Times New Roman" w:eastAsia="宋体" w:cs="Times New Roman"/>
                <w:bCs/>
                <w:sz w:val="24"/>
                <w:szCs w:val="24"/>
                <w:highlight w:val="none"/>
                <w:lang w:bidi="ar"/>
              </w:rPr>
              <w:t>企业应建立严格的消防管理制度，在厂区内设置灭火器材，如手提式或推车式干粉灭火器；严格落实有关消防技术规范的规定，加强人员疏散设施管理，保证疏散通道畅通。</w:t>
            </w:r>
          </w:p>
          <w:p>
            <w:pPr>
              <w:pStyle w:val="42"/>
              <w:keepNext w:val="0"/>
              <w:keepLines w:val="0"/>
              <w:suppressLineNumbers w:val="0"/>
              <w:adjustRightInd/>
              <w:snapToGrid/>
              <w:spacing w:before="0" w:beforeAutospacing="0" w:after="0" w:afterAutospacing="0" w:line="360" w:lineRule="auto"/>
              <w:ind w:left="0" w:right="0" w:firstLine="480" w:firstLineChars="200"/>
              <w:rPr>
                <w:rFonts w:hint="default" w:ascii="Times New Roman" w:hAnsi="Times New Roman" w:eastAsia="宋体" w:cs="Times New Roman"/>
                <w:bCs/>
                <w:sz w:val="24"/>
                <w:szCs w:val="24"/>
                <w:highlight w:val="none"/>
              </w:rPr>
            </w:pPr>
            <w:r>
              <w:rPr>
                <w:rFonts w:hint="default" w:ascii="Times New Roman" w:hAnsi="Times New Roman" w:eastAsia="宋体" w:cs="Times New Roman"/>
                <w:sz w:val="24"/>
                <w:szCs w:val="24"/>
                <w:highlight w:val="none"/>
                <w:lang w:bidi="ar"/>
              </w:rPr>
              <w:fldChar w:fldCharType="begin"/>
            </w:r>
            <w:r>
              <w:rPr>
                <w:rFonts w:hint="default" w:ascii="Times New Roman" w:hAnsi="Times New Roman" w:eastAsia="宋体" w:cs="Times New Roman"/>
                <w:sz w:val="24"/>
                <w:szCs w:val="24"/>
                <w:highlight w:val="none"/>
                <w:lang w:bidi="ar"/>
              </w:rPr>
              <w:instrText xml:space="preserve"> = 3 \* GB3 \* MERGEFORMAT </w:instrText>
            </w:r>
            <w:r>
              <w:rPr>
                <w:rFonts w:hint="default" w:ascii="Times New Roman" w:hAnsi="Times New Roman" w:eastAsia="宋体" w:cs="Times New Roman"/>
                <w:sz w:val="24"/>
                <w:szCs w:val="24"/>
                <w:highlight w:val="none"/>
                <w:lang w:bidi="ar"/>
              </w:rPr>
              <w:fldChar w:fldCharType="separate"/>
            </w:r>
            <w:r>
              <w:rPr>
                <w:rFonts w:hint="default" w:ascii="Times New Roman" w:hAnsi="Times New Roman" w:eastAsia="宋体" w:cs="Times New Roman"/>
                <w:sz w:val="24"/>
                <w:szCs w:val="24"/>
                <w:highlight w:val="none"/>
              </w:rPr>
              <w:t>③</w:t>
            </w:r>
            <w:r>
              <w:rPr>
                <w:rFonts w:hint="default" w:ascii="Times New Roman" w:hAnsi="Times New Roman" w:eastAsia="宋体" w:cs="Times New Roman"/>
                <w:sz w:val="24"/>
                <w:szCs w:val="24"/>
                <w:highlight w:val="none"/>
                <w:lang w:bidi="ar"/>
              </w:rPr>
              <w:fldChar w:fldCharType="end"/>
            </w:r>
            <w:r>
              <w:rPr>
                <w:rFonts w:hint="default" w:ascii="Times New Roman" w:hAnsi="Times New Roman" w:eastAsia="宋体" w:cs="Times New Roman"/>
                <w:bCs/>
                <w:sz w:val="24"/>
                <w:szCs w:val="24"/>
                <w:highlight w:val="none"/>
                <w:lang w:bidi="ar"/>
              </w:rPr>
              <w:t>定期进行防火安全检查，确保消防设施完整好用。</w:t>
            </w:r>
          </w:p>
          <w:p>
            <w:pPr>
              <w:pStyle w:val="42"/>
              <w:keepNext w:val="0"/>
              <w:keepLines w:val="0"/>
              <w:suppressLineNumbers w:val="0"/>
              <w:adjustRightInd/>
              <w:snapToGrid/>
              <w:spacing w:before="0" w:beforeAutospacing="0" w:after="0" w:afterAutospacing="0" w:line="360" w:lineRule="auto"/>
              <w:ind w:left="0" w:right="0" w:firstLine="480" w:firstLineChars="200"/>
              <w:rPr>
                <w:rFonts w:hint="default" w:ascii="Times New Roman" w:hAnsi="Times New Roman" w:eastAsia="宋体" w:cs="Times New Roman"/>
                <w:bCs/>
                <w:sz w:val="24"/>
                <w:szCs w:val="24"/>
                <w:highlight w:val="none"/>
                <w:lang w:bidi="ar"/>
              </w:rPr>
            </w:pPr>
            <w:r>
              <w:rPr>
                <w:rFonts w:hint="default" w:ascii="Times New Roman" w:hAnsi="Times New Roman" w:eastAsia="宋体" w:cs="Times New Roman"/>
                <w:bCs/>
                <w:sz w:val="24"/>
                <w:szCs w:val="24"/>
                <w:highlight w:val="none"/>
                <w:lang w:bidi="ar"/>
              </w:rPr>
              <w:fldChar w:fldCharType="begin"/>
            </w:r>
            <w:r>
              <w:rPr>
                <w:rFonts w:hint="default" w:ascii="Times New Roman" w:hAnsi="Times New Roman" w:eastAsia="宋体" w:cs="Times New Roman"/>
                <w:bCs/>
                <w:sz w:val="24"/>
                <w:szCs w:val="24"/>
                <w:highlight w:val="none"/>
                <w:lang w:bidi="ar"/>
              </w:rPr>
              <w:instrText xml:space="preserve"> = 4 \* GB3 \* MERGEFORMAT </w:instrText>
            </w:r>
            <w:r>
              <w:rPr>
                <w:rFonts w:hint="default" w:ascii="Times New Roman" w:hAnsi="Times New Roman" w:eastAsia="宋体" w:cs="Times New Roman"/>
                <w:bCs/>
                <w:sz w:val="24"/>
                <w:szCs w:val="24"/>
                <w:highlight w:val="none"/>
                <w:lang w:bidi="ar"/>
              </w:rPr>
              <w:fldChar w:fldCharType="separate"/>
            </w:r>
            <w:r>
              <w:rPr>
                <w:rFonts w:hint="default" w:ascii="Times New Roman" w:hAnsi="Times New Roman" w:eastAsia="宋体" w:cs="Times New Roman"/>
                <w:sz w:val="24"/>
                <w:szCs w:val="24"/>
                <w:highlight w:val="none"/>
              </w:rPr>
              <w:t>④</w:t>
            </w:r>
            <w:r>
              <w:rPr>
                <w:rFonts w:hint="default" w:ascii="Times New Roman" w:hAnsi="Times New Roman" w:eastAsia="宋体" w:cs="Times New Roman"/>
                <w:bCs/>
                <w:sz w:val="24"/>
                <w:szCs w:val="24"/>
                <w:highlight w:val="none"/>
                <w:lang w:bidi="ar"/>
              </w:rPr>
              <w:fldChar w:fldCharType="end"/>
            </w:r>
            <w:r>
              <w:rPr>
                <w:rFonts w:hint="default" w:ascii="Times New Roman" w:hAnsi="Times New Roman" w:eastAsia="宋体" w:cs="Times New Roman"/>
                <w:bCs/>
                <w:sz w:val="24"/>
                <w:szCs w:val="24"/>
                <w:highlight w:val="none"/>
                <w:lang w:bidi="ar"/>
              </w:rPr>
              <w:t>企业要求职工应遵守各项规章制度，杜绝“三违”(违章作业、违章指挥、违反劳动纪律)，作业时要遵守各项规定(如动火、高处作业、进入设备作业等规定)、要求，确保安全生产。</w:t>
            </w:r>
          </w:p>
          <w:p>
            <w:pPr>
              <w:pStyle w:val="42"/>
              <w:keepNext w:val="0"/>
              <w:keepLines w:val="0"/>
              <w:suppressLineNumbers w:val="0"/>
              <w:bidi w:val="0"/>
              <w:spacing w:before="0" w:beforeAutospacing="0" w:after="0" w:afterAutospacing="0" w:line="360" w:lineRule="auto"/>
              <w:ind w:left="0" w:right="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lang w:val="en-US" w:eastAsia="zh-CN"/>
              </w:rPr>
              <w:t>5</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lang w:val="en-US" w:eastAsia="zh-CN"/>
              </w:rPr>
              <w:t>其他</w:t>
            </w:r>
          </w:p>
          <w:p>
            <w:pPr>
              <w:pStyle w:val="42"/>
              <w:keepNext w:val="0"/>
              <w:keepLines w:val="0"/>
              <w:suppressLineNumbers w:val="0"/>
              <w:bidi w:val="0"/>
              <w:spacing w:before="0" w:beforeAutospacing="0" w:after="0" w:afterAutospacing="0" w:line="360" w:lineRule="auto"/>
              <w:ind w:left="0" w:right="0"/>
              <w:rPr>
                <w:rFonts w:hint="default" w:ascii="Times New Roman" w:hAnsi="Times New Roman" w:eastAsia="宋体" w:cs="Times New Roman"/>
                <w:bCs/>
                <w:sz w:val="24"/>
                <w:szCs w:val="24"/>
                <w:highlight w:val="none"/>
                <w:lang w:val="en-US" w:eastAsia="zh-CN" w:bidi="ar"/>
              </w:rPr>
            </w:pPr>
            <w:r>
              <w:rPr>
                <w:rFonts w:hint="default" w:ascii="Times New Roman" w:hAnsi="Times New Roman" w:eastAsia="宋体" w:cs="Times New Roman"/>
                <w:sz w:val="24"/>
                <w:szCs w:val="24"/>
                <w:highlight w:val="none"/>
                <w:lang w:val="en-US" w:eastAsia="zh-CN"/>
              </w:rPr>
              <w:t>①建议设立相关突发环境事故应急处理组织机构，建立健全公司的突发环境</w:t>
            </w:r>
            <w:r>
              <w:rPr>
                <w:rFonts w:hint="default" w:ascii="Times New Roman" w:hAnsi="Times New Roman" w:eastAsia="宋体" w:cs="Times New Roman"/>
                <w:bCs/>
                <w:sz w:val="24"/>
                <w:szCs w:val="24"/>
                <w:highlight w:val="none"/>
                <w:lang w:val="en-US" w:eastAsia="zh-CN" w:bidi="ar"/>
              </w:rPr>
              <w:t>事故应急组织机构。</w:t>
            </w:r>
            <w:r>
              <w:rPr>
                <w:rFonts w:hint="default" w:ascii="Times New Roman" w:hAnsi="Times New Roman" w:eastAsia="宋体" w:cs="Times New Roman"/>
                <w:kern w:val="0"/>
                <w:sz w:val="24"/>
                <w:szCs w:val="24"/>
                <w:highlight w:val="none"/>
              </w:rPr>
              <w:t>建设单位应制定全厂的环境风险应急预案，并与园区、地方政府应急联动，包括响应级别、响应联动程序和环境风险事故监测体系等。</w:t>
            </w:r>
          </w:p>
          <w:p>
            <w:pPr>
              <w:pStyle w:val="42"/>
              <w:keepNext w:val="0"/>
              <w:keepLines w:val="0"/>
              <w:suppressLineNumbers w:val="0"/>
              <w:adjustRightInd/>
              <w:snapToGrid/>
              <w:spacing w:before="0" w:beforeAutospacing="0" w:after="0" w:afterAutospacing="0"/>
              <w:ind w:left="0" w:right="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②全体职工安全教育制度：所有生产作业人员，每年要接受在职安全教育培训1~2次，公司一年组织1~2次应急演练。</w:t>
            </w:r>
          </w:p>
          <w:p>
            <w:pPr>
              <w:pStyle w:val="42"/>
              <w:keepNext w:val="0"/>
              <w:keepLines w:val="0"/>
              <w:suppressLineNumbers w:val="0"/>
              <w:adjustRightInd/>
              <w:snapToGrid/>
              <w:spacing w:before="0" w:beforeAutospacing="0" w:after="0" w:afterAutospacing="0"/>
              <w:ind w:left="0" w:right="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fldChar w:fldCharType="begin"/>
            </w:r>
            <w:r>
              <w:rPr>
                <w:rFonts w:hint="default" w:ascii="Times New Roman" w:hAnsi="Times New Roman" w:eastAsia="宋体" w:cs="Times New Roman"/>
                <w:sz w:val="24"/>
                <w:szCs w:val="24"/>
                <w:highlight w:val="none"/>
                <w:lang w:bidi="ar"/>
              </w:rPr>
              <w:instrText xml:space="preserve"> = 3 \* GB3 \* MERGEFORMAT </w:instrText>
            </w:r>
            <w:r>
              <w:rPr>
                <w:rFonts w:hint="default" w:ascii="Times New Roman" w:hAnsi="Times New Roman" w:eastAsia="宋体" w:cs="Times New Roman"/>
                <w:sz w:val="24"/>
                <w:szCs w:val="24"/>
                <w:highlight w:val="none"/>
                <w:lang w:bidi="ar"/>
              </w:rPr>
              <w:fldChar w:fldCharType="separate"/>
            </w:r>
            <w:r>
              <w:rPr>
                <w:rFonts w:hint="default" w:ascii="Times New Roman" w:hAnsi="Times New Roman" w:eastAsia="宋体" w:cs="Times New Roman"/>
                <w:sz w:val="24"/>
                <w:szCs w:val="24"/>
                <w:highlight w:val="none"/>
              </w:rPr>
              <w:t>③</w:t>
            </w:r>
            <w:r>
              <w:rPr>
                <w:rFonts w:hint="default" w:ascii="Times New Roman" w:hAnsi="Times New Roman" w:eastAsia="宋体" w:cs="Times New Roman"/>
                <w:sz w:val="24"/>
                <w:szCs w:val="24"/>
                <w:highlight w:val="none"/>
                <w:lang w:bidi="ar"/>
              </w:rPr>
              <w:fldChar w:fldCharType="end"/>
            </w:r>
            <w:r>
              <w:rPr>
                <w:rFonts w:hint="default" w:ascii="Times New Roman" w:hAnsi="Times New Roman" w:eastAsia="宋体" w:cs="Times New Roman"/>
                <w:sz w:val="24"/>
                <w:szCs w:val="24"/>
                <w:highlight w:val="none"/>
                <w:lang w:val="en-US" w:eastAsia="zh-CN"/>
              </w:rPr>
              <w:t>发生火灾时，应及时采取相应的灭火措施并疏散厂内员工，及时疏散周围的居民。</w:t>
            </w:r>
          </w:p>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bCs/>
                <w:sz w:val="24"/>
                <w:szCs w:val="24"/>
                <w:highlight w:val="none"/>
                <w:lang w:bidi="ar"/>
              </w:rPr>
              <w:fldChar w:fldCharType="begin"/>
            </w:r>
            <w:r>
              <w:rPr>
                <w:rFonts w:hint="default" w:ascii="Times New Roman" w:hAnsi="Times New Roman" w:eastAsia="宋体" w:cs="Times New Roman"/>
                <w:bCs/>
                <w:sz w:val="24"/>
                <w:szCs w:val="24"/>
                <w:highlight w:val="none"/>
                <w:lang w:bidi="ar"/>
              </w:rPr>
              <w:instrText xml:space="preserve"> = 4 \* GB3 \* MERGEFORMAT </w:instrText>
            </w:r>
            <w:r>
              <w:rPr>
                <w:rFonts w:hint="default" w:ascii="Times New Roman" w:hAnsi="Times New Roman" w:eastAsia="宋体" w:cs="Times New Roman"/>
                <w:bCs/>
                <w:sz w:val="24"/>
                <w:szCs w:val="24"/>
                <w:highlight w:val="none"/>
                <w:lang w:bidi="ar"/>
              </w:rPr>
              <w:fldChar w:fldCharType="separate"/>
            </w:r>
            <w:r>
              <w:rPr>
                <w:rFonts w:hint="default" w:ascii="Times New Roman" w:hAnsi="Times New Roman" w:eastAsia="宋体" w:cs="Times New Roman"/>
                <w:sz w:val="24"/>
                <w:szCs w:val="24"/>
                <w:highlight w:val="none"/>
              </w:rPr>
              <w:t>④</w:t>
            </w:r>
            <w:r>
              <w:rPr>
                <w:rFonts w:hint="default" w:ascii="Times New Roman" w:hAnsi="Times New Roman" w:eastAsia="宋体" w:cs="Times New Roman"/>
                <w:bCs/>
                <w:sz w:val="24"/>
                <w:szCs w:val="24"/>
                <w:highlight w:val="none"/>
                <w:lang w:bidi="ar"/>
              </w:rPr>
              <w:fldChar w:fldCharType="end"/>
            </w:r>
            <w:r>
              <w:rPr>
                <w:rFonts w:hint="default" w:ascii="Times New Roman" w:hAnsi="Times New Roman" w:eastAsia="宋体" w:cs="Times New Roman"/>
                <w:sz w:val="24"/>
                <w:szCs w:val="24"/>
                <w:highlight w:val="none"/>
                <w:lang w:val="en-US" w:eastAsia="zh-CN"/>
              </w:rPr>
              <w:t>事故发生时，救援人员必须佩戴防毒过滤面具，同时穿好工作服，迅速判明事故当时的风向，可利用风标、旗帜等辨明风向，向上风向撤离，尽可能向侧、 逆风向转移。</w:t>
            </w:r>
          </w:p>
          <w:p>
            <w:pPr>
              <w:pStyle w:val="42"/>
              <w:keepNext w:val="0"/>
              <w:keepLines w:val="0"/>
              <w:suppressLineNumbers w:val="0"/>
              <w:spacing w:before="0" w:beforeAutospacing="0" w:after="0" w:afterAutospacing="0"/>
              <w:ind w:left="0" w:right="0" w:firstLine="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fldChar w:fldCharType="begin"/>
            </w:r>
            <w:r>
              <w:rPr>
                <w:rFonts w:hint="default" w:ascii="Times New Roman" w:hAnsi="Times New Roman" w:eastAsia="宋体" w:cs="Times New Roman"/>
                <w:sz w:val="24"/>
                <w:szCs w:val="24"/>
                <w:highlight w:val="none"/>
                <w:lang w:val="en-US" w:eastAsia="zh-CN"/>
              </w:rPr>
              <w:instrText xml:space="preserve"> = 5 \* GB3 \* MERGEFORMAT </w:instrText>
            </w:r>
            <w:r>
              <w:rPr>
                <w:rFonts w:hint="default" w:ascii="Times New Roman" w:hAnsi="Times New Roman" w:eastAsia="宋体" w:cs="Times New Roman"/>
                <w:sz w:val="24"/>
                <w:szCs w:val="24"/>
                <w:highlight w:val="none"/>
                <w:lang w:val="en-US" w:eastAsia="zh-CN"/>
              </w:rPr>
              <w:fldChar w:fldCharType="separate"/>
            </w:r>
            <w:r>
              <w:rPr>
                <w:rFonts w:hint="default" w:ascii="Times New Roman" w:hAnsi="Times New Roman" w:eastAsia="宋体" w:cs="Times New Roman"/>
                <w:sz w:val="24"/>
                <w:szCs w:val="24"/>
                <w:highlight w:val="none"/>
              </w:rPr>
              <w:t>⑤</w:t>
            </w:r>
            <w:r>
              <w:rPr>
                <w:rFonts w:hint="default" w:ascii="Times New Roman" w:hAnsi="Times New Roman" w:eastAsia="宋体" w:cs="Times New Roman"/>
                <w:sz w:val="24"/>
                <w:szCs w:val="24"/>
                <w:highlight w:val="none"/>
                <w:lang w:val="en-US" w:eastAsia="zh-CN"/>
              </w:rPr>
              <w:fldChar w:fldCharType="end"/>
            </w:r>
            <w:r>
              <w:rPr>
                <w:rFonts w:hint="default" w:ascii="Times New Roman" w:hAnsi="Times New Roman" w:eastAsia="宋体" w:cs="Times New Roman"/>
                <w:sz w:val="24"/>
                <w:szCs w:val="24"/>
                <w:highlight w:val="none"/>
                <w:lang w:val="en-US" w:eastAsia="zh-CN"/>
              </w:rPr>
              <w:t>危废发生泄漏时，立即找出泄漏口，切断污染源，再用沙袋、木屑等堵塞泄漏口，将泄漏口与外部隔绝开，以防泄漏量加大；收集起来的木屑、沙袋、抹布等，当作危险废物委托给资质的单位统一处置，避免造成二次污染。</w:t>
            </w:r>
          </w:p>
          <w:p>
            <w:pPr>
              <w:pStyle w:val="42"/>
              <w:keepNext w:val="0"/>
              <w:keepLines w:val="0"/>
              <w:suppressLineNumbers w:val="0"/>
              <w:spacing w:before="0" w:beforeAutospacing="0" w:after="0" w:afterAutospacing="0"/>
              <w:ind w:left="0" w:right="0" w:firstLine="0"/>
              <w:rPr>
                <w:rFonts w:hint="default" w:ascii="Times New Roman" w:hAnsi="Times New Roman" w:eastAsia="宋体" w:cs="Times New Roman"/>
                <w:sz w:val="24"/>
                <w:szCs w:val="24"/>
                <w:highlight w:val="none"/>
                <w:lang w:val="en-US" w:eastAsia="zh-CN"/>
              </w:rPr>
            </w:pPr>
          </w:p>
          <w:p>
            <w:pPr>
              <w:pStyle w:val="42"/>
              <w:keepNext w:val="0"/>
              <w:keepLines w:val="0"/>
              <w:suppressLineNumbers w:val="0"/>
              <w:spacing w:before="0" w:beforeAutospacing="0" w:after="0" w:afterAutospacing="0"/>
              <w:ind w:left="0" w:right="0" w:firstLine="0"/>
              <w:rPr>
                <w:rFonts w:hint="default" w:ascii="Times New Roman" w:hAnsi="Times New Roman" w:eastAsia="宋体" w:cs="Times New Roman"/>
                <w:sz w:val="24"/>
                <w:szCs w:val="24"/>
                <w:highlight w:val="none"/>
                <w:lang w:val="en-US" w:eastAsia="zh-CN"/>
              </w:rPr>
            </w:pPr>
          </w:p>
          <w:p>
            <w:pPr>
              <w:pStyle w:val="42"/>
              <w:keepNext w:val="0"/>
              <w:keepLines w:val="0"/>
              <w:suppressLineNumbers w:val="0"/>
              <w:spacing w:before="0" w:beforeAutospacing="0" w:after="0" w:afterAutospacing="0"/>
              <w:ind w:left="0" w:right="0" w:firstLine="0"/>
              <w:rPr>
                <w:rFonts w:hint="default" w:ascii="Times New Roman" w:hAnsi="Times New Roman" w:eastAsia="宋体" w:cs="Times New Roman"/>
                <w:sz w:val="24"/>
                <w:szCs w:val="24"/>
                <w:highlight w:val="none"/>
                <w:lang w:val="en-US" w:eastAsia="zh-CN"/>
              </w:rPr>
            </w:pPr>
          </w:p>
          <w:p>
            <w:pPr>
              <w:pStyle w:val="42"/>
              <w:keepNext w:val="0"/>
              <w:keepLines w:val="0"/>
              <w:suppressLineNumbers w:val="0"/>
              <w:spacing w:before="0" w:beforeAutospacing="0" w:after="0" w:afterAutospacing="0"/>
              <w:ind w:left="0" w:right="0" w:firstLine="0"/>
              <w:rPr>
                <w:rFonts w:hint="default" w:ascii="Times New Roman" w:hAnsi="Times New Roman" w:eastAsia="宋体" w:cs="Times New Roman"/>
                <w:sz w:val="24"/>
                <w:szCs w:val="24"/>
                <w:highlight w:val="none"/>
                <w:lang w:val="en-US" w:eastAsia="zh-CN"/>
              </w:rPr>
            </w:pPr>
          </w:p>
          <w:p>
            <w:pPr>
              <w:pStyle w:val="42"/>
              <w:keepNext w:val="0"/>
              <w:keepLines w:val="0"/>
              <w:suppressLineNumbers w:val="0"/>
              <w:spacing w:before="0" w:beforeAutospacing="0" w:after="0" w:afterAutospacing="0"/>
              <w:ind w:left="0" w:right="0" w:firstLine="0"/>
              <w:rPr>
                <w:rFonts w:hint="default" w:ascii="Times New Roman" w:hAnsi="Times New Roman" w:eastAsia="宋体" w:cs="Times New Roman"/>
                <w:sz w:val="24"/>
                <w:szCs w:val="24"/>
                <w:highlight w:val="none"/>
                <w:lang w:val="en-US" w:eastAsia="zh-CN"/>
              </w:rPr>
            </w:pPr>
          </w:p>
          <w:p>
            <w:pPr>
              <w:pStyle w:val="42"/>
              <w:keepNext w:val="0"/>
              <w:keepLines w:val="0"/>
              <w:suppressLineNumbers w:val="0"/>
              <w:spacing w:before="0" w:beforeAutospacing="0" w:after="0" w:afterAutospacing="0"/>
              <w:ind w:left="0" w:leftChars="0" w:right="0" w:firstLine="0" w:firstLineChars="0"/>
              <w:rPr>
                <w:rFonts w:hint="default" w:ascii="Times New Roman" w:hAnsi="Times New Roman" w:eastAsia="宋体" w:cs="Times New Roman"/>
                <w:sz w:val="24"/>
                <w:szCs w:val="24"/>
                <w:highlight w:val="none"/>
                <w:lang w:val="en-US" w:eastAsia="zh-CN"/>
              </w:rPr>
            </w:pPr>
          </w:p>
          <w:p>
            <w:pPr>
              <w:pStyle w:val="42"/>
              <w:keepNext w:val="0"/>
              <w:keepLines w:val="0"/>
              <w:suppressLineNumbers w:val="0"/>
              <w:spacing w:before="0" w:beforeAutospacing="0" w:after="0" w:afterAutospacing="0"/>
              <w:ind w:left="0" w:right="0" w:firstLine="0"/>
              <w:rPr>
                <w:rFonts w:hint="default" w:ascii="Times New Roman" w:hAnsi="Times New Roman" w:eastAsia="宋体" w:cs="Times New Roman"/>
                <w:sz w:val="24"/>
                <w:szCs w:val="24"/>
                <w:highlight w:val="none"/>
                <w:lang w:val="en-US" w:eastAsia="zh-CN"/>
              </w:rPr>
            </w:pPr>
          </w:p>
          <w:p>
            <w:pPr>
              <w:pStyle w:val="42"/>
              <w:keepNext w:val="0"/>
              <w:keepLines w:val="0"/>
              <w:suppressLineNumbers w:val="0"/>
              <w:spacing w:before="0" w:beforeAutospacing="0" w:after="0" w:afterAutospacing="0"/>
              <w:ind w:left="0" w:leftChars="0" w:right="0" w:firstLine="0" w:firstLineChars="0"/>
              <w:rPr>
                <w:rFonts w:hint="default" w:ascii="Times New Roman" w:hAnsi="Times New Roman" w:eastAsia="宋体" w:cs="Times New Roman"/>
                <w:sz w:val="24"/>
                <w:szCs w:val="24"/>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57" w:hRule="atLeast"/>
          <w:jc w:val="center"/>
        </w:trPr>
        <w:tc>
          <w:tcPr>
            <w:tcW w:w="358" w:type="dxa"/>
            <w:tcMar>
              <w:left w:w="28" w:type="dxa"/>
              <w:right w:w="2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运营</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期环</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境影</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响和</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保护</w:t>
            </w:r>
          </w:p>
          <w:p>
            <w:pPr>
              <w:pStyle w:val="25"/>
              <w:keepNext w:val="0"/>
              <w:keepLines w:val="0"/>
              <w:suppressLineNumbers w:val="0"/>
              <w:adjustRightInd w:val="0"/>
              <w:snapToGrid w:val="0"/>
              <w:spacing w:before="0" w:beforeAutospacing="0" w:after="0" w:afterAutospacing="0"/>
              <w:ind w:left="0" w:right="0"/>
              <w:jc w:val="center"/>
              <w:rPr>
                <w:rFonts w:hint="eastAsia" w:cs="宋体"/>
                <w:kern w:val="2"/>
                <w:sz w:val="21"/>
                <w:szCs w:val="21"/>
              </w:rPr>
            </w:pPr>
            <w:r>
              <w:rPr>
                <w:rFonts w:hint="eastAsia" w:cs="宋体"/>
                <w:bCs/>
                <w:szCs w:val="21"/>
              </w:rPr>
              <w:t>措施</w:t>
            </w:r>
          </w:p>
        </w:tc>
        <w:tc>
          <w:tcPr>
            <w:tcW w:w="8623" w:type="dxa"/>
            <w:vMerge w:val="continue"/>
            <w:vAlign w:val="center"/>
          </w:tcPr>
          <w:p>
            <w:pPr>
              <w:pStyle w:val="42"/>
              <w:keepNext w:val="0"/>
              <w:keepLines w:val="0"/>
              <w:suppressLineNumbers w:val="0"/>
              <w:spacing w:before="0" w:beforeAutospacing="0" w:after="0" w:afterAutospacing="0"/>
              <w:ind w:left="0" w:right="0" w:firstLine="0"/>
              <w:rPr>
                <w:rFonts w:hint="default"/>
              </w:rPr>
            </w:pPr>
          </w:p>
        </w:tc>
      </w:tr>
    </w:tbl>
    <w:p>
      <w:pPr>
        <w:pStyle w:val="10"/>
        <w:sectPr>
          <w:pgSz w:w="11907" w:h="16840"/>
          <w:pgMar w:top="1701" w:right="1531" w:bottom="2127" w:left="1531" w:header="851" w:footer="851" w:gutter="0"/>
          <w:pgBorders>
            <w:top w:val="none" w:sz="0" w:space="0"/>
            <w:left w:val="none" w:sz="0" w:space="0"/>
            <w:bottom w:val="none" w:sz="0" w:space="0"/>
            <w:right w:val="none" w:sz="0" w:space="0"/>
          </w:pgBorders>
          <w:pgNumType w:fmt="numberInDash"/>
          <w:cols w:space="720" w:num="1"/>
          <w:docGrid w:linePitch="312" w:charSpace="0"/>
        </w:sectPr>
      </w:pPr>
    </w:p>
    <w:p>
      <w:pPr>
        <w:pStyle w:val="3"/>
        <w:numPr>
          <w:ilvl w:val="0"/>
          <w:numId w:val="9"/>
        </w:numPr>
      </w:pPr>
      <w:bookmarkStart w:id="37" w:name="_Hlk54167917"/>
      <w:r>
        <w:rPr>
          <w:rFonts w:hint="eastAsia"/>
        </w:rPr>
        <w:t>环境保护措施监督检查清单</w:t>
      </w:r>
      <w:bookmarkEnd w:id="37"/>
    </w:p>
    <w:tbl>
      <w:tblPr>
        <w:tblStyle w:val="27"/>
        <w:tblW w:w="88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245"/>
        <w:gridCol w:w="1201"/>
        <w:gridCol w:w="1975"/>
        <w:gridCol w:w="33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55" w:type="dxa"/>
            <w:tcBorders>
              <w:tl2br w:val="single" w:color="auto" w:sz="4" w:space="0"/>
            </w:tcBorders>
          </w:tcPr>
          <w:p>
            <w:pPr>
              <w:keepNext w:val="0"/>
              <w:keepLines w:val="0"/>
              <w:suppressLineNumbers w:val="0"/>
              <w:adjustRightInd w:val="0"/>
              <w:snapToGrid w:val="0"/>
              <w:spacing w:before="0" w:beforeAutospacing="0" w:after="0" w:afterAutospacing="0"/>
              <w:ind w:left="0" w:right="0" w:firstLine="210" w:firstLineChars="1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内容</w:t>
            </w: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要素</w:t>
            </w:r>
          </w:p>
        </w:tc>
        <w:tc>
          <w:tcPr>
            <w:tcW w:w="1245"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排放口(编号、</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名称)/污染源</w:t>
            </w:r>
          </w:p>
        </w:tc>
        <w:tc>
          <w:tcPr>
            <w:tcW w:w="1201"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w:t>
            </w:r>
          </w:p>
        </w:tc>
        <w:tc>
          <w:tcPr>
            <w:tcW w:w="1975"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环境保护措施</w:t>
            </w:r>
          </w:p>
        </w:tc>
        <w:tc>
          <w:tcPr>
            <w:tcW w:w="332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55"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大气</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环境</w:t>
            </w:r>
          </w:p>
        </w:tc>
        <w:tc>
          <w:tcPr>
            <w:tcW w:w="1245"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切边工段</w:t>
            </w:r>
          </w:p>
        </w:tc>
        <w:tc>
          <w:tcPr>
            <w:tcW w:w="1201"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颗粒物</w:t>
            </w:r>
          </w:p>
        </w:tc>
        <w:tc>
          <w:tcPr>
            <w:tcW w:w="1975"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eastAsia"/>
                <w:b w:val="0"/>
                <w:color w:val="auto"/>
                <w:highlight w:val="none"/>
              </w:rPr>
              <w:t>加强车间</w:t>
            </w:r>
            <w:r>
              <w:rPr>
                <w:rFonts w:hint="eastAsia"/>
                <w:b w:val="0"/>
                <w:color w:val="auto"/>
                <w:highlight w:val="none"/>
                <w:lang w:val="en-US" w:eastAsia="zh-CN"/>
              </w:rPr>
              <w:t>通风，及时清扫设备周边沉降金属颗粒物，避免造成二次污染</w:t>
            </w:r>
            <w:r>
              <w:rPr>
                <w:rFonts w:hint="default"/>
                <w:highlight w:val="none"/>
              </w:rPr>
              <w:commentReference w:id="17"/>
            </w:r>
          </w:p>
        </w:tc>
        <w:tc>
          <w:tcPr>
            <w:tcW w:w="3324"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eastAsia="en-US"/>
              </w:rPr>
              <w:t>厂界无组织监控点</w:t>
            </w:r>
            <w:r>
              <w:rPr>
                <w:rFonts w:hint="default" w:ascii="Times New Roman" w:hAnsi="Times New Roman" w:eastAsia="宋体" w:cs="Times New Roman"/>
                <w:sz w:val="21"/>
                <w:szCs w:val="21"/>
                <w:highlight w:val="none"/>
                <w:lang w:val="en-US" w:eastAsia="zh-CN"/>
              </w:rPr>
              <w:t>执行</w:t>
            </w:r>
            <w:r>
              <w:rPr>
                <w:rFonts w:hint="default" w:ascii="Times New Roman" w:hAnsi="Times New Roman" w:eastAsia="宋体" w:cs="Times New Roman"/>
                <w:sz w:val="21"/>
                <w:szCs w:val="21"/>
                <w:highlight w:val="none"/>
              </w:rPr>
              <w:t>《大气污染物综合排放标准》（GB16297-1996）表2中相应标准</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颗粒物：1.0mg/m</w:t>
            </w:r>
            <w:r>
              <w:rPr>
                <w:rFonts w:hint="default" w:ascii="Times New Roman" w:hAnsi="Times New Roman" w:eastAsia="宋体" w:cs="Times New Roman"/>
                <w:sz w:val="21"/>
                <w:szCs w:val="21"/>
                <w:highlight w:val="none"/>
                <w:vertAlign w:val="superscript"/>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5" w:type="dxa"/>
            <w:vMerge w:val="restar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地表水环境</w:t>
            </w:r>
          </w:p>
        </w:tc>
        <w:tc>
          <w:tcPr>
            <w:tcW w:w="1245" w:type="dxa"/>
            <w:vMerge w:val="restar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kern w:val="2"/>
                <w:sz w:val="21"/>
                <w:szCs w:val="21"/>
                <w:highlight w:val="none"/>
                <w:lang w:val="en-US" w:eastAsia="zh-CN" w:bidi="ar-SA"/>
              </w:rPr>
              <w:t>生活污水(DW001)</w:t>
            </w:r>
          </w:p>
        </w:tc>
        <w:tc>
          <w:tcPr>
            <w:tcW w:w="120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pH</w:t>
            </w:r>
          </w:p>
        </w:tc>
        <w:tc>
          <w:tcPr>
            <w:tcW w:w="1975" w:type="dxa"/>
            <w:vMerge w:val="restar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化粪池</w:t>
            </w:r>
            <w:r>
              <w:rPr>
                <w:rFonts w:hint="default" w:ascii="Times New Roman" w:hAnsi="Times New Roman" w:eastAsia="宋体" w:cs="Times New Roman"/>
                <w:sz w:val="21"/>
                <w:szCs w:val="21"/>
                <w:highlight w:val="none"/>
                <w:lang w:val="en-US" w:eastAsia="zh-CN"/>
              </w:rPr>
              <w:t>预处理后，</w:t>
            </w:r>
            <w:r>
              <w:rPr>
                <w:rFonts w:hint="default" w:ascii="Times New Roman" w:hAnsi="Times New Roman" w:eastAsia="宋体" w:cs="Times New Roman"/>
                <w:b w:val="0"/>
                <w:bCs w:val="0"/>
                <w:sz w:val="21"/>
                <w:szCs w:val="21"/>
                <w:highlight w:val="none"/>
                <w:lang w:val="en-US" w:eastAsia="zh-CN"/>
              </w:rPr>
              <w:t>由园区污水管网纳入霞浦县污水</w:t>
            </w:r>
            <w:r>
              <w:rPr>
                <w:rFonts w:hint="default" w:ascii="Times New Roman" w:hAnsi="Times New Roman" w:eastAsia="宋体" w:cs="Times New Roman"/>
                <w:sz w:val="21"/>
                <w:szCs w:val="21"/>
                <w:highlight w:val="none"/>
                <w:lang w:val="en-US" w:eastAsia="zh-CN"/>
              </w:rPr>
              <w:t>处理厂统一处理。</w:t>
            </w:r>
          </w:p>
        </w:tc>
        <w:tc>
          <w:tcPr>
            <w:tcW w:w="3324" w:type="dxa"/>
            <w:vMerge w:val="restart"/>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《污水综合排放标准》（GB8978-1996）表4中三级标准</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pH：6~9、</w:t>
            </w:r>
            <w:r>
              <w:rPr>
                <w:rFonts w:hint="default" w:ascii="Times New Roman" w:hAnsi="Times New Roman" w:eastAsia="宋体" w:cs="Times New Roman"/>
                <w:sz w:val="21"/>
                <w:szCs w:val="21"/>
                <w:highlight w:val="none"/>
              </w:rPr>
              <w:t>COD</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500</w:t>
            </w:r>
            <w:r>
              <w:rPr>
                <w:rFonts w:hint="default" w:ascii="Times New Roman" w:hAnsi="Times New Roman" w:eastAsia="宋体" w:cs="Times New Roman"/>
                <w:sz w:val="21"/>
                <w:szCs w:val="21"/>
                <w:highlight w:val="none"/>
              </w:rPr>
              <w:t>mg/L</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BOD</w:t>
            </w:r>
            <w:r>
              <w:rPr>
                <w:rFonts w:hint="default" w:ascii="Times New Roman" w:hAnsi="Times New Roman" w:eastAsia="宋体" w:cs="Times New Roman"/>
                <w:sz w:val="21"/>
                <w:szCs w:val="21"/>
                <w:highlight w:val="none"/>
                <w:vertAlign w:val="subscript"/>
              </w:rPr>
              <w:t>5</w:t>
            </w:r>
            <w:r>
              <w:rPr>
                <w:rFonts w:hint="default" w:ascii="Times New Roman" w:hAnsi="Times New Roman" w:eastAsia="宋体" w:cs="Times New Roman"/>
                <w:sz w:val="21"/>
                <w:szCs w:val="21"/>
                <w:highlight w:val="none"/>
                <w:lang w:val="en-US" w:eastAsia="zh-CN"/>
              </w:rPr>
              <w:t>：300</w:t>
            </w:r>
            <w:r>
              <w:rPr>
                <w:rFonts w:hint="default" w:ascii="Times New Roman" w:hAnsi="Times New Roman" w:eastAsia="宋体" w:cs="Times New Roman"/>
                <w:sz w:val="21"/>
                <w:szCs w:val="21"/>
                <w:highlight w:val="none"/>
              </w:rPr>
              <w:t>mg/L</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SS</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400</w:t>
            </w:r>
            <w:r>
              <w:rPr>
                <w:rFonts w:hint="default" w:ascii="Times New Roman" w:hAnsi="Times New Roman" w:eastAsia="宋体" w:cs="Times New Roman"/>
                <w:sz w:val="21"/>
                <w:szCs w:val="21"/>
                <w:highlight w:val="none"/>
              </w:rPr>
              <w:t>mg/L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5"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1245"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kern w:val="2"/>
                <w:sz w:val="21"/>
                <w:szCs w:val="21"/>
                <w:lang w:val="en-US" w:eastAsia="zh-CN" w:bidi="ar-SA"/>
              </w:rPr>
            </w:pPr>
          </w:p>
        </w:tc>
        <w:tc>
          <w:tcPr>
            <w:tcW w:w="120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w:t>
            </w:r>
          </w:p>
        </w:tc>
        <w:tc>
          <w:tcPr>
            <w:tcW w:w="1975"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3324" w:type="dxa"/>
            <w:vMerge w:val="continue"/>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5"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1245"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120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BOD</w:t>
            </w:r>
            <w:r>
              <w:rPr>
                <w:rFonts w:hint="default" w:ascii="Times New Roman" w:hAnsi="Times New Roman" w:eastAsia="宋体" w:cs="Times New Roman"/>
                <w:sz w:val="21"/>
                <w:szCs w:val="21"/>
                <w:vertAlign w:val="subscript"/>
              </w:rPr>
              <w:t>5</w:t>
            </w:r>
          </w:p>
        </w:tc>
        <w:tc>
          <w:tcPr>
            <w:tcW w:w="1975"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3324" w:type="dxa"/>
            <w:vMerge w:val="continue"/>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5"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1245"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120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SS</w:t>
            </w:r>
          </w:p>
        </w:tc>
        <w:tc>
          <w:tcPr>
            <w:tcW w:w="1975"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3324" w:type="dxa"/>
            <w:vMerge w:val="continue"/>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5"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1245"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120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-N</w:t>
            </w:r>
          </w:p>
        </w:tc>
        <w:tc>
          <w:tcPr>
            <w:tcW w:w="1975"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p>
        </w:tc>
        <w:tc>
          <w:tcPr>
            <w:tcW w:w="3324" w:type="dxa"/>
            <w:vAlign w:val="center"/>
          </w:tcPr>
          <w:p>
            <w:pPr>
              <w:pStyle w:val="37"/>
              <w:keepNext w:val="0"/>
              <w:keepLines w:val="0"/>
              <w:suppressLineNumbers w:val="0"/>
              <w:spacing w:before="0" w:beforeAutospacing="0" w:after="0" w:afterAutospacing="0"/>
              <w:ind w:right="0"/>
              <w:jc w:val="cente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rPr>
              <w:t>《污水排入城镇下水道水质标准》（GBT31962-2015）表1中B等级</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NH</w:t>
            </w:r>
            <w:r>
              <w:rPr>
                <w:rFonts w:hint="default" w:ascii="Times New Roman" w:hAnsi="Times New Roman" w:eastAsia="宋体" w:cs="Times New Roman"/>
                <w:sz w:val="21"/>
                <w:szCs w:val="21"/>
                <w:highlight w:val="none"/>
                <w:vertAlign w:val="subscript"/>
              </w:rPr>
              <w:t>3</w:t>
            </w:r>
            <w:r>
              <w:rPr>
                <w:rFonts w:hint="default" w:ascii="Times New Roman" w:hAnsi="Times New Roman" w:eastAsia="宋体" w:cs="Times New Roman"/>
                <w:sz w:val="21"/>
                <w:szCs w:val="21"/>
                <w:highlight w:val="none"/>
              </w:rPr>
              <w:t>-N</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45</w:t>
            </w:r>
            <w:r>
              <w:rPr>
                <w:rFonts w:hint="default" w:ascii="Times New Roman" w:hAnsi="Times New Roman" w:eastAsia="宋体" w:cs="Times New Roman"/>
                <w:sz w:val="21"/>
                <w:szCs w:val="21"/>
                <w:highlight w:val="none"/>
              </w:rPr>
              <w:t>mg/L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5"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1245" w:type="dxa"/>
            <w:vMerge w:val="restar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kern w:val="2"/>
                <w:sz w:val="21"/>
                <w:szCs w:val="21"/>
                <w:highlight w:val="none"/>
                <w:lang w:val="en-US" w:eastAsia="zh-CN" w:bidi="ar-SA"/>
              </w:rPr>
              <w:t>生产废水（DW002）</w:t>
            </w:r>
          </w:p>
        </w:tc>
        <w:tc>
          <w:tcPr>
            <w:tcW w:w="1201"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pH</w:t>
            </w:r>
          </w:p>
        </w:tc>
        <w:tc>
          <w:tcPr>
            <w:tcW w:w="1975" w:type="dxa"/>
            <w:vMerge w:val="restar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设有2套污水处理设施，1套用于处理清洗废水和膜反冲洗废水，处理能力为25t/d，采用“预处理（除油-除渣-pH调节）+NP膜过滤+NF膜过滤”工艺；1套用于处理漂洗废水、纯水制备浓水和地面拖洗废水，处理能力为140t/d。采用“</w:t>
            </w:r>
            <w:r>
              <w:rPr>
                <w:rFonts w:hint="default" w:ascii="Times New Roman" w:hAnsi="Times New Roman" w:eastAsia="宋体" w:cs="Times New Roman"/>
                <w:b w:val="0"/>
                <w:bCs w:val="0"/>
                <w:sz w:val="21"/>
                <w:szCs w:val="21"/>
                <w:highlight w:val="none"/>
                <w:lang w:val="en-US" w:eastAsia="zh-CN"/>
              </w:rPr>
              <w:t>预处理（除渣+保安过滤器）+UF</w:t>
            </w:r>
            <w:r>
              <w:rPr>
                <w:rFonts w:hint="default" w:ascii="Times New Roman" w:hAnsi="Times New Roman" w:eastAsia="宋体" w:cs="Times New Roman"/>
                <w:sz w:val="21"/>
                <w:szCs w:val="21"/>
                <w:highlight w:val="none"/>
                <w:lang w:val="en-US" w:eastAsia="zh-CN"/>
              </w:rPr>
              <w:t>膜过滤+NF膜过滤”。</w:t>
            </w:r>
            <w:r>
              <w:rPr>
                <w:rFonts w:hint="default" w:ascii="Times New Roman" w:hAnsi="Times New Roman" w:eastAsia="宋体" w:cs="Times New Roman"/>
                <w:b w:val="0"/>
                <w:bCs w:val="0"/>
                <w:sz w:val="21"/>
                <w:szCs w:val="21"/>
                <w:highlight w:val="none"/>
                <w:lang w:val="en-US" w:eastAsia="zh-CN"/>
              </w:rPr>
              <w:t>各类废水经厂区污水处理设施处理达标后，一并由园区污水管网纳入霞浦县污水</w:t>
            </w:r>
            <w:r>
              <w:rPr>
                <w:rFonts w:hint="default" w:ascii="Times New Roman" w:hAnsi="Times New Roman" w:eastAsia="宋体" w:cs="Times New Roman"/>
                <w:sz w:val="21"/>
                <w:szCs w:val="21"/>
                <w:highlight w:val="none"/>
                <w:lang w:val="en-US" w:eastAsia="zh-CN"/>
              </w:rPr>
              <w:t>处理厂统一处理。</w:t>
            </w:r>
          </w:p>
        </w:tc>
        <w:tc>
          <w:tcPr>
            <w:tcW w:w="3324" w:type="dxa"/>
            <w:vMerge w:val="restart"/>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《污水综合排放标准》（GB8978-1996）表4中三级标准</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《污水排入城镇下水道水质标准》（GBT31962-2015）表1中B等级</w:t>
            </w:r>
            <w:r>
              <w:rPr>
                <w:rFonts w:hint="default" w:ascii="Times New Roman" w:hAnsi="Times New Roman" w:eastAsia="宋体" w:cs="Times New Roman"/>
                <w:sz w:val="21"/>
                <w:szCs w:val="21"/>
                <w:highlight w:val="none"/>
                <w:lang w:val="en-US" w:eastAsia="zh-CN"/>
              </w:rPr>
              <w:t>及霞浦县污水处理厂进水水质要求。</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pH：6~9、</w:t>
            </w:r>
            <w:r>
              <w:rPr>
                <w:rFonts w:hint="default" w:ascii="Times New Roman" w:hAnsi="Times New Roman" w:eastAsia="宋体" w:cs="Times New Roman"/>
                <w:sz w:val="21"/>
                <w:szCs w:val="21"/>
                <w:highlight w:val="none"/>
              </w:rPr>
              <w:t>COD</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300</w:t>
            </w:r>
            <w:r>
              <w:rPr>
                <w:rFonts w:hint="default" w:ascii="Times New Roman" w:hAnsi="Times New Roman" w:eastAsia="宋体" w:cs="Times New Roman"/>
                <w:sz w:val="21"/>
                <w:szCs w:val="21"/>
                <w:highlight w:val="none"/>
              </w:rPr>
              <w:t>mg/L</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BOD</w:t>
            </w:r>
            <w:r>
              <w:rPr>
                <w:rFonts w:hint="default" w:ascii="Times New Roman" w:hAnsi="Times New Roman" w:eastAsia="宋体" w:cs="Times New Roman"/>
                <w:sz w:val="21"/>
                <w:szCs w:val="21"/>
                <w:highlight w:val="none"/>
                <w:vertAlign w:val="subscript"/>
              </w:rPr>
              <w:t>5</w:t>
            </w:r>
            <w:r>
              <w:rPr>
                <w:rFonts w:hint="default" w:ascii="Times New Roman" w:hAnsi="Times New Roman" w:eastAsia="宋体" w:cs="Times New Roman"/>
                <w:sz w:val="21"/>
                <w:szCs w:val="21"/>
                <w:highlight w:val="none"/>
                <w:lang w:val="en-US" w:eastAsia="zh-CN"/>
              </w:rPr>
              <w:t>：150</w:t>
            </w:r>
            <w:r>
              <w:rPr>
                <w:rFonts w:hint="default" w:ascii="Times New Roman" w:hAnsi="Times New Roman" w:eastAsia="宋体" w:cs="Times New Roman"/>
                <w:sz w:val="21"/>
                <w:szCs w:val="21"/>
                <w:highlight w:val="none"/>
              </w:rPr>
              <w:t>mg/L</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SS</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250</w:t>
            </w:r>
            <w:r>
              <w:rPr>
                <w:rFonts w:hint="default" w:ascii="Times New Roman" w:hAnsi="Times New Roman" w:eastAsia="宋体" w:cs="Times New Roman"/>
                <w:sz w:val="21"/>
                <w:szCs w:val="21"/>
                <w:highlight w:val="none"/>
              </w:rPr>
              <w:t>mg/L</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石油类</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20</w:t>
            </w:r>
            <w:r>
              <w:rPr>
                <w:rFonts w:hint="default" w:ascii="Times New Roman" w:hAnsi="Times New Roman" w:eastAsia="宋体" w:cs="Times New Roman"/>
                <w:sz w:val="21"/>
                <w:szCs w:val="21"/>
                <w:highlight w:val="none"/>
              </w:rPr>
              <w:t>mg/L</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LAS</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20</w:t>
            </w:r>
            <w:r>
              <w:rPr>
                <w:rFonts w:hint="default" w:ascii="Times New Roman" w:hAnsi="Times New Roman" w:eastAsia="宋体" w:cs="Times New Roman"/>
                <w:sz w:val="21"/>
                <w:szCs w:val="21"/>
                <w:highlight w:val="none"/>
              </w:rPr>
              <w:t>mg/L</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总磷：6</w:t>
            </w:r>
            <w:r>
              <w:rPr>
                <w:rFonts w:hint="default" w:ascii="Times New Roman" w:hAnsi="Times New Roman" w:eastAsia="宋体" w:cs="Times New Roman"/>
                <w:sz w:val="21"/>
                <w:szCs w:val="21"/>
                <w:highlight w:val="none"/>
              </w:rPr>
              <w:t>mg/L</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NH</w:t>
            </w:r>
            <w:r>
              <w:rPr>
                <w:rFonts w:hint="default" w:ascii="Times New Roman" w:hAnsi="Times New Roman" w:eastAsia="宋体" w:cs="Times New Roman"/>
                <w:sz w:val="21"/>
                <w:szCs w:val="21"/>
                <w:highlight w:val="none"/>
                <w:vertAlign w:val="subscript"/>
              </w:rPr>
              <w:t>3</w:t>
            </w:r>
            <w:r>
              <w:rPr>
                <w:rFonts w:hint="default" w:ascii="Times New Roman" w:hAnsi="Times New Roman" w:eastAsia="宋体" w:cs="Times New Roman"/>
                <w:sz w:val="21"/>
                <w:szCs w:val="21"/>
                <w:highlight w:val="none"/>
              </w:rPr>
              <w:t>-N</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25</w:t>
            </w:r>
            <w:r>
              <w:rPr>
                <w:rFonts w:hint="default" w:ascii="Times New Roman" w:hAnsi="Times New Roman" w:eastAsia="宋体" w:cs="Times New Roman"/>
                <w:sz w:val="21"/>
                <w:szCs w:val="21"/>
                <w:highlight w:val="none"/>
              </w:rPr>
              <w:t>mg/L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5"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1245"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kern w:val="2"/>
                <w:sz w:val="21"/>
                <w:szCs w:val="21"/>
                <w:lang w:val="en-US" w:eastAsia="zh-CN" w:bidi="ar-SA"/>
              </w:rPr>
            </w:pPr>
          </w:p>
        </w:tc>
        <w:tc>
          <w:tcPr>
            <w:tcW w:w="1201"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w:t>
            </w:r>
          </w:p>
        </w:tc>
        <w:tc>
          <w:tcPr>
            <w:tcW w:w="1975"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cyan"/>
                <w:lang w:val="en-US" w:eastAsia="zh-CN"/>
              </w:rPr>
            </w:pPr>
          </w:p>
        </w:tc>
        <w:tc>
          <w:tcPr>
            <w:tcW w:w="3324" w:type="dxa"/>
            <w:vMerge w:val="continue"/>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5"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1245"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1201"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BOD</w:t>
            </w:r>
            <w:r>
              <w:rPr>
                <w:rFonts w:hint="default" w:ascii="Times New Roman" w:hAnsi="Times New Roman" w:eastAsia="宋体" w:cs="Times New Roman"/>
                <w:sz w:val="21"/>
                <w:szCs w:val="21"/>
                <w:vertAlign w:val="subscript"/>
              </w:rPr>
              <w:t>5</w:t>
            </w:r>
          </w:p>
        </w:tc>
        <w:tc>
          <w:tcPr>
            <w:tcW w:w="1975"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3324" w:type="dxa"/>
            <w:vMerge w:val="continue"/>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5"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1245"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1201"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SS</w:t>
            </w:r>
          </w:p>
        </w:tc>
        <w:tc>
          <w:tcPr>
            <w:tcW w:w="1975"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3324" w:type="dxa"/>
            <w:vMerge w:val="continue"/>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5"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1245"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120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石油类</w:t>
            </w:r>
          </w:p>
        </w:tc>
        <w:tc>
          <w:tcPr>
            <w:tcW w:w="1975"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3324" w:type="dxa"/>
            <w:vMerge w:val="continue"/>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5"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1245"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120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LAS</w:t>
            </w:r>
          </w:p>
        </w:tc>
        <w:tc>
          <w:tcPr>
            <w:tcW w:w="1975"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3324" w:type="dxa"/>
            <w:vMerge w:val="continue"/>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5"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1245"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120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总磷</w:t>
            </w:r>
          </w:p>
        </w:tc>
        <w:tc>
          <w:tcPr>
            <w:tcW w:w="1975"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3324" w:type="dxa"/>
            <w:vMerge w:val="continue"/>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5"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1245"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120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-N</w:t>
            </w:r>
          </w:p>
        </w:tc>
        <w:tc>
          <w:tcPr>
            <w:tcW w:w="1975"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3324" w:type="dxa"/>
            <w:vMerge w:val="continue"/>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55"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声环境</w:t>
            </w:r>
          </w:p>
        </w:tc>
        <w:tc>
          <w:tcPr>
            <w:tcW w:w="1245"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厂界噪声</w:t>
            </w:r>
          </w:p>
        </w:tc>
        <w:tc>
          <w:tcPr>
            <w:tcW w:w="120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连续等效A声级</w:t>
            </w:r>
          </w:p>
        </w:tc>
        <w:tc>
          <w:tcPr>
            <w:tcW w:w="1975"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设备采取隔声降噪减振和消声等措施</w:t>
            </w:r>
          </w:p>
        </w:tc>
        <w:tc>
          <w:tcPr>
            <w:tcW w:w="3324"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《工业企业厂界环境噪声排放标准》(GB12348-2008)3类标准</w:t>
            </w:r>
          </w:p>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昼间：65</w:t>
            </w:r>
            <w:r>
              <w:rPr>
                <w:rFonts w:hint="default" w:ascii="Times New Roman" w:hAnsi="Times New Roman" w:eastAsia="宋体" w:cs="Times New Roman"/>
                <w:sz w:val="21"/>
                <w:szCs w:val="21"/>
                <w:highlight w:val="none"/>
              </w:rPr>
              <w:t>dB(A)</w:t>
            </w:r>
            <w:r>
              <w:rPr>
                <w:rFonts w:hint="default" w:ascii="Times New Roman" w:hAnsi="Times New Roman" w:eastAsia="宋体" w:cs="Times New Roman"/>
                <w:sz w:val="21"/>
                <w:szCs w:val="21"/>
                <w:highlight w:val="none"/>
                <w:lang w:val="en-US" w:eastAsia="zh-CN"/>
              </w:rPr>
              <w:t>、夜间：</w:t>
            </w:r>
            <w:r>
              <w:rPr>
                <w:rFonts w:hint="default" w:ascii="Times New Roman" w:hAnsi="Times New Roman" w:eastAsia="宋体" w:cs="Times New Roman"/>
                <w:bCs/>
                <w:sz w:val="21"/>
                <w:szCs w:val="21"/>
                <w:highlight w:val="none"/>
              </w:rPr>
              <w:t>55</w:t>
            </w:r>
            <w:r>
              <w:rPr>
                <w:rFonts w:hint="default" w:ascii="Times New Roman" w:hAnsi="Times New Roman" w:eastAsia="宋体" w:cs="Times New Roman"/>
                <w:sz w:val="21"/>
                <w:szCs w:val="21"/>
                <w:highlight w:val="none"/>
              </w:rPr>
              <w:t>dB(A)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55"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电磁</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辐射</w:t>
            </w:r>
          </w:p>
        </w:tc>
        <w:tc>
          <w:tcPr>
            <w:tcW w:w="1245"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01"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975"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332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1055"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固体</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废物</w:t>
            </w:r>
          </w:p>
        </w:tc>
        <w:tc>
          <w:tcPr>
            <w:tcW w:w="7745" w:type="dxa"/>
            <w:gridSpan w:val="4"/>
            <w:vAlign w:val="center"/>
          </w:tcPr>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bidi="ar"/>
              </w:rPr>
              <w:t>一般工业固废：设置</w:t>
            </w:r>
            <w:r>
              <w:rPr>
                <w:rFonts w:hint="default" w:ascii="Times New Roman" w:hAnsi="Times New Roman" w:eastAsia="宋体" w:cs="Times New Roman"/>
                <w:sz w:val="21"/>
                <w:szCs w:val="21"/>
                <w:highlight w:val="none"/>
                <w:lang w:val="en-US" w:eastAsia="zh-CN" w:bidi="ar"/>
              </w:rPr>
              <w:t>冲压料报废仓、其他报废仓和清洗后</w:t>
            </w:r>
            <w:r>
              <w:rPr>
                <w:rFonts w:hint="eastAsia" w:cs="Times New Roman"/>
                <w:sz w:val="21"/>
                <w:szCs w:val="21"/>
                <w:highlight w:val="none"/>
                <w:lang w:val="en-US" w:eastAsia="zh-CN" w:bidi="ar"/>
              </w:rPr>
              <w:t>铝壳废边</w:t>
            </w:r>
            <w:r>
              <w:rPr>
                <w:rFonts w:hint="default" w:ascii="Times New Roman" w:hAnsi="Times New Roman" w:eastAsia="宋体" w:cs="Times New Roman"/>
                <w:sz w:val="21"/>
                <w:szCs w:val="21"/>
                <w:highlight w:val="none"/>
                <w:lang w:val="en-US" w:eastAsia="zh-CN" w:bidi="ar"/>
              </w:rPr>
              <w:t>暂存区</w:t>
            </w:r>
            <w:r>
              <w:rPr>
                <w:rFonts w:hint="default" w:ascii="Times New Roman" w:hAnsi="Times New Roman" w:eastAsia="宋体" w:cs="Times New Roman"/>
                <w:sz w:val="21"/>
                <w:szCs w:val="21"/>
                <w:highlight w:val="none"/>
                <w:lang w:bidi="ar"/>
              </w:rPr>
              <w:t>，妥善分类收集后外售综合利用；满足</w:t>
            </w:r>
            <w:r>
              <w:rPr>
                <w:rFonts w:hint="default" w:ascii="Times New Roman" w:hAnsi="Times New Roman" w:eastAsia="宋体" w:cs="Times New Roman"/>
                <w:sz w:val="21"/>
                <w:szCs w:val="21"/>
                <w:highlight w:val="none"/>
              </w:rPr>
              <w:t>《一般工业固体废物贮存和填埋污染控制标准》（GB18599-2020）</w:t>
            </w:r>
            <w:r>
              <w:rPr>
                <w:rFonts w:hint="default" w:ascii="Times New Roman" w:hAnsi="Times New Roman" w:eastAsia="宋体" w:cs="Times New Roman"/>
                <w:sz w:val="21"/>
                <w:szCs w:val="21"/>
                <w:highlight w:val="none"/>
                <w:lang w:bidi="ar"/>
              </w:rPr>
              <w:t>的相关要求；危险废物：</w:t>
            </w:r>
            <w:r>
              <w:rPr>
                <w:rFonts w:hint="default" w:ascii="Times New Roman" w:hAnsi="Times New Roman" w:eastAsia="宋体" w:cs="Times New Roman"/>
                <w:sz w:val="21"/>
                <w:szCs w:val="21"/>
                <w:highlight w:val="none"/>
                <w:lang w:val="en-US" w:eastAsia="zh-CN" w:bidi="ar"/>
              </w:rPr>
              <w:t>切边沉降金属屑含有少量油</w:t>
            </w:r>
            <w:r>
              <w:rPr>
                <w:rFonts w:hint="eastAsia"/>
                <w:lang w:eastAsia="zh-CN"/>
              </w:rPr>
              <w:t>，</w:t>
            </w:r>
            <w:r>
              <w:rPr>
                <w:rFonts w:hint="eastAsia" w:cs="宋体"/>
                <w:szCs w:val="21"/>
                <w:highlight w:val="none"/>
                <w:lang w:val="en-US" w:eastAsia="zh-CN" w:bidi="ar"/>
              </w:rPr>
              <w:t>暂存在危废仓</w:t>
            </w:r>
            <w:r>
              <w:rPr>
                <w:rFonts w:hint="eastAsia"/>
                <w:highlight w:val="none"/>
                <w:vertAlign w:val="baseline"/>
                <w:lang w:eastAsia="zh-CN"/>
              </w:rPr>
              <w:t>，</w:t>
            </w:r>
            <w:r>
              <w:rPr>
                <w:rFonts w:hint="eastAsia"/>
                <w:highlight w:val="none"/>
                <w:vertAlign w:val="baseline"/>
                <w:lang w:val="en-US" w:eastAsia="zh-CN"/>
              </w:rPr>
              <w:t>压滤除油静置无滴漏后，定期外售用于金属冶炼，利用过程不按危废管理；其他危废</w:t>
            </w:r>
            <w:r>
              <w:rPr>
                <w:rFonts w:hint="eastAsia" w:cs="宋体"/>
                <w:szCs w:val="21"/>
                <w:highlight w:val="none"/>
                <w:lang w:bidi="ar"/>
              </w:rPr>
              <w:t>分类收集，及时暂存在</w:t>
            </w:r>
            <w:r>
              <w:rPr>
                <w:rFonts w:hint="eastAsia" w:cs="宋体"/>
                <w:szCs w:val="21"/>
                <w:highlight w:val="none"/>
                <w:lang w:val="en-US" w:eastAsia="zh-CN" w:bidi="ar"/>
              </w:rPr>
              <w:t>危废仓</w:t>
            </w:r>
            <w:r>
              <w:rPr>
                <w:rFonts w:hint="eastAsia" w:cs="宋体"/>
                <w:szCs w:val="21"/>
                <w:highlight w:val="none"/>
                <w:lang w:bidi="ar"/>
              </w:rPr>
              <w:t>，定期委托有资质单位处置。</w:t>
            </w:r>
            <w:r>
              <w:rPr>
                <w:rFonts w:hint="default" w:ascii="Times New Roman" w:hAnsi="Times New Roman" w:eastAsia="宋体" w:cs="Times New Roman"/>
                <w:sz w:val="21"/>
                <w:szCs w:val="21"/>
                <w:highlight w:val="none"/>
                <w:lang w:bidi="ar"/>
              </w:rPr>
              <w:t>危险废物执行《危险废物贮存污染控制标准》（GB18597-2023）相关要求。危废转移严格按《危险废物</w:t>
            </w:r>
            <w:r>
              <w:rPr>
                <w:rFonts w:hint="default" w:ascii="Times New Roman" w:hAnsi="Times New Roman" w:eastAsia="宋体" w:cs="Times New Roman"/>
                <w:sz w:val="21"/>
                <w:szCs w:val="21"/>
                <w:highlight w:val="none"/>
                <w:lang w:val="en-US" w:eastAsia="zh-CN" w:bidi="ar"/>
              </w:rPr>
              <w:t>转移</w:t>
            </w:r>
            <w:r>
              <w:rPr>
                <w:rFonts w:hint="default" w:ascii="Times New Roman" w:hAnsi="Times New Roman" w:eastAsia="宋体" w:cs="Times New Roman"/>
                <w:sz w:val="21"/>
                <w:szCs w:val="21"/>
                <w:highlight w:val="none"/>
                <w:lang w:bidi="ar"/>
              </w:rPr>
              <w:t>管理办法》</w:t>
            </w:r>
            <w:r>
              <w:rPr>
                <w:rFonts w:hint="eastAsia" w:cs="Times New Roman"/>
                <w:sz w:val="21"/>
                <w:szCs w:val="21"/>
                <w:highlight w:val="none"/>
                <w:lang w:val="en-US" w:eastAsia="zh-CN" w:bidi="ar"/>
              </w:rPr>
              <w:t>相关</w:t>
            </w:r>
            <w:r>
              <w:rPr>
                <w:rFonts w:hint="default" w:ascii="Times New Roman" w:hAnsi="Times New Roman" w:eastAsia="宋体" w:cs="Times New Roman"/>
                <w:sz w:val="21"/>
                <w:szCs w:val="21"/>
                <w:highlight w:val="none"/>
                <w:lang w:bidi="ar"/>
              </w:rPr>
              <w:t>要求；</w:t>
            </w:r>
            <w:r>
              <w:rPr>
                <w:rFonts w:hint="default" w:ascii="Times New Roman" w:hAnsi="Times New Roman" w:eastAsia="宋体" w:cs="Times New Roman"/>
                <w:sz w:val="21"/>
                <w:szCs w:val="21"/>
                <w:highlight w:val="none"/>
                <w:lang w:val="en-US" w:eastAsia="zh-CN"/>
              </w:rPr>
              <w:t>根据《危险废物管理计划和管理台账制定技术导则》（HJ1259-2022），制定危险废物管理计划及台账；</w:t>
            </w: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生活垃圾：由垃圾桶收集，由市政环卫部门统一清运处理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055"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土壤及地下水</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污染防治措施</w:t>
            </w:r>
          </w:p>
        </w:tc>
        <w:tc>
          <w:tcPr>
            <w:tcW w:w="7745" w:type="dxa"/>
            <w:gridSpan w:val="4"/>
            <w:vAlign w:val="center"/>
          </w:tcPr>
          <w:p>
            <w:pPr>
              <w:pStyle w:val="42"/>
              <w:keepNext w:val="0"/>
              <w:keepLines w:val="0"/>
              <w:suppressLineNumbers w:val="0"/>
              <w:spacing w:before="0" w:beforeAutospacing="0" w:after="0" w:afterAutospacing="0"/>
              <w:ind w:left="0" w:right="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按照“源头控制、分区防治、污染监控、应急响应”相结合的原则全阶段进行控制。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055"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生态保护措施</w:t>
            </w:r>
          </w:p>
        </w:tc>
        <w:tc>
          <w:tcPr>
            <w:tcW w:w="7745" w:type="dxa"/>
            <w:gridSpan w:val="4"/>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00" w:hRule="atLeast"/>
          <w:jc w:val="center"/>
        </w:trPr>
        <w:tc>
          <w:tcPr>
            <w:tcW w:w="1055"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pacing w:val="-8"/>
                <w:sz w:val="21"/>
                <w:szCs w:val="21"/>
                <w:highlight w:val="none"/>
              </w:rPr>
            </w:pPr>
            <w:r>
              <w:rPr>
                <w:rFonts w:hint="default" w:ascii="Times New Roman" w:hAnsi="Times New Roman" w:eastAsia="宋体" w:cs="Times New Roman"/>
                <w:spacing w:val="-8"/>
                <w:sz w:val="21"/>
                <w:szCs w:val="21"/>
                <w:highlight w:val="none"/>
              </w:rPr>
              <w:t>环境风险防范措施</w:t>
            </w:r>
          </w:p>
        </w:tc>
        <w:tc>
          <w:tcPr>
            <w:tcW w:w="7745" w:type="dxa"/>
            <w:gridSpan w:val="4"/>
            <w:vAlign w:val="center"/>
          </w:tcPr>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fldChar w:fldCharType="begin"/>
            </w:r>
            <w:r>
              <w:rPr>
                <w:rFonts w:hint="default" w:ascii="Times New Roman" w:hAnsi="Times New Roman" w:eastAsia="宋体" w:cs="Times New Roman"/>
                <w:sz w:val="21"/>
                <w:szCs w:val="21"/>
                <w:highlight w:val="none"/>
              </w:rPr>
              <w:instrText xml:space="preserve"> = 1 \* GB3 \* MERGEFORMAT </w:instrText>
            </w:r>
            <w:r>
              <w:rPr>
                <w:rFonts w:hint="default" w:ascii="Times New Roman" w:hAnsi="Times New Roman" w:eastAsia="宋体" w:cs="Times New Roman"/>
                <w:sz w:val="21"/>
                <w:szCs w:val="21"/>
                <w:highlight w:val="none"/>
              </w:rPr>
              <w:fldChar w:fldCharType="separate"/>
            </w:r>
            <w:r>
              <w:rPr>
                <w:rFonts w:hint="default" w:ascii="Times New Roman" w:hAnsi="Times New Roman" w:eastAsia="宋体" w:cs="Times New Roman"/>
                <w:sz w:val="21"/>
                <w:szCs w:val="21"/>
                <w:highlight w:val="none"/>
              </w:rPr>
              <w:t>①</w:t>
            </w:r>
            <w:r>
              <w:rPr>
                <w:rFonts w:hint="default" w:ascii="Times New Roman" w:hAnsi="Times New Roman" w:eastAsia="宋体" w:cs="Times New Roman"/>
                <w:sz w:val="21"/>
                <w:szCs w:val="21"/>
                <w:highlight w:val="none"/>
              </w:rPr>
              <w:fldChar w:fldCharType="end"/>
            </w:r>
            <w:r>
              <w:rPr>
                <w:rFonts w:hint="default" w:ascii="Times New Roman" w:hAnsi="Times New Roman" w:eastAsia="宋体" w:cs="Times New Roman"/>
                <w:sz w:val="21"/>
                <w:szCs w:val="21"/>
                <w:highlight w:val="none"/>
                <w:lang w:val="en-US" w:eastAsia="zh-CN"/>
              </w:rPr>
              <w:t>设立相关突发环境事故应急处理组织机构，建立健全公司的突发环境</w:t>
            </w:r>
            <w:r>
              <w:rPr>
                <w:rFonts w:hint="default" w:ascii="Times New Roman" w:hAnsi="Times New Roman" w:eastAsia="宋体" w:cs="Times New Roman"/>
                <w:bCs/>
                <w:sz w:val="21"/>
                <w:szCs w:val="21"/>
                <w:highlight w:val="none"/>
                <w:lang w:val="en-US" w:eastAsia="zh-CN" w:bidi="ar"/>
              </w:rPr>
              <w:t>事故应急组织机构。</w:t>
            </w:r>
            <w:r>
              <w:rPr>
                <w:rFonts w:hint="default" w:ascii="Times New Roman" w:hAnsi="Times New Roman" w:eastAsia="宋体" w:cs="Times New Roman"/>
                <w:kern w:val="0"/>
                <w:sz w:val="21"/>
                <w:szCs w:val="21"/>
                <w:highlight w:val="none"/>
              </w:rPr>
              <w:t>建设单位应制定全厂的环境风险应急预案，并与园区、地方政府应急联动，包括响应级别、响应联动程序和环境风险事故监测体系等。</w:t>
            </w: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rPr>
              <w:fldChar w:fldCharType="begin"/>
            </w:r>
            <w:r>
              <w:rPr>
                <w:rFonts w:hint="default" w:ascii="Times New Roman" w:hAnsi="Times New Roman" w:eastAsia="宋体" w:cs="Times New Roman"/>
                <w:sz w:val="21"/>
                <w:szCs w:val="21"/>
                <w:highlight w:val="none"/>
              </w:rPr>
              <w:instrText xml:space="preserve"> = 2 \* GB3 \* MERGEFORMAT </w:instrText>
            </w:r>
            <w:r>
              <w:rPr>
                <w:rFonts w:hint="default" w:ascii="Times New Roman" w:hAnsi="Times New Roman" w:eastAsia="宋体" w:cs="Times New Roman"/>
                <w:sz w:val="21"/>
                <w:szCs w:val="21"/>
                <w:highlight w:val="none"/>
              </w:rPr>
              <w:fldChar w:fldCharType="separate"/>
            </w:r>
            <w:r>
              <w:rPr>
                <w:rFonts w:hint="default" w:ascii="Times New Roman" w:hAnsi="Times New Roman" w:eastAsia="宋体" w:cs="Times New Roman"/>
                <w:sz w:val="21"/>
                <w:szCs w:val="21"/>
                <w:highlight w:val="none"/>
              </w:rPr>
              <w:t>②</w:t>
            </w:r>
            <w:r>
              <w:rPr>
                <w:rFonts w:hint="default" w:ascii="Times New Roman" w:hAnsi="Times New Roman" w:eastAsia="宋体" w:cs="Times New Roman"/>
                <w:sz w:val="21"/>
                <w:szCs w:val="21"/>
                <w:highlight w:val="none"/>
              </w:rPr>
              <w:fldChar w:fldCharType="end"/>
            </w:r>
            <w:r>
              <w:rPr>
                <w:rFonts w:hint="default" w:ascii="Times New Roman" w:hAnsi="Times New Roman" w:eastAsia="宋体" w:cs="Times New Roman"/>
                <w:sz w:val="21"/>
                <w:szCs w:val="21"/>
                <w:highlight w:val="none"/>
              </w:rPr>
              <w:t>企业应建立严格的消防管理制度，在厂区内设置灭火器材，如手提式或推车式干粉灭火器；严格落实有关消防技术规范的规定，加强人员疏散设施管理，保证疏散通道畅通</w:t>
            </w:r>
            <w:r>
              <w:rPr>
                <w:rFonts w:hint="default" w:ascii="Times New Roman" w:hAnsi="Times New Roman" w:eastAsia="宋体" w:cs="Times New Roman"/>
                <w:sz w:val="21"/>
                <w:szCs w:val="21"/>
                <w:highlight w:val="none"/>
                <w:lang w:eastAsia="zh-CN"/>
              </w:rPr>
              <w:t>；</w:t>
            </w: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rPr>
              <w:fldChar w:fldCharType="begin"/>
            </w:r>
            <w:r>
              <w:rPr>
                <w:rFonts w:hint="default" w:ascii="Times New Roman" w:hAnsi="Times New Roman" w:eastAsia="宋体" w:cs="Times New Roman"/>
                <w:sz w:val="21"/>
                <w:szCs w:val="21"/>
                <w:highlight w:val="none"/>
              </w:rPr>
              <w:instrText xml:space="preserve"> = 3 \* GB3 \* MERGEFORMAT </w:instrText>
            </w:r>
            <w:r>
              <w:rPr>
                <w:rFonts w:hint="default" w:ascii="Times New Roman" w:hAnsi="Times New Roman" w:eastAsia="宋体" w:cs="Times New Roman"/>
                <w:sz w:val="21"/>
                <w:szCs w:val="21"/>
                <w:highlight w:val="none"/>
              </w:rPr>
              <w:fldChar w:fldCharType="separate"/>
            </w:r>
            <w:r>
              <w:rPr>
                <w:rFonts w:hint="default" w:ascii="Times New Roman" w:hAnsi="Times New Roman" w:eastAsia="宋体" w:cs="Times New Roman"/>
                <w:sz w:val="21"/>
                <w:szCs w:val="21"/>
                <w:highlight w:val="none"/>
              </w:rPr>
              <w:t>③</w:t>
            </w:r>
            <w:r>
              <w:rPr>
                <w:rFonts w:hint="default" w:ascii="Times New Roman" w:hAnsi="Times New Roman" w:eastAsia="宋体" w:cs="Times New Roman"/>
                <w:sz w:val="21"/>
                <w:szCs w:val="21"/>
                <w:highlight w:val="none"/>
              </w:rPr>
              <w:fldChar w:fldCharType="end"/>
            </w:r>
            <w:r>
              <w:rPr>
                <w:rFonts w:hint="default" w:ascii="Times New Roman" w:hAnsi="Times New Roman" w:eastAsia="宋体" w:cs="Times New Roman"/>
                <w:sz w:val="21"/>
                <w:szCs w:val="21"/>
                <w:highlight w:val="none"/>
              </w:rPr>
              <w:t>定期进行防火安全检查，确保消防设施完整好用</w:t>
            </w:r>
            <w:r>
              <w:rPr>
                <w:rFonts w:hint="default" w:ascii="Times New Roman" w:hAnsi="Times New Roman" w:eastAsia="宋体" w:cs="Times New Roman"/>
                <w:sz w:val="21"/>
                <w:szCs w:val="21"/>
                <w:highlight w:val="none"/>
                <w:lang w:eastAsia="zh-CN"/>
              </w:rPr>
              <w:t>；</w:t>
            </w: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fldChar w:fldCharType="begin"/>
            </w:r>
            <w:r>
              <w:rPr>
                <w:rFonts w:hint="default" w:ascii="Times New Roman" w:hAnsi="Times New Roman" w:eastAsia="宋体" w:cs="Times New Roman"/>
                <w:sz w:val="21"/>
                <w:szCs w:val="21"/>
                <w:highlight w:val="none"/>
              </w:rPr>
              <w:instrText xml:space="preserve"> = 4 \* GB3 \* MERGEFORMAT </w:instrText>
            </w:r>
            <w:r>
              <w:rPr>
                <w:rFonts w:hint="default" w:ascii="Times New Roman" w:hAnsi="Times New Roman" w:eastAsia="宋体" w:cs="Times New Roman"/>
                <w:sz w:val="21"/>
                <w:szCs w:val="21"/>
                <w:highlight w:val="none"/>
              </w:rPr>
              <w:fldChar w:fldCharType="separate"/>
            </w:r>
            <w:r>
              <w:rPr>
                <w:rFonts w:hint="default" w:ascii="Times New Roman" w:hAnsi="Times New Roman" w:eastAsia="宋体" w:cs="Times New Roman"/>
                <w:sz w:val="21"/>
                <w:szCs w:val="21"/>
                <w:highlight w:val="none"/>
              </w:rPr>
              <w:t>④</w:t>
            </w:r>
            <w:r>
              <w:rPr>
                <w:rFonts w:hint="default" w:ascii="Times New Roman" w:hAnsi="Times New Roman" w:eastAsia="宋体" w:cs="Times New Roman"/>
                <w:sz w:val="21"/>
                <w:szCs w:val="21"/>
                <w:highlight w:val="none"/>
              </w:rPr>
              <w:fldChar w:fldCharType="end"/>
            </w:r>
            <w:r>
              <w:rPr>
                <w:rFonts w:hint="default" w:ascii="Times New Roman" w:hAnsi="Times New Roman" w:eastAsia="宋体" w:cs="Times New Roman"/>
                <w:sz w:val="21"/>
                <w:szCs w:val="21"/>
                <w:highlight w:val="none"/>
                <w:lang w:val="en-US" w:eastAsia="zh-CN"/>
              </w:rPr>
              <w:t>建议设立相关突发环境事故应急处理组织机构，建立健全公司的突发环境事故应急组织机构；</w:t>
            </w: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fldChar w:fldCharType="begin"/>
            </w:r>
            <w:r>
              <w:rPr>
                <w:rFonts w:hint="default" w:ascii="Times New Roman" w:hAnsi="Times New Roman" w:eastAsia="宋体" w:cs="Times New Roman"/>
                <w:sz w:val="21"/>
                <w:szCs w:val="21"/>
                <w:highlight w:val="none"/>
                <w:lang w:val="en-US" w:eastAsia="zh-CN"/>
              </w:rPr>
              <w:instrText xml:space="preserve"> = 5 \* GB3 \* MERGEFORMAT </w:instrText>
            </w:r>
            <w:r>
              <w:rPr>
                <w:rFonts w:hint="default" w:ascii="Times New Roman" w:hAnsi="Times New Roman" w:eastAsia="宋体" w:cs="Times New Roman"/>
                <w:sz w:val="21"/>
                <w:szCs w:val="21"/>
                <w:highlight w:val="none"/>
                <w:lang w:val="en-US" w:eastAsia="zh-CN"/>
              </w:rPr>
              <w:fldChar w:fldCharType="separate"/>
            </w:r>
            <w:r>
              <w:rPr>
                <w:rFonts w:hint="default" w:ascii="Times New Roman" w:hAnsi="Times New Roman" w:eastAsia="宋体" w:cs="Times New Roman"/>
                <w:sz w:val="21"/>
                <w:szCs w:val="21"/>
                <w:highlight w:val="none"/>
                <w:lang w:val="en-US" w:eastAsia="zh-CN"/>
              </w:rPr>
              <w:t>⑤</w:t>
            </w:r>
            <w:r>
              <w:rPr>
                <w:rFonts w:hint="default" w:ascii="Times New Roman" w:hAnsi="Times New Roman" w:eastAsia="宋体" w:cs="Times New Roman"/>
                <w:sz w:val="21"/>
                <w:szCs w:val="21"/>
                <w:highlight w:val="none"/>
                <w:lang w:val="en-US" w:eastAsia="zh-CN"/>
              </w:rPr>
              <w:fldChar w:fldCharType="end"/>
            </w:r>
            <w:r>
              <w:rPr>
                <w:rFonts w:hint="default" w:ascii="Times New Roman" w:hAnsi="Times New Roman" w:eastAsia="宋体" w:cs="Times New Roman"/>
                <w:sz w:val="21"/>
                <w:szCs w:val="21"/>
                <w:highlight w:val="none"/>
                <w:lang w:val="en-US" w:eastAsia="zh-CN"/>
              </w:rPr>
              <w:t>厂区雨水总排口安装截断阀门，并处于常闭状态，以防止发生火灾事故的情况下消防废水通过雨水管网流出厂区，同时设置消防废水导排设施将厂区的事故消防水自收集渠引至事故废水收集池；</w:t>
            </w:r>
          </w:p>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color w:val="808080"/>
                <w:sz w:val="21"/>
                <w:szCs w:val="21"/>
                <w:highlight w:val="none"/>
              </w:rPr>
              <w:fldChar w:fldCharType="begin"/>
            </w:r>
            <m:oMath>
              <m:r>
                <m:rPr>
                  <m:sty m:val="p"/>
                </m:rPr>
                <w:rPr>
                  <w:rFonts w:hint="default" w:ascii="Cambria Math" w:hAnsi="Cambria Math" w:eastAsia="宋体" w:cs="Times New Roman"/>
                  <w:color w:val="808080"/>
                  <w:sz w:val="21"/>
                  <w:szCs w:val="21"/>
                  <w:highlight w:val="none"/>
                </w:rPr>
                <m:t xml:space="preserve"> = 6 \∗ GB3 \∗ MERGEFORMAT </m:t>
              </m:r>
            </m:oMath>
            <w:r>
              <w:rPr>
                <w:rFonts w:hint="default" w:ascii="Times New Roman" w:hAnsi="Times New Roman" w:eastAsia="宋体" w:cs="Times New Roman"/>
                <w:color w:val="808080"/>
                <w:sz w:val="21"/>
                <w:szCs w:val="21"/>
                <w:highlight w:val="none"/>
              </w:rPr>
              <w:fldChar w:fldCharType="separate"/>
            </w:r>
            <w:r>
              <w:rPr>
                <w:rFonts w:hint="default" w:ascii="Times New Roman" w:hAnsi="Times New Roman" w:eastAsia="宋体" w:cs="Times New Roman"/>
                <w:sz w:val="21"/>
                <w:szCs w:val="21"/>
                <w:highlight w:val="none"/>
              </w:rPr>
              <w:t>⑥</w:t>
            </w:r>
            <w:r>
              <w:rPr>
                <w:rFonts w:hint="default" w:ascii="Times New Roman" w:hAnsi="Times New Roman" w:eastAsia="宋体" w:cs="Times New Roman"/>
                <w:color w:val="808080"/>
                <w:sz w:val="21"/>
                <w:szCs w:val="21"/>
                <w:highlight w:val="none"/>
              </w:rPr>
              <w:fldChar w:fldCharType="end"/>
            </w:r>
            <w:r>
              <w:rPr>
                <w:rFonts w:hint="eastAsia" w:cs="Times New Roman"/>
                <w:sz w:val="21"/>
                <w:szCs w:val="21"/>
                <w:highlight w:val="none"/>
                <w:vertAlign w:val="baseline"/>
                <w:lang w:val="en-US" w:eastAsia="zh-CN"/>
              </w:rPr>
              <w:t>对应急罐</w:t>
            </w:r>
            <w:r>
              <w:rPr>
                <w:rFonts w:hint="eastAsia"/>
                <w:lang w:val="en-US" w:eastAsia="zh-CN"/>
              </w:rPr>
              <w:t>进行定期检查，确保其完好不破损。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29" w:hRule="atLeast"/>
          <w:jc w:val="center"/>
        </w:trPr>
        <w:tc>
          <w:tcPr>
            <w:tcW w:w="1055"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其他环境管理要求</w:t>
            </w:r>
          </w:p>
        </w:tc>
        <w:tc>
          <w:tcPr>
            <w:tcW w:w="7745" w:type="dxa"/>
            <w:gridSpan w:val="4"/>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①设立专门的环保机构，配备专职环保工作人员；</w:t>
            </w:r>
          </w:p>
          <w:p>
            <w:pPr>
              <w:pStyle w:val="25"/>
              <w:keepNext w:val="0"/>
              <w:keepLines w:val="0"/>
              <w:widowControl w:val="0"/>
              <w:suppressLineNumbers w:val="0"/>
              <w:spacing w:before="0" w:beforeAutospacing="0" w:after="0" w:afterAutospacing="0"/>
              <w:ind w:left="0"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②建立日常环境管理制度和环境管理工作计划；</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③加强环保设施运行管理维护，建立环保设施运行台账，确保环保设施正常运行及污染物稳定达标排放；</w:t>
            </w:r>
          </w:p>
          <w:p>
            <w:pPr>
              <w:pStyle w:val="13"/>
              <w:keepNext w:val="0"/>
              <w:keepLines w:val="0"/>
              <w:suppressLineNumbers w:val="0"/>
              <w:spacing w:before="0" w:beforeAutospacing="0" w:after="0" w:afterAutospacing="0"/>
              <w:ind w:left="0" w:right="0"/>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fldChar w:fldCharType="begin"/>
            </w:r>
            <w:r>
              <w:rPr>
                <w:rFonts w:hint="default" w:ascii="Times New Roman" w:hAnsi="Times New Roman" w:eastAsia="宋体" w:cs="Times New Roman"/>
                <w:color w:val="auto"/>
                <w:kern w:val="0"/>
                <w:sz w:val="21"/>
                <w:szCs w:val="21"/>
                <w:highlight w:val="none"/>
              </w:rPr>
              <w:instrText xml:space="preserve"> = 4 \* GB3 \* MERGEFORMAT </w:instrText>
            </w:r>
            <w:r>
              <w:rPr>
                <w:rFonts w:hint="default" w:ascii="Times New Roman" w:hAnsi="Times New Roman" w:eastAsia="宋体" w:cs="Times New Roman"/>
                <w:color w:val="auto"/>
                <w:kern w:val="0"/>
                <w:sz w:val="21"/>
                <w:szCs w:val="21"/>
                <w:highlight w:val="none"/>
              </w:rPr>
              <w:fldChar w:fldCharType="separate"/>
            </w:r>
            <w:r>
              <w:rPr>
                <w:rFonts w:hint="default" w:ascii="Times New Roman" w:hAnsi="Times New Roman" w:eastAsia="宋体" w:cs="Times New Roman"/>
                <w:color w:val="auto"/>
                <w:kern w:val="0"/>
                <w:sz w:val="21"/>
                <w:szCs w:val="21"/>
                <w:highlight w:val="none"/>
              </w:rPr>
              <w:t>④</w:t>
            </w:r>
            <w:r>
              <w:rPr>
                <w:rFonts w:hint="default" w:ascii="Times New Roman" w:hAnsi="Times New Roman" w:eastAsia="宋体" w:cs="Times New Roman"/>
                <w:color w:val="auto"/>
                <w:kern w:val="0"/>
                <w:sz w:val="21"/>
                <w:szCs w:val="21"/>
                <w:highlight w:val="none"/>
              </w:rPr>
              <w:fldChar w:fldCharType="end"/>
            </w:r>
            <w:r>
              <w:rPr>
                <w:rFonts w:hint="default" w:ascii="Times New Roman" w:hAnsi="Times New Roman" w:eastAsia="宋体" w:cs="Times New Roman"/>
                <w:color w:val="auto"/>
                <w:kern w:val="0"/>
                <w:sz w:val="21"/>
                <w:szCs w:val="21"/>
                <w:highlight w:val="none"/>
              </w:rPr>
              <w:t>根据《固定污染源排污许可分类管理名录》（2019年版）</w:t>
            </w:r>
            <w:r>
              <w:rPr>
                <w:rFonts w:hint="eastAsia" w:cs="Times New Roman"/>
                <w:color w:val="auto"/>
                <w:kern w:val="0"/>
                <w:sz w:val="21"/>
                <w:szCs w:val="21"/>
                <w:highlight w:val="none"/>
                <w:lang w:eastAsia="zh-CN"/>
              </w:rPr>
              <w:t>，</w:t>
            </w:r>
            <w:r>
              <w:rPr>
                <w:rFonts w:hint="eastAsia" w:cs="Times New Roman"/>
                <w:color w:val="auto"/>
                <w:kern w:val="0"/>
                <w:sz w:val="21"/>
                <w:szCs w:val="21"/>
                <w:highlight w:val="none"/>
                <w:lang w:val="en-US" w:eastAsia="zh-CN"/>
              </w:rPr>
              <w:t>本</w:t>
            </w:r>
            <w:r>
              <w:rPr>
                <w:rFonts w:hint="eastAsia" w:cs="Times New Roman"/>
                <w:color w:val="auto"/>
                <w:kern w:val="0"/>
                <w:sz w:val="21"/>
                <w:szCs w:val="21"/>
                <w:highlight w:val="none"/>
                <w:lang w:eastAsia="zh-CN"/>
              </w:rPr>
              <w:t>项目属于“</w:t>
            </w:r>
            <w:r>
              <w:rPr>
                <w:rFonts w:hint="eastAsia" w:cs="Times New Roman"/>
                <w:color w:val="auto"/>
                <w:kern w:val="0"/>
                <w:sz w:val="21"/>
                <w:szCs w:val="21"/>
                <w:highlight w:val="none"/>
                <w:lang w:val="en-US" w:eastAsia="zh-CN"/>
              </w:rPr>
              <w:t>二十八</w:t>
            </w:r>
            <w:r>
              <w:rPr>
                <w:rFonts w:hint="eastAsia" w:cs="Times New Roman"/>
                <w:color w:val="auto"/>
                <w:kern w:val="0"/>
                <w:sz w:val="21"/>
                <w:szCs w:val="21"/>
                <w:highlight w:val="none"/>
                <w:lang w:eastAsia="zh-CN"/>
              </w:rPr>
              <w:t>、金属制品业33—</w:t>
            </w:r>
            <w:r>
              <w:rPr>
                <w:rFonts w:hint="eastAsia" w:cs="Times New Roman"/>
                <w:color w:val="auto"/>
                <w:kern w:val="0"/>
                <w:sz w:val="21"/>
                <w:szCs w:val="21"/>
                <w:highlight w:val="none"/>
                <w:lang w:val="en-US" w:eastAsia="zh-CN"/>
              </w:rPr>
              <w:t>80</w:t>
            </w:r>
            <w:r>
              <w:rPr>
                <w:rFonts w:hint="eastAsia" w:cs="Times New Roman"/>
                <w:color w:val="auto"/>
                <w:kern w:val="0"/>
                <w:sz w:val="21"/>
                <w:szCs w:val="21"/>
                <w:highlight w:val="none"/>
                <w:lang w:eastAsia="zh-CN"/>
              </w:rPr>
              <w:t>、铸造及其他金属制品制造339</w:t>
            </w:r>
            <w:r>
              <w:rPr>
                <w:rFonts w:hint="eastAsia" w:cs="Times New Roman"/>
                <w:color w:val="auto"/>
                <w:kern w:val="0"/>
                <w:sz w:val="21"/>
                <w:szCs w:val="21"/>
                <w:highlight w:val="none"/>
                <w:lang w:val="en-US" w:eastAsia="zh-CN"/>
              </w:rPr>
              <w:t>（除黑色金属铸造3391、有色金属铸造3392）中“其他*”，</w:t>
            </w:r>
            <w:r>
              <w:rPr>
                <w:rFonts w:hint="eastAsia"/>
                <w:sz w:val="21"/>
                <w:szCs w:val="21"/>
                <w:highlight w:val="none"/>
                <w:lang w:val="en-US" w:eastAsia="zh-CN"/>
              </w:rPr>
              <w:t>不涉及表面处理等通用工序重点管理和简化管理</w:t>
            </w:r>
            <w:r>
              <w:rPr>
                <w:rFonts w:hint="eastAsia" w:cs="Times New Roman"/>
                <w:color w:val="auto"/>
                <w:kern w:val="0"/>
                <w:sz w:val="21"/>
                <w:szCs w:val="21"/>
                <w:highlight w:val="none"/>
                <w:lang w:val="en-US" w:eastAsia="zh-CN"/>
              </w:rPr>
              <w:t>，</w:t>
            </w:r>
            <w:r>
              <w:rPr>
                <w:rFonts w:hint="default"/>
                <w:highlight w:val="none"/>
              </w:rPr>
              <w:commentReference w:id="18"/>
            </w:r>
            <w:r>
              <w:rPr>
                <w:rFonts w:hint="eastAsia" w:cs="Times New Roman"/>
                <w:color w:val="auto"/>
                <w:sz w:val="21"/>
                <w:szCs w:val="21"/>
                <w:highlight w:val="none"/>
                <w:lang w:val="en-US" w:eastAsia="zh-CN"/>
              </w:rPr>
              <w:t>属于登记</w:t>
            </w:r>
            <w:r>
              <w:rPr>
                <w:rFonts w:hint="default" w:ascii="Times New Roman" w:hAnsi="Times New Roman" w:eastAsia="宋体" w:cs="Times New Roman"/>
                <w:color w:val="auto"/>
                <w:sz w:val="21"/>
                <w:szCs w:val="21"/>
                <w:highlight w:val="none"/>
                <w:lang w:val="en-US" w:eastAsia="zh-CN"/>
              </w:rPr>
              <w:t>管理</w:t>
            </w:r>
            <w:r>
              <w:rPr>
                <w:rFonts w:hint="eastAsia" w:ascii="Times New Roman" w:hAnsi="Times New Roman" w:eastAsia="宋体" w:cs="Times New Roman"/>
                <w:color w:val="auto"/>
                <w:sz w:val="21"/>
                <w:szCs w:val="21"/>
                <w:highlight w:val="none"/>
                <w:lang w:val="en-US" w:eastAsia="zh-CN"/>
              </w:rPr>
              <w:t>。</w:t>
            </w:r>
            <w:r>
              <w:rPr>
                <w:rFonts w:hint="default"/>
              </w:rPr>
              <w:t>建设单位应依据国家及地方相关环保要求进行固定污染源排污许可登记</w:t>
            </w:r>
            <w:r>
              <w:rPr>
                <w:rFonts w:hint="eastAsia"/>
                <w:lang w:eastAsia="zh-CN"/>
              </w:rPr>
              <w:t>。</w:t>
            </w:r>
            <w:r>
              <w:rPr>
                <w:rFonts w:hint="default" w:ascii="Times New Roman" w:hAnsi="Times New Roman" w:eastAsia="宋体" w:cs="Times New Roman"/>
                <w:color w:val="auto"/>
                <w:sz w:val="21"/>
                <w:szCs w:val="21"/>
                <w:highlight w:val="none"/>
                <w:lang w:val="en-US" w:eastAsia="zh-CN"/>
              </w:rPr>
              <w:t>根据《排污单位自行监测技术指南总则》(HJ819-2017)，</w:t>
            </w:r>
            <w:r>
              <w:rPr>
                <w:rFonts w:hint="default" w:ascii="Times New Roman" w:hAnsi="Times New Roman" w:eastAsia="宋体" w:cs="Times New Roman"/>
                <w:color w:val="auto"/>
                <w:sz w:val="21"/>
                <w:szCs w:val="21"/>
                <w:highlight w:val="none"/>
              </w:rPr>
              <w:t>制定项目污染源监测计划，按照相关要求开展例行监测。</w:t>
            </w:r>
          </w:p>
          <w:p>
            <w:pPr>
              <w:pStyle w:val="50"/>
              <w:keepNext w:val="0"/>
              <w:keepLines w:val="0"/>
              <w:suppressLineNumbers w:val="0"/>
              <w:spacing w:before="0" w:beforeAutospacing="0" w:after="0" w:afterAutospacing="0" w:line="240" w:lineRule="auto"/>
              <w:ind w:left="0" w:right="0" w:firstLine="0" w:firstLineChars="0"/>
              <w:rPr>
                <w:rFonts w:hint="default" w:ascii="Times New Roman" w:hAnsi="Times New Roman" w:eastAsia="宋体" w:cs="Times New Roman"/>
                <w:snapToGrid/>
                <w:kern w:val="0"/>
                <w:sz w:val="21"/>
                <w:szCs w:val="21"/>
                <w:highlight w:val="none"/>
              </w:rPr>
            </w:pPr>
            <w:r>
              <w:rPr>
                <w:rFonts w:hint="default" w:ascii="Times New Roman" w:hAnsi="Times New Roman" w:eastAsia="宋体" w:cs="Times New Roman"/>
                <w:snapToGrid/>
                <w:kern w:val="0"/>
                <w:sz w:val="21"/>
                <w:szCs w:val="21"/>
                <w:highlight w:val="none"/>
              </w:rPr>
              <w:fldChar w:fldCharType="begin"/>
            </w:r>
            <w:r>
              <w:rPr>
                <w:rFonts w:hint="default" w:ascii="Times New Roman" w:hAnsi="Times New Roman" w:eastAsia="宋体" w:cs="Times New Roman"/>
                <w:snapToGrid/>
                <w:kern w:val="0"/>
                <w:sz w:val="21"/>
                <w:szCs w:val="21"/>
                <w:highlight w:val="none"/>
              </w:rPr>
              <w:instrText xml:space="preserve"> = 5 \* GB3 \* MERGEFORMAT </w:instrText>
            </w:r>
            <w:r>
              <w:rPr>
                <w:rFonts w:hint="default" w:ascii="Times New Roman" w:hAnsi="Times New Roman" w:eastAsia="宋体" w:cs="Times New Roman"/>
                <w:snapToGrid/>
                <w:kern w:val="0"/>
                <w:sz w:val="21"/>
                <w:szCs w:val="21"/>
                <w:highlight w:val="none"/>
              </w:rPr>
              <w:fldChar w:fldCharType="separate"/>
            </w:r>
            <w:r>
              <w:rPr>
                <w:rFonts w:hint="default" w:ascii="Times New Roman" w:hAnsi="Times New Roman" w:eastAsia="宋体" w:cs="Times New Roman"/>
                <w:snapToGrid/>
                <w:kern w:val="0"/>
                <w:sz w:val="21"/>
                <w:szCs w:val="21"/>
                <w:highlight w:val="none"/>
              </w:rPr>
              <w:t>⑤</w:t>
            </w:r>
            <w:r>
              <w:rPr>
                <w:rFonts w:hint="default" w:ascii="Times New Roman" w:hAnsi="Times New Roman" w:eastAsia="宋体" w:cs="Times New Roman"/>
                <w:snapToGrid/>
                <w:kern w:val="0"/>
                <w:sz w:val="21"/>
                <w:szCs w:val="21"/>
                <w:highlight w:val="none"/>
              </w:rPr>
              <w:fldChar w:fldCharType="end"/>
            </w:r>
            <w:r>
              <w:rPr>
                <w:rFonts w:hint="default" w:ascii="Times New Roman" w:hAnsi="Times New Roman" w:eastAsia="宋体" w:cs="Times New Roman"/>
                <w:snapToGrid/>
                <w:kern w:val="0"/>
                <w:sz w:val="21"/>
                <w:szCs w:val="21"/>
                <w:highlight w:val="none"/>
              </w:rPr>
              <w:t>根据《建设项目竣工环境保护验收暂行办法》的规定，建设项目竣工后，建设单位应当如实查验、监测、记载建设项目环境保护设施的建设和调试情况，编制验收监测报告表。</w:t>
            </w:r>
          </w:p>
          <w:p>
            <w:pPr>
              <w:pStyle w:val="50"/>
              <w:keepNext w:val="0"/>
              <w:keepLines w:val="0"/>
              <w:suppressLineNumbers w:val="0"/>
              <w:spacing w:before="0" w:beforeAutospacing="0" w:after="0" w:afterAutospacing="0" w:line="240" w:lineRule="auto"/>
              <w:ind w:left="0" w:right="0" w:firstLine="0" w:firstLineChars="0"/>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⑥按照《关于开展排放口规范化整治工作的通知》（环发</w:t>
            </w:r>
            <w:r>
              <w:rPr>
                <w:rFonts w:hint="eastAsia" w:ascii="Times New Roman" w:hAnsi="Times New Roman" w:cs="Times New Roman"/>
                <w:color w:val="auto"/>
                <w:kern w:val="0"/>
                <w:sz w:val="21"/>
                <w:szCs w:val="21"/>
                <w:highlight w:val="none"/>
                <w:lang w:val="en-US" w:eastAsia="zh-CN"/>
              </w:rPr>
              <w:t>〔</w:t>
            </w:r>
            <w:r>
              <w:rPr>
                <w:rFonts w:hint="default" w:ascii="Times New Roman" w:hAnsi="Times New Roman" w:eastAsia="宋体" w:cs="Times New Roman"/>
                <w:color w:val="auto"/>
                <w:kern w:val="0"/>
                <w:sz w:val="21"/>
                <w:szCs w:val="21"/>
                <w:highlight w:val="none"/>
                <w:lang w:val="en-US" w:eastAsia="zh-CN"/>
              </w:rPr>
              <w:t>1999</w:t>
            </w:r>
            <w:r>
              <w:rPr>
                <w:rFonts w:hint="eastAsia" w:ascii="Times New Roman" w:hAnsi="Times New Roman" w:cs="Times New Roman"/>
                <w:color w:val="auto"/>
                <w:kern w:val="0"/>
                <w:sz w:val="21"/>
                <w:szCs w:val="21"/>
                <w:highlight w:val="none"/>
                <w:lang w:val="en-US" w:eastAsia="zh-CN"/>
              </w:rPr>
              <w:t>〕</w:t>
            </w:r>
            <w:r>
              <w:rPr>
                <w:rFonts w:hint="default" w:ascii="Times New Roman" w:hAnsi="Times New Roman" w:eastAsia="宋体" w:cs="Times New Roman"/>
                <w:color w:val="auto"/>
                <w:kern w:val="0"/>
                <w:sz w:val="21"/>
                <w:szCs w:val="21"/>
                <w:highlight w:val="none"/>
                <w:lang w:val="en-US" w:eastAsia="zh-CN"/>
              </w:rPr>
              <w:t>24号）和《排污口规范化整治要求（试行）》（环监[1996]470号）等文件要求，规范设置排污口。</w:t>
            </w:r>
          </w:p>
          <w:p>
            <w:pPr>
              <w:pStyle w:val="50"/>
              <w:keepNext w:val="0"/>
              <w:keepLines w:val="0"/>
              <w:suppressLineNumbers w:val="0"/>
              <w:spacing w:before="0" w:beforeAutospacing="0" w:after="0" w:afterAutospacing="0" w:line="240" w:lineRule="auto"/>
              <w:ind w:left="0" w:right="0" w:firstLine="0" w:firstLineChars="0"/>
              <w:rPr>
                <w:rFonts w:hint="default" w:ascii="Times New Roman" w:hAnsi="Times New Roman" w:eastAsia="宋体" w:cs="Times New Roman"/>
                <w:color w:val="auto"/>
                <w:kern w:val="0"/>
                <w:sz w:val="21"/>
                <w:szCs w:val="21"/>
                <w:highlight w:val="none"/>
                <w:lang w:val="en-US" w:eastAsia="zh-CN"/>
              </w:rPr>
            </w:pPr>
          </w:p>
        </w:tc>
      </w:tr>
    </w:tbl>
    <w:p/>
    <w:p/>
    <w:p>
      <w:r>
        <w:br w:type="page"/>
      </w:r>
    </w:p>
    <w:p>
      <w:pPr>
        <w:pStyle w:val="3"/>
        <w:numPr>
          <w:ilvl w:val="0"/>
          <w:numId w:val="9"/>
        </w:numPr>
      </w:pPr>
      <w:r>
        <w:rPr>
          <w:rFonts w:hint="eastAsia"/>
        </w:rPr>
        <w:t>结论</w:t>
      </w:r>
    </w:p>
    <w:tbl>
      <w:tblPr>
        <w:tblStyle w:val="27"/>
        <w:tblW w:w="886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Pr>
          <w:p>
            <w:pPr>
              <w:pStyle w:val="42"/>
              <w:keepNext w:val="0"/>
              <w:keepLines w:val="0"/>
              <w:suppressLineNumbers w:val="0"/>
              <w:spacing w:before="0" w:beforeAutospacing="0" w:after="0" w:afterAutospacing="0" w:line="360" w:lineRule="auto"/>
              <w:ind w:left="0" w:right="0" w:firstLine="480"/>
              <w:rPr>
                <w:rFonts w:hint="eastAsia"/>
                <w:lang w:eastAsia="zh-CN"/>
              </w:rPr>
            </w:pPr>
          </w:p>
          <w:p>
            <w:pPr>
              <w:pStyle w:val="42"/>
              <w:keepNext w:val="0"/>
              <w:keepLines w:val="0"/>
              <w:suppressLineNumbers w:val="0"/>
              <w:spacing w:before="0" w:beforeAutospacing="0" w:after="0" w:afterAutospacing="0" w:line="360" w:lineRule="auto"/>
              <w:ind w:left="0" w:right="0" w:firstLine="480"/>
              <w:rPr>
                <w:rFonts w:hint="default"/>
              </w:rPr>
            </w:pPr>
            <w:r>
              <w:rPr>
                <w:rFonts w:hint="eastAsia"/>
                <w:lang w:eastAsia="zh-CN"/>
              </w:rPr>
              <w:t>砚</w:t>
            </w:r>
            <w:r>
              <w:rPr>
                <w:rFonts w:hint="eastAsia"/>
              </w:rPr>
              <w:t>泽智能（宁德）年产7000万套新能源动力电池铝壳项目</w:t>
            </w:r>
            <w:r>
              <w:rPr>
                <w:rFonts w:hint="default"/>
              </w:rPr>
              <w:t>的建设符合国家有关产业政策，项目选址合理</w:t>
            </w:r>
            <w:r>
              <w:rPr>
                <w:rFonts w:hint="default"/>
                <w:lang w:val="zh-CN"/>
              </w:rPr>
              <w:t>，</w:t>
            </w:r>
            <w:r>
              <w:rPr>
                <w:rFonts w:hint="eastAsia"/>
              </w:rPr>
              <w:t>平面布局可行。</w:t>
            </w:r>
            <w:r>
              <w:rPr>
                <w:rFonts w:hint="default"/>
              </w:rPr>
              <w:t>项目运营后产生的污水、废气、噪声、固废通过采取相应的措施治理，能够实现污染物的达标排放，</w:t>
            </w:r>
            <w:r>
              <w:rPr>
                <w:rFonts w:hint="eastAsia"/>
              </w:rPr>
              <w:t>对环境造成影响较小</w:t>
            </w:r>
            <w:r>
              <w:rPr>
                <w:rFonts w:hint="default"/>
              </w:rPr>
              <w:t>。在工程建设中，严格执行</w:t>
            </w:r>
            <w:r>
              <w:rPr>
                <w:rFonts w:hint="eastAsia"/>
                <w:lang w:eastAsia="zh-CN"/>
              </w:rPr>
              <w:t>“</w:t>
            </w:r>
            <w:r>
              <w:rPr>
                <w:rFonts w:hint="default"/>
              </w:rPr>
              <w:t>三同时</w:t>
            </w:r>
            <w:r>
              <w:rPr>
                <w:rFonts w:hint="eastAsia"/>
                <w:lang w:eastAsia="zh-CN"/>
              </w:rPr>
              <w:t>”</w:t>
            </w:r>
            <w:r>
              <w:rPr>
                <w:rFonts w:hint="default"/>
              </w:rPr>
              <w:t>制度，项目投产后，严格</w:t>
            </w:r>
            <w:r>
              <w:rPr>
                <w:rFonts w:hint="eastAsia"/>
              </w:rPr>
              <w:t>遵守</w:t>
            </w:r>
            <w:r>
              <w:rPr>
                <w:rFonts w:hint="default"/>
              </w:rPr>
              <w:t>国家有关法律法规</w:t>
            </w:r>
            <w:r>
              <w:rPr>
                <w:rFonts w:hint="eastAsia"/>
              </w:rPr>
              <w:t>，严格执行相关标准和</w:t>
            </w:r>
            <w:r>
              <w:rPr>
                <w:rFonts w:hint="default"/>
              </w:rPr>
              <w:t>技术规范，</w:t>
            </w:r>
            <w:r>
              <w:rPr>
                <w:rFonts w:hint="eastAsia"/>
              </w:rPr>
              <w:t>严格</w:t>
            </w:r>
            <w:r>
              <w:rPr>
                <w:rFonts w:hint="default"/>
              </w:rPr>
              <w:t>落实各项环境风险防范措施，污染物</w:t>
            </w:r>
            <w:r>
              <w:rPr>
                <w:rFonts w:hint="eastAsia"/>
              </w:rPr>
              <w:t>稳定</w:t>
            </w:r>
            <w:r>
              <w:rPr>
                <w:rFonts w:hint="default"/>
              </w:rPr>
              <w:t>达标排放的前提下，对周边环境影响较小，</w:t>
            </w:r>
            <w:r>
              <w:rPr>
                <w:rFonts w:hint="eastAsia"/>
              </w:rPr>
              <w:t>该项目可实现经济效益、环境效益的协调性发展。</w:t>
            </w:r>
            <w:r>
              <w:rPr>
                <w:rFonts w:hint="default"/>
              </w:rPr>
              <w:t>从环境保护的角度分析，该项目的建设是可行的。</w:t>
            </w:r>
          </w:p>
          <w:p>
            <w:pPr>
              <w:pStyle w:val="20"/>
              <w:keepNext w:val="0"/>
              <w:keepLines w:val="0"/>
              <w:suppressLineNumbers w:val="0"/>
              <w:spacing w:before="0" w:beforeAutospacing="0" w:after="0" w:afterAutospacing="0"/>
              <w:ind w:left="0" w:right="0"/>
              <w:rPr>
                <w:rFonts w:hint="default"/>
              </w:rPr>
            </w:pPr>
          </w:p>
          <w:p>
            <w:pPr>
              <w:pStyle w:val="20"/>
              <w:keepNext w:val="0"/>
              <w:keepLines w:val="0"/>
              <w:suppressLineNumbers w:val="0"/>
              <w:spacing w:before="0" w:beforeAutospacing="0" w:after="0" w:afterAutospacing="0"/>
              <w:ind w:left="0" w:right="0"/>
              <w:rPr>
                <w:rFonts w:hint="default"/>
                <w:sz w:val="24"/>
                <w:szCs w:val="24"/>
              </w:rPr>
            </w:pPr>
          </w:p>
          <w:p>
            <w:pPr>
              <w:pStyle w:val="20"/>
              <w:keepNext w:val="0"/>
              <w:keepLines w:val="0"/>
              <w:suppressLineNumbers w:val="0"/>
              <w:spacing w:before="0" w:beforeAutospacing="0" w:after="0" w:afterAutospacing="0"/>
              <w:ind w:left="0" w:right="0"/>
              <w:rPr>
                <w:rFonts w:hint="default"/>
                <w:sz w:val="24"/>
                <w:szCs w:val="24"/>
              </w:rPr>
            </w:pPr>
          </w:p>
          <w:p>
            <w:pPr>
              <w:pStyle w:val="20"/>
              <w:keepNext w:val="0"/>
              <w:keepLines w:val="0"/>
              <w:suppressLineNumbers w:val="0"/>
              <w:spacing w:before="0" w:beforeAutospacing="0" w:after="0" w:afterAutospacing="0"/>
              <w:ind w:left="0" w:right="0"/>
              <w:rPr>
                <w:rFonts w:hint="default"/>
                <w:sz w:val="24"/>
                <w:szCs w:val="24"/>
              </w:rPr>
            </w:pPr>
          </w:p>
          <w:p>
            <w:pPr>
              <w:pStyle w:val="20"/>
              <w:keepNext w:val="0"/>
              <w:keepLines w:val="0"/>
              <w:suppressLineNumbers w:val="0"/>
              <w:spacing w:before="0" w:beforeAutospacing="0" w:after="0" w:afterAutospacing="0"/>
              <w:ind w:left="0" w:right="0"/>
              <w:rPr>
                <w:rFonts w:hint="default"/>
                <w:sz w:val="24"/>
                <w:szCs w:val="24"/>
              </w:rPr>
            </w:pPr>
          </w:p>
          <w:p>
            <w:pPr>
              <w:pStyle w:val="20"/>
              <w:keepNext w:val="0"/>
              <w:keepLines w:val="0"/>
              <w:suppressLineNumbers w:val="0"/>
              <w:spacing w:before="0" w:beforeAutospacing="0" w:after="0" w:afterAutospacing="0"/>
              <w:ind w:left="0" w:right="0"/>
              <w:rPr>
                <w:rFonts w:hint="default"/>
                <w:sz w:val="24"/>
                <w:szCs w:val="24"/>
              </w:rPr>
            </w:pPr>
          </w:p>
          <w:p>
            <w:pPr>
              <w:pStyle w:val="20"/>
              <w:keepNext w:val="0"/>
              <w:keepLines w:val="0"/>
              <w:suppressLineNumbers w:val="0"/>
              <w:spacing w:before="0" w:beforeAutospacing="0" w:after="0" w:afterAutospacing="0"/>
              <w:ind w:left="0" w:right="0"/>
              <w:rPr>
                <w:rFonts w:hint="default"/>
                <w:sz w:val="24"/>
                <w:szCs w:val="24"/>
              </w:rPr>
            </w:pPr>
          </w:p>
          <w:p>
            <w:pPr>
              <w:pStyle w:val="20"/>
              <w:keepNext w:val="0"/>
              <w:keepLines w:val="0"/>
              <w:suppressLineNumbers w:val="0"/>
              <w:spacing w:before="0" w:beforeAutospacing="0" w:after="0" w:afterAutospacing="0"/>
              <w:ind w:left="0" w:right="0"/>
              <w:rPr>
                <w:rFonts w:hint="default"/>
                <w:sz w:val="24"/>
                <w:szCs w:val="24"/>
              </w:rPr>
            </w:pPr>
          </w:p>
          <w:p>
            <w:pPr>
              <w:pStyle w:val="20"/>
              <w:keepNext w:val="0"/>
              <w:keepLines w:val="0"/>
              <w:suppressLineNumbers w:val="0"/>
              <w:spacing w:before="0" w:beforeAutospacing="0" w:after="0" w:afterAutospacing="0"/>
              <w:ind w:left="0" w:right="0"/>
              <w:rPr>
                <w:rFonts w:hint="default"/>
                <w:sz w:val="24"/>
                <w:szCs w:val="24"/>
              </w:rPr>
            </w:pPr>
          </w:p>
          <w:p>
            <w:pPr>
              <w:keepNext w:val="0"/>
              <w:keepLines w:val="0"/>
              <w:suppressLineNumbers w:val="0"/>
              <w:spacing w:before="0" w:beforeAutospacing="0" w:after="0" w:afterAutospacing="0"/>
              <w:ind w:left="0" w:right="0"/>
              <w:jc w:val="right"/>
              <w:rPr>
                <w:rFonts w:hint="default"/>
                <w:b/>
                <w:bCs/>
                <w:sz w:val="24"/>
              </w:rPr>
            </w:pPr>
            <w:r>
              <w:rPr>
                <w:rFonts w:hint="default"/>
                <w:b/>
                <w:bCs/>
                <w:sz w:val="24"/>
              </w:rPr>
              <w:t>福建省闽创环保科技有限公司</w:t>
            </w:r>
          </w:p>
          <w:p>
            <w:pPr>
              <w:keepNext w:val="0"/>
              <w:keepLines w:val="0"/>
              <w:suppressLineNumbers w:val="0"/>
              <w:spacing w:before="0" w:beforeAutospacing="0" w:after="0" w:afterAutospacing="0"/>
              <w:ind w:left="0" w:right="0"/>
              <w:jc w:val="right"/>
              <w:rPr>
                <w:rFonts w:hint="default"/>
                <w:b/>
                <w:bCs/>
                <w:sz w:val="24"/>
                <w:lang w:val="zh-CN"/>
              </w:rPr>
            </w:pPr>
            <w:r>
              <w:rPr>
                <w:rFonts w:hint="default"/>
                <w:b/>
                <w:bCs/>
                <w:sz w:val="24"/>
                <w:lang w:val="zh-CN"/>
              </w:rPr>
              <w:t>202</w:t>
            </w:r>
            <w:r>
              <w:rPr>
                <w:rFonts w:hint="eastAsia"/>
                <w:b/>
                <w:bCs/>
                <w:sz w:val="24"/>
                <w:lang w:val="en-US" w:eastAsia="zh-CN"/>
              </w:rPr>
              <w:t>4</w:t>
            </w:r>
            <w:r>
              <w:rPr>
                <w:rFonts w:hint="default"/>
                <w:b/>
                <w:bCs/>
                <w:sz w:val="24"/>
                <w:lang w:val="zh-CN"/>
              </w:rPr>
              <w:t>年</w:t>
            </w:r>
            <w:r>
              <w:rPr>
                <w:rFonts w:hint="eastAsia"/>
                <w:b/>
                <w:bCs/>
                <w:sz w:val="24"/>
                <w:lang w:val="en-US" w:eastAsia="zh-CN"/>
              </w:rPr>
              <w:t>4</w:t>
            </w:r>
            <w:r>
              <w:rPr>
                <w:rFonts w:hint="default"/>
                <w:b/>
                <w:bCs/>
                <w:sz w:val="24"/>
                <w:lang w:val="zh-CN"/>
              </w:rPr>
              <w:t>月</w:t>
            </w:r>
          </w:p>
          <w:p>
            <w:pPr>
              <w:keepNext w:val="0"/>
              <w:keepLines w:val="0"/>
              <w:suppressLineNumbers w:val="0"/>
              <w:spacing w:before="0" w:beforeAutospacing="0" w:after="0" w:afterAutospacing="0" w:line="360" w:lineRule="auto"/>
              <w:ind w:left="0" w:right="0"/>
              <w:rPr>
                <w:rFonts w:hint="default" w:ascii="宋体" w:cs="宋体"/>
                <w:sz w:val="24"/>
              </w:rPr>
            </w:pPr>
          </w:p>
        </w:tc>
      </w:tr>
    </w:tbl>
    <w:p>
      <w:pPr>
        <w:jc w:val="center"/>
        <w:rPr>
          <w:rFonts w:ascii="宋体"/>
        </w:rPr>
        <w:sectPr>
          <w:pgSz w:w="11906" w:h="16838"/>
          <w:pgMar w:top="1701" w:right="1531" w:bottom="1701" w:left="1531" w:header="851" w:footer="851" w:gutter="0"/>
          <w:pgBorders>
            <w:top w:val="none" w:sz="0" w:space="0"/>
            <w:left w:val="none" w:sz="0" w:space="0"/>
            <w:bottom w:val="none" w:sz="0" w:space="0"/>
            <w:right w:val="none" w:sz="0" w:space="0"/>
          </w:pgBorders>
          <w:pgNumType w:fmt="numberInDash"/>
          <w:cols w:space="720" w:num="1"/>
          <w:docGrid w:linePitch="312" w:charSpace="0"/>
        </w:sectPr>
      </w:pPr>
    </w:p>
    <w:p>
      <w:pPr>
        <w:pStyle w:val="25"/>
        <w:adjustRightInd w:val="0"/>
        <w:snapToGrid w:val="0"/>
        <w:spacing w:before="0" w:beforeAutospacing="0" w:after="0" w:afterAutospacing="0"/>
        <w:outlineLvl w:val="0"/>
        <w:rPr>
          <w:rFonts w:ascii="黑体" w:hAnsi="黑体" w:eastAsia="黑体"/>
          <w:snapToGrid w:val="0"/>
          <w:sz w:val="32"/>
          <w:szCs w:val="32"/>
        </w:rPr>
      </w:pPr>
      <w:r>
        <w:rPr>
          <w:rFonts w:hint="eastAsia" w:ascii="黑体" w:hAnsi="黑体" w:eastAsia="黑体"/>
          <w:snapToGrid w:val="0"/>
          <w:sz w:val="32"/>
          <w:szCs w:val="32"/>
        </w:rPr>
        <w:t>附表</w:t>
      </w:r>
    </w:p>
    <w:p>
      <w:pPr>
        <w:pStyle w:val="25"/>
        <w:adjustRightInd w:val="0"/>
        <w:snapToGrid w:val="0"/>
        <w:spacing w:before="0" w:beforeAutospacing="0" w:after="0" w:afterAutospacing="0"/>
        <w:jc w:val="center"/>
        <w:outlineLvl w:val="0"/>
        <w:rPr>
          <w:rFonts w:ascii="方正小标宋_GBK" w:hAnsi="黑体" w:eastAsia="方正小标宋_GBK"/>
          <w:snapToGrid w:val="0"/>
          <w:sz w:val="36"/>
          <w:szCs w:val="36"/>
        </w:rPr>
      </w:pPr>
      <w:r>
        <w:rPr>
          <w:rFonts w:hint="eastAsia" w:ascii="方正小标宋_GBK" w:hAnsi="黑体" w:eastAsia="方正小标宋_GBK"/>
          <w:snapToGrid w:val="0"/>
          <w:sz w:val="36"/>
          <w:szCs w:val="36"/>
        </w:rPr>
        <w:t>建设项目污染物排放量汇总表</w:t>
      </w:r>
    </w:p>
    <w:tbl>
      <w:tblPr>
        <w:tblStyle w:val="27"/>
        <w:tblW w:w="139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621"/>
        <w:gridCol w:w="1497"/>
        <w:gridCol w:w="1276"/>
        <w:gridCol w:w="1701"/>
        <w:gridCol w:w="1616"/>
        <w:gridCol w:w="1704"/>
        <w:gridCol w:w="1719"/>
        <w:gridCol w:w="12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8" w:type="dxa"/>
            <w:tcBorders>
              <w:tl2br w:val="single" w:color="auto" w:sz="4" w:space="0"/>
            </w:tcBorders>
            <w:tcMar>
              <w:left w:w="28" w:type="dxa"/>
              <w:right w:w="28" w:type="dxa"/>
            </w:tcMar>
            <w:vAlign w:val="center"/>
          </w:tcPr>
          <w:p>
            <w:pPr>
              <w:pStyle w:val="56"/>
              <w:keepNext w:val="0"/>
              <w:keepLines w:val="0"/>
              <w:suppressLineNumbers w:val="0"/>
              <w:spacing w:before="0" w:beforeLines="0" w:beforeAutospacing="0" w:after="0" w:afterLines="0" w:afterAutospacing="0" w:line="240" w:lineRule="auto"/>
              <w:ind w:left="0" w:right="0"/>
              <w:jc w:val="right"/>
              <w:rPr>
                <w:rFonts w:hint="default" w:ascii="Times New Roman" w:hAnsi="Times New Roman" w:eastAsia="宋体" w:cs="Times New Roman"/>
                <w:snapToGrid w:val="0"/>
                <w:color w:val="000000"/>
                <w:spacing w:val="-6"/>
                <w:kern w:val="21"/>
                <w:sz w:val="21"/>
                <w:szCs w:val="21"/>
              </w:rPr>
            </w:pPr>
            <w:r>
              <w:rPr>
                <w:rFonts w:hint="default" w:ascii="Times New Roman" w:hAnsi="Times New Roman" w:eastAsia="宋体" w:cs="Times New Roman"/>
                <w:snapToGrid w:val="0"/>
                <w:color w:val="000000"/>
                <w:spacing w:val="-6"/>
                <w:kern w:val="21"/>
                <w:sz w:val="21"/>
                <w:szCs w:val="21"/>
              </w:rPr>
              <w:t>项目</w:t>
            </w:r>
          </w:p>
          <w:p>
            <w:pPr>
              <w:pStyle w:val="56"/>
              <w:keepNext w:val="0"/>
              <w:keepLines w:val="0"/>
              <w:suppressLineNumbers w:val="0"/>
              <w:spacing w:before="0" w:beforeLines="0" w:beforeAutospacing="0" w:after="0" w:afterLines="0" w:afterAutospacing="0" w:line="240" w:lineRule="auto"/>
              <w:ind w:left="0" w:right="0"/>
              <w:jc w:val="left"/>
              <w:rPr>
                <w:rFonts w:hint="default" w:ascii="Times New Roman" w:hAnsi="Times New Roman" w:eastAsia="宋体" w:cs="Times New Roman"/>
                <w:snapToGrid w:val="0"/>
                <w:color w:val="000000"/>
                <w:spacing w:val="-6"/>
                <w:kern w:val="21"/>
                <w:sz w:val="21"/>
                <w:szCs w:val="21"/>
              </w:rPr>
            </w:pPr>
            <w:r>
              <w:rPr>
                <w:rFonts w:hint="default" w:ascii="Times New Roman" w:hAnsi="Times New Roman" w:eastAsia="宋体" w:cs="Times New Roman"/>
                <w:snapToGrid w:val="0"/>
                <w:color w:val="000000"/>
                <w:spacing w:val="-6"/>
                <w:kern w:val="21"/>
                <w:sz w:val="21"/>
                <w:szCs w:val="21"/>
              </w:rPr>
              <w:t>分类</w:t>
            </w:r>
          </w:p>
        </w:tc>
        <w:tc>
          <w:tcPr>
            <w:tcW w:w="1621" w:type="dxa"/>
            <w:tcMar>
              <w:left w:w="28" w:type="dxa"/>
              <w:right w:w="28" w:type="dxa"/>
            </w:tcMar>
            <w:vAlign w:val="center"/>
          </w:tcPr>
          <w:p>
            <w:pPr>
              <w:pStyle w:val="5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spacing w:val="-6"/>
                <w:kern w:val="21"/>
                <w:sz w:val="21"/>
                <w:szCs w:val="21"/>
              </w:rPr>
            </w:pPr>
            <w:r>
              <w:rPr>
                <w:rFonts w:hint="default" w:ascii="Times New Roman" w:hAnsi="Times New Roman" w:eastAsia="宋体" w:cs="Times New Roman"/>
                <w:snapToGrid w:val="0"/>
                <w:color w:val="000000"/>
                <w:spacing w:val="-6"/>
                <w:kern w:val="21"/>
                <w:sz w:val="21"/>
                <w:szCs w:val="21"/>
              </w:rPr>
              <w:t>污染物名称</w:t>
            </w:r>
          </w:p>
        </w:tc>
        <w:tc>
          <w:tcPr>
            <w:tcW w:w="1497" w:type="dxa"/>
            <w:tcMar>
              <w:left w:w="28" w:type="dxa"/>
              <w:right w:w="28" w:type="dxa"/>
            </w:tcMar>
            <w:vAlign w:val="center"/>
          </w:tcPr>
          <w:p>
            <w:pPr>
              <w:pStyle w:val="5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spacing w:val="-6"/>
                <w:kern w:val="21"/>
                <w:sz w:val="21"/>
                <w:szCs w:val="21"/>
              </w:rPr>
            </w:pPr>
            <w:r>
              <w:rPr>
                <w:rFonts w:hint="default" w:ascii="Times New Roman" w:hAnsi="Times New Roman" w:eastAsia="宋体" w:cs="Times New Roman"/>
                <w:snapToGrid w:val="0"/>
                <w:color w:val="000000"/>
                <w:spacing w:val="-6"/>
                <w:kern w:val="21"/>
                <w:sz w:val="21"/>
                <w:szCs w:val="21"/>
              </w:rPr>
              <w:t>现有工程</w:t>
            </w:r>
          </w:p>
          <w:p>
            <w:pPr>
              <w:pStyle w:val="5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spacing w:val="-6"/>
                <w:kern w:val="21"/>
                <w:sz w:val="21"/>
                <w:szCs w:val="21"/>
              </w:rPr>
            </w:pPr>
            <w:r>
              <w:rPr>
                <w:rFonts w:hint="default" w:ascii="Times New Roman" w:hAnsi="Times New Roman" w:eastAsia="宋体" w:cs="Times New Roman"/>
                <w:snapToGrid w:val="0"/>
                <w:color w:val="000000"/>
                <w:spacing w:val="-6"/>
                <w:kern w:val="21"/>
                <w:sz w:val="21"/>
                <w:szCs w:val="21"/>
              </w:rPr>
              <w:t>排放量（固体废物产生量）</w:t>
            </w:r>
            <w:r>
              <w:rPr>
                <w:rFonts w:hint="default" w:ascii="Times New Roman" w:hAnsi="Times New Roman" w:eastAsia="宋体" w:cs="Times New Roman"/>
                <w:snapToGrid w:val="0"/>
                <w:color w:val="000000"/>
                <w:spacing w:val="-6"/>
                <w:kern w:val="21"/>
                <w:sz w:val="21"/>
                <w:szCs w:val="21"/>
              </w:rPr>
              <w:fldChar w:fldCharType="begin"/>
            </w:r>
            <w:r>
              <w:rPr>
                <w:rFonts w:hint="default" w:ascii="Times New Roman" w:hAnsi="Times New Roman" w:eastAsia="宋体" w:cs="Times New Roman"/>
                <w:snapToGrid w:val="0"/>
                <w:color w:val="000000"/>
                <w:spacing w:val="-6"/>
                <w:kern w:val="21"/>
                <w:sz w:val="21"/>
                <w:szCs w:val="21"/>
              </w:rPr>
              <w:instrText xml:space="preserve"> = 1 \* GB3 \* MERGEFORMAT </w:instrText>
            </w:r>
            <w:r>
              <w:rPr>
                <w:rFonts w:hint="default" w:ascii="Times New Roman" w:hAnsi="Times New Roman" w:eastAsia="宋体" w:cs="Times New Roman"/>
                <w:snapToGrid w:val="0"/>
                <w:color w:val="000000"/>
                <w:spacing w:val="-6"/>
                <w:kern w:val="21"/>
                <w:sz w:val="21"/>
                <w:szCs w:val="21"/>
              </w:rPr>
              <w:fldChar w:fldCharType="separate"/>
            </w:r>
            <w:r>
              <w:rPr>
                <w:rFonts w:hint="default" w:ascii="Times New Roman" w:hAnsi="Times New Roman" w:eastAsia="宋体" w:cs="Times New Roman"/>
                <w:kern w:val="2"/>
                <w:sz w:val="21"/>
                <w:szCs w:val="21"/>
              </w:rPr>
              <w:t>①</w:t>
            </w:r>
            <w:r>
              <w:rPr>
                <w:rFonts w:hint="default" w:ascii="Times New Roman" w:hAnsi="Times New Roman" w:eastAsia="宋体" w:cs="Times New Roman"/>
                <w:snapToGrid w:val="0"/>
                <w:color w:val="000000"/>
                <w:spacing w:val="-6"/>
                <w:kern w:val="21"/>
                <w:sz w:val="21"/>
                <w:szCs w:val="21"/>
              </w:rPr>
              <w:fldChar w:fldCharType="end"/>
            </w:r>
          </w:p>
        </w:tc>
        <w:tc>
          <w:tcPr>
            <w:tcW w:w="1276" w:type="dxa"/>
            <w:tcMar>
              <w:left w:w="28" w:type="dxa"/>
              <w:right w:w="28" w:type="dxa"/>
            </w:tcMar>
            <w:vAlign w:val="center"/>
          </w:tcPr>
          <w:p>
            <w:pPr>
              <w:pStyle w:val="5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spacing w:val="-6"/>
                <w:kern w:val="21"/>
                <w:sz w:val="21"/>
                <w:szCs w:val="21"/>
              </w:rPr>
            </w:pPr>
            <w:r>
              <w:rPr>
                <w:rFonts w:hint="default" w:ascii="Times New Roman" w:hAnsi="Times New Roman" w:eastAsia="宋体" w:cs="Times New Roman"/>
                <w:snapToGrid w:val="0"/>
                <w:color w:val="000000"/>
                <w:spacing w:val="-6"/>
                <w:kern w:val="21"/>
                <w:sz w:val="21"/>
                <w:szCs w:val="21"/>
              </w:rPr>
              <w:t>现有工程</w:t>
            </w:r>
          </w:p>
          <w:p>
            <w:pPr>
              <w:pStyle w:val="5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spacing w:val="-6"/>
                <w:kern w:val="21"/>
                <w:sz w:val="21"/>
                <w:szCs w:val="21"/>
              </w:rPr>
            </w:pPr>
            <w:r>
              <w:rPr>
                <w:rFonts w:hint="default" w:ascii="Times New Roman" w:hAnsi="Times New Roman" w:eastAsia="宋体" w:cs="Times New Roman"/>
                <w:snapToGrid w:val="0"/>
                <w:color w:val="000000"/>
                <w:spacing w:val="-6"/>
                <w:kern w:val="21"/>
                <w:sz w:val="21"/>
                <w:szCs w:val="21"/>
              </w:rPr>
              <w:t>许可排放量</w:t>
            </w:r>
          </w:p>
          <w:p>
            <w:pPr>
              <w:pStyle w:val="56"/>
              <w:keepNext w:val="0"/>
              <w:keepLines w:val="0"/>
              <w:suppressLineNumbers w:val="0"/>
              <w:spacing w:before="0" w:beforeLines="0" w:beforeAutospacing="0" w:after="0" w:afterLines="0" w:afterAutospacing="0"/>
              <w:ind w:left="0" w:right="0"/>
              <w:rPr>
                <w:rFonts w:hint="default" w:ascii="Times New Roman" w:hAnsi="Times New Roman" w:eastAsia="宋体" w:cs="Times New Roman"/>
                <w:snapToGrid w:val="0"/>
                <w:color w:val="000000"/>
                <w:spacing w:val="-6"/>
                <w:kern w:val="21"/>
                <w:sz w:val="21"/>
                <w:szCs w:val="21"/>
              </w:rPr>
            </w:pPr>
            <w:r>
              <w:rPr>
                <w:rFonts w:hint="default" w:ascii="Times New Roman" w:hAnsi="Times New Roman" w:eastAsia="宋体" w:cs="Times New Roman"/>
                <w:snapToGrid w:val="0"/>
                <w:color w:val="000000"/>
                <w:spacing w:val="-6"/>
                <w:kern w:val="21"/>
                <w:sz w:val="21"/>
                <w:szCs w:val="21"/>
              </w:rPr>
              <w:fldChar w:fldCharType="begin"/>
            </w:r>
            <w:r>
              <w:rPr>
                <w:rFonts w:hint="default" w:ascii="Times New Roman" w:hAnsi="Times New Roman" w:eastAsia="宋体" w:cs="Times New Roman"/>
                <w:snapToGrid w:val="0"/>
                <w:color w:val="000000"/>
                <w:spacing w:val="-6"/>
                <w:kern w:val="21"/>
                <w:sz w:val="21"/>
                <w:szCs w:val="21"/>
              </w:rPr>
              <w:instrText xml:space="preserve"> = 2 \* GB3 \* MERGEFORMAT </w:instrText>
            </w:r>
            <w:r>
              <w:rPr>
                <w:rFonts w:hint="default" w:ascii="Times New Roman" w:hAnsi="Times New Roman" w:eastAsia="宋体" w:cs="Times New Roman"/>
                <w:snapToGrid w:val="0"/>
                <w:color w:val="000000"/>
                <w:spacing w:val="-6"/>
                <w:kern w:val="21"/>
                <w:sz w:val="21"/>
                <w:szCs w:val="21"/>
              </w:rPr>
              <w:fldChar w:fldCharType="separate"/>
            </w:r>
            <w:r>
              <w:rPr>
                <w:rFonts w:hint="default" w:ascii="Times New Roman" w:hAnsi="Times New Roman" w:eastAsia="宋体" w:cs="Times New Roman"/>
                <w:snapToGrid w:val="0"/>
                <w:color w:val="000000"/>
                <w:spacing w:val="-6"/>
                <w:kern w:val="21"/>
                <w:sz w:val="21"/>
                <w:szCs w:val="21"/>
              </w:rPr>
              <w:t>②</w:t>
            </w:r>
            <w:r>
              <w:rPr>
                <w:rFonts w:hint="default" w:ascii="Times New Roman" w:hAnsi="Times New Roman" w:eastAsia="宋体" w:cs="Times New Roman"/>
                <w:snapToGrid w:val="0"/>
                <w:color w:val="000000"/>
                <w:spacing w:val="-6"/>
                <w:kern w:val="21"/>
                <w:sz w:val="21"/>
                <w:szCs w:val="21"/>
              </w:rPr>
              <w:fldChar w:fldCharType="end"/>
            </w:r>
          </w:p>
        </w:tc>
        <w:tc>
          <w:tcPr>
            <w:tcW w:w="1701" w:type="dxa"/>
            <w:tcMar>
              <w:left w:w="28" w:type="dxa"/>
              <w:right w:w="28" w:type="dxa"/>
            </w:tcMar>
            <w:vAlign w:val="center"/>
          </w:tcPr>
          <w:p>
            <w:pPr>
              <w:pStyle w:val="5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spacing w:val="-6"/>
                <w:kern w:val="21"/>
                <w:sz w:val="21"/>
                <w:szCs w:val="21"/>
              </w:rPr>
            </w:pPr>
            <w:r>
              <w:rPr>
                <w:rFonts w:hint="default" w:ascii="Times New Roman" w:hAnsi="Times New Roman" w:eastAsia="宋体" w:cs="Times New Roman"/>
                <w:snapToGrid w:val="0"/>
                <w:color w:val="000000"/>
                <w:spacing w:val="-6"/>
                <w:kern w:val="21"/>
                <w:sz w:val="21"/>
                <w:szCs w:val="21"/>
              </w:rPr>
              <w:t>在建工程</w:t>
            </w:r>
          </w:p>
          <w:p>
            <w:pPr>
              <w:pStyle w:val="5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spacing w:val="-6"/>
                <w:kern w:val="21"/>
                <w:sz w:val="21"/>
                <w:szCs w:val="21"/>
              </w:rPr>
            </w:pPr>
            <w:r>
              <w:rPr>
                <w:rFonts w:hint="default" w:ascii="Times New Roman" w:hAnsi="Times New Roman" w:eastAsia="宋体" w:cs="Times New Roman"/>
                <w:snapToGrid w:val="0"/>
                <w:color w:val="000000"/>
                <w:spacing w:val="-6"/>
                <w:kern w:val="21"/>
                <w:sz w:val="21"/>
                <w:szCs w:val="21"/>
              </w:rPr>
              <w:t>排放量（固体废物产生量）</w:t>
            </w:r>
            <w:r>
              <w:rPr>
                <w:rFonts w:hint="default" w:ascii="Times New Roman" w:hAnsi="Times New Roman" w:eastAsia="宋体" w:cs="Times New Roman"/>
                <w:snapToGrid w:val="0"/>
                <w:color w:val="000000"/>
                <w:spacing w:val="-6"/>
                <w:kern w:val="21"/>
                <w:sz w:val="21"/>
                <w:szCs w:val="21"/>
              </w:rPr>
              <w:fldChar w:fldCharType="begin"/>
            </w:r>
            <w:r>
              <w:rPr>
                <w:rFonts w:hint="default" w:ascii="Times New Roman" w:hAnsi="Times New Roman" w:eastAsia="宋体" w:cs="Times New Roman"/>
                <w:snapToGrid w:val="0"/>
                <w:color w:val="000000"/>
                <w:spacing w:val="-6"/>
                <w:kern w:val="21"/>
                <w:sz w:val="21"/>
                <w:szCs w:val="21"/>
              </w:rPr>
              <w:instrText xml:space="preserve"> = 3 \* GB3 \* MERGEFORMAT </w:instrText>
            </w:r>
            <w:r>
              <w:rPr>
                <w:rFonts w:hint="default" w:ascii="Times New Roman" w:hAnsi="Times New Roman" w:eastAsia="宋体" w:cs="Times New Roman"/>
                <w:snapToGrid w:val="0"/>
                <w:color w:val="000000"/>
                <w:spacing w:val="-6"/>
                <w:kern w:val="21"/>
                <w:sz w:val="21"/>
                <w:szCs w:val="21"/>
              </w:rPr>
              <w:fldChar w:fldCharType="separate"/>
            </w:r>
            <w:r>
              <w:rPr>
                <w:rFonts w:hint="default" w:ascii="Times New Roman" w:hAnsi="Times New Roman" w:eastAsia="宋体" w:cs="Times New Roman"/>
                <w:kern w:val="2"/>
                <w:sz w:val="21"/>
                <w:szCs w:val="21"/>
              </w:rPr>
              <w:t>③</w:t>
            </w:r>
            <w:r>
              <w:rPr>
                <w:rFonts w:hint="default" w:ascii="Times New Roman" w:hAnsi="Times New Roman" w:eastAsia="宋体" w:cs="Times New Roman"/>
                <w:snapToGrid w:val="0"/>
                <w:color w:val="000000"/>
                <w:spacing w:val="-6"/>
                <w:kern w:val="21"/>
                <w:sz w:val="21"/>
                <w:szCs w:val="21"/>
              </w:rPr>
              <w:fldChar w:fldCharType="end"/>
            </w:r>
          </w:p>
        </w:tc>
        <w:tc>
          <w:tcPr>
            <w:tcW w:w="1616" w:type="dxa"/>
            <w:tcMar>
              <w:left w:w="28" w:type="dxa"/>
              <w:right w:w="28" w:type="dxa"/>
            </w:tcMar>
            <w:vAlign w:val="center"/>
          </w:tcPr>
          <w:p>
            <w:pPr>
              <w:pStyle w:val="5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spacing w:val="-6"/>
                <w:kern w:val="21"/>
                <w:sz w:val="21"/>
                <w:szCs w:val="21"/>
              </w:rPr>
            </w:pPr>
            <w:r>
              <w:rPr>
                <w:rFonts w:hint="default" w:ascii="Times New Roman" w:hAnsi="Times New Roman" w:eastAsia="宋体" w:cs="Times New Roman"/>
                <w:snapToGrid w:val="0"/>
                <w:color w:val="000000"/>
                <w:spacing w:val="-6"/>
                <w:kern w:val="21"/>
                <w:sz w:val="21"/>
                <w:szCs w:val="21"/>
              </w:rPr>
              <w:t>本项目</w:t>
            </w:r>
          </w:p>
          <w:p>
            <w:pPr>
              <w:pStyle w:val="5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spacing w:val="-6"/>
                <w:kern w:val="21"/>
                <w:sz w:val="21"/>
                <w:szCs w:val="21"/>
              </w:rPr>
            </w:pPr>
            <w:r>
              <w:rPr>
                <w:rFonts w:hint="default" w:ascii="Times New Roman" w:hAnsi="Times New Roman" w:eastAsia="宋体" w:cs="Times New Roman"/>
                <w:snapToGrid w:val="0"/>
                <w:color w:val="000000"/>
                <w:spacing w:val="-6"/>
                <w:kern w:val="21"/>
                <w:sz w:val="21"/>
                <w:szCs w:val="21"/>
              </w:rPr>
              <w:t>排放量（固体废物产生量）</w:t>
            </w:r>
            <w:r>
              <w:rPr>
                <w:rFonts w:hint="default" w:ascii="Times New Roman" w:hAnsi="Times New Roman" w:eastAsia="宋体" w:cs="Times New Roman"/>
                <w:snapToGrid w:val="0"/>
                <w:color w:val="000000"/>
                <w:spacing w:val="-6"/>
                <w:kern w:val="21"/>
                <w:sz w:val="21"/>
                <w:szCs w:val="21"/>
              </w:rPr>
              <w:fldChar w:fldCharType="begin"/>
            </w:r>
            <w:r>
              <w:rPr>
                <w:rFonts w:hint="default" w:ascii="Times New Roman" w:hAnsi="Times New Roman" w:eastAsia="宋体" w:cs="Times New Roman"/>
                <w:snapToGrid w:val="0"/>
                <w:color w:val="000000"/>
                <w:spacing w:val="-6"/>
                <w:kern w:val="21"/>
                <w:sz w:val="21"/>
                <w:szCs w:val="21"/>
              </w:rPr>
              <w:instrText xml:space="preserve"> = 4 \* GB3 \* MERGEFORMAT </w:instrText>
            </w:r>
            <w:r>
              <w:rPr>
                <w:rFonts w:hint="default" w:ascii="Times New Roman" w:hAnsi="Times New Roman" w:eastAsia="宋体" w:cs="Times New Roman"/>
                <w:snapToGrid w:val="0"/>
                <w:color w:val="000000"/>
                <w:spacing w:val="-6"/>
                <w:kern w:val="21"/>
                <w:sz w:val="21"/>
                <w:szCs w:val="21"/>
              </w:rPr>
              <w:fldChar w:fldCharType="separate"/>
            </w:r>
            <w:r>
              <w:rPr>
                <w:rFonts w:hint="default" w:ascii="Times New Roman" w:hAnsi="Times New Roman" w:eastAsia="宋体" w:cs="Times New Roman"/>
                <w:kern w:val="2"/>
                <w:sz w:val="21"/>
                <w:szCs w:val="21"/>
              </w:rPr>
              <w:t>④</w:t>
            </w:r>
            <w:r>
              <w:rPr>
                <w:rFonts w:hint="default" w:ascii="Times New Roman" w:hAnsi="Times New Roman" w:eastAsia="宋体" w:cs="Times New Roman"/>
                <w:snapToGrid w:val="0"/>
                <w:color w:val="000000"/>
                <w:spacing w:val="-6"/>
                <w:kern w:val="21"/>
                <w:sz w:val="21"/>
                <w:szCs w:val="21"/>
              </w:rPr>
              <w:fldChar w:fldCharType="end"/>
            </w:r>
          </w:p>
        </w:tc>
        <w:tc>
          <w:tcPr>
            <w:tcW w:w="1704" w:type="dxa"/>
            <w:tcMar>
              <w:left w:w="28" w:type="dxa"/>
              <w:right w:w="28" w:type="dxa"/>
            </w:tcMar>
            <w:vAlign w:val="center"/>
          </w:tcPr>
          <w:p>
            <w:pPr>
              <w:pStyle w:val="5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spacing w:val="-16"/>
                <w:kern w:val="21"/>
                <w:sz w:val="21"/>
                <w:szCs w:val="21"/>
              </w:rPr>
            </w:pPr>
            <w:r>
              <w:rPr>
                <w:rFonts w:hint="default" w:ascii="Times New Roman" w:hAnsi="Times New Roman" w:eastAsia="宋体" w:cs="Times New Roman"/>
                <w:snapToGrid w:val="0"/>
                <w:color w:val="000000"/>
                <w:spacing w:val="-16"/>
                <w:kern w:val="21"/>
                <w:sz w:val="21"/>
                <w:szCs w:val="21"/>
              </w:rPr>
              <w:t>以新带老削减量</w:t>
            </w:r>
          </w:p>
          <w:p>
            <w:pPr>
              <w:pStyle w:val="5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spacing w:val="-16"/>
                <w:kern w:val="21"/>
                <w:sz w:val="21"/>
                <w:szCs w:val="21"/>
              </w:rPr>
            </w:pPr>
            <w:r>
              <w:rPr>
                <w:rFonts w:hint="default" w:ascii="Times New Roman" w:hAnsi="Times New Roman" w:eastAsia="宋体" w:cs="Times New Roman"/>
                <w:snapToGrid w:val="0"/>
                <w:color w:val="000000"/>
                <w:spacing w:val="-16"/>
                <w:kern w:val="21"/>
                <w:sz w:val="21"/>
                <w:szCs w:val="21"/>
              </w:rPr>
              <w:t>（新建项目不填）</w:t>
            </w:r>
            <w:r>
              <w:rPr>
                <w:rFonts w:hint="default" w:ascii="Times New Roman" w:hAnsi="Times New Roman" w:eastAsia="宋体" w:cs="Times New Roman"/>
                <w:snapToGrid w:val="0"/>
                <w:color w:val="000000"/>
                <w:spacing w:val="-16"/>
                <w:kern w:val="21"/>
                <w:sz w:val="21"/>
                <w:szCs w:val="21"/>
              </w:rPr>
              <w:fldChar w:fldCharType="begin"/>
            </w:r>
            <w:r>
              <w:rPr>
                <w:rFonts w:hint="default" w:ascii="Times New Roman" w:hAnsi="Times New Roman" w:eastAsia="宋体" w:cs="Times New Roman"/>
                <w:snapToGrid w:val="0"/>
                <w:color w:val="000000"/>
                <w:spacing w:val="-16"/>
                <w:kern w:val="21"/>
                <w:sz w:val="21"/>
                <w:szCs w:val="21"/>
              </w:rPr>
              <w:instrText xml:space="preserve"> = 5 \* GB3 \* MERGEFORMAT </w:instrText>
            </w:r>
            <w:r>
              <w:rPr>
                <w:rFonts w:hint="default" w:ascii="Times New Roman" w:hAnsi="Times New Roman" w:eastAsia="宋体" w:cs="Times New Roman"/>
                <w:snapToGrid w:val="0"/>
                <w:color w:val="000000"/>
                <w:spacing w:val="-16"/>
                <w:kern w:val="21"/>
                <w:sz w:val="21"/>
                <w:szCs w:val="21"/>
              </w:rPr>
              <w:fldChar w:fldCharType="separate"/>
            </w:r>
            <w:r>
              <w:rPr>
                <w:rFonts w:hint="default" w:ascii="Times New Roman" w:hAnsi="Times New Roman" w:eastAsia="宋体" w:cs="Times New Roman"/>
                <w:kern w:val="2"/>
                <w:sz w:val="21"/>
                <w:szCs w:val="21"/>
              </w:rPr>
              <w:t>⑤</w:t>
            </w:r>
            <w:r>
              <w:rPr>
                <w:rFonts w:hint="default" w:ascii="Times New Roman" w:hAnsi="Times New Roman" w:eastAsia="宋体" w:cs="Times New Roman"/>
                <w:snapToGrid w:val="0"/>
                <w:color w:val="000000"/>
                <w:spacing w:val="-16"/>
                <w:kern w:val="21"/>
                <w:sz w:val="21"/>
                <w:szCs w:val="21"/>
              </w:rPr>
              <w:fldChar w:fldCharType="end"/>
            </w:r>
          </w:p>
        </w:tc>
        <w:tc>
          <w:tcPr>
            <w:tcW w:w="1719" w:type="dxa"/>
            <w:tcMar>
              <w:left w:w="28" w:type="dxa"/>
              <w:right w:w="28" w:type="dxa"/>
            </w:tcMar>
            <w:vAlign w:val="center"/>
          </w:tcPr>
          <w:p>
            <w:pPr>
              <w:pStyle w:val="5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spacing w:val="-16"/>
                <w:kern w:val="21"/>
                <w:sz w:val="21"/>
                <w:szCs w:val="21"/>
              </w:rPr>
            </w:pPr>
            <w:r>
              <w:rPr>
                <w:rFonts w:hint="default" w:ascii="Times New Roman" w:hAnsi="Times New Roman" w:eastAsia="宋体" w:cs="Times New Roman"/>
                <w:snapToGrid w:val="0"/>
                <w:color w:val="000000"/>
                <w:spacing w:val="-16"/>
                <w:kern w:val="21"/>
                <w:sz w:val="21"/>
                <w:szCs w:val="21"/>
              </w:rPr>
              <w:t>本项目建成后</w:t>
            </w:r>
          </w:p>
          <w:p>
            <w:pPr>
              <w:pStyle w:val="5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spacing w:val="-16"/>
                <w:kern w:val="21"/>
                <w:sz w:val="21"/>
                <w:szCs w:val="21"/>
              </w:rPr>
            </w:pPr>
            <w:r>
              <w:rPr>
                <w:rFonts w:hint="default" w:ascii="Times New Roman" w:hAnsi="Times New Roman" w:eastAsia="宋体" w:cs="Times New Roman"/>
                <w:snapToGrid w:val="0"/>
                <w:color w:val="000000"/>
                <w:spacing w:val="-16"/>
                <w:kern w:val="21"/>
                <w:sz w:val="21"/>
                <w:szCs w:val="21"/>
              </w:rPr>
              <w:t>全厂排放量（固体废物产生量）</w:t>
            </w:r>
            <w:r>
              <w:rPr>
                <w:rFonts w:hint="default" w:ascii="Times New Roman" w:hAnsi="Times New Roman" w:eastAsia="宋体" w:cs="Times New Roman"/>
                <w:snapToGrid w:val="0"/>
                <w:color w:val="000000"/>
                <w:spacing w:val="-16"/>
                <w:kern w:val="21"/>
                <w:sz w:val="21"/>
                <w:szCs w:val="21"/>
              </w:rPr>
              <w:fldChar w:fldCharType="begin"/>
            </w:r>
            <w:r>
              <w:rPr>
                <w:rFonts w:hint="default" w:ascii="Times New Roman" w:hAnsi="Times New Roman" w:eastAsia="宋体" w:cs="Times New Roman"/>
                <w:snapToGrid w:val="0"/>
                <w:color w:val="000000"/>
                <w:spacing w:val="-16"/>
                <w:kern w:val="21"/>
                <w:sz w:val="21"/>
                <w:szCs w:val="21"/>
              </w:rPr>
              <w:instrText xml:space="preserve"> = 6 \* GB3 \* MERGEFORMAT </w:instrText>
            </w:r>
            <w:r>
              <w:rPr>
                <w:rFonts w:hint="default" w:ascii="Times New Roman" w:hAnsi="Times New Roman" w:eastAsia="宋体" w:cs="Times New Roman"/>
                <w:snapToGrid w:val="0"/>
                <w:color w:val="000000"/>
                <w:spacing w:val="-16"/>
                <w:kern w:val="21"/>
                <w:sz w:val="21"/>
                <w:szCs w:val="21"/>
              </w:rPr>
              <w:fldChar w:fldCharType="separate"/>
            </w:r>
            <w:r>
              <w:rPr>
                <w:rFonts w:hint="default" w:ascii="Times New Roman" w:hAnsi="Times New Roman" w:eastAsia="宋体" w:cs="Times New Roman"/>
                <w:kern w:val="2"/>
                <w:sz w:val="21"/>
                <w:szCs w:val="21"/>
              </w:rPr>
              <w:t>⑥</w:t>
            </w:r>
            <w:r>
              <w:rPr>
                <w:rFonts w:hint="default" w:ascii="Times New Roman" w:hAnsi="Times New Roman" w:eastAsia="宋体" w:cs="Times New Roman"/>
                <w:snapToGrid w:val="0"/>
                <w:color w:val="000000"/>
                <w:spacing w:val="-16"/>
                <w:kern w:val="21"/>
                <w:sz w:val="21"/>
                <w:szCs w:val="21"/>
              </w:rPr>
              <w:fldChar w:fldCharType="end"/>
            </w:r>
          </w:p>
        </w:tc>
        <w:tc>
          <w:tcPr>
            <w:tcW w:w="1214" w:type="dxa"/>
            <w:tcMar>
              <w:left w:w="28" w:type="dxa"/>
              <w:right w:w="28" w:type="dxa"/>
            </w:tcMar>
            <w:vAlign w:val="center"/>
          </w:tcPr>
          <w:p>
            <w:pPr>
              <w:pStyle w:val="5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spacing w:val="-6"/>
                <w:kern w:val="21"/>
                <w:sz w:val="21"/>
                <w:szCs w:val="21"/>
              </w:rPr>
            </w:pPr>
            <w:r>
              <w:rPr>
                <w:rFonts w:hint="default" w:ascii="Times New Roman" w:hAnsi="Times New Roman" w:eastAsia="宋体" w:cs="Times New Roman"/>
                <w:snapToGrid w:val="0"/>
                <w:color w:val="000000"/>
                <w:spacing w:val="-6"/>
                <w:kern w:val="21"/>
                <w:sz w:val="21"/>
                <w:szCs w:val="21"/>
              </w:rPr>
              <w:t>变化量</w:t>
            </w:r>
          </w:p>
          <w:p>
            <w:pPr>
              <w:pStyle w:val="5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spacing w:val="-6"/>
                <w:kern w:val="21"/>
                <w:sz w:val="21"/>
                <w:szCs w:val="21"/>
              </w:rPr>
            </w:pPr>
            <w:r>
              <w:rPr>
                <w:rFonts w:hint="default" w:ascii="Times New Roman" w:hAnsi="Times New Roman" w:eastAsia="宋体" w:cs="Times New Roman"/>
                <w:snapToGrid w:val="0"/>
                <w:color w:val="000000"/>
                <w:spacing w:val="-6"/>
                <w:kern w:val="21"/>
                <w:sz w:val="21"/>
                <w:szCs w:val="21"/>
              </w:rPr>
              <w:fldChar w:fldCharType="begin"/>
            </w:r>
            <w:r>
              <w:rPr>
                <w:rFonts w:hint="default" w:ascii="Times New Roman" w:hAnsi="Times New Roman" w:eastAsia="宋体" w:cs="Times New Roman"/>
                <w:snapToGrid w:val="0"/>
                <w:color w:val="000000"/>
                <w:spacing w:val="-6"/>
                <w:kern w:val="21"/>
                <w:sz w:val="21"/>
                <w:szCs w:val="21"/>
              </w:rPr>
              <w:instrText xml:space="preserve"> = 7 \* GB3 \* MERGEFORMAT </w:instrText>
            </w:r>
            <w:r>
              <w:rPr>
                <w:rFonts w:hint="default" w:ascii="Times New Roman" w:hAnsi="Times New Roman" w:eastAsia="宋体" w:cs="Times New Roman"/>
                <w:snapToGrid w:val="0"/>
                <w:color w:val="000000"/>
                <w:spacing w:val="-6"/>
                <w:kern w:val="21"/>
                <w:sz w:val="21"/>
                <w:szCs w:val="21"/>
              </w:rPr>
              <w:fldChar w:fldCharType="separate"/>
            </w:r>
            <w:r>
              <w:rPr>
                <w:rFonts w:hint="default" w:ascii="Times New Roman" w:hAnsi="Times New Roman" w:eastAsia="宋体" w:cs="Times New Roman"/>
                <w:kern w:val="2"/>
                <w:sz w:val="21"/>
                <w:szCs w:val="21"/>
              </w:rPr>
              <w:t>⑦</w:t>
            </w:r>
            <w:r>
              <w:rPr>
                <w:rFonts w:hint="default" w:ascii="Times New Roman" w:hAnsi="Times New Roman" w:eastAsia="宋体" w:cs="Times New Roman"/>
                <w:snapToGrid w:val="0"/>
                <w:color w:val="000000"/>
                <w:spacing w:val="-6"/>
                <w:kern w:val="21"/>
                <w:sz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8" w:type="dxa"/>
            <w:vAlign w:val="center"/>
          </w:tcPr>
          <w:p>
            <w:pPr>
              <w:pStyle w:val="5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kern w:val="21"/>
                <w:sz w:val="21"/>
                <w:szCs w:val="21"/>
              </w:rPr>
            </w:pPr>
            <w:r>
              <w:rPr>
                <w:rFonts w:hint="default" w:ascii="Times New Roman" w:hAnsi="Times New Roman" w:eastAsia="宋体" w:cs="Times New Roman"/>
                <w:snapToGrid w:val="0"/>
                <w:color w:val="000000"/>
                <w:kern w:val="21"/>
                <w:sz w:val="21"/>
                <w:szCs w:val="21"/>
              </w:rPr>
              <w:t>废气</w:t>
            </w:r>
          </w:p>
        </w:tc>
        <w:tc>
          <w:tcPr>
            <w:tcW w:w="162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napToGrid w:val="0"/>
                <w:color w:val="000000"/>
                <w:kern w:val="21"/>
                <w:sz w:val="21"/>
                <w:szCs w:val="21"/>
              </w:rPr>
            </w:pPr>
            <w:r>
              <w:rPr>
                <w:rFonts w:hint="default" w:ascii="Times New Roman" w:hAnsi="Times New Roman" w:eastAsia="宋体" w:cs="Times New Roman"/>
                <w:snapToGrid w:val="0"/>
                <w:color w:val="000000"/>
                <w:kern w:val="21"/>
                <w:sz w:val="21"/>
                <w:szCs w:val="21"/>
              </w:rPr>
              <w:t>非甲烷总烃</w:t>
            </w:r>
          </w:p>
        </w:tc>
        <w:tc>
          <w:tcPr>
            <w:tcW w:w="1497"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7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70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61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704"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719"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14"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8" w:type="dxa"/>
            <w:vMerge w:val="restart"/>
            <w:vAlign w:val="center"/>
          </w:tcPr>
          <w:p>
            <w:pPr>
              <w:pStyle w:val="5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kern w:val="21"/>
                <w:sz w:val="21"/>
                <w:szCs w:val="21"/>
              </w:rPr>
            </w:pPr>
            <w:r>
              <w:rPr>
                <w:rFonts w:hint="default" w:ascii="Times New Roman" w:hAnsi="Times New Roman" w:eastAsia="宋体" w:cs="Times New Roman"/>
                <w:snapToGrid w:val="0"/>
                <w:color w:val="000000"/>
                <w:kern w:val="21"/>
                <w:sz w:val="21"/>
                <w:szCs w:val="21"/>
              </w:rPr>
              <w:t>废水</w:t>
            </w:r>
          </w:p>
        </w:tc>
        <w:tc>
          <w:tcPr>
            <w:tcW w:w="162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napToGrid w:val="0"/>
                <w:color w:val="000000"/>
                <w:kern w:val="21"/>
                <w:sz w:val="21"/>
                <w:szCs w:val="21"/>
                <w:highlight w:val="none"/>
              </w:rPr>
            </w:pPr>
            <w:r>
              <w:rPr>
                <w:rFonts w:hint="default" w:ascii="Times New Roman" w:hAnsi="Times New Roman" w:eastAsia="宋体" w:cs="Times New Roman"/>
                <w:sz w:val="21"/>
                <w:szCs w:val="21"/>
                <w:highlight w:val="none"/>
              </w:rPr>
              <w:t>水量</w:t>
            </w:r>
          </w:p>
        </w:tc>
        <w:tc>
          <w:tcPr>
            <w:tcW w:w="1497"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27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70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616" w:type="dxa"/>
            <w:vAlign w:val="center"/>
          </w:tcPr>
          <w:p>
            <w:pPr>
              <w:pStyle w:val="37"/>
              <w:keepNext w:val="0"/>
              <w:keepLines w:val="0"/>
              <w:suppressLineNumbers w:val="0"/>
              <w:bidi w:val="0"/>
              <w:spacing w:before="0" w:beforeAutospacing="0" w:after="0" w:afterAutospacing="0"/>
              <w:ind w:right="0"/>
              <w:rPr>
                <w:rFonts w:hint="default"/>
                <w:highlight w:val="none"/>
                <w:lang w:val="en-US" w:eastAsia="zh-CN"/>
              </w:rPr>
            </w:pPr>
            <w:r>
              <w:rPr>
                <w:rFonts w:hint="eastAsia"/>
                <w:highlight w:val="none"/>
                <w:lang w:val="en-US" w:eastAsia="zh-CN"/>
              </w:rPr>
              <w:t>41560.3t/a</w:t>
            </w:r>
          </w:p>
        </w:tc>
        <w:tc>
          <w:tcPr>
            <w:tcW w:w="170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719" w:type="dxa"/>
            <w:vAlign w:val="center"/>
          </w:tcPr>
          <w:p>
            <w:pPr>
              <w:pStyle w:val="37"/>
              <w:keepNext w:val="0"/>
              <w:keepLines w:val="0"/>
              <w:suppressLineNumbers w:val="0"/>
              <w:bidi w:val="0"/>
              <w:spacing w:before="0" w:beforeAutospacing="0" w:after="0" w:afterAutospacing="0"/>
              <w:ind w:left="0" w:leftChars="0" w:right="0" w:firstLine="0" w:firstLineChars="0"/>
              <w:rPr>
                <w:rFonts w:hint="default" w:ascii="Times New Roman" w:hAnsi="Times New Roman" w:eastAsia="宋体" w:cs="Times New Roman"/>
                <w:sz w:val="21"/>
                <w:szCs w:val="21"/>
                <w:highlight w:val="none"/>
              </w:rPr>
            </w:pPr>
            <w:r>
              <w:rPr>
                <w:rFonts w:hint="eastAsia"/>
                <w:highlight w:val="none"/>
                <w:lang w:val="en-US" w:eastAsia="zh-CN"/>
              </w:rPr>
              <w:t>41560.3t/a</w:t>
            </w:r>
          </w:p>
        </w:tc>
        <w:tc>
          <w:tcPr>
            <w:tcW w:w="1214" w:type="dxa"/>
            <w:vAlign w:val="center"/>
          </w:tcPr>
          <w:p>
            <w:pPr>
              <w:pStyle w:val="37"/>
              <w:keepNext w:val="0"/>
              <w:keepLines w:val="0"/>
              <w:suppressLineNumbers w:val="0"/>
              <w:bidi w:val="0"/>
              <w:spacing w:before="0" w:beforeAutospacing="0" w:after="0" w:afterAutospacing="0"/>
              <w:ind w:left="0" w:leftChars="0" w:right="0" w:firstLine="0" w:firstLineChars="0"/>
              <w:rPr>
                <w:rFonts w:hint="default" w:ascii="Times New Roman" w:hAnsi="Times New Roman" w:eastAsia="宋体" w:cs="Times New Roman"/>
                <w:sz w:val="21"/>
                <w:szCs w:val="21"/>
                <w:highlight w:val="none"/>
              </w:rPr>
            </w:pPr>
            <w:r>
              <w:rPr>
                <w:rFonts w:hint="eastAsia"/>
                <w:highlight w:val="none"/>
                <w:lang w:val="en-US" w:eastAsia="zh-CN"/>
              </w:rPr>
              <w:t>41560.3t/a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8" w:type="dxa"/>
            <w:vMerge w:val="continue"/>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p>
        </w:tc>
        <w:tc>
          <w:tcPr>
            <w:tcW w:w="162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napToGrid w:val="0"/>
                <w:color w:val="000000"/>
                <w:kern w:val="21"/>
                <w:sz w:val="21"/>
                <w:szCs w:val="21"/>
                <w:highlight w:val="none"/>
              </w:rPr>
            </w:pPr>
            <w:r>
              <w:rPr>
                <w:rFonts w:hint="default" w:ascii="Times New Roman" w:hAnsi="Times New Roman" w:eastAsia="宋体" w:cs="Times New Roman"/>
                <w:sz w:val="21"/>
                <w:szCs w:val="21"/>
                <w:highlight w:val="none"/>
              </w:rPr>
              <w:t>COD</w:t>
            </w:r>
            <w:r>
              <w:rPr>
                <w:rFonts w:hint="default" w:ascii="Times New Roman" w:hAnsi="Times New Roman" w:eastAsia="宋体" w:cs="Times New Roman"/>
                <w:sz w:val="21"/>
                <w:szCs w:val="21"/>
                <w:highlight w:val="none"/>
                <w:vertAlign w:val="subscript"/>
              </w:rPr>
              <w:t>cr</w:t>
            </w:r>
          </w:p>
        </w:tc>
        <w:tc>
          <w:tcPr>
            <w:tcW w:w="1497"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27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70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616"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i w:val="0"/>
                <w:iCs w:val="0"/>
                <w:color w:val="000000"/>
                <w:kern w:val="0"/>
                <w:sz w:val="21"/>
                <w:szCs w:val="21"/>
                <w:highlight w:val="none"/>
                <w:u w:val="none"/>
                <w:lang w:val="en-US" w:eastAsia="zh-CN" w:bidi="ar"/>
              </w:rPr>
              <w:t>2.078</w:t>
            </w:r>
            <w:r>
              <w:rPr>
                <w:rFonts w:hint="eastAsia"/>
                <w:highlight w:val="none"/>
                <w:lang w:val="en-US" w:eastAsia="zh-CN"/>
              </w:rPr>
              <w:t>t/a</w:t>
            </w:r>
          </w:p>
        </w:tc>
        <w:tc>
          <w:tcPr>
            <w:tcW w:w="170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kern w:val="21"/>
                <w:sz w:val="21"/>
                <w:szCs w:val="21"/>
                <w:highlight w:val="none"/>
              </w:rPr>
            </w:pPr>
            <w:r>
              <w:rPr>
                <w:rFonts w:hint="default" w:ascii="Times New Roman" w:hAnsi="Times New Roman" w:eastAsia="宋体" w:cs="Times New Roman"/>
                <w:sz w:val="21"/>
                <w:szCs w:val="21"/>
                <w:highlight w:val="none"/>
              </w:rPr>
              <w:t>/</w:t>
            </w:r>
          </w:p>
        </w:tc>
        <w:tc>
          <w:tcPr>
            <w:tcW w:w="1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napToGrid w:val="0"/>
                <w:color w:val="000000"/>
                <w:kern w:val="21"/>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2.078</w:t>
            </w:r>
            <w:r>
              <w:rPr>
                <w:rFonts w:hint="eastAsia"/>
                <w:highlight w:val="none"/>
                <w:lang w:val="en-US" w:eastAsia="zh-CN"/>
              </w:rPr>
              <w:t>t/a</w:t>
            </w:r>
          </w:p>
        </w:tc>
        <w:tc>
          <w:tcPr>
            <w:tcW w:w="12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napToGrid w:val="0"/>
                <w:color w:val="000000"/>
                <w:kern w:val="21"/>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2.078</w:t>
            </w:r>
            <w:r>
              <w:rPr>
                <w:rFonts w:hint="eastAsia"/>
                <w:highlight w:val="none"/>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8" w:type="dxa"/>
            <w:vMerge w:val="continue"/>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napToGrid w:val="0"/>
                <w:color w:val="000000"/>
                <w:kern w:val="21"/>
                <w:sz w:val="21"/>
                <w:szCs w:val="21"/>
              </w:rPr>
            </w:pPr>
          </w:p>
        </w:tc>
        <w:tc>
          <w:tcPr>
            <w:tcW w:w="162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napToGrid w:val="0"/>
                <w:color w:val="000000"/>
                <w:kern w:val="21"/>
                <w:sz w:val="21"/>
                <w:szCs w:val="21"/>
                <w:highlight w:val="none"/>
              </w:rPr>
            </w:pPr>
            <w:r>
              <w:rPr>
                <w:rFonts w:hint="default" w:ascii="Times New Roman" w:hAnsi="Times New Roman" w:eastAsia="宋体" w:cs="Times New Roman"/>
                <w:sz w:val="21"/>
                <w:szCs w:val="21"/>
                <w:highlight w:val="none"/>
              </w:rPr>
              <w:t>BOD</w:t>
            </w:r>
            <w:r>
              <w:rPr>
                <w:rFonts w:hint="default" w:ascii="Times New Roman" w:hAnsi="Times New Roman" w:eastAsia="宋体" w:cs="Times New Roman"/>
                <w:sz w:val="21"/>
                <w:szCs w:val="21"/>
                <w:highlight w:val="none"/>
                <w:vertAlign w:val="subscript"/>
              </w:rPr>
              <w:t>5</w:t>
            </w:r>
          </w:p>
        </w:tc>
        <w:tc>
          <w:tcPr>
            <w:tcW w:w="1497"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27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70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616"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i w:val="0"/>
                <w:iCs w:val="0"/>
                <w:color w:val="000000"/>
                <w:kern w:val="0"/>
                <w:sz w:val="21"/>
                <w:szCs w:val="21"/>
                <w:highlight w:val="none"/>
                <w:u w:val="none"/>
                <w:lang w:val="en-US" w:eastAsia="zh-CN" w:bidi="ar"/>
              </w:rPr>
              <w:t>0.208</w:t>
            </w:r>
            <w:r>
              <w:rPr>
                <w:rFonts w:hint="eastAsia"/>
                <w:highlight w:val="none"/>
                <w:lang w:val="en-US" w:eastAsia="zh-CN"/>
              </w:rPr>
              <w:t>t/a</w:t>
            </w:r>
            <w:r>
              <w:rPr>
                <w:rFonts w:hint="default" w:ascii="Times New Roman" w:hAnsi="Times New Roman" w:eastAsia="宋体" w:cs="Times New Roman"/>
                <w:i w:val="0"/>
                <w:iCs w:val="0"/>
                <w:color w:val="000000"/>
                <w:kern w:val="0"/>
                <w:sz w:val="21"/>
                <w:szCs w:val="21"/>
                <w:highlight w:val="none"/>
                <w:u w:val="none"/>
                <w:lang w:val="en-US" w:eastAsia="zh-CN" w:bidi="ar"/>
              </w:rPr>
              <w:t xml:space="preserve"> </w:t>
            </w:r>
          </w:p>
        </w:tc>
        <w:tc>
          <w:tcPr>
            <w:tcW w:w="170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kern w:val="21"/>
                <w:sz w:val="21"/>
                <w:szCs w:val="21"/>
                <w:highlight w:val="none"/>
              </w:rPr>
            </w:pPr>
            <w:r>
              <w:rPr>
                <w:rFonts w:hint="default" w:ascii="Times New Roman" w:hAnsi="Times New Roman" w:eastAsia="宋体" w:cs="Times New Roman"/>
                <w:sz w:val="21"/>
                <w:szCs w:val="21"/>
                <w:highlight w:val="none"/>
              </w:rPr>
              <w:t>/</w:t>
            </w:r>
          </w:p>
        </w:tc>
        <w:tc>
          <w:tcPr>
            <w:tcW w:w="1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napToGrid w:val="0"/>
                <w:color w:val="000000"/>
                <w:kern w:val="21"/>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0.208</w:t>
            </w:r>
            <w:r>
              <w:rPr>
                <w:rFonts w:hint="eastAsia"/>
                <w:highlight w:val="none"/>
                <w:lang w:val="en-US" w:eastAsia="zh-CN"/>
              </w:rPr>
              <w:t>t/a</w:t>
            </w:r>
            <w:r>
              <w:rPr>
                <w:rFonts w:hint="default" w:ascii="Times New Roman" w:hAnsi="Times New Roman" w:eastAsia="宋体" w:cs="Times New Roman"/>
                <w:i w:val="0"/>
                <w:iCs w:val="0"/>
                <w:color w:val="000000"/>
                <w:kern w:val="0"/>
                <w:sz w:val="21"/>
                <w:szCs w:val="21"/>
                <w:highlight w:val="none"/>
                <w:u w:val="none"/>
                <w:lang w:val="en-US" w:eastAsia="zh-CN" w:bidi="ar"/>
              </w:rPr>
              <w:t xml:space="preserve"> </w:t>
            </w:r>
          </w:p>
        </w:tc>
        <w:tc>
          <w:tcPr>
            <w:tcW w:w="12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napToGrid w:val="0"/>
                <w:color w:val="000000"/>
                <w:kern w:val="21"/>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0.208</w:t>
            </w:r>
            <w:r>
              <w:rPr>
                <w:rFonts w:hint="eastAsia"/>
                <w:highlight w:val="none"/>
                <w:lang w:val="en-US" w:eastAsia="zh-CN"/>
              </w:rPr>
              <w:t>t/a</w:t>
            </w:r>
            <w:r>
              <w:rPr>
                <w:rFonts w:hint="default" w:ascii="Times New Roman" w:hAnsi="Times New Roman" w:eastAsia="宋体" w:cs="Times New Roman"/>
                <w:i w:val="0"/>
                <w:iCs w:val="0"/>
                <w:color w:val="000000"/>
                <w:kern w:val="0"/>
                <w:sz w:val="21"/>
                <w:szCs w:val="21"/>
                <w:highlight w:val="none"/>
                <w:u w:val="none"/>
                <w:lang w:val="en-US" w:eastAsia="zh-CN" w:bidi="ar"/>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8" w:type="dxa"/>
            <w:vMerge w:val="continue"/>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napToGrid w:val="0"/>
                <w:color w:val="000000"/>
                <w:kern w:val="21"/>
                <w:sz w:val="21"/>
                <w:szCs w:val="21"/>
              </w:rPr>
            </w:pPr>
          </w:p>
        </w:tc>
        <w:tc>
          <w:tcPr>
            <w:tcW w:w="162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napToGrid w:val="0"/>
                <w:color w:val="000000"/>
                <w:kern w:val="21"/>
                <w:sz w:val="21"/>
                <w:szCs w:val="21"/>
                <w:highlight w:val="none"/>
              </w:rPr>
            </w:pPr>
            <w:r>
              <w:rPr>
                <w:rFonts w:hint="default" w:ascii="Times New Roman" w:hAnsi="Times New Roman" w:eastAsia="宋体" w:cs="Times New Roman"/>
                <w:sz w:val="21"/>
                <w:szCs w:val="21"/>
                <w:highlight w:val="none"/>
              </w:rPr>
              <w:t>SS</w:t>
            </w:r>
          </w:p>
        </w:tc>
        <w:tc>
          <w:tcPr>
            <w:tcW w:w="1497"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27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70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616"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i w:val="0"/>
                <w:iCs w:val="0"/>
                <w:color w:val="000000"/>
                <w:kern w:val="0"/>
                <w:sz w:val="21"/>
                <w:szCs w:val="21"/>
                <w:highlight w:val="none"/>
                <w:u w:val="none"/>
                <w:lang w:val="en-US" w:eastAsia="zh-CN" w:bidi="ar"/>
              </w:rPr>
              <w:t>0.039</w:t>
            </w:r>
            <w:r>
              <w:rPr>
                <w:rFonts w:hint="eastAsia"/>
                <w:highlight w:val="none"/>
                <w:lang w:val="en-US" w:eastAsia="zh-CN"/>
              </w:rPr>
              <w:t>t/a</w:t>
            </w:r>
            <w:r>
              <w:rPr>
                <w:rFonts w:hint="default" w:ascii="Times New Roman" w:hAnsi="Times New Roman" w:eastAsia="宋体" w:cs="Times New Roman"/>
                <w:i w:val="0"/>
                <w:iCs w:val="0"/>
                <w:color w:val="000000"/>
                <w:kern w:val="0"/>
                <w:sz w:val="21"/>
                <w:szCs w:val="21"/>
                <w:highlight w:val="none"/>
                <w:u w:val="none"/>
                <w:lang w:val="en-US" w:eastAsia="zh-CN" w:bidi="ar"/>
              </w:rPr>
              <w:t xml:space="preserve"> </w:t>
            </w:r>
          </w:p>
        </w:tc>
        <w:tc>
          <w:tcPr>
            <w:tcW w:w="170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kern w:val="21"/>
                <w:sz w:val="21"/>
                <w:szCs w:val="21"/>
                <w:highlight w:val="none"/>
              </w:rPr>
            </w:pPr>
            <w:r>
              <w:rPr>
                <w:rFonts w:hint="default" w:ascii="Times New Roman" w:hAnsi="Times New Roman" w:eastAsia="宋体" w:cs="Times New Roman"/>
                <w:sz w:val="21"/>
                <w:szCs w:val="21"/>
                <w:highlight w:val="none"/>
              </w:rPr>
              <w:t>/</w:t>
            </w:r>
          </w:p>
        </w:tc>
        <w:tc>
          <w:tcPr>
            <w:tcW w:w="1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napToGrid w:val="0"/>
                <w:color w:val="000000"/>
                <w:kern w:val="21"/>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0.039</w:t>
            </w:r>
            <w:r>
              <w:rPr>
                <w:rFonts w:hint="eastAsia"/>
                <w:highlight w:val="none"/>
                <w:lang w:val="en-US" w:eastAsia="zh-CN"/>
              </w:rPr>
              <w:t>t/a</w:t>
            </w:r>
            <w:r>
              <w:rPr>
                <w:rFonts w:hint="default" w:ascii="Times New Roman" w:hAnsi="Times New Roman" w:eastAsia="宋体" w:cs="Times New Roman"/>
                <w:i w:val="0"/>
                <w:iCs w:val="0"/>
                <w:color w:val="000000"/>
                <w:kern w:val="0"/>
                <w:sz w:val="21"/>
                <w:szCs w:val="21"/>
                <w:highlight w:val="none"/>
                <w:u w:val="none"/>
                <w:lang w:val="en-US" w:eastAsia="zh-CN" w:bidi="ar"/>
              </w:rPr>
              <w:t xml:space="preserve"> </w:t>
            </w:r>
          </w:p>
        </w:tc>
        <w:tc>
          <w:tcPr>
            <w:tcW w:w="12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napToGrid w:val="0"/>
                <w:color w:val="000000"/>
                <w:kern w:val="21"/>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0.039</w:t>
            </w:r>
            <w:r>
              <w:rPr>
                <w:rFonts w:hint="eastAsia"/>
                <w:highlight w:val="none"/>
                <w:lang w:val="en-US" w:eastAsia="zh-CN"/>
              </w:rPr>
              <w:t>t/a</w:t>
            </w:r>
            <w:r>
              <w:rPr>
                <w:rFonts w:hint="default" w:ascii="Times New Roman" w:hAnsi="Times New Roman" w:eastAsia="宋体" w:cs="Times New Roman"/>
                <w:i w:val="0"/>
                <w:iCs w:val="0"/>
                <w:color w:val="000000"/>
                <w:kern w:val="0"/>
                <w:sz w:val="21"/>
                <w:szCs w:val="21"/>
                <w:highlight w:val="none"/>
                <w:u w:val="none"/>
                <w:lang w:val="en-US" w:eastAsia="zh-CN" w:bidi="ar"/>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8" w:type="dxa"/>
            <w:vMerge w:val="continue"/>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napToGrid w:val="0"/>
                <w:color w:val="000000"/>
                <w:kern w:val="21"/>
                <w:sz w:val="21"/>
                <w:szCs w:val="21"/>
              </w:rPr>
            </w:pPr>
          </w:p>
        </w:tc>
        <w:tc>
          <w:tcPr>
            <w:tcW w:w="162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napToGrid w:val="0"/>
                <w:color w:val="000000"/>
                <w:kern w:val="21"/>
                <w:sz w:val="21"/>
                <w:szCs w:val="21"/>
                <w:highlight w:val="none"/>
              </w:rPr>
            </w:pPr>
            <w:r>
              <w:rPr>
                <w:rFonts w:hint="default" w:ascii="Times New Roman" w:hAnsi="Times New Roman" w:eastAsia="宋体" w:cs="Times New Roman"/>
                <w:sz w:val="21"/>
                <w:szCs w:val="21"/>
                <w:highlight w:val="none"/>
              </w:rPr>
              <w:t>氨氮</w:t>
            </w:r>
          </w:p>
        </w:tc>
        <w:tc>
          <w:tcPr>
            <w:tcW w:w="1497"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27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70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616"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napToGrid w:val="0"/>
                <w:color w:val="000000"/>
                <w:kern w:val="21"/>
                <w:sz w:val="21"/>
                <w:szCs w:val="21"/>
                <w:highlight w:val="none"/>
                <w:lang w:val="en-US" w:eastAsia="zh-CN"/>
              </w:rPr>
            </w:pPr>
            <w:r>
              <w:rPr>
                <w:rFonts w:hint="default" w:ascii="Times New Roman" w:hAnsi="Times New Roman" w:eastAsia="宋体" w:cs="Times New Roman"/>
                <w:i w:val="0"/>
                <w:iCs w:val="0"/>
                <w:color w:val="000000"/>
                <w:kern w:val="0"/>
                <w:sz w:val="21"/>
                <w:szCs w:val="21"/>
                <w:highlight w:val="none"/>
                <w:u w:val="none"/>
                <w:lang w:val="en-US" w:eastAsia="zh-CN" w:bidi="ar"/>
              </w:rPr>
              <w:t>0.416</w:t>
            </w:r>
            <w:r>
              <w:rPr>
                <w:rFonts w:hint="eastAsia"/>
                <w:highlight w:val="none"/>
                <w:lang w:val="en-US" w:eastAsia="zh-CN"/>
              </w:rPr>
              <w:t>t/a</w:t>
            </w:r>
            <w:r>
              <w:rPr>
                <w:rFonts w:hint="default" w:ascii="Times New Roman" w:hAnsi="Times New Roman" w:eastAsia="宋体" w:cs="Times New Roman"/>
                <w:i w:val="0"/>
                <w:iCs w:val="0"/>
                <w:color w:val="000000"/>
                <w:kern w:val="0"/>
                <w:sz w:val="21"/>
                <w:szCs w:val="21"/>
                <w:highlight w:val="none"/>
                <w:u w:val="none"/>
                <w:lang w:val="en-US" w:eastAsia="zh-CN" w:bidi="ar"/>
              </w:rPr>
              <w:t xml:space="preserve"> </w:t>
            </w:r>
          </w:p>
        </w:tc>
        <w:tc>
          <w:tcPr>
            <w:tcW w:w="170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kern w:val="21"/>
                <w:sz w:val="21"/>
                <w:szCs w:val="21"/>
                <w:highlight w:val="none"/>
              </w:rPr>
            </w:pPr>
            <w:r>
              <w:rPr>
                <w:rFonts w:hint="default" w:ascii="Times New Roman" w:hAnsi="Times New Roman" w:eastAsia="宋体" w:cs="Times New Roman"/>
                <w:sz w:val="21"/>
                <w:szCs w:val="21"/>
                <w:highlight w:val="none"/>
              </w:rPr>
              <w:t>/</w:t>
            </w:r>
          </w:p>
        </w:tc>
        <w:tc>
          <w:tcPr>
            <w:tcW w:w="1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napToGrid w:val="0"/>
                <w:color w:val="000000"/>
                <w:kern w:val="21"/>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0.416</w:t>
            </w:r>
            <w:r>
              <w:rPr>
                <w:rFonts w:hint="eastAsia"/>
                <w:highlight w:val="none"/>
                <w:lang w:val="en-US" w:eastAsia="zh-CN"/>
              </w:rPr>
              <w:t>t/a</w:t>
            </w:r>
            <w:r>
              <w:rPr>
                <w:rFonts w:hint="default" w:ascii="Times New Roman" w:hAnsi="Times New Roman" w:eastAsia="宋体" w:cs="Times New Roman"/>
                <w:i w:val="0"/>
                <w:iCs w:val="0"/>
                <w:color w:val="000000"/>
                <w:kern w:val="0"/>
                <w:sz w:val="21"/>
                <w:szCs w:val="21"/>
                <w:highlight w:val="none"/>
                <w:u w:val="none"/>
                <w:lang w:val="en-US" w:eastAsia="zh-CN" w:bidi="ar"/>
              </w:rPr>
              <w:t xml:space="preserve"> </w:t>
            </w:r>
          </w:p>
        </w:tc>
        <w:tc>
          <w:tcPr>
            <w:tcW w:w="12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napToGrid w:val="0"/>
                <w:color w:val="000000"/>
                <w:kern w:val="21"/>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0.416</w:t>
            </w:r>
            <w:r>
              <w:rPr>
                <w:rFonts w:hint="eastAsia"/>
                <w:highlight w:val="none"/>
                <w:lang w:val="en-US" w:eastAsia="zh-CN"/>
              </w:rPr>
              <w:t>t/a</w:t>
            </w:r>
            <w:r>
              <w:rPr>
                <w:rFonts w:hint="default" w:ascii="Times New Roman" w:hAnsi="Times New Roman" w:eastAsia="宋体" w:cs="Times New Roman"/>
                <w:i w:val="0"/>
                <w:iCs w:val="0"/>
                <w:color w:val="000000"/>
                <w:kern w:val="0"/>
                <w:sz w:val="21"/>
                <w:szCs w:val="21"/>
                <w:highlight w:val="none"/>
                <w:u w:val="none"/>
                <w:lang w:val="en-US" w:eastAsia="zh-CN" w:bidi="ar"/>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8" w:type="dxa"/>
            <w:vMerge w:val="continue"/>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napToGrid w:val="0"/>
                <w:color w:val="000000"/>
                <w:kern w:val="21"/>
                <w:sz w:val="21"/>
                <w:szCs w:val="21"/>
              </w:rPr>
            </w:pPr>
          </w:p>
        </w:tc>
        <w:tc>
          <w:tcPr>
            <w:tcW w:w="162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石油类</w:t>
            </w:r>
          </w:p>
        </w:tc>
        <w:tc>
          <w:tcPr>
            <w:tcW w:w="149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276"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70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616"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napToGrid w:val="0"/>
                <w:color w:val="000000"/>
                <w:kern w:val="21"/>
                <w:sz w:val="21"/>
                <w:szCs w:val="21"/>
                <w:highlight w:val="none"/>
                <w:lang w:val="en-US" w:eastAsia="zh-CN"/>
              </w:rPr>
            </w:pPr>
            <w:r>
              <w:rPr>
                <w:rFonts w:hint="default" w:ascii="Times New Roman" w:hAnsi="Times New Roman" w:eastAsia="宋体" w:cs="Times New Roman"/>
                <w:i w:val="0"/>
                <w:iCs w:val="0"/>
                <w:color w:val="000000"/>
                <w:kern w:val="0"/>
                <w:sz w:val="21"/>
                <w:szCs w:val="21"/>
                <w:highlight w:val="none"/>
                <w:u w:val="none"/>
                <w:lang w:val="en-US" w:eastAsia="zh-CN" w:bidi="ar"/>
              </w:rPr>
              <w:t>0.020</w:t>
            </w:r>
            <w:r>
              <w:rPr>
                <w:rFonts w:hint="eastAsia"/>
                <w:highlight w:val="none"/>
                <w:lang w:val="en-US" w:eastAsia="zh-CN"/>
              </w:rPr>
              <w:t>t/a</w:t>
            </w:r>
            <w:r>
              <w:rPr>
                <w:rFonts w:hint="default" w:ascii="Times New Roman" w:hAnsi="Times New Roman" w:eastAsia="宋体" w:cs="Times New Roman"/>
                <w:i w:val="0"/>
                <w:iCs w:val="0"/>
                <w:color w:val="000000"/>
                <w:kern w:val="0"/>
                <w:sz w:val="21"/>
                <w:szCs w:val="21"/>
                <w:highlight w:val="none"/>
                <w:u w:val="none"/>
                <w:lang w:val="en-US" w:eastAsia="zh-CN" w:bidi="ar"/>
              </w:rPr>
              <w:t xml:space="preserve"> </w:t>
            </w:r>
          </w:p>
        </w:tc>
        <w:tc>
          <w:tcPr>
            <w:tcW w:w="170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kern w:val="21"/>
                <w:sz w:val="21"/>
                <w:szCs w:val="21"/>
                <w:highlight w:val="none"/>
              </w:rPr>
            </w:pPr>
            <w:r>
              <w:rPr>
                <w:rFonts w:hint="default" w:ascii="Times New Roman" w:hAnsi="Times New Roman" w:eastAsia="宋体" w:cs="Times New Roman"/>
                <w:sz w:val="21"/>
                <w:szCs w:val="21"/>
                <w:highlight w:val="none"/>
              </w:rPr>
              <w:t>/</w:t>
            </w:r>
          </w:p>
        </w:tc>
        <w:tc>
          <w:tcPr>
            <w:tcW w:w="1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napToGrid w:val="0"/>
                <w:color w:val="000000"/>
                <w:kern w:val="21"/>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0.020</w:t>
            </w:r>
            <w:r>
              <w:rPr>
                <w:rFonts w:hint="eastAsia"/>
                <w:highlight w:val="none"/>
                <w:lang w:val="en-US" w:eastAsia="zh-CN"/>
              </w:rPr>
              <w:t>t/a</w:t>
            </w:r>
            <w:r>
              <w:rPr>
                <w:rFonts w:hint="default" w:ascii="Times New Roman" w:hAnsi="Times New Roman" w:eastAsia="宋体" w:cs="Times New Roman"/>
                <w:i w:val="0"/>
                <w:iCs w:val="0"/>
                <w:color w:val="000000"/>
                <w:kern w:val="0"/>
                <w:sz w:val="21"/>
                <w:szCs w:val="21"/>
                <w:highlight w:val="none"/>
                <w:u w:val="none"/>
                <w:lang w:val="en-US" w:eastAsia="zh-CN" w:bidi="ar"/>
              </w:rPr>
              <w:t xml:space="preserve"> </w:t>
            </w:r>
          </w:p>
        </w:tc>
        <w:tc>
          <w:tcPr>
            <w:tcW w:w="12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napToGrid w:val="0"/>
                <w:color w:val="000000"/>
                <w:kern w:val="21"/>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0.020</w:t>
            </w:r>
            <w:r>
              <w:rPr>
                <w:rFonts w:hint="eastAsia"/>
                <w:highlight w:val="none"/>
                <w:lang w:val="en-US" w:eastAsia="zh-CN"/>
              </w:rPr>
              <w:t>t/a</w:t>
            </w:r>
            <w:r>
              <w:rPr>
                <w:rFonts w:hint="default" w:ascii="Times New Roman" w:hAnsi="Times New Roman" w:eastAsia="宋体" w:cs="Times New Roman"/>
                <w:i w:val="0"/>
                <w:iCs w:val="0"/>
                <w:color w:val="000000"/>
                <w:kern w:val="0"/>
                <w:sz w:val="21"/>
                <w:szCs w:val="21"/>
                <w:highlight w:val="none"/>
                <w:u w:val="none"/>
                <w:lang w:val="en-US" w:eastAsia="zh-CN" w:bidi="ar"/>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8" w:type="dxa"/>
            <w:vMerge w:val="continue"/>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napToGrid w:val="0"/>
                <w:color w:val="000000"/>
                <w:kern w:val="21"/>
                <w:sz w:val="21"/>
                <w:szCs w:val="21"/>
              </w:rPr>
            </w:pPr>
          </w:p>
        </w:tc>
        <w:tc>
          <w:tcPr>
            <w:tcW w:w="162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LAS</w:t>
            </w:r>
          </w:p>
        </w:tc>
        <w:tc>
          <w:tcPr>
            <w:tcW w:w="149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276"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70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616"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napToGrid w:val="0"/>
                <w:color w:val="000000"/>
                <w:kern w:val="21"/>
                <w:sz w:val="21"/>
                <w:szCs w:val="21"/>
                <w:highlight w:val="none"/>
                <w:lang w:val="en-US" w:eastAsia="zh-CN"/>
              </w:rPr>
            </w:pPr>
            <w:r>
              <w:rPr>
                <w:rFonts w:hint="default" w:ascii="Times New Roman" w:hAnsi="Times New Roman" w:eastAsia="宋体" w:cs="Times New Roman"/>
                <w:i w:val="0"/>
                <w:iCs w:val="0"/>
                <w:color w:val="000000"/>
                <w:kern w:val="0"/>
                <w:sz w:val="21"/>
                <w:szCs w:val="21"/>
                <w:highlight w:val="none"/>
                <w:u w:val="none"/>
                <w:lang w:val="en-US" w:eastAsia="zh-CN" w:bidi="ar"/>
              </w:rPr>
              <w:t>0.416</w:t>
            </w:r>
            <w:r>
              <w:rPr>
                <w:rFonts w:hint="eastAsia"/>
                <w:highlight w:val="none"/>
                <w:lang w:val="en-US" w:eastAsia="zh-CN"/>
              </w:rPr>
              <w:t>t/a</w:t>
            </w:r>
            <w:r>
              <w:rPr>
                <w:rFonts w:hint="default" w:ascii="Times New Roman" w:hAnsi="Times New Roman" w:eastAsia="宋体" w:cs="Times New Roman"/>
                <w:i w:val="0"/>
                <w:iCs w:val="0"/>
                <w:color w:val="000000"/>
                <w:kern w:val="0"/>
                <w:sz w:val="21"/>
                <w:szCs w:val="21"/>
                <w:highlight w:val="none"/>
                <w:u w:val="none"/>
                <w:lang w:val="en-US" w:eastAsia="zh-CN" w:bidi="ar"/>
              </w:rPr>
              <w:t xml:space="preserve"> </w:t>
            </w:r>
          </w:p>
        </w:tc>
        <w:tc>
          <w:tcPr>
            <w:tcW w:w="170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kern w:val="21"/>
                <w:sz w:val="21"/>
                <w:szCs w:val="21"/>
                <w:highlight w:val="none"/>
              </w:rPr>
            </w:pPr>
            <w:r>
              <w:rPr>
                <w:rFonts w:hint="default" w:ascii="Times New Roman" w:hAnsi="Times New Roman" w:eastAsia="宋体" w:cs="Times New Roman"/>
                <w:sz w:val="21"/>
                <w:szCs w:val="21"/>
                <w:highlight w:val="none"/>
              </w:rPr>
              <w:t>/</w:t>
            </w:r>
          </w:p>
        </w:tc>
        <w:tc>
          <w:tcPr>
            <w:tcW w:w="1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napToGrid w:val="0"/>
                <w:color w:val="000000"/>
                <w:kern w:val="21"/>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0.416</w:t>
            </w:r>
            <w:r>
              <w:rPr>
                <w:rFonts w:hint="eastAsia"/>
                <w:highlight w:val="none"/>
                <w:lang w:val="en-US" w:eastAsia="zh-CN"/>
              </w:rPr>
              <w:t>t/a</w:t>
            </w:r>
            <w:r>
              <w:rPr>
                <w:rFonts w:hint="default" w:ascii="Times New Roman" w:hAnsi="Times New Roman" w:eastAsia="宋体" w:cs="Times New Roman"/>
                <w:i w:val="0"/>
                <w:iCs w:val="0"/>
                <w:color w:val="000000"/>
                <w:kern w:val="0"/>
                <w:sz w:val="21"/>
                <w:szCs w:val="21"/>
                <w:highlight w:val="none"/>
                <w:u w:val="none"/>
                <w:lang w:val="en-US" w:eastAsia="zh-CN" w:bidi="ar"/>
              </w:rPr>
              <w:t xml:space="preserve"> </w:t>
            </w:r>
          </w:p>
        </w:tc>
        <w:tc>
          <w:tcPr>
            <w:tcW w:w="12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napToGrid w:val="0"/>
                <w:color w:val="000000"/>
                <w:kern w:val="21"/>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0.416</w:t>
            </w:r>
            <w:r>
              <w:rPr>
                <w:rFonts w:hint="eastAsia"/>
                <w:highlight w:val="none"/>
                <w:lang w:val="en-US" w:eastAsia="zh-CN"/>
              </w:rPr>
              <w:t>t/a</w:t>
            </w:r>
            <w:r>
              <w:rPr>
                <w:rFonts w:hint="default" w:ascii="Times New Roman" w:hAnsi="Times New Roman" w:eastAsia="宋体" w:cs="Times New Roman"/>
                <w:i w:val="0"/>
                <w:iCs w:val="0"/>
                <w:color w:val="000000"/>
                <w:kern w:val="0"/>
                <w:sz w:val="21"/>
                <w:szCs w:val="21"/>
                <w:highlight w:val="none"/>
                <w:u w:val="none"/>
                <w:lang w:val="en-US" w:eastAsia="zh-CN" w:bidi="ar"/>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8" w:type="dxa"/>
            <w:vMerge w:val="continue"/>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napToGrid w:val="0"/>
                <w:color w:val="000000"/>
                <w:kern w:val="21"/>
                <w:sz w:val="21"/>
                <w:szCs w:val="21"/>
              </w:rPr>
            </w:pPr>
          </w:p>
        </w:tc>
        <w:tc>
          <w:tcPr>
            <w:tcW w:w="162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总磷</w:t>
            </w:r>
          </w:p>
        </w:tc>
        <w:tc>
          <w:tcPr>
            <w:tcW w:w="149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276"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70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616"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napToGrid w:val="0"/>
                <w:color w:val="000000"/>
                <w:kern w:val="21"/>
                <w:sz w:val="21"/>
                <w:szCs w:val="21"/>
                <w:highlight w:val="none"/>
                <w:lang w:val="en-US" w:eastAsia="zh-CN"/>
              </w:rPr>
            </w:pPr>
            <w:r>
              <w:rPr>
                <w:rFonts w:hint="default" w:ascii="Times New Roman" w:hAnsi="Times New Roman" w:eastAsia="宋体" w:cs="Times New Roman"/>
                <w:i w:val="0"/>
                <w:iCs w:val="0"/>
                <w:color w:val="000000"/>
                <w:kern w:val="0"/>
                <w:sz w:val="21"/>
                <w:szCs w:val="21"/>
                <w:highlight w:val="none"/>
                <w:u w:val="none"/>
                <w:lang w:val="en-US" w:eastAsia="zh-CN" w:bidi="ar"/>
              </w:rPr>
              <w:t>0.021</w:t>
            </w:r>
            <w:r>
              <w:rPr>
                <w:rFonts w:hint="eastAsia"/>
                <w:highlight w:val="none"/>
                <w:lang w:val="en-US" w:eastAsia="zh-CN"/>
              </w:rPr>
              <w:t>t/a</w:t>
            </w:r>
            <w:r>
              <w:rPr>
                <w:rFonts w:hint="default" w:ascii="Times New Roman" w:hAnsi="Times New Roman" w:eastAsia="宋体" w:cs="Times New Roman"/>
                <w:i w:val="0"/>
                <w:iCs w:val="0"/>
                <w:color w:val="000000"/>
                <w:kern w:val="0"/>
                <w:sz w:val="21"/>
                <w:szCs w:val="21"/>
                <w:highlight w:val="none"/>
                <w:u w:val="none"/>
                <w:lang w:val="en-US" w:eastAsia="zh-CN" w:bidi="ar"/>
              </w:rPr>
              <w:t xml:space="preserve"> </w:t>
            </w:r>
          </w:p>
        </w:tc>
        <w:tc>
          <w:tcPr>
            <w:tcW w:w="170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kern w:val="21"/>
                <w:sz w:val="21"/>
                <w:szCs w:val="21"/>
                <w:highlight w:val="none"/>
              </w:rPr>
            </w:pPr>
            <w:r>
              <w:rPr>
                <w:rFonts w:hint="default" w:ascii="Times New Roman" w:hAnsi="Times New Roman" w:eastAsia="宋体" w:cs="Times New Roman"/>
                <w:sz w:val="21"/>
                <w:szCs w:val="21"/>
                <w:highlight w:val="none"/>
              </w:rPr>
              <w:t>/</w:t>
            </w:r>
          </w:p>
        </w:tc>
        <w:tc>
          <w:tcPr>
            <w:tcW w:w="1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napToGrid w:val="0"/>
                <w:color w:val="000000"/>
                <w:kern w:val="21"/>
                <w:sz w:val="21"/>
                <w:szCs w:val="21"/>
                <w:highlight w:val="none"/>
                <w:lang w:val="en-US" w:eastAsia="zh-CN"/>
              </w:rPr>
            </w:pPr>
            <w:r>
              <w:rPr>
                <w:rFonts w:hint="default" w:ascii="Times New Roman" w:hAnsi="Times New Roman" w:eastAsia="宋体" w:cs="Times New Roman"/>
                <w:i w:val="0"/>
                <w:iCs w:val="0"/>
                <w:color w:val="000000"/>
                <w:kern w:val="0"/>
                <w:sz w:val="21"/>
                <w:szCs w:val="21"/>
                <w:highlight w:val="none"/>
                <w:u w:val="none"/>
                <w:lang w:val="en-US" w:eastAsia="zh-CN" w:bidi="ar"/>
              </w:rPr>
              <w:t>0.021</w:t>
            </w:r>
            <w:r>
              <w:rPr>
                <w:rFonts w:hint="eastAsia"/>
                <w:highlight w:val="none"/>
                <w:lang w:val="en-US" w:eastAsia="zh-CN"/>
              </w:rPr>
              <w:t>t/a</w:t>
            </w:r>
            <w:r>
              <w:rPr>
                <w:rFonts w:hint="default" w:ascii="Times New Roman" w:hAnsi="Times New Roman" w:eastAsia="宋体" w:cs="Times New Roman"/>
                <w:i w:val="0"/>
                <w:iCs w:val="0"/>
                <w:color w:val="000000"/>
                <w:kern w:val="0"/>
                <w:sz w:val="21"/>
                <w:szCs w:val="21"/>
                <w:highlight w:val="none"/>
                <w:u w:val="none"/>
                <w:lang w:val="en-US" w:eastAsia="zh-CN" w:bidi="ar"/>
              </w:rPr>
              <w:t xml:space="preserve"> </w:t>
            </w:r>
          </w:p>
        </w:tc>
        <w:tc>
          <w:tcPr>
            <w:tcW w:w="12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napToGrid w:val="0"/>
                <w:color w:val="000000"/>
                <w:kern w:val="21"/>
                <w:sz w:val="21"/>
                <w:szCs w:val="21"/>
                <w:highlight w:val="none"/>
                <w:lang w:val="en-US" w:eastAsia="zh-CN"/>
              </w:rPr>
            </w:pPr>
            <w:r>
              <w:rPr>
                <w:rFonts w:hint="default" w:ascii="Times New Roman" w:hAnsi="Times New Roman" w:eastAsia="宋体" w:cs="Times New Roman"/>
                <w:i w:val="0"/>
                <w:iCs w:val="0"/>
                <w:color w:val="000000"/>
                <w:kern w:val="0"/>
                <w:sz w:val="21"/>
                <w:szCs w:val="21"/>
                <w:highlight w:val="none"/>
                <w:u w:val="none"/>
                <w:lang w:val="en-US" w:eastAsia="zh-CN" w:bidi="ar"/>
              </w:rPr>
              <w:t>0.021</w:t>
            </w:r>
            <w:r>
              <w:rPr>
                <w:rFonts w:hint="eastAsia"/>
                <w:highlight w:val="none"/>
                <w:lang w:val="en-US" w:eastAsia="zh-CN"/>
              </w:rPr>
              <w:t>t/a</w:t>
            </w:r>
            <w:r>
              <w:rPr>
                <w:rFonts w:hint="default" w:ascii="Times New Roman" w:hAnsi="Times New Roman" w:eastAsia="宋体" w:cs="Times New Roman"/>
                <w:i w:val="0"/>
                <w:iCs w:val="0"/>
                <w:color w:val="000000"/>
                <w:kern w:val="0"/>
                <w:sz w:val="21"/>
                <w:szCs w:val="21"/>
                <w:highlight w:val="none"/>
                <w:u w:val="none"/>
                <w:lang w:val="en-US" w:eastAsia="zh-CN" w:bidi="ar"/>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8" w:type="dxa"/>
            <w:vMerge w:val="restart"/>
            <w:vAlign w:val="center"/>
          </w:tcPr>
          <w:p>
            <w:pPr>
              <w:pStyle w:val="5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kern w:val="21"/>
                <w:sz w:val="21"/>
                <w:szCs w:val="21"/>
              </w:rPr>
            </w:pPr>
            <w:r>
              <w:rPr>
                <w:rFonts w:hint="default" w:ascii="Times New Roman" w:hAnsi="Times New Roman" w:eastAsia="宋体" w:cs="Times New Roman"/>
                <w:snapToGrid w:val="0"/>
                <w:color w:val="000000"/>
                <w:kern w:val="21"/>
                <w:sz w:val="21"/>
                <w:szCs w:val="21"/>
              </w:rPr>
              <w:t>一般工业</w:t>
            </w:r>
          </w:p>
          <w:p>
            <w:pPr>
              <w:pStyle w:val="5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kern w:val="21"/>
                <w:sz w:val="21"/>
                <w:szCs w:val="21"/>
              </w:rPr>
            </w:pPr>
            <w:r>
              <w:rPr>
                <w:rFonts w:hint="default" w:ascii="Times New Roman" w:hAnsi="Times New Roman" w:eastAsia="宋体" w:cs="Times New Roman"/>
                <w:snapToGrid w:val="0"/>
                <w:color w:val="000000"/>
                <w:kern w:val="21"/>
                <w:sz w:val="21"/>
                <w:szCs w:val="21"/>
              </w:rPr>
              <w:t>固体废物</w:t>
            </w:r>
          </w:p>
        </w:tc>
        <w:tc>
          <w:tcPr>
            <w:tcW w:w="162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eastAsia" w:cs="Times New Roman"/>
                <w:sz w:val="21"/>
                <w:szCs w:val="21"/>
                <w:highlight w:val="none"/>
                <w:lang w:val="en-US" w:eastAsia="zh-CN"/>
              </w:rPr>
              <w:t>冲压料废边</w:t>
            </w:r>
          </w:p>
        </w:tc>
        <w:tc>
          <w:tcPr>
            <w:tcW w:w="1497"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27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70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61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2660</w:t>
            </w:r>
            <w:r>
              <w:rPr>
                <w:rFonts w:hint="default" w:ascii="Times New Roman" w:hAnsi="Times New Roman" w:eastAsia="宋体" w:cs="Times New Roman"/>
                <w:sz w:val="21"/>
                <w:szCs w:val="21"/>
                <w:highlight w:val="none"/>
              </w:rPr>
              <w:t>t/a</w:t>
            </w:r>
          </w:p>
        </w:tc>
        <w:tc>
          <w:tcPr>
            <w:tcW w:w="1704"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719"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2660</w:t>
            </w:r>
            <w:r>
              <w:rPr>
                <w:rFonts w:hint="default" w:ascii="Times New Roman" w:hAnsi="Times New Roman" w:eastAsia="宋体" w:cs="Times New Roman"/>
                <w:sz w:val="21"/>
                <w:szCs w:val="21"/>
                <w:highlight w:val="none"/>
              </w:rPr>
              <w:t>t/a</w:t>
            </w:r>
          </w:p>
        </w:tc>
        <w:tc>
          <w:tcPr>
            <w:tcW w:w="1214"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2660</w:t>
            </w:r>
            <w:r>
              <w:rPr>
                <w:rFonts w:hint="default" w:ascii="Times New Roman" w:hAnsi="Times New Roman" w:eastAsia="宋体" w:cs="Times New Roman"/>
                <w:sz w:val="21"/>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8" w:type="dxa"/>
            <w:vMerge w:val="continue"/>
            <w:vAlign w:val="center"/>
          </w:tcPr>
          <w:p>
            <w:pPr>
              <w:pStyle w:val="5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kern w:val="21"/>
                <w:sz w:val="21"/>
                <w:szCs w:val="21"/>
              </w:rPr>
            </w:pPr>
          </w:p>
        </w:tc>
        <w:tc>
          <w:tcPr>
            <w:tcW w:w="162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残次品</w:t>
            </w:r>
          </w:p>
        </w:tc>
        <w:tc>
          <w:tcPr>
            <w:tcW w:w="149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276"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70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61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23</w:t>
            </w:r>
            <w:r>
              <w:rPr>
                <w:rFonts w:hint="eastAsia" w:cs="Times New Roman"/>
                <w:sz w:val="21"/>
                <w:szCs w:val="21"/>
                <w:highlight w:val="none"/>
                <w:lang w:val="en-US" w:eastAsia="zh-CN"/>
              </w:rPr>
              <w:t>3.8</w:t>
            </w:r>
            <w:r>
              <w:rPr>
                <w:rFonts w:hint="default" w:ascii="Times New Roman" w:hAnsi="Times New Roman" w:eastAsia="宋体" w:cs="Times New Roman"/>
                <w:sz w:val="21"/>
                <w:szCs w:val="21"/>
                <w:highlight w:val="none"/>
              </w:rPr>
              <w:t>t/a</w:t>
            </w:r>
          </w:p>
        </w:tc>
        <w:tc>
          <w:tcPr>
            <w:tcW w:w="170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719"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23</w:t>
            </w:r>
            <w:r>
              <w:rPr>
                <w:rFonts w:hint="eastAsia" w:cs="Times New Roman"/>
                <w:sz w:val="21"/>
                <w:szCs w:val="21"/>
                <w:highlight w:val="none"/>
                <w:lang w:val="en-US" w:eastAsia="zh-CN"/>
              </w:rPr>
              <w:t>3.8</w:t>
            </w:r>
            <w:r>
              <w:rPr>
                <w:rFonts w:hint="default" w:ascii="Times New Roman" w:hAnsi="Times New Roman" w:eastAsia="宋体" w:cs="Times New Roman"/>
                <w:sz w:val="21"/>
                <w:szCs w:val="21"/>
                <w:highlight w:val="none"/>
              </w:rPr>
              <w:t>t/a</w:t>
            </w:r>
          </w:p>
        </w:tc>
        <w:tc>
          <w:tcPr>
            <w:tcW w:w="1214"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23</w:t>
            </w:r>
            <w:r>
              <w:rPr>
                <w:rFonts w:hint="eastAsia" w:cs="Times New Roman"/>
                <w:sz w:val="21"/>
                <w:szCs w:val="21"/>
                <w:highlight w:val="none"/>
                <w:lang w:val="en-US" w:eastAsia="zh-CN"/>
              </w:rPr>
              <w:t>3.8</w:t>
            </w:r>
            <w:r>
              <w:rPr>
                <w:rFonts w:hint="default" w:ascii="Times New Roman" w:hAnsi="Times New Roman" w:eastAsia="宋体" w:cs="Times New Roman"/>
                <w:sz w:val="21"/>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8" w:type="dxa"/>
            <w:vMerge w:val="continue"/>
            <w:vAlign w:val="center"/>
          </w:tcPr>
          <w:p>
            <w:pPr>
              <w:pStyle w:val="5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kern w:val="21"/>
                <w:sz w:val="21"/>
                <w:szCs w:val="21"/>
              </w:rPr>
            </w:pPr>
          </w:p>
        </w:tc>
        <w:tc>
          <w:tcPr>
            <w:tcW w:w="1621"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highlight w:val="none"/>
                <w:lang w:val="en-US" w:eastAsia="zh-CN" w:bidi="ar-SA"/>
              </w:rPr>
            </w:pPr>
            <w:r>
              <w:rPr>
                <w:rFonts w:hint="eastAsia" w:cs="Times New Roman"/>
                <w:sz w:val="21"/>
                <w:szCs w:val="21"/>
                <w:highlight w:val="none"/>
                <w:lang w:val="en-US" w:eastAsia="zh-CN"/>
              </w:rPr>
              <w:t>清洗后</w:t>
            </w:r>
            <w:r>
              <w:rPr>
                <w:rFonts w:hint="default" w:ascii="Times New Roman" w:hAnsi="Times New Roman" w:eastAsia="宋体" w:cs="Times New Roman"/>
                <w:sz w:val="21"/>
                <w:szCs w:val="21"/>
                <w:highlight w:val="none"/>
                <w:lang w:val="en-US" w:eastAsia="zh-CN"/>
              </w:rPr>
              <w:t>铝壳废边</w:t>
            </w:r>
          </w:p>
        </w:tc>
        <w:tc>
          <w:tcPr>
            <w:tcW w:w="1497" w:type="dxa"/>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w:t>
            </w:r>
          </w:p>
        </w:tc>
        <w:tc>
          <w:tcPr>
            <w:tcW w:w="1276" w:type="dxa"/>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w:t>
            </w:r>
          </w:p>
        </w:tc>
        <w:tc>
          <w:tcPr>
            <w:tcW w:w="1701" w:type="dxa"/>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w:t>
            </w:r>
          </w:p>
        </w:tc>
        <w:tc>
          <w:tcPr>
            <w:tcW w:w="1616"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2233</w:t>
            </w:r>
            <w:r>
              <w:rPr>
                <w:rFonts w:hint="default" w:ascii="Times New Roman" w:hAnsi="Times New Roman" w:eastAsia="宋体" w:cs="Times New Roman"/>
                <w:sz w:val="21"/>
                <w:szCs w:val="21"/>
                <w:highlight w:val="none"/>
              </w:rPr>
              <w:t>t/a</w:t>
            </w:r>
          </w:p>
        </w:tc>
        <w:tc>
          <w:tcPr>
            <w:tcW w:w="1704" w:type="dxa"/>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w:t>
            </w:r>
          </w:p>
        </w:tc>
        <w:tc>
          <w:tcPr>
            <w:tcW w:w="1719"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2233</w:t>
            </w:r>
            <w:r>
              <w:rPr>
                <w:rFonts w:hint="default" w:ascii="Times New Roman" w:hAnsi="Times New Roman" w:eastAsia="宋体" w:cs="Times New Roman"/>
                <w:sz w:val="21"/>
                <w:szCs w:val="21"/>
                <w:highlight w:val="none"/>
              </w:rPr>
              <w:t>t/a</w:t>
            </w:r>
          </w:p>
        </w:tc>
        <w:tc>
          <w:tcPr>
            <w:tcW w:w="1214"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2233</w:t>
            </w:r>
            <w:r>
              <w:rPr>
                <w:rFonts w:hint="default" w:ascii="Times New Roman" w:hAnsi="Times New Roman" w:eastAsia="宋体" w:cs="Times New Roman"/>
                <w:sz w:val="21"/>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8" w:type="dxa"/>
            <w:vMerge w:val="restart"/>
            <w:vAlign w:val="center"/>
          </w:tcPr>
          <w:p>
            <w:pPr>
              <w:pStyle w:val="5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kern w:val="21"/>
                <w:sz w:val="21"/>
                <w:szCs w:val="21"/>
              </w:rPr>
            </w:pPr>
            <w:r>
              <w:rPr>
                <w:rFonts w:hint="default" w:ascii="Times New Roman" w:hAnsi="Times New Roman" w:eastAsia="宋体" w:cs="Times New Roman"/>
                <w:snapToGrid w:val="0"/>
                <w:color w:val="000000"/>
                <w:kern w:val="21"/>
                <w:sz w:val="21"/>
                <w:szCs w:val="21"/>
              </w:rPr>
              <w:t>危险废物</w:t>
            </w:r>
          </w:p>
        </w:tc>
        <w:tc>
          <w:tcPr>
            <w:tcW w:w="162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废</w:t>
            </w:r>
            <w:r>
              <w:rPr>
                <w:rFonts w:hint="default" w:ascii="Times New Roman" w:hAnsi="Times New Roman" w:eastAsia="宋体" w:cs="Times New Roman"/>
                <w:sz w:val="21"/>
                <w:szCs w:val="21"/>
                <w:lang w:val="en-US" w:eastAsia="zh-CN"/>
              </w:rPr>
              <w:t>空桶</w:t>
            </w:r>
          </w:p>
        </w:tc>
        <w:tc>
          <w:tcPr>
            <w:tcW w:w="1497"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7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70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61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w:t>
            </w:r>
            <w:r>
              <w:rPr>
                <w:rFonts w:hint="default" w:ascii="Times New Roman" w:hAnsi="Times New Roman" w:eastAsia="宋体" w:cs="Times New Roman"/>
                <w:sz w:val="21"/>
                <w:szCs w:val="21"/>
              </w:rPr>
              <w:t>t/a</w:t>
            </w:r>
          </w:p>
        </w:tc>
        <w:tc>
          <w:tcPr>
            <w:tcW w:w="1704"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719"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1.2</w:t>
            </w:r>
            <w:r>
              <w:rPr>
                <w:rFonts w:hint="default" w:ascii="Times New Roman" w:hAnsi="Times New Roman" w:eastAsia="宋体" w:cs="Times New Roman"/>
                <w:sz w:val="21"/>
                <w:szCs w:val="21"/>
              </w:rPr>
              <w:t>t/a</w:t>
            </w:r>
          </w:p>
        </w:tc>
        <w:tc>
          <w:tcPr>
            <w:tcW w:w="1214"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1.2</w:t>
            </w:r>
            <w:r>
              <w:rPr>
                <w:rFonts w:hint="default" w:ascii="Times New Roman" w:hAnsi="Times New Roman" w:eastAsia="宋体" w:cs="Times New Roman"/>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8" w:type="dxa"/>
            <w:vMerge w:val="continue"/>
            <w:vAlign w:val="center"/>
          </w:tcPr>
          <w:p>
            <w:pPr>
              <w:pStyle w:val="5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kern w:val="21"/>
                <w:sz w:val="21"/>
                <w:szCs w:val="21"/>
              </w:rPr>
            </w:pPr>
          </w:p>
        </w:tc>
        <w:tc>
          <w:tcPr>
            <w:tcW w:w="162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废滤</w:t>
            </w:r>
            <w:r>
              <w:rPr>
                <w:rFonts w:hint="default" w:ascii="Times New Roman" w:hAnsi="Times New Roman" w:eastAsia="宋体" w:cs="Times New Roman"/>
                <w:sz w:val="21"/>
                <w:szCs w:val="21"/>
                <w:lang w:val="en-US" w:eastAsia="zh-CN"/>
              </w:rPr>
              <w:t>芯</w:t>
            </w:r>
          </w:p>
        </w:tc>
        <w:tc>
          <w:tcPr>
            <w:tcW w:w="1497"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76"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701"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61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2.33</w:t>
            </w:r>
            <w:r>
              <w:rPr>
                <w:rFonts w:hint="default" w:ascii="Times New Roman" w:hAnsi="Times New Roman" w:eastAsia="宋体" w:cs="Times New Roman"/>
                <w:sz w:val="21"/>
                <w:szCs w:val="21"/>
              </w:rPr>
              <w:t>t/a</w:t>
            </w:r>
          </w:p>
        </w:tc>
        <w:tc>
          <w:tcPr>
            <w:tcW w:w="1704"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719"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2.33</w:t>
            </w:r>
            <w:r>
              <w:rPr>
                <w:rFonts w:hint="default" w:ascii="Times New Roman" w:hAnsi="Times New Roman" w:eastAsia="宋体" w:cs="Times New Roman"/>
                <w:sz w:val="21"/>
                <w:szCs w:val="21"/>
              </w:rPr>
              <w:t>t/a</w:t>
            </w:r>
          </w:p>
        </w:tc>
        <w:tc>
          <w:tcPr>
            <w:tcW w:w="1214"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2.33</w:t>
            </w:r>
            <w:r>
              <w:rPr>
                <w:rFonts w:hint="default" w:ascii="Times New Roman" w:hAnsi="Times New Roman" w:eastAsia="宋体" w:cs="Times New Roman"/>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8" w:type="dxa"/>
            <w:vMerge w:val="continue"/>
            <w:vAlign w:val="center"/>
          </w:tcPr>
          <w:p>
            <w:pPr>
              <w:pStyle w:val="5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kern w:val="21"/>
                <w:sz w:val="21"/>
                <w:szCs w:val="21"/>
              </w:rPr>
            </w:pPr>
          </w:p>
        </w:tc>
        <w:tc>
          <w:tcPr>
            <w:tcW w:w="162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废机油</w:t>
            </w:r>
          </w:p>
        </w:tc>
        <w:tc>
          <w:tcPr>
            <w:tcW w:w="1497"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76"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701"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61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4.2</w:t>
            </w:r>
            <w:r>
              <w:rPr>
                <w:rFonts w:hint="default" w:ascii="Times New Roman" w:hAnsi="Times New Roman" w:eastAsia="宋体" w:cs="Times New Roman"/>
                <w:sz w:val="21"/>
                <w:szCs w:val="21"/>
              </w:rPr>
              <w:t>t/a</w:t>
            </w:r>
          </w:p>
        </w:tc>
        <w:tc>
          <w:tcPr>
            <w:tcW w:w="1704"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719"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4.2</w:t>
            </w:r>
            <w:r>
              <w:rPr>
                <w:rFonts w:hint="default" w:ascii="Times New Roman" w:hAnsi="Times New Roman" w:eastAsia="宋体" w:cs="Times New Roman"/>
                <w:sz w:val="21"/>
                <w:szCs w:val="21"/>
              </w:rPr>
              <w:t>t/a</w:t>
            </w:r>
          </w:p>
        </w:tc>
        <w:tc>
          <w:tcPr>
            <w:tcW w:w="1214"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4.2</w:t>
            </w:r>
            <w:r>
              <w:rPr>
                <w:rFonts w:hint="default" w:ascii="Times New Roman" w:hAnsi="Times New Roman" w:eastAsia="宋体" w:cs="Times New Roman"/>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8" w:type="dxa"/>
            <w:vMerge w:val="continue"/>
            <w:vAlign w:val="center"/>
          </w:tcPr>
          <w:p>
            <w:pPr>
              <w:pStyle w:val="5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kern w:val="21"/>
                <w:sz w:val="21"/>
                <w:szCs w:val="21"/>
              </w:rPr>
            </w:pPr>
          </w:p>
        </w:tc>
        <w:tc>
          <w:tcPr>
            <w:tcW w:w="162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含油</w:t>
            </w:r>
            <w:r>
              <w:rPr>
                <w:rFonts w:hint="eastAsia" w:ascii="Times New Roman" w:hAnsi="Times New Roman" w:cs="Times New Roman"/>
                <w:sz w:val="21"/>
                <w:szCs w:val="21"/>
                <w:lang w:val="en-US" w:eastAsia="zh-CN"/>
              </w:rPr>
              <w:t>浓缩液</w:t>
            </w:r>
          </w:p>
        </w:tc>
        <w:tc>
          <w:tcPr>
            <w:tcW w:w="1497"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76"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701"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61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cs="Times New Roman"/>
                <w:sz w:val="21"/>
                <w:szCs w:val="21"/>
                <w:lang w:val="en-US" w:eastAsia="zh-CN"/>
              </w:rPr>
              <w:t>37.77</w:t>
            </w:r>
            <w:r>
              <w:rPr>
                <w:rFonts w:hint="default" w:ascii="Times New Roman" w:hAnsi="Times New Roman" w:eastAsia="宋体" w:cs="Times New Roman"/>
                <w:sz w:val="21"/>
                <w:szCs w:val="21"/>
              </w:rPr>
              <w:t>t/a</w:t>
            </w:r>
          </w:p>
        </w:tc>
        <w:tc>
          <w:tcPr>
            <w:tcW w:w="1704"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719"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rPr>
            </w:pPr>
            <w:r>
              <w:rPr>
                <w:rFonts w:hint="eastAsia" w:cs="Times New Roman"/>
                <w:sz w:val="21"/>
                <w:szCs w:val="21"/>
                <w:lang w:val="en-US" w:eastAsia="zh-CN"/>
              </w:rPr>
              <w:t>37.77</w:t>
            </w:r>
            <w:r>
              <w:rPr>
                <w:rFonts w:hint="default" w:ascii="Times New Roman" w:hAnsi="Times New Roman" w:eastAsia="宋体" w:cs="Times New Roman"/>
                <w:sz w:val="21"/>
                <w:szCs w:val="21"/>
              </w:rPr>
              <w:t>t/a</w:t>
            </w:r>
          </w:p>
        </w:tc>
        <w:tc>
          <w:tcPr>
            <w:tcW w:w="1214"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rPr>
            </w:pPr>
            <w:r>
              <w:rPr>
                <w:rFonts w:hint="eastAsia" w:cs="Times New Roman"/>
                <w:sz w:val="21"/>
                <w:szCs w:val="21"/>
                <w:lang w:val="en-US" w:eastAsia="zh-CN"/>
              </w:rPr>
              <w:t>37.77</w:t>
            </w:r>
            <w:r>
              <w:rPr>
                <w:rFonts w:hint="default" w:ascii="Times New Roman" w:hAnsi="Times New Roman" w:eastAsia="宋体" w:cs="Times New Roman"/>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8" w:type="dxa"/>
            <w:vMerge w:val="continue"/>
            <w:vAlign w:val="center"/>
          </w:tcPr>
          <w:p>
            <w:pPr>
              <w:pStyle w:val="5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kern w:val="21"/>
                <w:sz w:val="21"/>
                <w:szCs w:val="21"/>
              </w:rPr>
            </w:pPr>
          </w:p>
        </w:tc>
        <w:tc>
          <w:tcPr>
            <w:tcW w:w="1621"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废过滤膜</w:t>
            </w:r>
          </w:p>
        </w:tc>
        <w:tc>
          <w:tcPr>
            <w:tcW w:w="1497"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276"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701"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616" w:type="dxa"/>
            <w:vAlign w:val="center"/>
          </w:tcPr>
          <w:p>
            <w:pPr>
              <w:pStyle w:val="37"/>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4.0</w:t>
            </w:r>
            <w:r>
              <w:rPr>
                <w:rFonts w:hint="default" w:ascii="Times New Roman" w:hAnsi="Times New Roman" w:eastAsia="宋体" w:cs="Times New Roman"/>
                <w:sz w:val="21"/>
                <w:szCs w:val="21"/>
                <w:highlight w:val="none"/>
              </w:rPr>
              <w:t>t/a</w:t>
            </w:r>
          </w:p>
        </w:tc>
        <w:tc>
          <w:tcPr>
            <w:tcW w:w="1704"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719"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4.0</w:t>
            </w:r>
            <w:r>
              <w:rPr>
                <w:rFonts w:hint="default" w:ascii="Times New Roman" w:hAnsi="Times New Roman" w:eastAsia="宋体" w:cs="Times New Roman"/>
                <w:sz w:val="21"/>
                <w:szCs w:val="21"/>
                <w:highlight w:val="none"/>
              </w:rPr>
              <w:t>t/a</w:t>
            </w:r>
          </w:p>
        </w:tc>
        <w:tc>
          <w:tcPr>
            <w:tcW w:w="1214"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4.0</w:t>
            </w:r>
            <w:r>
              <w:rPr>
                <w:rFonts w:hint="default" w:ascii="Times New Roman" w:hAnsi="Times New Roman" w:eastAsia="宋体" w:cs="Times New Roman"/>
                <w:sz w:val="21"/>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8" w:type="dxa"/>
            <w:vMerge w:val="continue"/>
            <w:vAlign w:val="center"/>
          </w:tcPr>
          <w:p>
            <w:pPr>
              <w:pStyle w:val="5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kern w:val="21"/>
                <w:sz w:val="21"/>
                <w:szCs w:val="21"/>
              </w:rPr>
            </w:pPr>
          </w:p>
        </w:tc>
        <w:tc>
          <w:tcPr>
            <w:tcW w:w="1621"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切边金属屑</w:t>
            </w:r>
          </w:p>
        </w:tc>
        <w:tc>
          <w:tcPr>
            <w:tcW w:w="1497" w:type="dxa"/>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276" w:type="dxa"/>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701" w:type="dxa"/>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616" w:type="dxa"/>
            <w:vAlign w:val="center"/>
          </w:tcPr>
          <w:p>
            <w:pPr>
              <w:pStyle w:val="37"/>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2.7</w:t>
            </w:r>
            <w:r>
              <w:rPr>
                <w:rFonts w:hint="default" w:ascii="Times New Roman" w:hAnsi="Times New Roman" w:eastAsia="宋体" w:cs="Times New Roman"/>
                <w:sz w:val="21"/>
                <w:szCs w:val="21"/>
                <w:highlight w:val="none"/>
              </w:rPr>
              <w:t>t/a</w:t>
            </w:r>
          </w:p>
        </w:tc>
        <w:tc>
          <w:tcPr>
            <w:tcW w:w="1704" w:type="dxa"/>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719" w:type="dxa"/>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2.7</w:t>
            </w:r>
            <w:r>
              <w:rPr>
                <w:rFonts w:hint="default" w:ascii="Times New Roman" w:hAnsi="Times New Roman" w:eastAsia="宋体" w:cs="Times New Roman"/>
                <w:sz w:val="21"/>
                <w:szCs w:val="21"/>
                <w:highlight w:val="none"/>
              </w:rPr>
              <w:t>t/a</w:t>
            </w:r>
          </w:p>
        </w:tc>
        <w:tc>
          <w:tcPr>
            <w:tcW w:w="1214" w:type="dxa"/>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2.7</w:t>
            </w:r>
            <w:r>
              <w:rPr>
                <w:rFonts w:hint="default" w:ascii="Times New Roman" w:hAnsi="Times New Roman" w:eastAsia="宋体" w:cs="Times New Roman"/>
                <w:sz w:val="21"/>
                <w:szCs w:val="21"/>
                <w:highlight w:val="none"/>
              </w:rPr>
              <w:t>t/a</w:t>
            </w:r>
          </w:p>
        </w:tc>
      </w:tr>
    </w:tbl>
    <w:p>
      <w:pPr>
        <w:pStyle w:val="56"/>
        <w:spacing w:before="192" w:beforeLines="80" w:after="24"/>
        <w:jc w:val="left"/>
        <w:rPr>
          <w:rFonts w:hint="default"/>
          <w:lang w:val="en-US" w:eastAsia="zh-CN"/>
        </w:rPr>
      </w:pPr>
      <w:r>
        <w:rPr>
          <w:rFonts w:hAnsi="宋体"/>
          <w:snapToGrid w:val="0"/>
          <w:color w:val="000000"/>
          <w:kern w:val="21"/>
          <w:szCs w:val="21"/>
        </w:rPr>
        <w:t>注：</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Pr>
          <w:rFonts w:hAnsi="宋体"/>
          <w:snapToGrid w:val="0"/>
          <w:color w:val="000000"/>
          <w:spacing w:val="-16"/>
          <w:kern w:val="21"/>
          <w:szCs w:val="21"/>
        </w:rPr>
        <w:fldChar w:fldCharType="separate"/>
      </w:r>
      <w:r>
        <w:rPr>
          <w:rFonts w:hint="eastAsia" w:hAnsi="宋体"/>
          <w:szCs w:val="21"/>
        </w:rPr>
        <w:t>⑥</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Pr>
          <w:rFonts w:hAnsi="宋体"/>
          <w:snapToGrid w:val="0"/>
          <w:color w:val="000000"/>
          <w:spacing w:val="-6"/>
          <w:kern w:val="21"/>
          <w:szCs w:val="21"/>
        </w:rPr>
        <w:fldChar w:fldCharType="separate"/>
      </w:r>
      <w:r>
        <w:rPr>
          <w:rFonts w:hint="eastAsia" w:hAnsi="宋体"/>
          <w:szCs w:val="21"/>
        </w:rPr>
        <w:t>①</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3 \* GB3 \* MERGEFORMAT </w:instrText>
      </w:r>
      <w:r>
        <w:rPr>
          <w:rFonts w:hAnsi="宋体"/>
          <w:snapToGrid w:val="0"/>
          <w:color w:val="000000"/>
          <w:spacing w:val="-6"/>
          <w:kern w:val="21"/>
          <w:szCs w:val="21"/>
        </w:rPr>
        <w:fldChar w:fldCharType="separate"/>
      </w:r>
      <w:r>
        <w:rPr>
          <w:rFonts w:hint="eastAsia" w:hAnsi="宋体"/>
          <w:szCs w:val="21"/>
        </w:rPr>
        <w:t>③</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4 \* GB3 \* MERGEFORMAT </w:instrText>
      </w:r>
      <w:r>
        <w:rPr>
          <w:rFonts w:hAnsi="宋体"/>
          <w:snapToGrid w:val="0"/>
          <w:color w:val="000000"/>
          <w:spacing w:val="-6"/>
          <w:kern w:val="21"/>
          <w:szCs w:val="21"/>
        </w:rPr>
        <w:fldChar w:fldCharType="separate"/>
      </w:r>
      <w:r>
        <w:rPr>
          <w:rFonts w:hint="eastAsia" w:hAnsi="宋体"/>
          <w:szCs w:val="21"/>
        </w:rPr>
        <w:t>④</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5 \* GB3 \* MERGEFORMAT </w:instrText>
      </w:r>
      <w:r>
        <w:rPr>
          <w:rFonts w:hAnsi="宋体"/>
          <w:snapToGrid w:val="0"/>
          <w:color w:val="000000"/>
          <w:spacing w:val="-16"/>
          <w:kern w:val="21"/>
          <w:szCs w:val="21"/>
        </w:rPr>
        <w:fldChar w:fldCharType="separate"/>
      </w:r>
      <w:r>
        <w:rPr>
          <w:rFonts w:hint="eastAsia" w:hAnsi="宋体"/>
          <w:szCs w:val="21"/>
        </w:rPr>
        <w:t>⑤</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7 \* GB3 \* MERGEFORMAT </w:instrText>
      </w:r>
      <w:r>
        <w:rPr>
          <w:rFonts w:hAnsi="宋体"/>
          <w:snapToGrid w:val="0"/>
          <w:color w:val="000000"/>
          <w:spacing w:val="-6"/>
          <w:kern w:val="21"/>
          <w:szCs w:val="21"/>
        </w:rPr>
        <w:fldChar w:fldCharType="separate"/>
      </w:r>
      <w:r>
        <w:rPr>
          <w:rFonts w:hint="eastAsia" w:hAnsi="宋体"/>
          <w:szCs w:val="21"/>
        </w:rPr>
        <w:t>⑦</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Pr>
          <w:rFonts w:hAnsi="宋体"/>
          <w:snapToGrid w:val="0"/>
          <w:color w:val="000000"/>
          <w:spacing w:val="-16"/>
          <w:kern w:val="21"/>
          <w:szCs w:val="21"/>
        </w:rPr>
        <w:fldChar w:fldCharType="separate"/>
      </w:r>
      <w:r>
        <w:rPr>
          <w:rFonts w:hint="eastAsia" w:hAnsi="宋体"/>
          <w:szCs w:val="21"/>
        </w:rPr>
        <w:t>⑥</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Pr>
          <w:rFonts w:hAnsi="宋体"/>
          <w:snapToGrid w:val="0"/>
          <w:color w:val="000000"/>
          <w:spacing w:val="-6"/>
          <w:kern w:val="21"/>
          <w:szCs w:val="21"/>
        </w:rPr>
        <w:fldChar w:fldCharType="separate"/>
      </w:r>
      <w:r>
        <w:rPr>
          <w:rFonts w:hint="eastAsia" w:hAnsi="宋体"/>
          <w:szCs w:val="21"/>
        </w:rPr>
        <w:t>①</w:t>
      </w:r>
      <w:r>
        <w:rPr>
          <w:rFonts w:hAnsi="宋体"/>
          <w:snapToGrid w:val="0"/>
          <w:color w:val="000000"/>
          <w:spacing w:val="-6"/>
          <w:kern w:val="21"/>
          <w:szCs w:val="21"/>
        </w:rPr>
        <w:fldChar w:fldCharType="end"/>
      </w:r>
    </w:p>
    <w:sectPr>
      <w:footerReference r:id="rId8" w:type="default"/>
      <w:pgSz w:w="16783" w:h="11850" w:orient="landscape"/>
      <w:pgMar w:top="1417" w:right="1417" w:bottom="1417" w:left="1417" w:header="851" w:footer="851" w:gutter="0"/>
      <w:pgBorders>
        <w:top w:val="none" w:sz="0" w:space="0"/>
        <w:left w:val="none" w:sz="0" w:space="0"/>
        <w:bottom w:val="none" w:sz="0" w:space="0"/>
        <w:right w:val="none" w:sz="0" w:space="0"/>
      </w:pgBorders>
      <w:pgNumType w:fmt="numberInDash"/>
      <w:cols w:space="720" w:num="1"/>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Mr.锐" w:date="2024-04-16T10:49:35Z" w:initials="G.R">
    <w:p w14:paraId="2E5F791B">
      <w:pPr>
        <w:pStyle w:val="13"/>
        <w:rPr>
          <w:rFonts w:hint="eastAsia" w:eastAsia="宋体"/>
          <w:lang w:val="en-US" w:eastAsia="zh-CN"/>
        </w:rPr>
      </w:pPr>
      <w:r>
        <w:rPr>
          <w:rFonts w:hint="eastAsia"/>
          <w:lang w:val="en-US" w:eastAsia="zh-CN"/>
        </w:rPr>
        <w:t>转让</w:t>
      </w:r>
    </w:p>
  </w:comment>
  <w:comment w:id="1" w:author="Mr.锐" w:date="2024-04-16T10:50:23Z" w:initials="G.R">
    <w:p w14:paraId="62752D90">
      <w:pPr>
        <w:pStyle w:val="13"/>
        <w:rPr>
          <w:rFonts w:hint="eastAsia"/>
          <w:lang w:val="en-US" w:eastAsia="zh-CN"/>
        </w:rPr>
      </w:pPr>
      <w:r>
        <w:rPr>
          <w:rFonts w:hint="eastAsia"/>
          <w:lang w:val="en-US" w:eastAsia="zh-CN"/>
        </w:rPr>
        <w:t>补充验收情况、排污许可情况，无排污许可证不可以投入生产</w:t>
      </w:r>
    </w:p>
    <w:p w14:paraId="47683E0B">
      <w:pPr>
        <w:pStyle w:val="13"/>
        <w:rPr>
          <w:rFonts w:hint="eastAsia"/>
          <w:lang w:val="en-US" w:eastAsia="zh-CN"/>
        </w:rPr>
      </w:pPr>
    </w:p>
    <w:p w14:paraId="6BDD7625">
      <w:pPr>
        <w:pStyle w:val="13"/>
        <w:rPr>
          <w:rFonts w:hint="default" w:eastAsia="宋体"/>
          <w:lang w:val="en-US" w:eastAsia="zh-CN"/>
        </w:rPr>
      </w:pPr>
      <w:r>
        <w:rPr>
          <w:rFonts w:hint="eastAsia"/>
          <w:lang w:val="en-US" w:eastAsia="zh-CN"/>
        </w:rPr>
        <w:t>因内部经营问题及外部市场销售渠道等原因，该拟退出，将现有已建的生产线及配套设施转让给</w:t>
      </w:r>
      <w:r>
        <w:rPr>
          <w:rFonts w:hint="default" w:ascii="Times New Roman" w:hAnsi="Times New Roman" w:eastAsia="宋体" w:cs="Times New Roman"/>
          <w:sz w:val="24"/>
          <w:szCs w:val="24"/>
          <w:lang w:eastAsia="zh-CN"/>
        </w:rPr>
        <w:t>砚</w:t>
      </w:r>
      <w:r>
        <w:rPr>
          <w:rFonts w:hint="default" w:ascii="Times New Roman" w:hAnsi="Times New Roman" w:eastAsia="宋体" w:cs="Times New Roman"/>
          <w:sz w:val="24"/>
          <w:szCs w:val="24"/>
        </w:rPr>
        <w:t>泽智能（宁德）制造有限公司</w:t>
      </w:r>
      <w:r>
        <w:rPr>
          <w:rFonts w:hint="eastAsia" w:cs="Times New Roman"/>
          <w:sz w:val="24"/>
          <w:szCs w:val="24"/>
          <w:lang w:val="en-US" w:eastAsia="zh-CN"/>
        </w:rPr>
        <w:t>继续建设（协议详见附件11）。</w:t>
      </w:r>
    </w:p>
  </w:comment>
  <w:comment w:id="2" w:author="Mr.锐" w:date="2024-04-16T11:12:10Z" w:initials="G.R">
    <w:p w14:paraId="45A31D9B">
      <w:pPr>
        <w:pStyle w:val="13"/>
        <w:rPr>
          <w:rFonts w:hint="default" w:eastAsia="宋体"/>
          <w:lang w:val="en-US" w:eastAsia="zh-CN"/>
        </w:rPr>
      </w:pPr>
      <w:r>
        <w:rPr>
          <w:rFonts w:hint="eastAsia"/>
          <w:lang w:val="en-US" w:eastAsia="zh-CN"/>
        </w:rPr>
        <w:t>建议加一列日平均产生量</w:t>
      </w:r>
    </w:p>
  </w:comment>
  <w:comment w:id="3" w:author="阿甘" w:date="2024-04-16T17:35:17Z" w:initials="">
    <w:p w14:paraId="1B2E73F5">
      <w:pPr>
        <w:pStyle w:val="13"/>
        <w:rPr>
          <w:rFonts w:hint="eastAsia" w:eastAsia="宋体"/>
          <w:lang w:val="en-US" w:eastAsia="zh-CN"/>
        </w:rPr>
      </w:pPr>
      <w:r>
        <w:rPr>
          <w:rFonts w:hint="eastAsia"/>
          <w:lang w:val="en-US" w:eastAsia="zh-CN"/>
        </w:rPr>
        <w:t>已修改</w:t>
      </w:r>
    </w:p>
  </w:comment>
  <w:comment w:id="4" w:author="Mr.锐" w:date="2024-04-16T11:12:10Z" w:initials="G.R">
    <w:p w14:paraId="39D35EA4">
      <w:pPr>
        <w:pStyle w:val="13"/>
        <w:rPr>
          <w:rFonts w:hint="default" w:eastAsia="宋体"/>
          <w:lang w:val="en-US" w:eastAsia="zh-CN"/>
        </w:rPr>
      </w:pPr>
      <w:r>
        <w:rPr>
          <w:rFonts w:hint="eastAsia"/>
          <w:lang w:val="en-US" w:eastAsia="zh-CN"/>
        </w:rPr>
        <w:t>建议加一列日平均产生量</w:t>
      </w:r>
    </w:p>
  </w:comment>
  <w:comment w:id="5" w:author="阿甘" w:date="2024-04-16T17:35:17Z" w:initials="">
    <w:p w14:paraId="66F304C2">
      <w:pPr>
        <w:pStyle w:val="13"/>
        <w:rPr>
          <w:rFonts w:hint="eastAsia" w:eastAsia="宋体"/>
          <w:lang w:val="en-US" w:eastAsia="zh-CN"/>
        </w:rPr>
      </w:pPr>
      <w:r>
        <w:rPr>
          <w:rFonts w:hint="eastAsia"/>
          <w:lang w:val="en-US" w:eastAsia="zh-CN"/>
        </w:rPr>
        <w:t>已修改</w:t>
      </w:r>
    </w:p>
  </w:comment>
  <w:comment w:id="6" w:author="Mr.锐" w:date="2024-04-16T11:17:21Z" w:initials="G.R">
    <w:p w14:paraId="2B7A2E16">
      <w:pPr>
        <w:pStyle w:val="13"/>
        <w:rPr>
          <w:rFonts w:hint="eastAsia" w:eastAsia="宋体"/>
          <w:lang w:val="en-US" w:eastAsia="zh-CN"/>
        </w:rPr>
      </w:pPr>
      <w:r>
        <w:rPr>
          <w:rFonts w:hint="eastAsia"/>
          <w:lang w:val="en-US" w:eastAsia="zh-CN"/>
        </w:rPr>
        <w:t>设计</w:t>
      </w:r>
    </w:p>
  </w:comment>
  <w:comment w:id="7" w:author="Mr.锐" w:date="2024-04-16T11:22:23Z" w:initials="G.R">
    <w:p w14:paraId="545E2714">
      <w:pPr>
        <w:pStyle w:val="13"/>
        <w:rPr>
          <w:rFonts w:hint="default" w:eastAsia="宋体"/>
          <w:lang w:val="en-US" w:eastAsia="zh-CN"/>
        </w:rPr>
      </w:pPr>
      <w:r>
        <w:rPr>
          <w:rFonts w:hint="eastAsia"/>
          <w:lang w:val="en-US" w:eastAsia="zh-CN"/>
        </w:rPr>
        <w:t>补充完善：回用量，随铝壳清洗后，进入清洗废水的量，这部分为损耗量，年需补充拉伸油的量。</w:t>
      </w:r>
    </w:p>
  </w:comment>
  <w:comment w:id="8" w:author="阿甘" w:date="2024-04-16T19:15:53Z" w:initials="">
    <w:p w14:paraId="17FD39EA">
      <w:pPr>
        <w:pStyle w:val="13"/>
        <w:rPr>
          <w:rFonts w:hint="default" w:eastAsia="宋体"/>
          <w:lang w:val="en-US" w:eastAsia="zh-CN"/>
        </w:rPr>
      </w:pPr>
      <w:r>
        <w:rPr>
          <w:rFonts w:hint="eastAsia"/>
          <w:lang w:val="en-US" w:eastAsia="zh-CN"/>
        </w:rPr>
        <w:t>已修改</w:t>
      </w:r>
    </w:p>
  </w:comment>
  <w:comment w:id="9" w:author="Mr.锐" w:date="2024-04-16T11:27:35Z" w:initials="G.R">
    <w:p w14:paraId="0F8D0CD3">
      <w:pPr>
        <w:pStyle w:val="13"/>
        <w:rPr>
          <w:rFonts w:hint="default" w:eastAsia="宋体"/>
          <w:lang w:val="en-US" w:eastAsia="zh-CN"/>
        </w:rPr>
      </w:pPr>
      <w:r>
        <w:rPr>
          <w:rFonts w:hint="eastAsia"/>
          <w:lang w:val="en-US" w:eastAsia="zh-CN"/>
        </w:rPr>
        <w:t>同上</w:t>
      </w:r>
    </w:p>
  </w:comment>
  <w:comment w:id="10" w:author="阿甘" w:date="2024-04-16T20:13:36Z" w:initials="">
    <w:p w14:paraId="6D037857">
      <w:pPr>
        <w:pStyle w:val="13"/>
      </w:pPr>
      <w:r>
        <w:annotationRef/>
      </w:r>
    </w:p>
  </w:comment>
  <w:comment w:id="11" w:author="Mr.锐" w:date="2024-04-16T11:56:40Z" w:initials="G.R">
    <w:p w14:paraId="590D3C15">
      <w:pPr>
        <w:pStyle w:val="13"/>
        <w:rPr>
          <w:rFonts w:hint="default" w:eastAsia="宋体"/>
          <w:lang w:val="en-US" w:eastAsia="zh-CN"/>
        </w:rPr>
      </w:pPr>
      <w:r>
        <w:rPr>
          <w:rFonts w:hint="eastAsia"/>
          <w:lang w:val="en-US" w:eastAsia="zh-CN"/>
        </w:rPr>
        <w:t>明确冲压过程无油，边角料不含油</w:t>
      </w:r>
    </w:p>
  </w:comment>
  <w:comment w:id="12" w:author="Mr.锐" w:date="2024-04-16T11:55:58Z" w:initials="G.R">
    <w:p w14:paraId="021E6F49">
      <w:pPr>
        <w:pStyle w:val="13"/>
        <w:rPr>
          <w:rFonts w:hint="default" w:eastAsia="宋体"/>
          <w:lang w:val="en-US" w:eastAsia="zh-CN"/>
        </w:rPr>
      </w:pPr>
      <w:r>
        <w:rPr>
          <w:rFonts w:hint="eastAsia"/>
          <w:lang w:val="en-US" w:eastAsia="zh-CN"/>
        </w:rPr>
        <w:t>单个产品。量</w:t>
      </w:r>
    </w:p>
  </w:comment>
  <w:comment w:id="13" w:author="阿甘" w:date="2024-04-16T18:16:53Z" w:initials="">
    <w:p w14:paraId="6C9D3235">
      <w:pPr>
        <w:pStyle w:val="13"/>
        <w:rPr>
          <w:rFonts w:hint="default" w:eastAsia="宋体"/>
          <w:lang w:val="en-US" w:eastAsia="zh-CN"/>
        </w:rPr>
      </w:pPr>
      <w:r>
        <w:rPr>
          <w:rFonts w:hint="eastAsia"/>
          <w:lang w:val="en-US" w:eastAsia="zh-CN"/>
        </w:rPr>
        <w:t>已补充</w:t>
      </w:r>
    </w:p>
  </w:comment>
  <w:comment w:id="14" w:author="Mr.锐" w:date="2024-04-16T14:10:35Z" w:initials="G.R">
    <w:p w14:paraId="55AD100F">
      <w:pPr>
        <w:pStyle w:val="13"/>
        <w:rPr>
          <w:rFonts w:hint="default" w:eastAsia="宋体"/>
          <w:lang w:val="en-US" w:eastAsia="zh-CN"/>
        </w:rPr>
      </w:pPr>
      <w:r>
        <w:rPr>
          <w:rFonts w:hint="eastAsia"/>
          <w:lang w:val="en-US" w:eastAsia="zh-CN"/>
        </w:rPr>
        <w:t>补充各危废最大产生量，核实贮存能力是否满足项目需求</w:t>
      </w:r>
    </w:p>
  </w:comment>
  <w:comment w:id="15" w:author="Mr.锐" w:date="2024-04-16T14:12:35Z" w:initials="G.R">
    <w:p w14:paraId="45343D25">
      <w:pPr>
        <w:pStyle w:val="13"/>
        <w:numPr>
          <w:ilvl w:val="0"/>
          <w:numId w:val="3"/>
        </w:numPr>
        <w:rPr>
          <w:rFonts w:hint="eastAsia"/>
          <w:lang w:val="en-US" w:eastAsia="zh-CN"/>
        </w:rPr>
      </w:pPr>
      <w:r>
        <w:rPr>
          <w:rFonts w:hint="eastAsia"/>
          <w:lang w:val="en-US" w:eastAsia="zh-CN"/>
        </w:rPr>
        <w:t>补充危险废物中的环境风险物质</w:t>
      </w:r>
    </w:p>
    <w:p w14:paraId="11017B53">
      <w:pPr>
        <w:pStyle w:val="13"/>
        <w:numPr>
          <w:ilvl w:val="0"/>
          <w:numId w:val="3"/>
        </w:numPr>
        <w:rPr>
          <w:rFonts w:hint="default"/>
          <w:lang w:val="en-US" w:eastAsia="zh-CN"/>
        </w:rPr>
      </w:pPr>
      <w:r>
        <w:rPr>
          <w:rFonts w:hint="eastAsia"/>
          <w:lang w:val="en-US" w:eastAsia="zh-CN"/>
        </w:rPr>
        <w:t>补充q值计算</w:t>
      </w:r>
    </w:p>
  </w:comment>
  <w:comment w:id="16" w:author="阿甘" w:date="2024-04-16T18:41:59Z" w:initials="">
    <w:p w14:paraId="62457F05">
      <w:pPr>
        <w:pStyle w:val="13"/>
        <w:rPr>
          <w:rFonts w:hint="eastAsia" w:eastAsia="宋体"/>
          <w:lang w:val="en-US" w:eastAsia="zh-CN"/>
        </w:rPr>
      </w:pPr>
      <w:r>
        <w:rPr>
          <w:rFonts w:hint="eastAsia"/>
          <w:lang w:val="en-US" w:eastAsia="zh-CN"/>
        </w:rPr>
        <w:t>已补充</w:t>
      </w:r>
    </w:p>
  </w:comment>
  <w:comment w:id="17" w:author="Mr.锐" w:date="2024-04-16T14:29:54Z" w:initials="G.R">
    <w:p w14:paraId="17BE4150">
      <w:pPr>
        <w:pStyle w:val="13"/>
        <w:rPr>
          <w:color w:val="auto"/>
        </w:rPr>
      </w:pPr>
      <w:r>
        <w:rPr>
          <w:rFonts w:hint="eastAsia"/>
          <w:b w:val="0"/>
          <w:color w:val="auto"/>
        </w:rPr>
        <w:t>加强车间</w:t>
      </w:r>
      <w:r>
        <w:rPr>
          <w:rFonts w:hint="eastAsia"/>
          <w:b w:val="0"/>
          <w:color w:val="auto"/>
          <w:lang w:val="en-US" w:eastAsia="zh-CN"/>
        </w:rPr>
        <w:t>通风，及时清扫设备周边沉降金属颗粒物，避免造成二次污染</w:t>
      </w:r>
      <w:r>
        <w:rPr>
          <w:rFonts w:hint="eastAsia"/>
          <w:b w:val="0"/>
          <w:color w:val="auto"/>
          <w:lang w:eastAsia="zh-CN"/>
        </w:rPr>
        <w:t>。</w:t>
      </w:r>
    </w:p>
  </w:comment>
  <w:comment w:id="18" w:author="Mr.锐" w:date="2024-04-16T14:45:14Z" w:initials="G.R">
    <w:p w14:paraId="72414FF4">
      <w:pPr>
        <w:pStyle w:val="13"/>
        <w:rPr>
          <w:rFonts w:hint="default" w:eastAsia="宋体"/>
          <w:lang w:val="en-US" w:eastAsia="zh-CN"/>
        </w:rPr>
      </w:pPr>
      <w:r>
        <w:rPr>
          <w:rFonts w:hint="eastAsia"/>
          <w:lang w:val="en-US" w:eastAsia="zh-CN"/>
        </w:rPr>
        <w:t>不涉及表面处理等通用工序重点管理和简化管理</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E5F791B" w15:done="0"/>
  <w15:commentEx w15:paraId="6BDD7625" w15:done="0"/>
  <w15:commentEx w15:paraId="45A31D9B" w15:done="0"/>
  <w15:commentEx w15:paraId="1B2E73F5" w15:done="0" w15:paraIdParent="45A31D9B"/>
  <w15:commentEx w15:paraId="39D35EA4" w15:done="0"/>
  <w15:commentEx w15:paraId="66F304C2" w15:done="0" w15:paraIdParent="39D35EA4"/>
  <w15:commentEx w15:paraId="2B7A2E16" w15:done="0"/>
  <w15:commentEx w15:paraId="545E2714" w15:done="0"/>
  <w15:commentEx w15:paraId="17FD39EA" w15:done="0" w15:paraIdParent="545E2714"/>
  <w15:commentEx w15:paraId="0F8D0CD3" w15:done="0"/>
  <w15:commentEx w15:paraId="6D037857" w15:done="0"/>
  <w15:commentEx w15:paraId="590D3C15" w15:done="0"/>
  <w15:commentEx w15:paraId="021E6F49" w15:done="0"/>
  <w15:commentEx w15:paraId="6C9D3235" w15:done="0" w15:paraIdParent="021E6F49"/>
  <w15:commentEx w15:paraId="55AD100F" w15:done="0"/>
  <w15:commentEx w15:paraId="11017B53" w15:done="0"/>
  <w15:commentEx w15:paraId="62457F05" w15:done="0" w15:paraIdParent="11017B53"/>
  <w15:commentEx w15:paraId="17BE4150" w15:done="0"/>
  <w15:commentEx w15:paraId="72414FF4" w15:done="0"/>
</w15:commentsEx>
</file>

<file path=word/customizations.xml><?xml version="1.0" encoding="utf-8"?>
<wne:tcg xmlns:r="http://schemas.openxmlformats.org/officeDocument/2006/relationships" xmlns:wne="http://schemas.microsoft.com/office/word/2006/wordml">
  <wne:keymaps>
    <wne:keymap wne:kcmPrimary="0632">
      <wne:acd wne:acdName="acd0"/>
    </wne:keymap>
    <wne:keymap wne:kcmPrimary="0633">
      <wne:acd wne:acdName="acd1"/>
    </wne:keymap>
    <wne:keymap wne:kcmPrimary="0634">
      <wne:acd wne:acdName="acd2"/>
    </wne:keymap>
    <wne:keymap wne:kcmPrimary="0635">
      <wne:acd wne:acdName="acd3"/>
    </wne:keymap>
    <wne:keymap wne:kcmPrimary="0642">
      <wne:acd wne:acdName="acd4"/>
    </wne:keymap>
    <wne:keymap wne:kcmPrimary="0647">
      <wne:acd wne:acdName="acd5"/>
    </wne:keymap>
    <wne:keymap wne:kcmPrimary="06DE">
      <wne:acd wne:acdName="acd6"/>
    </wne:keymap>
  </wne:keymaps>
  <wne:acds>
    <wne:acd wne:argValue="AQAAAAIA" wne:acdName="acd0" wne:fciIndexBasedOn="0065"/>
    <wne:acd wne:argValue="AQAAAAMA" wne:acdName="acd1" wne:fciIndexBasedOn="0065"/>
    <wne:acd wne:argValue="AQAAAAQA" wne:acdName="acd2" wne:fciIndexBasedOn="0065"/>
    <wne:acd wne:argValue="AQAAAAUA" wne:acdName="acd3" wne:fciIndexBasedOn="0065"/>
    <wne:acd wne:argValue="AgBoiDxoB2iYmA==" wne:acdName="acd4" wne:fciIndexBasedOn="0065"/>
    <wne:acd wne:argValue="AgD+VodlB2iYmA==" wne:acdName="acd5" wne:fciIndexBasedOn="0065"/>
    <wne:acd wne:argValue="AgD9lRtSpWJKVGNrh2U=" wne:acdName="acd6"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328804F-1C6F-482D-B2A2-ECF01BD39B5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embedRegular r:id="rId2" w:fontKey="{64BC37B3-68B5-481E-9CB0-4F28D24ED876}"/>
  </w:font>
  <w:font w:name="仿宋_GB2312">
    <w:panose1 w:val="02010609030101010101"/>
    <w:charset w:val="86"/>
    <w:family w:val="modern"/>
    <w:pitch w:val="default"/>
    <w:sig w:usb0="00000001" w:usb1="080E0000" w:usb2="00000000" w:usb3="00000000" w:csb0="00040000" w:csb1="00000000"/>
    <w:embedRegular r:id="rId3" w:fontKey="{A07EA4D2-4344-4590-800E-5BB86F97B863}"/>
  </w:font>
  <w:font w:name="方正小标宋_GBK">
    <w:panose1 w:val="02000000000000000000"/>
    <w:charset w:val="86"/>
    <w:family w:val="script"/>
    <w:pitch w:val="default"/>
    <w:sig w:usb0="A00002BF" w:usb1="38CF7CFA" w:usb2="00082016" w:usb3="00000000" w:csb0="00040001" w:csb1="00000000"/>
    <w:embedRegular r:id="rId4" w:fontKey="{9B56E695-B69F-42A0-A4CA-42D214F4C795}"/>
  </w:font>
  <w:font w:name="仿宋">
    <w:panose1 w:val="02010609060101010101"/>
    <w:charset w:val="86"/>
    <w:family w:val="auto"/>
    <w:pitch w:val="default"/>
    <w:sig w:usb0="800002BF" w:usb1="38CF7CFA" w:usb2="00000016" w:usb3="00000000" w:csb0="00040001" w:csb1="00000000"/>
    <w:embedRegular r:id="rId5" w:fontKey="{5A16B943-A31D-433D-8ED1-2270A3C1FB06}"/>
  </w:font>
  <w:font w:name="Wingdings 2">
    <w:panose1 w:val="05020102010507070707"/>
    <w:charset w:val="02"/>
    <w:family w:val="roman"/>
    <w:pitch w:val="default"/>
    <w:sig w:usb0="00000000" w:usb1="00000000" w:usb2="00000000" w:usb3="00000000" w:csb0="80000000" w:csb1="00000000"/>
    <w:embedRegular r:id="rId6" w:fontKey="{01D2445A-D07A-411F-8ACA-C2D37C79C300}"/>
  </w:font>
  <w:font w:name="Cambria Math">
    <w:panose1 w:val="02040503050406030204"/>
    <w:charset w:val="00"/>
    <w:family w:val="auto"/>
    <w:pitch w:val="default"/>
    <w:sig w:usb0="E00006FF" w:usb1="420024FF" w:usb2="02000000" w:usb3="00000000" w:csb0="2000019F" w:csb1="00000000"/>
    <w:embedRegular r:id="rId7" w:fontKey="{D6528ABC-9EF2-424C-A9B8-04C12F1C4418}"/>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rPr>
                              <w:sz w:val="21"/>
                              <w:szCs w:val="22"/>
                            </w:rPr>
                          </w:pPr>
                          <w:r>
                            <w:rPr>
                              <w:rFonts w:hint="eastAsia"/>
                            </w:rPr>
                            <w:fldChar w:fldCharType="begin"/>
                          </w:r>
                          <w:r>
                            <w:rPr>
                              <w:rFonts w:hint="eastAsia"/>
                            </w:rPr>
                            <w:instrText xml:space="preserve"> PAGE  \* MERGEFORMAT </w:instrText>
                          </w:r>
                          <w:r>
                            <w:rPr>
                              <w:rFonts w:hint="eastAsia"/>
                            </w:rPr>
                            <w:fldChar w:fldCharType="separate"/>
                          </w:r>
                          <w:r>
                            <w:t>- 19 -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21"/>
                      <w:rPr>
                        <w:sz w:val="21"/>
                        <w:szCs w:val="22"/>
                      </w:rPr>
                    </w:pPr>
                    <w:r>
                      <w:rPr>
                        <w:rFonts w:hint="eastAsia"/>
                      </w:rPr>
                      <w:fldChar w:fldCharType="begin"/>
                    </w:r>
                    <w:r>
                      <w:rPr>
                        <w:rFonts w:hint="eastAsia"/>
                      </w:rPr>
                      <w:instrText xml:space="preserve"> PAGE  \* MERGEFORMAT </w:instrText>
                    </w:r>
                    <w:r>
                      <w:rPr>
                        <w:rFonts w:hint="eastAsia"/>
                      </w:rPr>
                      <w:fldChar w:fldCharType="separate"/>
                    </w:r>
                    <w:r>
                      <w:t>- 19 -</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- 57 -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56+Us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nr5SwCAABXBAAADgAAAAAAAAABACAAAAAfAQAAZHJzL2Uyb0RvYy54bWxQSwUGAAAAAAYA&#10;BgBZAQAAvQU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- 57 -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D13950"/>
    <w:multiLevelType w:val="multilevel"/>
    <w:tmpl w:val="ACD13950"/>
    <w:lvl w:ilvl="0" w:tentative="0">
      <w:start w:val="1"/>
      <w:numFmt w:val="chineseCounting"/>
      <w:pStyle w:val="3"/>
      <w:suff w:val="nothing"/>
      <w:lvlText w:val="%1、"/>
      <w:lvlJc w:val="left"/>
      <w:pPr>
        <w:tabs>
          <w:tab w:val="left" w:pos="420"/>
        </w:tabs>
        <w:ind w:left="432" w:hanging="432"/>
      </w:pPr>
      <w:rPr>
        <w:rFonts w:hint="eastAsia" w:ascii="Times New Roman" w:hAnsi="Times New Roman" w:eastAsia="黑体" w:cs="宋体"/>
        <w:b w:val="0"/>
        <w:bCs w:val="0"/>
        <w:sz w:val="30"/>
        <w:szCs w:val="32"/>
      </w:rPr>
    </w:lvl>
    <w:lvl w:ilvl="1" w:tentative="0">
      <w:start w:val="1"/>
      <w:numFmt w:val="decimal"/>
      <w:pStyle w:val="4"/>
      <w:isLgl/>
      <w:suff w:val="space"/>
      <w:lvlText w:val="%2"/>
      <w:lvlJc w:val="left"/>
      <w:pPr>
        <w:tabs>
          <w:tab w:val="left" w:pos="420"/>
        </w:tabs>
        <w:ind w:left="0" w:firstLine="0"/>
      </w:pPr>
      <w:rPr>
        <w:rFonts w:hint="eastAsia" w:ascii="Times New Roman" w:hAnsi="Times New Roman" w:eastAsia="宋体" w:cs="宋体"/>
        <w:b/>
        <w:bCs/>
        <w:sz w:val="28"/>
        <w:szCs w:val="30"/>
      </w:rPr>
    </w:lvl>
    <w:lvl w:ilvl="2" w:tentative="0">
      <w:start w:val="1"/>
      <w:numFmt w:val="decimal"/>
      <w:pStyle w:val="5"/>
      <w:isLgl/>
      <w:suff w:val="space"/>
      <w:lvlText w:val="%2.%3"/>
      <w:lvlJc w:val="left"/>
      <w:pPr>
        <w:tabs>
          <w:tab w:val="left" w:pos="0"/>
        </w:tabs>
        <w:ind w:left="720" w:hanging="720"/>
      </w:pPr>
      <w:rPr>
        <w:rFonts w:hint="eastAsia" w:ascii="Times New Roman" w:hAnsi="Times New Roman" w:eastAsia="宋体" w:cs="宋体"/>
        <w:b/>
        <w:bCs w:val="0"/>
        <w:i w:val="0"/>
        <w:sz w:val="24"/>
        <w:szCs w:val="24"/>
      </w:rPr>
    </w:lvl>
    <w:lvl w:ilvl="3" w:tentative="0">
      <w:start w:val="1"/>
      <w:numFmt w:val="decimal"/>
      <w:pStyle w:val="6"/>
      <w:isLgl/>
      <w:suff w:val="space"/>
      <w:lvlText w:val="%2.%3.%4"/>
      <w:lvlJc w:val="left"/>
      <w:pPr>
        <w:tabs>
          <w:tab w:val="left" w:pos="0"/>
        </w:tabs>
        <w:ind w:left="3174" w:hanging="864"/>
      </w:pPr>
      <w:rPr>
        <w:rFonts w:hint="eastAsia" w:ascii="Times New Roman" w:hAnsi="Times New Roman" w:eastAsia="宋体" w:cs="宋体"/>
        <w:sz w:val="24"/>
        <w:szCs w:val="24"/>
      </w:rPr>
    </w:lvl>
    <w:lvl w:ilvl="4" w:tentative="0">
      <w:start w:val="1"/>
      <w:numFmt w:val="decimal"/>
      <w:isLgl/>
      <w:suff w:val="nothing"/>
      <w:lvlText w:val="   （%5）"/>
      <w:lvlJc w:val="left"/>
      <w:pPr>
        <w:tabs>
          <w:tab w:val="left" w:pos="420"/>
        </w:tabs>
        <w:ind w:left="0" w:firstLine="0"/>
      </w:pPr>
      <w:rPr>
        <w:rFonts w:hint="eastAsia" w:ascii="Times New Roman" w:hAnsi="Times New Roman" w:eastAsia="宋体" w:cs="宋体"/>
        <w:sz w:val="24"/>
        <w:szCs w:val="24"/>
      </w:rPr>
    </w:lvl>
    <w:lvl w:ilvl="5" w:tentative="0">
      <w:start w:val="1"/>
      <w:numFmt w:val="decimalEnclosedCircleChinese"/>
      <w:suff w:val="nothing"/>
      <w:lvlText w:val="%6"/>
      <w:lvlJc w:val="left"/>
      <w:pPr>
        <w:tabs>
          <w:tab w:val="left" w:pos="420"/>
        </w:tabs>
        <w:ind w:left="1151" w:hanging="1151"/>
      </w:pPr>
      <w:rPr>
        <w:rFonts w:hint="eastAsia" w:ascii="宋体" w:hAnsi="宋体" w:eastAsia="宋体" w:cs="宋体"/>
      </w:rPr>
    </w:lvl>
    <w:lvl w:ilvl="6" w:tentative="0">
      <w:start w:val="1"/>
      <w:numFmt w:val="upperLetter"/>
      <w:lvlText w:val="%7."/>
      <w:lvlJc w:val="left"/>
      <w:pPr>
        <w:tabs>
          <w:tab w:val="left" w:pos="420"/>
        </w:tabs>
        <w:ind w:left="1296" w:hanging="1296"/>
      </w:pPr>
      <w:rPr>
        <w:rFonts w:hint="eastAsia" w:ascii="Times New Roman" w:hAnsi="Times New Roman" w:eastAsia="宋体" w:cs="宋体"/>
      </w:rPr>
    </w:lvl>
    <w:lvl w:ilvl="7" w:tentative="0">
      <w:start w:val="1"/>
      <w:numFmt w:val="decimal"/>
      <w:lvlRestart w:val="0"/>
      <w:pStyle w:val="36"/>
      <w:isLgl/>
      <w:suff w:val="space"/>
      <w:lvlText w:val="表%8"/>
      <w:lvlJc w:val="left"/>
      <w:pPr>
        <w:tabs>
          <w:tab w:val="left" w:pos="2126"/>
        </w:tabs>
        <w:ind w:left="5246" w:hanging="1440"/>
      </w:pPr>
      <w:rPr>
        <w:rFonts w:hint="eastAsia" w:ascii="Times New Roman" w:hAnsi="Times New Roman" w:eastAsia="宋体" w:cs="宋体"/>
      </w:rPr>
    </w:lvl>
    <w:lvl w:ilvl="8" w:tentative="0">
      <w:start w:val="1"/>
      <w:numFmt w:val="decimal"/>
      <w:lvlRestart w:val="0"/>
      <w:pStyle w:val="38"/>
      <w:isLgl/>
      <w:suff w:val="space"/>
      <w:lvlText w:val="图%9"/>
      <w:lvlJc w:val="left"/>
      <w:pPr>
        <w:tabs>
          <w:tab w:val="left" w:pos="0"/>
        </w:tabs>
        <w:ind w:left="1583" w:hanging="1583"/>
      </w:pPr>
      <w:rPr>
        <w:rFonts w:hint="default" w:ascii="Times New Roman" w:hAnsi="Times New Roman" w:eastAsia="宋体" w:cs="Times New Roman"/>
        <w:sz w:val="24"/>
        <w:szCs w:val="24"/>
      </w:rPr>
    </w:lvl>
  </w:abstractNum>
  <w:abstractNum w:abstractNumId="1">
    <w:nsid w:val="DCA609A8"/>
    <w:multiLevelType w:val="singleLevel"/>
    <w:tmpl w:val="DCA609A8"/>
    <w:lvl w:ilvl="0" w:tentative="0">
      <w:start w:val="1"/>
      <w:numFmt w:val="decimal"/>
      <w:suff w:val="nothing"/>
      <w:lvlText w:val="%1、"/>
      <w:lvlJc w:val="left"/>
    </w:lvl>
  </w:abstractNum>
  <w:abstractNum w:abstractNumId="2">
    <w:nsid w:val="DD437FAE"/>
    <w:multiLevelType w:val="singleLevel"/>
    <w:tmpl w:val="DD437FAE"/>
    <w:lvl w:ilvl="0" w:tentative="0">
      <w:start w:val="2"/>
      <w:numFmt w:val="decimal"/>
      <w:suff w:val="nothing"/>
      <w:lvlText w:val="（%1）"/>
      <w:lvlJc w:val="left"/>
    </w:lvl>
  </w:abstractNum>
  <w:abstractNum w:abstractNumId="3">
    <w:nsid w:val="FD8345D2"/>
    <w:multiLevelType w:val="singleLevel"/>
    <w:tmpl w:val="FD8345D2"/>
    <w:lvl w:ilvl="0" w:tentative="0">
      <w:start w:val="1"/>
      <w:numFmt w:val="decimal"/>
      <w:suff w:val="nothing"/>
      <w:lvlText w:val="（%1）"/>
      <w:lvlJc w:val="left"/>
    </w:lvl>
  </w:abstractNum>
  <w:abstractNum w:abstractNumId="4">
    <w:nsid w:val="149DE4CC"/>
    <w:multiLevelType w:val="singleLevel"/>
    <w:tmpl w:val="149DE4CC"/>
    <w:lvl w:ilvl="0" w:tentative="0">
      <w:start w:val="3"/>
      <w:numFmt w:val="decimal"/>
      <w:suff w:val="nothing"/>
      <w:lvlText w:val="（%1）"/>
      <w:lvlJc w:val="left"/>
    </w:lvl>
  </w:abstractNum>
  <w:abstractNum w:abstractNumId="5">
    <w:nsid w:val="2C9C2583"/>
    <w:multiLevelType w:val="singleLevel"/>
    <w:tmpl w:val="2C9C2583"/>
    <w:lvl w:ilvl="0" w:tentative="0">
      <w:start w:val="1"/>
      <w:numFmt w:val="decimal"/>
      <w:suff w:val="nothing"/>
      <w:lvlText w:val="（%1）"/>
      <w:lvlJc w:val="left"/>
    </w:lvl>
  </w:abstractNum>
  <w:abstractNum w:abstractNumId="6">
    <w:nsid w:val="42EBADFC"/>
    <w:multiLevelType w:val="singleLevel"/>
    <w:tmpl w:val="42EBADFC"/>
    <w:lvl w:ilvl="0" w:tentative="0">
      <w:start w:val="1"/>
      <w:numFmt w:val="decimal"/>
      <w:suff w:val="nothing"/>
      <w:lvlText w:val="（%1）"/>
      <w:lvlJc w:val="left"/>
    </w:lvl>
  </w:abstractNum>
  <w:abstractNum w:abstractNumId="7">
    <w:nsid w:val="5372EEEA"/>
    <w:multiLevelType w:val="singleLevel"/>
    <w:tmpl w:val="5372EEEA"/>
    <w:lvl w:ilvl="0" w:tentative="0">
      <w:start w:val="1"/>
      <w:numFmt w:val="chineseCounting"/>
      <w:suff w:val="nothing"/>
      <w:lvlText w:val="%1、"/>
      <w:lvlJc w:val="left"/>
      <w:rPr>
        <w:rFonts w:hint="eastAsia"/>
      </w:rPr>
    </w:lvl>
  </w:abstractNum>
  <w:abstractNum w:abstractNumId="8">
    <w:nsid w:val="614F3D4F"/>
    <w:multiLevelType w:val="multilevel"/>
    <w:tmpl w:val="614F3D4F"/>
    <w:lvl w:ilvl="0" w:tentative="0">
      <w:start w:val="1"/>
      <w:numFmt w:val="chineseCounting"/>
      <w:suff w:val="space"/>
      <w:lvlText w:val="%1、"/>
      <w:lvlJc w:val="left"/>
      <w:pPr>
        <w:tabs>
          <w:tab w:val="left" w:pos="0"/>
        </w:tabs>
        <w:ind w:left="432" w:hanging="432"/>
      </w:pPr>
      <w:rPr>
        <w:rFonts w:hint="eastAsia" w:ascii="宋体" w:hAnsi="宋体" w:eastAsia="宋体" w:cs="宋体"/>
        <w:b/>
        <w:bCs/>
        <w:sz w:val="32"/>
        <w:szCs w:val="32"/>
      </w:rPr>
    </w:lvl>
    <w:lvl w:ilvl="1" w:tentative="0">
      <w:start w:val="1"/>
      <w:numFmt w:val="decimal"/>
      <w:isLgl/>
      <w:suff w:val="space"/>
      <w:lvlText w:val="%1.%2"/>
      <w:lvlJc w:val="left"/>
      <w:pPr>
        <w:tabs>
          <w:tab w:val="left" w:pos="0"/>
        </w:tabs>
        <w:ind w:left="0" w:firstLine="0"/>
      </w:pPr>
      <w:rPr>
        <w:rFonts w:hint="eastAsia" w:ascii="Times New Roman" w:hAnsi="Times New Roman" w:eastAsia="宋体" w:cs="楷体_GB2312"/>
        <w:b/>
        <w:bCs/>
        <w:sz w:val="30"/>
        <w:szCs w:val="30"/>
      </w:rPr>
    </w:lvl>
    <w:lvl w:ilvl="2" w:tentative="0">
      <w:start w:val="1"/>
      <w:numFmt w:val="decimal"/>
      <w:isLgl/>
      <w:suff w:val="space"/>
      <w:lvlText w:val="%1.%2.%3"/>
      <w:lvlJc w:val="left"/>
      <w:pPr>
        <w:tabs>
          <w:tab w:val="left" w:pos="0"/>
        </w:tabs>
        <w:ind w:left="720" w:hanging="720"/>
      </w:pPr>
      <w:rPr>
        <w:rFonts w:hint="eastAsia" w:ascii="Times New Roman" w:hAnsi="Times New Roman" w:eastAsia="宋体" w:cs="楷体_GB2312"/>
        <w:b/>
        <w:bCs/>
        <w:sz w:val="24"/>
        <w:szCs w:val="28"/>
      </w:rPr>
    </w:lvl>
    <w:lvl w:ilvl="3" w:tentative="0">
      <w:start w:val="1"/>
      <w:numFmt w:val="decimal"/>
      <w:isLgl/>
      <w:suff w:val="space"/>
      <w:lvlText w:val="%1.%2.%3.%4"/>
      <w:lvlJc w:val="left"/>
      <w:pPr>
        <w:tabs>
          <w:tab w:val="left" w:pos="420"/>
        </w:tabs>
        <w:ind w:left="864" w:hanging="864"/>
      </w:pPr>
      <w:rPr>
        <w:rFonts w:hint="eastAsia" w:ascii="Times New Roman" w:hAnsi="Times New Roman" w:eastAsia="宋体" w:cs="宋体"/>
        <w:sz w:val="24"/>
        <w:szCs w:val="24"/>
      </w:rPr>
    </w:lvl>
    <w:lvl w:ilvl="4" w:tentative="0">
      <w:start w:val="1"/>
      <w:numFmt w:val="decimal"/>
      <w:pStyle w:val="7"/>
      <w:isLgl/>
      <w:suff w:val="nothing"/>
      <w:lvlText w:val="（%5）"/>
      <w:lvlJc w:val="left"/>
      <w:pPr>
        <w:tabs>
          <w:tab w:val="left" w:pos="420"/>
        </w:tabs>
        <w:ind w:left="0" w:firstLine="0"/>
      </w:pPr>
      <w:rPr>
        <w:rFonts w:hint="eastAsia" w:ascii="Times New Roman" w:hAnsi="Times New Roman" w:eastAsia="宋体" w:cs="宋体"/>
        <w:sz w:val="21"/>
        <w:szCs w:val="24"/>
      </w:rPr>
    </w:lvl>
    <w:lvl w:ilvl="5" w:tentative="0">
      <w:start w:val="1"/>
      <w:numFmt w:val="decimalEnclosedCircleChinese"/>
      <w:pStyle w:val="8"/>
      <w:suff w:val="nothing"/>
      <w:lvlText w:val="%6"/>
      <w:lvlJc w:val="left"/>
      <w:pPr>
        <w:tabs>
          <w:tab w:val="left" w:pos="0"/>
        </w:tabs>
        <w:ind w:left="1151" w:hanging="1151"/>
      </w:pPr>
      <w:rPr>
        <w:rFonts w:hint="eastAsia" w:ascii="宋体" w:hAnsi="宋体" w:eastAsia="宋体" w:cs="宋体"/>
        <w:sz w:val="24"/>
        <w:szCs w:val="24"/>
      </w:rPr>
    </w:lvl>
    <w:lvl w:ilvl="6" w:tentative="0">
      <w:start w:val="1"/>
      <w:numFmt w:val="upperLetter"/>
      <w:pStyle w:val="9"/>
      <w:lvlText w:val="%7."/>
      <w:lvlJc w:val="left"/>
      <w:pPr>
        <w:tabs>
          <w:tab w:val="left" w:pos="420"/>
        </w:tabs>
        <w:ind w:left="1296" w:hanging="1296"/>
      </w:pPr>
      <w:rPr>
        <w:rFonts w:hint="eastAsia" w:ascii="Times New Roman" w:hAnsi="Times New Roman" w:eastAsia="宋体" w:cs="楷体_GB2312"/>
      </w:rPr>
    </w:lvl>
    <w:lvl w:ilvl="7" w:tentative="0">
      <w:start w:val="1"/>
      <w:numFmt w:val="decimal"/>
      <w:lvlRestart w:val="2"/>
      <w:isLgl/>
      <w:suff w:val="space"/>
      <w:lvlText w:val="表%1.%2-%8"/>
      <w:lvlJc w:val="left"/>
      <w:pPr>
        <w:tabs>
          <w:tab w:val="left" w:pos="0"/>
        </w:tabs>
        <w:ind w:left="1440" w:hanging="1440"/>
      </w:pPr>
      <w:rPr>
        <w:rFonts w:hint="eastAsia" w:ascii="Times New Roman" w:hAnsi="Times New Roman" w:eastAsia="宋体" w:cs="楷体_GB2312"/>
      </w:rPr>
    </w:lvl>
    <w:lvl w:ilvl="8" w:tentative="0">
      <w:start w:val="1"/>
      <w:numFmt w:val="decimal"/>
      <w:lvlRestart w:val="2"/>
      <w:isLgl/>
      <w:suff w:val="space"/>
      <w:lvlText w:val="图%1.%2-%9"/>
      <w:lvlJc w:val="left"/>
      <w:pPr>
        <w:tabs>
          <w:tab w:val="left" w:pos="0"/>
        </w:tabs>
        <w:ind w:left="1583" w:hanging="1583"/>
      </w:pPr>
      <w:rPr>
        <w:rFonts w:hint="eastAsia" w:ascii="Times New Roman" w:hAnsi="Times New Roman" w:eastAsia="宋体" w:cs="宋体"/>
        <w:sz w:val="21"/>
      </w:rPr>
    </w:lvl>
  </w:abstractNum>
  <w:abstractNum w:abstractNumId="9">
    <w:nsid w:val="7C905C6E"/>
    <w:multiLevelType w:val="singleLevel"/>
    <w:tmpl w:val="7C905C6E"/>
    <w:lvl w:ilvl="0" w:tentative="0">
      <w:start w:val="1"/>
      <w:numFmt w:val="decimal"/>
      <w:suff w:val="nothing"/>
      <w:lvlText w:val="（%1）"/>
      <w:lvlJc w:val="left"/>
    </w:lvl>
  </w:abstractNum>
  <w:num w:numId="1">
    <w:abstractNumId w:val="0"/>
  </w:num>
  <w:num w:numId="2">
    <w:abstractNumId w:val="8"/>
  </w:num>
  <w:num w:numId="3">
    <w:abstractNumId w:val="1"/>
  </w:num>
  <w:num w:numId="4">
    <w:abstractNumId w:val="7"/>
  </w:num>
  <w:num w:numId="5">
    <w:abstractNumId w:val="4"/>
  </w:num>
  <w:num w:numId="6">
    <w:abstractNumId w:val="2"/>
  </w:num>
  <w:num w:numId="7">
    <w:abstractNumId w:val="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r.锐">
    <w15:presenceInfo w15:providerId="None" w15:userId="Mr.锐"/>
  </w15:person>
  <w15:person w15:author="阿甘">
    <w15:presenceInfo w15:providerId="WPS Office" w15:userId="36279409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1NjVhZDMwYzk2ZjViNDIzZDMzZTA2ZTkwN2EwMmEifQ=="/>
  </w:docVars>
  <w:rsids>
    <w:rsidRoot w:val="00172A27"/>
    <w:rsid w:val="000060B3"/>
    <w:rsid w:val="0004364B"/>
    <w:rsid w:val="00061B1F"/>
    <w:rsid w:val="0006522C"/>
    <w:rsid w:val="000733C4"/>
    <w:rsid w:val="00074783"/>
    <w:rsid w:val="0008070B"/>
    <w:rsid w:val="000810AC"/>
    <w:rsid w:val="00081A02"/>
    <w:rsid w:val="00082231"/>
    <w:rsid w:val="00092D38"/>
    <w:rsid w:val="0009377B"/>
    <w:rsid w:val="00097EBF"/>
    <w:rsid w:val="000A20C9"/>
    <w:rsid w:val="000B058F"/>
    <w:rsid w:val="000B4467"/>
    <w:rsid w:val="000B4DB9"/>
    <w:rsid w:val="000C09AC"/>
    <w:rsid w:val="000C767F"/>
    <w:rsid w:val="000D5A44"/>
    <w:rsid w:val="000E3ED2"/>
    <w:rsid w:val="000E7B05"/>
    <w:rsid w:val="000F7803"/>
    <w:rsid w:val="00106168"/>
    <w:rsid w:val="00125DDB"/>
    <w:rsid w:val="00126BA0"/>
    <w:rsid w:val="001310AB"/>
    <w:rsid w:val="00131F42"/>
    <w:rsid w:val="001357F1"/>
    <w:rsid w:val="00140FA8"/>
    <w:rsid w:val="00142FEB"/>
    <w:rsid w:val="00143A2D"/>
    <w:rsid w:val="00145A41"/>
    <w:rsid w:val="00151675"/>
    <w:rsid w:val="001556F5"/>
    <w:rsid w:val="00157435"/>
    <w:rsid w:val="00172A27"/>
    <w:rsid w:val="0017504D"/>
    <w:rsid w:val="0017671A"/>
    <w:rsid w:val="00177422"/>
    <w:rsid w:val="00184590"/>
    <w:rsid w:val="001870D1"/>
    <w:rsid w:val="0018781E"/>
    <w:rsid w:val="0019262D"/>
    <w:rsid w:val="001A1B35"/>
    <w:rsid w:val="001A4245"/>
    <w:rsid w:val="001A48A2"/>
    <w:rsid w:val="001A6F61"/>
    <w:rsid w:val="001B72B8"/>
    <w:rsid w:val="001C37F0"/>
    <w:rsid w:val="001C69B3"/>
    <w:rsid w:val="001D5595"/>
    <w:rsid w:val="001D7874"/>
    <w:rsid w:val="001D7F22"/>
    <w:rsid w:val="001F0F17"/>
    <w:rsid w:val="001F3347"/>
    <w:rsid w:val="001F69E4"/>
    <w:rsid w:val="00207C4C"/>
    <w:rsid w:val="002125B4"/>
    <w:rsid w:val="002155B8"/>
    <w:rsid w:val="0021789E"/>
    <w:rsid w:val="00221CE6"/>
    <w:rsid w:val="00224839"/>
    <w:rsid w:val="002249B2"/>
    <w:rsid w:val="00226574"/>
    <w:rsid w:val="002278EC"/>
    <w:rsid w:val="0023280E"/>
    <w:rsid w:val="002377D1"/>
    <w:rsid w:val="002506BC"/>
    <w:rsid w:val="00254345"/>
    <w:rsid w:val="00264557"/>
    <w:rsid w:val="002805AB"/>
    <w:rsid w:val="00284204"/>
    <w:rsid w:val="00291773"/>
    <w:rsid w:val="002A168C"/>
    <w:rsid w:val="002A3DC7"/>
    <w:rsid w:val="002A790B"/>
    <w:rsid w:val="002B49E2"/>
    <w:rsid w:val="002B7B00"/>
    <w:rsid w:val="002B7C44"/>
    <w:rsid w:val="002C2B17"/>
    <w:rsid w:val="002D3DD0"/>
    <w:rsid w:val="002E1171"/>
    <w:rsid w:val="002E1F3A"/>
    <w:rsid w:val="002E298A"/>
    <w:rsid w:val="00301978"/>
    <w:rsid w:val="0030332C"/>
    <w:rsid w:val="003051C2"/>
    <w:rsid w:val="00312296"/>
    <w:rsid w:val="00314F0E"/>
    <w:rsid w:val="00316587"/>
    <w:rsid w:val="00317AB0"/>
    <w:rsid w:val="00321D8E"/>
    <w:rsid w:val="00325928"/>
    <w:rsid w:val="00332863"/>
    <w:rsid w:val="00333720"/>
    <w:rsid w:val="0033684D"/>
    <w:rsid w:val="00337B42"/>
    <w:rsid w:val="00341B42"/>
    <w:rsid w:val="0034348F"/>
    <w:rsid w:val="00356653"/>
    <w:rsid w:val="0035743F"/>
    <w:rsid w:val="00357BE2"/>
    <w:rsid w:val="0036170C"/>
    <w:rsid w:val="00366E0F"/>
    <w:rsid w:val="00381A72"/>
    <w:rsid w:val="00382C34"/>
    <w:rsid w:val="00384676"/>
    <w:rsid w:val="00390857"/>
    <w:rsid w:val="00397119"/>
    <w:rsid w:val="003A2708"/>
    <w:rsid w:val="003A4BF3"/>
    <w:rsid w:val="003B420D"/>
    <w:rsid w:val="003C291C"/>
    <w:rsid w:val="003C6C16"/>
    <w:rsid w:val="003C77F9"/>
    <w:rsid w:val="003D794D"/>
    <w:rsid w:val="003E2146"/>
    <w:rsid w:val="003E3058"/>
    <w:rsid w:val="003E76A9"/>
    <w:rsid w:val="003F0809"/>
    <w:rsid w:val="003F6A8C"/>
    <w:rsid w:val="003F755C"/>
    <w:rsid w:val="004040B0"/>
    <w:rsid w:val="00406F01"/>
    <w:rsid w:val="00416D50"/>
    <w:rsid w:val="00416FD5"/>
    <w:rsid w:val="00417772"/>
    <w:rsid w:val="00420E6A"/>
    <w:rsid w:val="00425A9E"/>
    <w:rsid w:val="00426D6B"/>
    <w:rsid w:val="00431E6C"/>
    <w:rsid w:val="00433CE7"/>
    <w:rsid w:val="00445311"/>
    <w:rsid w:val="00452738"/>
    <w:rsid w:val="00456091"/>
    <w:rsid w:val="00456F4B"/>
    <w:rsid w:val="00466321"/>
    <w:rsid w:val="0047108C"/>
    <w:rsid w:val="00484B9B"/>
    <w:rsid w:val="004855F6"/>
    <w:rsid w:val="0048661E"/>
    <w:rsid w:val="00494670"/>
    <w:rsid w:val="004A3823"/>
    <w:rsid w:val="004A7E40"/>
    <w:rsid w:val="004B3B20"/>
    <w:rsid w:val="004C2A06"/>
    <w:rsid w:val="004E6946"/>
    <w:rsid w:val="004F1AD8"/>
    <w:rsid w:val="005039CB"/>
    <w:rsid w:val="0050558F"/>
    <w:rsid w:val="00506286"/>
    <w:rsid w:val="00510813"/>
    <w:rsid w:val="00511990"/>
    <w:rsid w:val="00511DE0"/>
    <w:rsid w:val="00514870"/>
    <w:rsid w:val="00514B9B"/>
    <w:rsid w:val="00517F02"/>
    <w:rsid w:val="00524303"/>
    <w:rsid w:val="005258A2"/>
    <w:rsid w:val="00535CE5"/>
    <w:rsid w:val="005370A2"/>
    <w:rsid w:val="005401AE"/>
    <w:rsid w:val="00542E07"/>
    <w:rsid w:val="00545424"/>
    <w:rsid w:val="00554A7B"/>
    <w:rsid w:val="0055572C"/>
    <w:rsid w:val="0056106A"/>
    <w:rsid w:val="00563065"/>
    <w:rsid w:val="005720AE"/>
    <w:rsid w:val="00576F26"/>
    <w:rsid w:val="00580973"/>
    <w:rsid w:val="00594D77"/>
    <w:rsid w:val="005969E4"/>
    <w:rsid w:val="005A06B7"/>
    <w:rsid w:val="005A1759"/>
    <w:rsid w:val="005A68A7"/>
    <w:rsid w:val="005B4758"/>
    <w:rsid w:val="005D0C8E"/>
    <w:rsid w:val="005D1031"/>
    <w:rsid w:val="005D36AB"/>
    <w:rsid w:val="005F48A7"/>
    <w:rsid w:val="00617CC3"/>
    <w:rsid w:val="00621233"/>
    <w:rsid w:val="006364FC"/>
    <w:rsid w:val="006377A6"/>
    <w:rsid w:val="00637A3D"/>
    <w:rsid w:val="006411EF"/>
    <w:rsid w:val="00647594"/>
    <w:rsid w:val="00672E48"/>
    <w:rsid w:val="006748B8"/>
    <w:rsid w:val="006775C3"/>
    <w:rsid w:val="0069290A"/>
    <w:rsid w:val="0069775A"/>
    <w:rsid w:val="00697813"/>
    <w:rsid w:val="006A3EE8"/>
    <w:rsid w:val="006A72BF"/>
    <w:rsid w:val="006B03F2"/>
    <w:rsid w:val="006B37DC"/>
    <w:rsid w:val="006B4F68"/>
    <w:rsid w:val="006C0592"/>
    <w:rsid w:val="006C272E"/>
    <w:rsid w:val="006C5479"/>
    <w:rsid w:val="006D13B5"/>
    <w:rsid w:val="006E12FF"/>
    <w:rsid w:val="006E607E"/>
    <w:rsid w:val="00706C5D"/>
    <w:rsid w:val="007306A6"/>
    <w:rsid w:val="00732922"/>
    <w:rsid w:val="0075162E"/>
    <w:rsid w:val="00754034"/>
    <w:rsid w:val="00756556"/>
    <w:rsid w:val="007618C4"/>
    <w:rsid w:val="00761BC6"/>
    <w:rsid w:val="00767980"/>
    <w:rsid w:val="00770B19"/>
    <w:rsid w:val="0077463F"/>
    <w:rsid w:val="007836EA"/>
    <w:rsid w:val="00784CDA"/>
    <w:rsid w:val="007906C4"/>
    <w:rsid w:val="007940EA"/>
    <w:rsid w:val="007967E8"/>
    <w:rsid w:val="007A2170"/>
    <w:rsid w:val="007A22BF"/>
    <w:rsid w:val="007A3323"/>
    <w:rsid w:val="007B72B8"/>
    <w:rsid w:val="007B7A58"/>
    <w:rsid w:val="007C21B5"/>
    <w:rsid w:val="007E4BD2"/>
    <w:rsid w:val="007F20FE"/>
    <w:rsid w:val="007F3496"/>
    <w:rsid w:val="00801393"/>
    <w:rsid w:val="00802F88"/>
    <w:rsid w:val="00806504"/>
    <w:rsid w:val="0081293E"/>
    <w:rsid w:val="00815465"/>
    <w:rsid w:val="00817E9A"/>
    <w:rsid w:val="008306BD"/>
    <w:rsid w:val="00831A80"/>
    <w:rsid w:val="00833743"/>
    <w:rsid w:val="008340A4"/>
    <w:rsid w:val="008413AF"/>
    <w:rsid w:val="0087135F"/>
    <w:rsid w:val="00872D94"/>
    <w:rsid w:val="00880364"/>
    <w:rsid w:val="00891592"/>
    <w:rsid w:val="00891E9E"/>
    <w:rsid w:val="008A2F68"/>
    <w:rsid w:val="008B4C8E"/>
    <w:rsid w:val="008B4FA6"/>
    <w:rsid w:val="008B5282"/>
    <w:rsid w:val="008B7814"/>
    <w:rsid w:val="008B7C17"/>
    <w:rsid w:val="008C2D01"/>
    <w:rsid w:val="008C40E6"/>
    <w:rsid w:val="008D0F7A"/>
    <w:rsid w:val="008D1971"/>
    <w:rsid w:val="008D68E4"/>
    <w:rsid w:val="008E0506"/>
    <w:rsid w:val="008E0CFF"/>
    <w:rsid w:val="008E5D6B"/>
    <w:rsid w:val="008E76F0"/>
    <w:rsid w:val="008F15FE"/>
    <w:rsid w:val="008F2D29"/>
    <w:rsid w:val="008F5187"/>
    <w:rsid w:val="008F60D8"/>
    <w:rsid w:val="00902727"/>
    <w:rsid w:val="0090312B"/>
    <w:rsid w:val="0091736D"/>
    <w:rsid w:val="0092041F"/>
    <w:rsid w:val="0093037A"/>
    <w:rsid w:val="00937DB0"/>
    <w:rsid w:val="0094154D"/>
    <w:rsid w:val="0095155F"/>
    <w:rsid w:val="00954429"/>
    <w:rsid w:val="009563CE"/>
    <w:rsid w:val="00976328"/>
    <w:rsid w:val="0097680D"/>
    <w:rsid w:val="00982438"/>
    <w:rsid w:val="0098404C"/>
    <w:rsid w:val="00985283"/>
    <w:rsid w:val="00986502"/>
    <w:rsid w:val="00995992"/>
    <w:rsid w:val="009A03E5"/>
    <w:rsid w:val="009A0F3B"/>
    <w:rsid w:val="009A1BB4"/>
    <w:rsid w:val="009A2628"/>
    <w:rsid w:val="009A3200"/>
    <w:rsid w:val="009B0897"/>
    <w:rsid w:val="009B2E1C"/>
    <w:rsid w:val="009B7BD9"/>
    <w:rsid w:val="009C7DD5"/>
    <w:rsid w:val="009E227D"/>
    <w:rsid w:val="009E5019"/>
    <w:rsid w:val="00A0026F"/>
    <w:rsid w:val="00A04F1B"/>
    <w:rsid w:val="00A0501B"/>
    <w:rsid w:val="00A14947"/>
    <w:rsid w:val="00A32A83"/>
    <w:rsid w:val="00A368DB"/>
    <w:rsid w:val="00A423AA"/>
    <w:rsid w:val="00A53EC6"/>
    <w:rsid w:val="00A55C0F"/>
    <w:rsid w:val="00A66445"/>
    <w:rsid w:val="00A8713F"/>
    <w:rsid w:val="00A90BA1"/>
    <w:rsid w:val="00A97A9A"/>
    <w:rsid w:val="00AA0671"/>
    <w:rsid w:val="00AA2531"/>
    <w:rsid w:val="00AB1E09"/>
    <w:rsid w:val="00AB5330"/>
    <w:rsid w:val="00AB7747"/>
    <w:rsid w:val="00AC14CE"/>
    <w:rsid w:val="00AC2A56"/>
    <w:rsid w:val="00AD055E"/>
    <w:rsid w:val="00AD47A7"/>
    <w:rsid w:val="00AF0CBF"/>
    <w:rsid w:val="00AF257F"/>
    <w:rsid w:val="00AF33CF"/>
    <w:rsid w:val="00AF4D50"/>
    <w:rsid w:val="00AF6179"/>
    <w:rsid w:val="00B00E43"/>
    <w:rsid w:val="00B05FB6"/>
    <w:rsid w:val="00B1295A"/>
    <w:rsid w:val="00B1778A"/>
    <w:rsid w:val="00B20A45"/>
    <w:rsid w:val="00B22C5C"/>
    <w:rsid w:val="00B24F30"/>
    <w:rsid w:val="00B31ABF"/>
    <w:rsid w:val="00B33BE3"/>
    <w:rsid w:val="00B53B5D"/>
    <w:rsid w:val="00B55DD2"/>
    <w:rsid w:val="00B601CD"/>
    <w:rsid w:val="00B6055E"/>
    <w:rsid w:val="00B6317D"/>
    <w:rsid w:val="00B6441D"/>
    <w:rsid w:val="00B7723F"/>
    <w:rsid w:val="00B80534"/>
    <w:rsid w:val="00B83852"/>
    <w:rsid w:val="00B8433C"/>
    <w:rsid w:val="00B87491"/>
    <w:rsid w:val="00BA29E9"/>
    <w:rsid w:val="00BA7142"/>
    <w:rsid w:val="00BB237C"/>
    <w:rsid w:val="00BB41A3"/>
    <w:rsid w:val="00BB6956"/>
    <w:rsid w:val="00BC32DC"/>
    <w:rsid w:val="00BC35B6"/>
    <w:rsid w:val="00BC3BED"/>
    <w:rsid w:val="00BD1B51"/>
    <w:rsid w:val="00BD4596"/>
    <w:rsid w:val="00BE1405"/>
    <w:rsid w:val="00BE312D"/>
    <w:rsid w:val="00BF1C20"/>
    <w:rsid w:val="00BF5A7B"/>
    <w:rsid w:val="00C039C7"/>
    <w:rsid w:val="00C10578"/>
    <w:rsid w:val="00C135BC"/>
    <w:rsid w:val="00C15C95"/>
    <w:rsid w:val="00C2596A"/>
    <w:rsid w:val="00C27537"/>
    <w:rsid w:val="00C328FE"/>
    <w:rsid w:val="00C33507"/>
    <w:rsid w:val="00C4409D"/>
    <w:rsid w:val="00C44E72"/>
    <w:rsid w:val="00C45A06"/>
    <w:rsid w:val="00C47E5B"/>
    <w:rsid w:val="00C50A87"/>
    <w:rsid w:val="00C61E4B"/>
    <w:rsid w:val="00C64BFF"/>
    <w:rsid w:val="00C704E9"/>
    <w:rsid w:val="00C763C9"/>
    <w:rsid w:val="00C80057"/>
    <w:rsid w:val="00C82232"/>
    <w:rsid w:val="00C82913"/>
    <w:rsid w:val="00C972B1"/>
    <w:rsid w:val="00CA2CCE"/>
    <w:rsid w:val="00CA43FD"/>
    <w:rsid w:val="00CA7EF8"/>
    <w:rsid w:val="00CC489B"/>
    <w:rsid w:val="00CD2BCD"/>
    <w:rsid w:val="00CD3A4C"/>
    <w:rsid w:val="00CE10E9"/>
    <w:rsid w:val="00CE2910"/>
    <w:rsid w:val="00CE5393"/>
    <w:rsid w:val="00CF36BE"/>
    <w:rsid w:val="00CF6000"/>
    <w:rsid w:val="00D003F3"/>
    <w:rsid w:val="00D0364F"/>
    <w:rsid w:val="00D06834"/>
    <w:rsid w:val="00D308ED"/>
    <w:rsid w:val="00D345E9"/>
    <w:rsid w:val="00D3480E"/>
    <w:rsid w:val="00D36D86"/>
    <w:rsid w:val="00D428AA"/>
    <w:rsid w:val="00D469D3"/>
    <w:rsid w:val="00D50A34"/>
    <w:rsid w:val="00D53EFA"/>
    <w:rsid w:val="00D637EF"/>
    <w:rsid w:val="00D65213"/>
    <w:rsid w:val="00D8753C"/>
    <w:rsid w:val="00D94A7C"/>
    <w:rsid w:val="00D95896"/>
    <w:rsid w:val="00D965A4"/>
    <w:rsid w:val="00DB2983"/>
    <w:rsid w:val="00DC1257"/>
    <w:rsid w:val="00DC3DC0"/>
    <w:rsid w:val="00DC5B2B"/>
    <w:rsid w:val="00DD318D"/>
    <w:rsid w:val="00DF2E12"/>
    <w:rsid w:val="00DF4B76"/>
    <w:rsid w:val="00DF514A"/>
    <w:rsid w:val="00DF6690"/>
    <w:rsid w:val="00DF6804"/>
    <w:rsid w:val="00E0358D"/>
    <w:rsid w:val="00E04323"/>
    <w:rsid w:val="00E068D1"/>
    <w:rsid w:val="00E070A2"/>
    <w:rsid w:val="00E2656A"/>
    <w:rsid w:val="00E34A10"/>
    <w:rsid w:val="00E412D0"/>
    <w:rsid w:val="00E56322"/>
    <w:rsid w:val="00E60982"/>
    <w:rsid w:val="00E62C62"/>
    <w:rsid w:val="00E654C1"/>
    <w:rsid w:val="00E65D97"/>
    <w:rsid w:val="00E72A5A"/>
    <w:rsid w:val="00E73354"/>
    <w:rsid w:val="00E84DEB"/>
    <w:rsid w:val="00E9242D"/>
    <w:rsid w:val="00E971FA"/>
    <w:rsid w:val="00EB5255"/>
    <w:rsid w:val="00EB5C47"/>
    <w:rsid w:val="00EC40D0"/>
    <w:rsid w:val="00ED0639"/>
    <w:rsid w:val="00EE5A7B"/>
    <w:rsid w:val="00EF4755"/>
    <w:rsid w:val="00EF7135"/>
    <w:rsid w:val="00F027DB"/>
    <w:rsid w:val="00F14A7A"/>
    <w:rsid w:val="00F22985"/>
    <w:rsid w:val="00F3383E"/>
    <w:rsid w:val="00F3484B"/>
    <w:rsid w:val="00F44F30"/>
    <w:rsid w:val="00F465A7"/>
    <w:rsid w:val="00F50B7C"/>
    <w:rsid w:val="00F511F7"/>
    <w:rsid w:val="00F550E6"/>
    <w:rsid w:val="00F71AE5"/>
    <w:rsid w:val="00F71C33"/>
    <w:rsid w:val="00F72CA9"/>
    <w:rsid w:val="00F74345"/>
    <w:rsid w:val="00F80A0A"/>
    <w:rsid w:val="00F82B19"/>
    <w:rsid w:val="00F9212D"/>
    <w:rsid w:val="00F965DA"/>
    <w:rsid w:val="00FA0DDB"/>
    <w:rsid w:val="00FA406A"/>
    <w:rsid w:val="00FB3526"/>
    <w:rsid w:val="00FB503A"/>
    <w:rsid w:val="00FB516C"/>
    <w:rsid w:val="00FD0236"/>
    <w:rsid w:val="00FD18F4"/>
    <w:rsid w:val="00FD3634"/>
    <w:rsid w:val="00FD54DB"/>
    <w:rsid w:val="00FD619F"/>
    <w:rsid w:val="01290F7E"/>
    <w:rsid w:val="015B2A58"/>
    <w:rsid w:val="015D1E09"/>
    <w:rsid w:val="016E1F8C"/>
    <w:rsid w:val="01DE010B"/>
    <w:rsid w:val="01E11C6E"/>
    <w:rsid w:val="01E86154"/>
    <w:rsid w:val="02134FF2"/>
    <w:rsid w:val="022644D4"/>
    <w:rsid w:val="0230687F"/>
    <w:rsid w:val="025D38B0"/>
    <w:rsid w:val="02697903"/>
    <w:rsid w:val="026C6B78"/>
    <w:rsid w:val="028A67DC"/>
    <w:rsid w:val="02F96569"/>
    <w:rsid w:val="03363FD7"/>
    <w:rsid w:val="034A3845"/>
    <w:rsid w:val="03793F5A"/>
    <w:rsid w:val="03EA7B21"/>
    <w:rsid w:val="040305E5"/>
    <w:rsid w:val="04096282"/>
    <w:rsid w:val="04987BCD"/>
    <w:rsid w:val="05014EAF"/>
    <w:rsid w:val="05052C65"/>
    <w:rsid w:val="05235E1B"/>
    <w:rsid w:val="052F14D7"/>
    <w:rsid w:val="05415071"/>
    <w:rsid w:val="056D7F8C"/>
    <w:rsid w:val="05E81FCA"/>
    <w:rsid w:val="05F83EAE"/>
    <w:rsid w:val="063E7D85"/>
    <w:rsid w:val="0717473D"/>
    <w:rsid w:val="07224A69"/>
    <w:rsid w:val="07293586"/>
    <w:rsid w:val="07295285"/>
    <w:rsid w:val="07636392"/>
    <w:rsid w:val="07770C56"/>
    <w:rsid w:val="07C10101"/>
    <w:rsid w:val="07E03F1B"/>
    <w:rsid w:val="08117291"/>
    <w:rsid w:val="084B16B9"/>
    <w:rsid w:val="08756A05"/>
    <w:rsid w:val="08804CDD"/>
    <w:rsid w:val="08FC6E3E"/>
    <w:rsid w:val="09023352"/>
    <w:rsid w:val="09147CC5"/>
    <w:rsid w:val="092217DD"/>
    <w:rsid w:val="09362AA9"/>
    <w:rsid w:val="093A7294"/>
    <w:rsid w:val="09AA0BA3"/>
    <w:rsid w:val="0A263993"/>
    <w:rsid w:val="0A2D3AC2"/>
    <w:rsid w:val="0A4754A4"/>
    <w:rsid w:val="0AA2252B"/>
    <w:rsid w:val="0AA755DF"/>
    <w:rsid w:val="0AA8771B"/>
    <w:rsid w:val="0AD1311B"/>
    <w:rsid w:val="0AFA1765"/>
    <w:rsid w:val="0B120D44"/>
    <w:rsid w:val="0B321943"/>
    <w:rsid w:val="0B5C264E"/>
    <w:rsid w:val="0B6C1151"/>
    <w:rsid w:val="0B9560FC"/>
    <w:rsid w:val="0BD27BF6"/>
    <w:rsid w:val="0C347D9F"/>
    <w:rsid w:val="0C370697"/>
    <w:rsid w:val="0C3B3C7D"/>
    <w:rsid w:val="0C465A73"/>
    <w:rsid w:val="0C7D033C"/>
    <w:rsid w:val="0CAB2EAE"/>
    <w:rsid w:val="0D621C7D"/>
    <w:rsid w:val="0D6818A6"/>
    <w:rsid w:val="0D7579F8"/>
    <w:rsid w:val="0D8257DE"/>
    <w:rsid w:val="0DB937C0"/>
    <w:rsid w:val="0E1F4BB4"/>
    <w:rsid w:val="0E3D1D40"/>
    <w:rsid w:val="0E540384"/>
    <w:rsid w:val="0E73034D"/>
    <w:rsid w:val="0E931FD4"/>
    <w:rsid w:val="0ED96E48"/>
    <w:rsid w:val="0EEB4208"/>
    <w:rsid w:val="0F13775A"/>
    <w:rsid w:val="0F1F23E8"/>
    <w:rsid w:val="0F215EBA"/>
    <w:rsid w:val="0F52491F"/>
    <w:rsid w:val="0F5F45FE"/>
    <w:rsid w:val="0F6349C9"/>
    <w:rsid w:val="0F9A112B"/>
    <w:rsid w:val="0FA02F99"/>
    <w:rsid w:val="0FC43178"/>
    <w:rsid w:val="0FD02849"/>
    <w:rsid w:val="102A1EA4"/>
    <w:rsid w:val="106D2F64"/>
    <w:rsid w:val="108E7658"/>
    <w:rsid w:val="10A40643"/>
    <w:rsid w:val="10B63710"/>
    <w:rsid w:val="10C771ED"/>
    <w:rsid w:val="10D34C5C"/>
    <w:rsid w:val="10DD1B89"/>
    <w:rsid w:val="10EA74A4"/>
    <w:rsid w:val="10F10820"/>
    <w:rsid w:val="10F800BC"/>
    <w:rsid w:val="10FF7941"/>
    <w:rsid w:val="111C2F7A"/>
    <w:rsid w:val="11573208"/>
    <w:rsid w:val="11665CA1"/>
    <w:rsid w:val="118A4764"/>
    <w:rsid w:val="11A7090D"/>
    <w:rsid w:val="11E43261"/>
    <w:rsid w:val="121C62B6"/>
    <w:rsid w:val="123969CC"/>
    <w:rsid w:val="12BF7DE2"/>
    <w:rsid w:val="12C91FB7"/>
    <w:rsid w:val="12EB689D"/>
    <w:rsid w:val="13557655"/>
    <w:rsid w:val="136566E7"/>
    <w:rsid w:val="13721650"/>
    <w:rsid w:val="13951726"/>
    <w:rsid w:val="13AB37B4"/>
    <w:rsid w:val="13B86E94"/>
    <w:rsid w:val="14396509"/>
    <w:rsid w:val="143D674B"/>
    <w:rsid w:val="145F48BF"/>
    <w:rsid w:val="14834729"/>
    <w:rsid w:val="14C53111"/>
    <w:rsid w:val="14DD2C3C"/>
    <w:rsid w:val="152063A5"/>
    <w:rsid w:val="158E6FF2"/>
    <w:rsid w:val="15AC7766"/>
    <w:rsid w:val="15EE7622"/>
    <w:rsid w:val="16087E1D"/>
    <w:rsid w:val="163D4598"/>
    <w:rsid w:val="165C118C"/>
    <w:rsid w:val="16726ACF"/>
    <w:rsid w:val="168D7E8C"/>
    <w:rsid w:val="16B15B8F"/>
    <w:rsid w:val="16B52705"/>
    <w:rsid w:val="16D33724"/>
    <w:rsid w:val="173369B9"/>
    <w:rsid w:val="17626C76"/>
    <w:rsid w:val="17701D14"/>
    <w:rsid w:val="17726B6D"/>
    <w:rsid w:val="17735226"/>
    <w:rsid w:val="17981E61"/>
    <w:rsid w:val="17B64C24"/>
    <w:rsid w:val="17C04657"/>
    <w:rsid w:val="17E16AA7"/>
    <w:rsid w:val="180A5781"/>
    <w:rsid w:val="18251A52"/>
    <w:rsid w:val="182614DC"/>
    <w:rsid w:val="189F624C"/>
    <w:rsid w:val="1909120F"/>
    <w:rsid w:val="192D611D"/>
    <w:rsid w:val="19346481"/>
    <w:rsid w:val="19445E70"/>
    <w:rsid w:val="196A4D37"/>
    <w:rsid w:val="1978244D"/>
    <w:rsid w:val="1A1C66C0"/>
    <w:rsid w:val="1A303E24"/>
    <w:rsid w:val="1A42393B"/>
    <w:rsid w:val="1AAD45DE"/>
    <w:rsid w:val="1AC30F79"/>
    <w:rsid w:val="1B046F80"/>
    <w:rsid w:val="1B3267B5"/>
    <w:rsid w:val="1B384F2D"/>
    <w:rsid w:val="1B3C50FB"/>
    <w:rsid w:val="1B40161D"/>
    <w:rsid w:val="1B441859"/>
    <w:rsid w:val="1B6606B1"/>
    <w:rsid w:val="1BA65D55"/>
    <w:rsid w:val="1BE962BA"/>
    <w:rsid w:val="1BF445C6"/>
    <w:rsid w:val="1BF96BFB"/>
    <w:rsid w:val="1C1448D2"/>
    <w:rsid w:val="1C41637D"/>
    <w:rsid w:val="1C592CFF"/>
    <w:rsid w:val="1C5E7925"/>
    <w:rsid w:val="1C71533D"/>
    <w:rsid w:val="1CA660E7"/>
    <w:rsid w:val="1CE42B6E"/>
    <w:rsid w:val="1CFD070F"/>
    <w:rsid w:val="1D312FD9"/>
    <w:rsid w:val="1D326C0F"/>
    <w:rsid w:val="1D5A14D3"/>
    <w:rsid w:val="1D5F6196"/>
    <w:rsid w:val="1D6132A5"/>
    <w:rsid w:val="1D821737"/>
    <w:rsid w:val="1D8E5423"/>
    <w:rsid w:val="1D8E56D5"/>
    <w:rsid w:val="1DCB7CD3"/>
    <w:rsid w:val="1E042BCD"/>
    <w:rsid w:val="1E397AD5"/>
    <w:rsid w:val="1E450EF6"/>
    <w:rsid w:val="1E5F46EB"/>
    <w:rsid w:val="1E650E42"/>
    <w:rsid w:val="1E7A43DA"/>
    <w:rsid w:val="1E8438B3"/>
    <w:rsid w:val="1E92440A"/>
    <w:rsid w:val="1EB156EB"/>
    <w:rsid w:val="1FE7539E"/>
    <w:rsid w:val="1FEC0C4E"/>
    <w:rsid w:val="204953F8"/>
    <w:rsid w:val="20671BE0"/>
    <w:rsid w:val="20800CCA"/>
    <w:rsid w:val="20963CB8"/>
    <w:rsid w:val="20A81A1B"/>
    <w:rsid w:val="20B07FB6"/>
    <w:rsid w:val="20B646FB"/>
    <w:rsid w:val="20BB7218"/>
    <w:rsid w:val="213B74B1"/>
    <w:rsid w:val="215A2310"/>
    <w:rsid w:val="21926DB7"/>
    <w:rsid w:val="21AB13BF"/>
    <w:rsid w:val="21DE318A"/>
    <w:rsid w:val="21EF5B80"/>
    <w:rsid w:val="22576990"/>
    <w:rsid w:val="228D0C62"/>
    <w:rsid w:val="22F47480"/>
    <w:rsid w:val="23097CBE"/>
    <w:rsid w:val="232037E7"/>
    <w:rsid w:val="2326029C"/>
    <w:rsid w:val="232A3240"/>
    <w:rsid w:val="23334310"/>
    <w:rsid w:val="237B77A7"/>
    <w:rsid w:val="23AD5CF5"/>
    <w:rsid w:val="23B20C16"/>
    <w:rsid w:val="23D055B4"/>
    <w:rsid w:val="23DE1C48"/>
    <w:rsid w:val="23FD637A"/>
    <w:rsid w:val="240210CD"/>
    <w:rsid w:val="24025657"/>
    <w:rsid w:val="24054B4D"/>
    <w:rsid w:val="243B5370"/>
    <w:rsid w:val="24491EE4"/>
    <w:rsid w:val="24BF09F7"/>
    <w:rsid w:val="252D53FE"/>
    <w:rsid w:val="258A0D66"/>
    <w:rsid w:val="25C30C44"/>
    <w:rsid w:val="25D857E8"/>
    <w:rsid w:val="25EC2D81"/>
    <w:rsid w:val="260B73DA"/>
    <w:rsid w:val="26605632"/>
    <w:rsid w:val="2691110E"/>
    <w:rsid w:val="26B53344"/>
    <w:rsid w:val="26C17A18"/>
    <w:rsid w:val="26D72D6F"/>
    <w:rsid w:val="27670866"/>
    <w:rsid w:val="277057A2"/>
    <w:rsid w:val="277F3EBD"/>
    <w:rsid w:val="279D6298"/>
    <w:rsid w:val="27F679C7"/>
    <w:rsid w:val="282D57F7"/>
    <w:rsid w:val="283720F8"/>
    <w:rsid w:val="283D5CD3"/>
    <w:rsid w:val="29206EB8"/>
    <w:rsid w:val="29552B8F"/>
    <w:rsid w:val="29595666"/>
    <w:rsid w:val="296249CA"/>
    <w:rsid w:val="29874881"/>
    <w:rsid w:val="29B72C26"/>
    <w:rsid w:val="29BB69F2"/>
    <w:rsid w:val="29E325E0"/>
    <w:rsid w:val="2A3824C7"/>
    <w:rsid w:val="2A452503"/>
    <w:rsid w:val="2A826DD5"/>
    <w:rsid w:val="2A9711E3"/>
    <w:rsid w:val="2AAA76C0"/>
    <w:rsid w:val="2B746CDF"/>
    <w:rsid w:val="2BA34CD4"/>
    <w:rsid w:val="2BA936A8"/>
    <w:rsid w:val="2C315A5A"/>
    <w:rsid w:val="2C364EF6"/>
    <w:rsid w:val="2C4754C1"/>
    <w:rsid w:val="2C4B1C25"/>
    <w:rsid w:val="2C80730E"/>
    <w:rsid w:val="2CC17C4B"/>
    <w:rsid w:val="2CC75A9B"/>
    <w:rsid w:val="2CEA623F"/>
    <w:rsid w:val="2D6C0D7C"/>
    <w:rsid w:val="2D9E56F5"/>
    <w:rsid w:val="2E2965DD"/>
    <w:rsid w:val="2E667F96"/>
    <w:rsid w:val="2E69421A"/>
    <w:rsid w:val="2E8226AB"/>
    <w:rsid w:val="2EA25753"/>
    <w:rsid w:val="2EB91EB6"/>
    <w:rsid w:val="2EBC6155"/>
    <w:rsid w:val="2EDD5083"/>
    <w:rsid w:val="2EF73AEC"/>
    <w:rsid w:val="2EF76A64"/>
    <w:rsid w:val="2F050FB6"/>
    <w:rsid w:val="2F413EBE"/>
    <w:rsid w:val="2F742A7D"/>
    <w:rsid w:val="2F950B5C"/>
    <w:rsid w:val="2FD065E6"/>
    <w:rsid w:val="2FD73C79"/>
    <w:rsid w:val="2FD96870"/>
    <w:rsid w:val="30246D65"/>
    <w:rsid w:val="30466CDD"/>
    <w:rsid w:val="30472F94"/>
    <w:rsid w:val="30567DCD"/>
    <w:rsid w:val="30580BC9"/>
    <w:rsid w:val="31177DF5"/>
    <w:rsid w:val="311E2ED7"/>
    <w:rsid w:val="314423A4"/>
    <w:rsid w:val="31442AF1"/>
    <w:rsid w:val="315619EE"/>
    <w:rsid w:val="315C449C"/>
    <w:rsid w:val="319B6BB5"/>
    <w:rsid w:val="31B82709"/>
    <w:rsid w:val="31D05482"/>
    <w:rsid w:val="31D21ED3"/>
    <w:rsid w:val="32400B34"/>
    <w:rsid w:val="329E6876"/>
    <w:rsid w:val="32B32B85"/>
    <w:rsid w:val="333015F2"/>
    <w:rsid w:val="333B55CC"/>
    <w:rsid w:val="3340497E"/>
    <w:rsid w:val="334B6320"/>
    <w:rsid w:val="336D3602"/>
    <w:rsid w:val="337F6063"/>
    <w:rsid w:val="33D8257C"/>
    <w:rsid w:val="33D934D4"/>
    <w:rsid w:val="33FE2F6A"/>
    <w:rsid w:val="340E07E5"/>
    <w:rsid w:val="34235BF7"/>
    <w:rsid w:val="346429A9"/>
    <w:rsid w:val="34772FF0"/>
    <w:rsid w:val="34F24439"/>
    <w:rsid w:val="35330BC5"/>
    <w:rsid w:val="358C5FA8"/>
    <w:rsid w:val="35905C79"/>
    <w:rsid w:val="359202CF"/>
    <w:rsid w:val="35BF62F7"/>
    <w:rsid w:val="35C15DF1"/>
    <w:rsid w:val="36074A7F"/>
    <w:rsid w:val="364414B7"/>
    <w:rsid w:val="36452627"/>
    <w:rsid w:val="36923549"/>
    <w:rsid w:val="36B75FBF"/>
    <w:rsid w:val="36BD0C45"/>
    <w:rsid w:val="36EF2223"/>
    <w:rsid w:val="370A1CBE"/>
    <w:rsid w:val="3748151D"/>
    <w:rsid w:val="37545F08"/>
    <w:rsid w:val="37576578"/>
    <w:rsid w:val="37890A3B"/>
    <w:rsid w:val="37E00298"/>
    <w:rsid w:val="38421B75"/>
    <w:rsid w:val="38B302F9"/>
    <w:rsid w:val="38F12CD3"/>
    <w:rsid w:val="38F94775"/>
    <w:rsid w:val="390908A8"/>
    <w:rsid w:val="392971ED"/>
    <w:rsid w:val="39325651"/>
    <w:rsid w:val="3939368B"/>
    <w:rsid w:val="3A1C0AAF"/>
    <w:rsid w:val="3A872856"/>
    <w:rsid w:val="3A983332"/>
    <w:rsid w:val="3AEA0E03"/>
    <w:rsid w:val="3B236212"/>
    <w:rsid w:val="3B3763D1"/>
    <w:rsid w:val="3C0850C7"/>
    <w:rsid w:val="3C2562FF"/>
    <w:rsid w:val="3C2F6E1E"/>
    <w:rsid w:val="3C4F64BA"/>
    <w:rsid w:val="3C57323B"/>
    <w:rsid w:val="3C5D4560"/>
    <w:rsid w:val="3C6856AF"/>
    <w:rsid w:val="3C89753B"/>
    <w:rsid w:val="3CAA3DC3"/>
    <w:rsid w:val="3CB03286"/>
    <w:rsid w:val="3CBD0375"/>
    <w:rsid w:val="3CC55E84"/>
    <w:rsid w:val="3CDA245A"/>
    <w:rsid w:val="3D1E06B7"/>
    <w:rsid w:val="3D622C7D"/>
    <w:rsid w:val="3DEB0EC4"/>
    <w:rsid w:val="3E3A0056"/>
    <w:rsid w:val="3E4A09EA"/>
    <w:rsid w:val="3E5A5D0D"/>
    <w:rsid w:val="3E732457"/>
    <w:rsid w:val="3E831EFD"/>
    <w:rsid w:val="3EDA0523"/>
    <w:rsid w:val="3FCD1AE1"/>
    <w:rsid w:val="3FD314D0"/>
    <w:rsid w:val="3FD87C0D"/>
    <w:rsid w:val="3FDA739D"/>
    <w:rsid w:val="40531957"/>
    <w:rsid w:val="407A6407"/>
    <w:rsid w:val="40D16B32"/>
    <w:rsid w:val="40E43586"/>
    <w:rsid w:val="40F26B4C"/>
    <w:rsid w:val="41041EEE"/>
    <w:rsid w:val="41127D69"/>
    <w:rsid w:val="41270465"/>
    <w:rsid w:val="412752C2"/>
    <w:rsid w:val="414D59F2"/>
    <w:rsid w:val="41A606D2"/>
    <w:rsid w:val="4200449D"/>
    <w:rsid w:val="422A6B5E"/>
    <w:rsid w:val="423A3BCC"/>
    <w:rsid w:val="424E57D2"/>
    <w:rsid w:val="425C5ECF"/>
    <w:rsid w:val="428441F2"/>
    <w:rsid w:val="428E1783"/>
    <w:rsid w:val="429213AA"/>
    <w:rsid w:val="42B26C49"/>
    <w:rsid w:val="42D31EB4"/>
    <w:rsid w:val="42E41371"/>
    <w:rsid w:val="42E631BF"/>
    <w:rsid w:val="43136AC3"/>
    <w:rsid w:val="432D2FED"/>
    <w:rsid w:val="433A6FE6"/>
    <w:rsid w:val="43480868"/>
    <w:rsid w:val="4350713C"/>
    <w:rsid w:val="436653E0"/>
    <w:rsid w:val="438300DA"/>
    <w:rsid w:val="439D4A0F"/>
    <w:rsid w:val="43C4431A"/>
    <w:rsid w:val="44181AD6"/>
    <w:rsid w:val="442771C9"/>
    <w:rsid w:val="444A7797"/>
    <w:rsid w:val="44924694"/>
    <w:rsid w:val="449D6759"/>
    <w:rsid w:val="44AD1910"/>
    <w:rsid w:val="44B951CC"/>
    <w:rsid w:val="44CD14E0"/>
    <w:rsid w:val="44EF6C22"/>
    <w:rsid w:val="44F20B0B"/>
    <w:rsid w:val="452E5F4C"/>
    <w:rsid w:val="45612018"/>
    <w:rsid w:val="458946E9"/>
    <w:rsid w:val="45A47C0E"/>
    <w:rsid w:val="45B507FE"/>
    <w:rsid w:val="45D07EEB"/>
    <w:rsid w:val="46577FD6"/>
    <w:rsid w:val="467E55C6"/>
    <w:rsid w:val="46D955A7"/>
    <w:rsid w:val="46F63E43"/>
    <w:rsid w:val="47133957"/>
    <w:rsid w:val="47371C66"/>
    <w:rsid w:val="4756750A"/>
    <w:rsid w:val="47867568"/>
    <w:rsid w:val="4796000A"/>
    <w:rsid w:val="47A07E0C"/>
    <w:rsid w:val="47B70E1A"/>
    <w:rsid w:val="47B755C4"/>
    <w:rsid w:val="47C3408A"/>
    <w:rsid w:val="4807394C"/>
    <w:rsid w:val="480A5C35"/>
    <w:rsid w:val="4870272E"/>
    <w:rsid w:val="48852A05"/>
    <w:rsid w:val="49164517"/>
    <w:rsid w:val="49690103"/>
    <w:rsid w:val="4987382F"/>
    <w:rsid w:val="4987427A"/>
    <w:rsid w:val="499E2681"/>
    <w:rsid w:val="49DC7715"/>
    <w:rsid w:val="49DF014D"/>
    <w:rsid w:val="49FB4F6D"/>
    <w:rsid w:val="4A023139"/>
    <w:rsid w:val="4A0C317A"/>
    <w:rsid w:val="4A7B576F"/>
    <w:rsid w:val="4A871F75"/>
    <w:rsid w:val="4A8A3A47"/>
    <w:rsid w:val="4A8C76AA"/>
    <w:rsid w:val="4AB4410C"/>
    <w:rsid w:val="4AD46A12"/>
    <w:rsid w:val="4AF561A9"/>
    <w:rsid w:val="4B600592"/>
    <w:rsid w:val="4C124058"/>
    <w:rsid w:val="4C216974"/>
    <w:rsid w:val="4C4A0649"/>
    <w:rsid w:val="4C7E5ECA"/>
    <w:rsid w:val="4C876AA5"/>
    <w:rsid w:val="4CB422EA"/>
    <w:rsid w:val="4CC849F3"/>
    <w:rsid w:val="4D0E00FB"/>
    <w:rsid w:val="4D176606"/>
    <w:rsid w:val="4D3874B5"/>
    <w:rsid w:val="4D3C5586"/>
    <w:rsid w:val="4DDE65AB"/>
    <w:rsid w:val="4DEC4327"/>
    <w:rsid w:val="4DEC4FB0"/>
    <w:rsid w:val="4E075D8A"/>
    <w:rsid w:val="4E1D056D"/>
    <w:rsid w:val="4E395334"/>
    <w:rsid w:val="4E3E7B84"/>
    <w:rsid w:val="4E4E3FE9"/>
    <w:rsid w:val="4E5D4982"/>
    <w:rsid w:val="4E837C14"/>
    <w:rsid w:val="4EC00FAD"/>
    <w:rsid w:val="4EC12FD1"/>
    <w:rsid w:val="4EDF40E4"/>
    <w:rsid w:val="4F2D6C3C"/>
    <w:rsid w:val="4F344AEC"/>
    <w:rsid w:val="4F49045E"/>
    <w:rsid w:val="4F5D4CF6"/>
    <w:rsid w:val="4F9843DC"/>
    <w:rsid w:val="4FC62A8C"/>
    <w:rsid w:val="4FE20F0D"/>
    <w:rsid w:val="4FE51552"/>
    <w:rsid w:val="5001120A"/>
    <w:rsid w:val="504B7133"/>
    <w:rsid w:val="50504C4B"/>
    <w:rsid w:val="5061031C"/>
    <w:rsid w:val="509C6E7C"/>
    <w:rsid w:val="50B0449F"/>
    <w:rsid w:val="50D35C0B"/>
    <w:rsid w:val="512B6933"/>
    <w:rsid w:val="5162104E"/>
    <w:rsid w:val="5175316D"/>
    <w:rsid w:val="52157FD7"/>
    <w:rsid w:val="523B5C21"/>
    <w:rsid w:val="528A2F29"/>
    <w:rsid w:val="52A84C4A"/>
    <w:rsid w:val="53296796"/>
    <w:rsid w:val="534244A5"/>
    <w:rsid w:val="534B1DEA"/>
    <w:rsid w:val="5362643E"/>
    <w:rsid w:val="537B1F4B"/>
    <w:rsid w:val="538F4BEB"/>
    <w:rsid w:val="53A039CC"/>
    <w:rsid w:val="53A1505A"/>
    <w:rsid w:val="53E540AF"/>
    <w:rsid w:val="54063E08"/>
    <w:rsid w:val="540D48A4"/>
    <w:rsid w:val="543437E8"/>
    <w:rsid w:val="546C3D9F"/>
    <w:rsid w:val="54AE4379"/>
    <w:rsid w:val="54D146A5"/>
    <w:rsid w:val="54DB6585"/>
    <w:rsid w:val="54F73313"/>
    <w:rsid w:val="54F80955"/>
    <w:rsid w:val="552836BF"/>
    <w:rsid w:val="552A69D9"/>
    <w:rsid w:val="554A342C"/>
    <w:rsid w:val="555170A7"/>
    <w:rsid w:val="5587536D"/>
    <w:rsid w:val="559B174B"/>
    <w:rsid w:val="55B449E0"/>
    <w:rsid w:val="55CE0CF4"/>
    <w:rsid w:val="5618745F"/>
    <w:rsid w:val="56340E1F"/>
    <w:rsid w:val="5642551E"/>
    <w:rsid w:val="56676F3E"/>
    <w:rsid w:val="5669447F"/>
    <w:rsid w:val="56B22A9C"/>
    <w:rsid w:val="56B66FFC"/>
    <w:rsid w:val="56C4102D"/>
    <w:rsid w:val="56DB1486"/>
    <w:rsid w:val="56DB78D0"/>
    <w:rsid w:val="572100B5"/>
    <w:rsid w:val="574447F3"/>
    <w:rsid w:val="57484341"/>
    <w:rsid w:val="57505C12"/>
    <w:rsid w:val="578F58C0"/>
    <w:rsid w:val="5796670D"/>
    <w:rsid w:val="579830BB"/>
    <w:rsid w:val="57B72A76"/>
    <w:rsid w:val="57C3426C"/>
    <w:rsid w:val="57CE1F93"/>
    <w:rsid w:val="581C5DB7"/>
    <w:rsid w:val="584E1E12"/>
    <w:rsid w:val="588743D1"/>
    <w:rsid w:val="5887701A"/>
    <w:rsid w:val="588D28E1"/>
    <w:rsid w:val="58BD34CA"/>
    <w:rsid w:val="58BD64F7"/>
    <w:rsid w:val="5935045C"/>
    <w:rsid w:val="595709F6"/>
    <w:rsid w:val="59861649"/>
    <w:rsid w:val="59B47DC4"/>
    <w:rsid w:val="59C0439F"/>
    <w:rsid w:val="5A2F6B9C"/>
    <w:rsid w:val="5A6B7DC0"/>
    <w:rsid w:val="5ABE2233"/>
    <w:rsid w:val="5ACE1DBA"/>
    <w:rsid w:val="5AEB38B4"/>
    <w:rsid w:val="5B0F2246"/>
    <w:rsid w:val="5B0F4F89"/>
    <w:rsid w:val="5B6E49A4"/>
    <w:rsid w:val="5BC96B61"/>
    <w:rsid w:val="5BDF5D95"/>
    <w:rsid w:val="5BFE7528"/>
    <w:rsid w:val="5CDA63B3"/>
    <w:rsid w:val="5CF76586"/>
    <w:rsid w:val="5D0869AB"/>
    <w:rsid w:val="5D0F1086"/>
    <w:rsid w:val="5D6C33D6"/>
    <w:rsid w:val="5DDE2BCC"/>
    <w:rsid w:val="5E2467F1"/>
    <w:rsid w:val="5E646FD0"/>
    <w:rsid w:val="5E6D778D"/>
    <w:rsid w:val="5E713D99"/>
    <w:rsid w:val="5ECC46CF"/>
    <w:rsid w:val="5F1804F9"/>
    <w:rsid w:val="5F1A2B43"/>
    <w:rsid w:val="5F4C0C3F"/>
    <w:rsid w:val="5F4D282D"/>
    <w:rsid w:val="5F942D12"/>
    <w:rsid w:val="5FB837BB"/>
    <w:rsid w:val="5FC16E56"/>
    <w:rsid w:val="5FC409D1"/>
    <w:rsid w:val="5FEF1D21"/>
    <w:rsid w:val="5FF877EF"/>
    <w:rsid w:val="5FFB5117"/>
    <w:rsid w:val="602F59CF"/>
    <w:rsid w:val="60354FDB"/>
    <w:rsid w:val="603711B4"/>
    <w:rsid w:val="604E1113"/>
    <w:rsid w:val="60AE7E03"/>
    <w:rsid w:val="60AF41FF"/>
    <w:rsid w:val="60C42578"/>
    <w:rsid w:val="60CC405A"/>
    <w:rsid w:val="61110C10"/>
    <w:rsid w:val="61560B99"/>
    <w:rsid w:val="61870602"/>
    <w:rsid w:val="618D0535"/>
    <w:rsid w:val="61C947C9"/>
    <w:rsid w:val="61DB0FB6"/>
    <w:rsid w:val="61E215D8"/>
    <w:rsid w:val="61E672D0"/>
    <w:rsid w:val="61EA73A6"/>
    <w:rsid w:val="61EC033F"/>
    <w:rsid w:val="621B3775"/>
    <w:rsid w:val="62364782"/>
    <w:rsid w:val="62CD28A7"/>
    <w:rsid w:val="62EE2F77"/>
    <w:rsid w:val="62F84840"/>
    <w:rsid w:val="62FB5113"/>
    <w:rsid w:val="633421CB"/>
    <w:rsid w:val="634C707C"/>
    <w:rsid w:val="635C0964"/>
    <w:rsid w:val="635D05E9"/>
    <w:rsid w:val="637151E3"/>
    <w:rsid w:val="637C00C3"/>
    <w:rsid w:val="63847DF4"/>
    <w:rsid w:val="6394356A"/>
    <w:rsid w:val="63C61B2C"/>
    <w:rsid w:val="63D40BE9"/>
    <w:rsid w:val="63D81C64"/>
    <w:rsid w:val="63FE0775"/>
    <w:rsid w:val="64102431"/>
    <w:rsid w:val="6415662B"/>
    <w:rsid w:val="64156F36"/>
    <w:rsid w:val="642E3E51"/>
    <w:rsid w:val="64300B2F"/>
    <w:rsid w:val="643915E8"/>
    <w:rsid w:val="645B37EF"/>
    <w:rsid w:val="649A318E"/>
    <w:rsid w:val="64A5243A"/>
    <w:rsid w:val="64A564CA"/>
    <w:rsid w:val="64C46584"/>
    <w:rsid w:val="64F531DE"/>
    <w:rsid w:val="65010EB1"/>
    <w:rsid w:val="65047169"/>
    <w:rsid w:val="65373578"/>
    <w:rsid w:val="653814C2"/>
    <w:rsid w:val="657C7D13"/>
    <w:rsid w:val="65BD536A"/>
    <w:rsid w:val="65E12554"/>
    <w:rsid w:val="65ED6210"/>
    <w:rsid w:val="664F7993"/>
    <w:rsid w:val="6665785F"/>
    <w:rsid w:val="66A3392A"/>
    <w:rsid w:val="66B23249"/>
    <w:rsid w:val="66BF65CC"/>
    <w:rsid w:val="66CB796F"/>
    <w:rsid w:val="66DC7A69"/>
    <w:rsid w:val="671F124A"/>
    <w:rsid w:val="67581AC8"/>
    <w:rsid w:val="677328F5"/>
    <w:rsid w:val="677A33C6"/>
    <w:rsid w:val="677C005D"/>
    <w:rsid w:val="67866582"/>
    <w:rsid w:val="67C1666E"/>
    <w:rsid w:val="681F6961"/>
    <w:rsid w:val="68610A2F"/>
    <w:rsid w:val="68805514"/>
    <w:rsid w:val="68DE2553"/>
    <w:rsid w:val="68F7426D"/>
    <w:rsid w:val="68FE7639"/>
    <w:rsid w:val="69203539"/>
    <w:rsid w:val="69316E2F"/>
    <w:rsid w:val="694E2071"/>
    <w:rsid w:val="695D049F"/>
    <w:rsid w:val="695D2E61"/>
    <w:rsid w:val="69766163"/>
    <w:rsid w:val="697A3B33"/>
    <w:rsid w:val="69D44760"/>
    <w:rsid w:val="6A365779"/>
    <w:rsid w:val="6A520EC7"/>
    <w:rsid w:val="6A5D4642"/>
    <w:rsid w:val="6AB42E45"/>
    <w:rsid w:val="6ABE5CA8"/>
    <w:rsid w:val="6AD35769"/>
    <w:rsid w:val="6ADF6FE5"/>
    <w:rsid w:val="6AEB65F5"/>
    <w:rsid w:val="6AF87E20"/>
    <w:rsid w:val="6AFB3118"/>
    <w:rsid w:val="6B1014FE"/>
    <w:rsid w:val="6B322639"/>
    <w:rsid w:val="6B4A059F"/>
    <w:rsid w:val="6B8E030F"/>
    <w:rsid w:val="6BC32B17"/>
    <w:rsid w:val="6BFE7948"/>
    <w:rsid w:val="6C2F499B"/>
    <w:rsid w:val="6C561005"/>
    <w:rsid w:val="6C636C38"/>
    <w:rsid w:val="6C647D61"/>
    <w:rsid w:val="6C6E41C8"/>
    <w:rsid w:val="6C9C7102"/>
    <w:rsid w:val="6CFE4664"/>
    <w:rsid w:val="6D027F1B"/>
    <w:rsid w:val="6D044580"/>
    <w:rsid w:val="6D056073"/>
    <w:rsid w:val="6D242106"/>
    <w:rsid w:val="6D3D72DC"/>
    <w:rsid w:val="6D7D18C2"/>
    <w:rsid w:val="6DB34098"/>
    <w:rsid w:val="6DB545B6"/>
    <w:rsid w:val="6DC20A4A"/>
    <w:rsid w:val="6DDE5F54"/>
    <w:rsid w:val="6DE013E2"/>
    <w:rsid w:val="6DE02FB4"/>
    <w:rsid w:val="6DFF75FB"/>
    <w:rsid w:val="6E514CED"/>
    <w:rsid w:val="6EA851ED"/>
    <w:rsid w:val="6EB563D5"/>
    <w:rsid w:val="6ED92677"/>
    <w:rsid w:val="6EF77316"/>
    <w:rsid w:val="6F0911A6"/>
    <w:rsid w:val="6F2249A2"/>
    <w:rsid w:val="6F225983"/>
    <w:rsid w:val="6F8A3237"/>
    <w:rsid w:val="6FB81FC7"/>
    <w:rsid w:val="6FD809F9"/>
    <w:rsid w:val="6FEF46E5"/>
    <w:rsid w:val="6FFC5590"/>
    <w:rsid w:val="6FFE3530"/>
    <w:rsid w:val="702C72CB"/>
    <w:rsid w:val="704C635D"/>
    <w:rsid w:val="706D1DD0"/>
    <w:rsid w:val="70856B87"/>
    <w:rsid w:val="709C6FFD"/>
    <w:rsid w:val="709D1212"/>
    <w:rsid w:val="70A34D64"/>
    <w:rsid w:val="70B00196"/>
    <w:rsid w:val="70D527EE"/>
    <w:rsid w:val="70E003DD"/>
    <w:rsid w:val="71194D77"/>
    <w:rsid w:val="714A2A0F"/>
    <w:rsid w:val="715B5300"/>
    <w:rsid w:val="717C7162"/>
    <w:rsid w:val="71CA575D"/>
    <w:rsid w:val="71D27F8A"/>
    <w:rsid w:val="71D63CF8"/>
    <w:rsid w:val="7240162F"/>
    <w:rsid w:val="724A6301"/>
    <w:rsid w:val="72553024"/>
    <w:rsid w:val="72AA7C53"/>
    <w:rsid w:val="73122968"/>
    <w:rsid w:val="731D2A90"/>
    <w:rsid w:val="731F5D5E"/>
    <w:rsid w:val="738B5376"/>
    <w:rsid w:val="73C51AD5"/>
    <w:rsid w:val="73CE0682"/>
    <w:rsid w:val="73D90F2E"/>
    <w:rsid w:val="73E8779A"/>
    <w:rsid w:val="73EC6C8E"/>
    <w:rsid w:val="741E793C"/>
    <w:rsid w:val="742E59AC"/>
    <w:rsid w:val="74407F2A"/>
    <w:rsid w:val="745E3944"/>
    <w:rsid w:val="74623EF6"/>
    <w:rsid w:val="749A38A6"/>
    <w:rsid w:val="750620B7"/>
    <w:rsid w:val="752B093A"/>
    <w:rsid w:val="75416055"/>
    <w:rsid w:val="754447F4"/>
    <w:rsid w:val="7545748A"/>
    <w:rsid w:val="75561A9A"/>
    <w:rsid w:val="75631380"/>
    <w:rsid w:val="7635099D"/>
    <w:rsid w:val="764356D9"/>
    <w:rsid w:val="76967673"/>
    <w:rsid w:val="76A14C35"/>
    <w:rsid w:val="76BB2430"/>
    <w:rsid w:val="76DB595D"/>
    <w:rsid w:val="77263188"/>
    <w:rsid w:val="772B6B59"/>
    <w:rsid w:val="77422C1F"/>
    <w:rsid w:val="77437E1F"/>
    <w:rsid w:val="775E03AB"/>
    <w:rsid w:val="776C2A59"/>
    <w:rsid w:val="77762421"/>
    <w:rsid w:val="77B56B1F"/>
    <w:rsid w:val="780F09F4"/>
    <w:rsid w:val="78364837"/>
    <w:rsid w:val="783734DD"/>
    <w:rsid w:val="7848280D"/>
    <w:rsid w:val="785D300F"/>
    <w:rsid w:val="787E049E"/>
    <w:rsid w:val="78986B50"/>
    <w:rsid w:val="78A90480"/>
    <w:rsid w:val="78D51D24"/>
    <w:rsid w:val="78EE4372"/>
    <w:rsid w:val="79160454"/>
    <w:rsid w:val="7939354E"/>
    <w:rsid w:val="794D564C"/>
    <w:rsid w:val="79CC6986"/>
    <w:rsid w:val="79D81EBF"/>
    <w:rsid w:val="7A364017"/>
    <w:rsid w:val="7A3E00FB"/>
    <w:rsid w:val="7A777060"/>
    <w:rsid w:val="7A781626"/>
    <w:rsid w:val="7A8265E1"/>
    <w:rsid w:val="7A8F7D01"/>
    <w:rsid w:val="7AA65250"/>
    <w:rsid w:val="7B544141"/>
    <w:rsid w:val="7B686D42"/>
    <w:rsid w:val="7B841746"/>
    <w:rsid w:val="7BC82F05"/>
    <w:rsid w:val="7BDF5A57"/>
    <w:rsid w:val="7C264A87"/>
    <w:rsid w:val="7C6C5AC7"/>
    <w:rsid w:val="7CAF6246"/>
    <w:rsid w:val="7CC272E3"/>
    <w:rsid w:val="7CC6544B"/>
    <w:rsid w:val="7CD12A78"/>
    <w:rsid w:val="7CD9227E"/>
    <w:rsid w:val="7CF8114B"/>
    <w:rsid w:val="7D0239FF"/>
    <w:rsid w:val="7D405E05"/>
    <w:rsid w:val="7D5E40CD"/>
    <w:rsid w:val="7DB732B9"/>
    <w:rsid w:val="7DCD56F2"/>
    <w:rsid w:val="7E250782"/>
    <w:rsid w:val="7E4E1409"/>
    <w:rsid w:val="7E6024B4"/>
    <w:rsid w:val="7E7B73BA"/>
    <w:rsid w:val="7EE352BF"/>
    <w:rsid w:val="7EF41C08"/>
    <w:rsid w:val="7F001CE7"/>
    <w:rsid w:val="7F5227CD"/>
    <w:rsid w:val="7F852E05"/>
    <w:rsid w:val="7FE47E50"/>
    <w:rsid w:val="7FFB4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0" w:semiHidden="0" w:name="heading 2" w:locked="1"/>
    <w:lsdException w:qFormat="1" w:uiPriority="0" w:semiHidden="0" w:name="heading 3" w:locked="1"/>
    <w:lsdException w:qFormat="1" w:unhideWhenUsed="0" w:uiPriority="9" w:semiHidden="0" w:name="heading 4" w:locked="1"/>
    <w:lsdException w:qFormat="1"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iPriority="3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qFormat="1" w:unhideWhenUsed="0" w:uiPriority="39"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nhideWhenUsed="0" w:uiPriority="0" w:semiHidden="0" w:name="Body Text First Indent" w:locked="1"/>
    <w:lsdException w:qFormat="1" w:uiPriority="0" w:semiHidden="0" w:name="Body Text First Indent 2" w:locked="1"/>
    <w:lsdException w:qFormat="1" w:unhideWhenUsed="0" w:uiPriority="99" w:semiHidden="0" w:name="Note Heading" w:locked="1"/>
    <w:lsdException w:unhideWhenUsed="0" w:uiPriority="0" w:semiHidden="0" w:name="Body Text 2" w:locked="1"/>
    <w:lsdException w:unhideWhenUsed="0" w:uiPriority="0" w:semiHidden="0" w:name="Body Text 3" w:locked="1"/>
    <w:lsdException w:qFormat="1" w:unhideWhenUsed="0" w:uiPriority="0" w:semiHidden="0" w:name="Body Text Indent 2" w:locked="1"/>
    <w:lsdException w:unhideWhenUsed="0" w:uiPriority="0" w:semiHidden="0" w:name="Body Text Indent 3" w:locked="1"/>
    <w:lsdException w:qFormat="1" w:unhideWhenUsed="0" w:uiPriority="0" w:semiHidden="0" w:name="Block Text" w:locked="1"/>
    <w:lsdException w:qFormat="1" w:unhideWhenUsed="0" w:uiPriority="0" w:semiHidden="0" w:name="Hyperlink" w:locked="1"/>
    <w:lsdException w:qFormat="1"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name="Balloon Text"/>
    <w:lsdException w:qFormat="1" w:unhideWhenUsed="0" w:uiPriority="0"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4"/>
    <w:autoRedefine/>
    <w:qFormat/>
    <w:locked/>
    <w:uiPriority w:val="99"/>
    <w:pPr>
      <w:keepNext/>
      <w:numPr>
        <w:ilvl w:val="0"/>
        <w:numId w:val="1"/>
      </w:numPr>
      <w:overflowPunct w:val="0"/>
      <w:snapToGrid w:val="0"/>
      <w:spacing w:before="120" w:after="160" w:line="260" w:lineRule="auto"/>
      <w:jc w:val="center"/>
      <w:outlineLvl w:val="0"/>
    </w:pPr>
    <w:rPr>
      <w:rFonts w:eastAsia="黑体"/>
      <w:bCs/>
      <w:color w:val="000000"/>
      <w:kern w:val="44"/>
      <w:sz w:val="30"/>
      <w:szCs w:val="30"/>
    </w:rPr>
  </w:style>
  <w:style w:type="paragraph" w:styleId="4">
    <w:name w:val="heading 2"/>
    <w:basedOn w:val="1"/>
    <w:next w:val="1"/>
    <w:autoRedefine/>
    <w:qFormat/>
    <w:locked/>
    <w:uiPriority w:val="0"/>
    <w:pPr>
      <w:numPr>
        <w:ilvl w:val="1"/>
        <w:numId w:val="1"/>
      </w:numPr>
      <w:tabs>
        <w:tab w:val="left" w:pos="0"/>
      </w:tabs>
      <w:spacing w:line="360" w:lineRule="auto"/>
      <w:outlineLvl w:val="1"/>
    </w:pPr>
    <w:rPr>
      <w:b/>
      <w:bCs/>
      <w:sz w:val="28"/>
      <w:szCs w:val="28"/>
    </w:rPr>
  </w:style>
  <w:style w:type="paragraph" w:styleId="5">
    <w:name w:val="heading 3"/>
    <w:basedOn w:val="1"/>
    <w:next w:val="1"/>
    <w:autoRedefine/>
    <w:unhideWhenUsed/>
    <w:qFormat/>
    <w:locked/>
    <w:uiPriority w:val="0"/>
    <w:pPr>
      <w:keepNext/>
      <w:keepLines/>
      <w:numPr>
        <w:ilvl w:val="2"/>
        <w:numId w:val="1"/>
      </w:numPr>
      <w:tabs>
        <w:tab w:val="left" w:pos="420"/>
      </w:tabs>
      <w:spacing w:line="360" w:lineRule="auto"/>
      <w:ind w:left="0" w:firstLine="0"/>
      <w:outlineLvl w:val="2"/>
    </w:pPr>
    <w:rPr>
      <w:b/>
      <w:sz w:val="24"/>
    </w:rPr>
  </w:style>
  <w:style w:type="paragraph" w:styleId="6">
    <w:name w:val="heading 4"/>
    <w:basedOn w:val="1"/>
    <w:next w:val="1"/>
    <w:autoRedefine/>
    <w:qFormat/>
    <w:locked/>
    <w:uiPriority w:val="9"/>
    <w:pPr>
      <w:keepNext/>
      <w:keepLines/>
      <w:numPr>
        <w:ilvl w:val="3"/>
        <w:numId w:val="1"/>
      </w:numPr>
      <w:tabs>
        <w:tab w:val="left" w:pos="420"/>
      </w:tabs>
      <w:spacing w:line="360" w:lineRule="auto"/>
      <w:ind w:left="0" w:firstLine="0"/>
      <w:jc w:val="left"/>
      <w:outlineLvl w:val="3"/>
    </w:pPr>
    <w:rPr>
      <w:sz w:val="24"/>
    </w:rPr>
  </w:style>
  <w:style w:type="paragraph" w:styleId="7">
    <w:name w:val="heading 5"/>
    <w:basedOn w:val="1"/>
    <w:next w:val="1"/>
    <w:autoRedefine/>
    <w:unhideWhenUsed/>
    <w:qFormat/>
    <w:locked/>
    <w:uiPriority w:val="0"/>
    <w:pPr>
      <w:keepNext/>
      <w:keepLines/>
      <w:numPr>
        <w:ilvl w:val="4"/>
        <w:numId w:val="2"/>
      </w:numPr>
      <w:tabs>
        <w:tab w:val="left" w:pos="0"/>
        <w:tab w:val="clear" w:pos="420"/>
      </w:tabs>
      <w:ind w:firstLine="720" w:firstLineChars="200"/>
      <w:outlineLvl w:val="4"/>
    </w:pPr>
  </w:style>
  <w:style w:type="paragraph" w:styleId="8">
    <w:name w:val="heading 6"/>
    <w:basedOn w:val="1"/>
    <w:next w:val="1"/>
    <w:autoRedefine/>
    <w:semiHidden/>
    <w:unhideWhenUsed/>
    <w:qFormat/>
    <w:locked/>
    <w:uiPriority w:val="0"/>
    <w:pPr>
      <w:keepNext/>
      <w:keepLines/>
      <w:numPr>
        <w:ilvl w:val="5"/>
        <w:numId w:val="2"/>
      </w:numPr>
      <w:spacing w:before="240" w:after="64" w:line="317" w:lineRule="auto"/>
      <w:outlineLvl w:val="5"/>
    </w:pPr>
    <w:rPr>
      <w:rFonts w:ascii="Arial" w:hAnsi="Arial" w:eastAsia="黑体"/>
      <w:b/>
      <w:sz w:val="24"/>
    </w:rPr>
  </w:style>
  <w:style w:type="paragraph" w:styleId="9">
    <w:name w:val="heading 7"/>
    <w:basedOn w:val="1"/>
    <w:next w:val="1"/>
    <w:autoRedefine/>
    <w:semiHidden/>
    <w:unhideWhenUsed/>
    <w:qFormat/>
    <w:locked/>
    <w:uiPriority w:val="0"/>
    <w:pPr>
      <w:keepNext/>
      <w:keepLines/>
      <w:numPr>
        <w:ilvl w:val="6"/>
        <w:numId w:val="2"/>
      </w:numPr>
      <w:spacing w:before="240" w:after="64" w:line="317" w:lineRule="auto"/>
      <w:outlineLvl w:val="6"/>
    </w:pPr>
    <w:rPr>
      <w:b/>
      <w:sz w:val="24"/>
    </w:rPr>
  </w:style>
  <w:style w:type="character" w:default="1" w:styleId="29">
    <w:name w:val="Default Paragraph Font"/>
    <w:autoRedefine/>
    <w:semiHidden/>
    <w:unhideWhenUsed/>
    <w:qFormat/>
    <w:uiPriority w:val="1"/>
  </w:style>
  <w:style w:type="table" w:default="1" w:styleId="27">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link w:val="107"/>
    <w:autoRedefine/>
    <w:qFormat/>
    <w:uiPriority w:val="0"/>
    <w:pPr>
      <w:widowControl/>
      <w:snapToGrid w:val="0"/>
      <w:spacing w:before="60" w:after="160" w:line="259" w:lineRule="auto"/>
      <w:ind w:right="113"/>
    </w:pPr>
    <w:rPr>
      <w:kern w:val="0"/>
      <w:sz w:val="18"/>
      <w:szCs w:val="20"/>
    </w:rPr>
  </w:style>
  <w:style w:type="paragraph" w:styleId="10">
    <w:name w:val="toc 7"/>
    <w:basedOn w:val="1"/>
    <w:next w:val="1"/>
    <w:autoRedefine/>
    <w:qFormat/>
    <w:locked/>
    <w:uiPriority w:val="39"/>
    <w:pPr>
      <w:ind w:left="2520"/>
    </w:pPr>
  </w:style>
  <w:style w:type="paragraph" w:styleId="11">
    <w:name w:val="Note Heading"/>
    <w:basedOn w:val="1"/>
    <w:next w:val="1"/>
    <w:autoRedefine/>
    <w:qFormat/>
    <w:locked/>
    <w:uiPriority w:val="99"/>
    <w:pPr>
      <w:jc w:val="left"/>
    </w:pPr>
  </w:style>
  <w:style w:type="paragraph" w:styleId="12">
    <w:name w:val="Normal Indent"/>
    <w:basedOn w:val="1"/>
    <w:link w:val="91"/>
    <w:autoRedefine/>
    <w:qFormat/>
    <w:locked/>
    <w:uiPriority w:val="0"/>
    <w:pPr>
      <w:widowControl/>
      <w:ind w:firstLine="420" w:firstLineChars="200"/>
      <w:jc w:val="left"/>
    </w:pPr>
    <w:rPr>
      <w:kern w:val="0"/>
      <w:sz w:val="18"/>
      <w:szCs w:val="20"/>
    </w:rPr>
  </w:style>
  <w:style w:type="paragraph" w:styleId="13">
    <w:name w:val="annotation text"/>
    <w:basedOn w:val="1"/>
    <w:link w:val="63"/>
    <w:autoRedefine/>
    <w:semiHidden/>
    <w:qFormat/>
    <w:uiPriority w:val="0"/>
    <w:pPr>
      <w:jc w:val="left"/>
    </w:pPr>
    <w:rPr>
      <w:kern w:val="0"/>
      <w:sz w:val="24"/>
      <w:szCs w:val="20"/>
    </w:rPr>
  </w:style>
  <w:style w:type="paragraph" w:styleId="14">
    <w:name w:val="Body Text Indent"/>
    <w:basedOn w:val="1"/>
    <w:next w:val="15"/>
    <w:link w:val="70"/>
    <w:autoRedefine/>
    <w:qFormat/>
    <w:uiPriority w:val="0"/>
    <w:pPr>
      <w:spacing w:after="120"/>
      <w:ind w:left="420" w:leftChars="200"/>
    </w:pPr>
    <w:rPr>
      <w:kern w:val="0"/>
      <w:sz w:val="24"/>
      <w:szCs w:val="20"/>
    </w:rPr>
  </w:style>
  <w:style w:type="paragraph" w:styleId="15">
    <w:name w:val="Body Text First Indent 2"/>
    <w:basedOn w:val="14"/>
    <w:next w:val="16"/>
    <w:autoRedefine/>
    <w:unhideWhenUsed/>
    <w:qFormat/>
    <w:locked/>
    <w:uiPriority w:val="0"/>
    <w:pPr>
      <w:ind w:firstLine="420" w:firstLineChars="200"/>
    </w:pPr>
    <w:rPr>
      <w:rFonts w:ascii="Calibri" w:hAnsi="Calibri"/>
      <w:sz w:val="20"/>
    </w:rPr>
  </w:style>
  <w:style w:type="paragraph" w:styleId="16">
    <w:name w:val="Body Text First Indent"/>
    <w:basedOn w:val="2"/>
    <w:next w:val="1"/>
    <w:link w:val="108"/>
    <w:autoRedefine/>
    <w:qFormat/>
    <w:locked/>
    <w:uiPriority w:val="0"/>
    <w:pPr>
      <w:keepNext w:val="0"/>
      <w:keepLines w:val="0"/>
      <w:widowControl w:val="0"/>
      <w:suppressLineNumbers w:val="0"/>
      <w:spacing w:before="0" w:beforeAutospacing="0" w:after="120" w:afterAutospacing="0"/>
      <w:ind w:left="0" w:right="0" w:firstLine="420" w:firstLineChars="100"/>
      <w:jc w:val="both"/>
    </w:pPr>
    <w:rPr>
      <w:rFonts w:hint="default" w:ascii="Times New Roman" w:hAnsi="Times New Roman" w:eastAsia="宋体" w:cs="Times New Roman"/>
      <w:kern w:val="2"/>
      <w:sz w:val="21"/>
      <w:szCs w:val="24"/>
      <w:lang w:val="en-US" w:eastAsia="zh-CN" w:bidi="ar"/>
    </w:rPr>
  </w:style>
  <w:style w:type="paragraph" w:styleId="17">
    <w:name w:val="Block Text"/>
    <w:basedOn w:val="1"/>
    <w:autoRedefine/>
    <w:qFormat/>
    <w:locked/>
    <w:uiPriority w:val="0"/>
    <w:pPr>
      <w:spacing w:line="500" w:lineRule="exact"/>
      <w:ind w:left="54" w:right="113"/>
      <w:textAlignment w:val="baseline"/>
    </w:pPr>
    <w:rPr>
      <w:rFonts w:ascii="楷体_GB2312" w:eastAsia="楷体_GB2312"/>
      <w:kern w:val="0"/>
      <w:sz w:val="28"/>
      <w:szCs w:val="20"/>
    </w:rPr>
  </w:style>
  <w:style w:type="paragraph" w:styleId="18">
    <w:name w:val="Date"/>
    <w:basedOn w:val="1"/>
    <w:next w:val="1"/>
    <w:link w:val="58"/>
    <w:autoRedefine/>
    <w:qFormat/>
    <w:uiPriority w:val="0"/>
    <w:pPr>
      <w:ind w:left="100" w:leftChars="2500"/>
    </w:pPr>
    <w:rPr>
      <w:kern w:val="0"/>
      <w:sz w:val="24"/>
      <w:szCs w:val="20"/>
    </w:rPr>
  </w:style>
  <w:style w:type="paragraph" w:styleId="19">
    <w:name w:val="Body Text Indent 2"/>
    <w:basedOn w:val="1"/>
    <w:autoRedefine/>
    <w:qFormat/>
    <w:locked/>
    <w:uiPriority w:val="0"/>
    <w:pPr>
      <w:spacing w:line="360" w:lineRule="exact"/>
      <w:ind w:firstLine="465"/>
    </w:pPr>
    <w:rPr>
      <w:sz w:val="24"/>
    </w:rPr>
  </w:style>
  <w:style w:type="paragraph" w:styleId="20">
    <w:name w:val="Balloon Text"/>
    <w:basedOn w:val="1"/>
    <w:link w:val="66"/>
    <w:autoRedefine/>
    <w:semiHidden/>
    <w:qFormat/>
    <w:uiPriority w:val="0"/>
    <w:rPr>
      <w:kern w:val="0"/>
      <w:sz w:val="18"/>
      <w:szCs w:val="20"/>
    </w:rPr>
  </w:style>
  <w:style w:type="paragraph" w:styleId="21">
    <w:name w:val="footer"/>
    <w:basedOn w:val="1"/>
    <w:link w:val="57"/>
    <w:autoRedefine/>
    <w:qFormat/>
    <w:uiPriority w:val="99"/>
    <w:pPr>
      <w:tabs>
        <w:tab w:val="center" w:pos="4153"/>
        <w:tab w:val="right" w:pos="8306"/>
      </w:tabs>
      <w:snapToGrid w:val="0"/>
      <w:jc w:val="left"/>
    </w:pPr>
    <w:rPr>
      <w:kern w:val="0"/>
      <w:sz w:val="18"/>
      <w:szCs w:val="20"/>
    </w:rPr>
  </w:style>
  <w:style w:type="paragraph" w:styleId="22">
    <w:name w:val="header"/>
    <w:basedOn w:val="1"/>
    <w:link w:val="68"/>
    <w:autoRedefine/>
    <w:qFormat/>
    <w:uiPriority w:val="0"/>
    <w:pPr>
      <w:pBdr>
        <w:bottom w:val="single" w:color="auto" w:sz="6" w:space="1"/>
      </w:pBdr>
      <w:tabs>
        <w:tab w:val="center" w:pos="4153"/>
        <w:tab w:val="right" w:pos="8306"/>
      </w:tabs>
      <w:snapToGrid w:val="0"/>
      <w:jc w:val="center"/>
    </w:pPr>
    <w:rPr>
      <w:kern w:val="0"/>
      <w:sz w:val="18"/>
      <w:szCs w:val="20"/>
    </w:rPr>
  </w:style>
  <w:style w:type="paragraph" w:styleId="23">
    <w:name w:val="toc 1"/>
    <w:basedOn w:val="1"/>
    <w:next w:val="1"/>
    <w:autoRedefine/>
    <w:unhideWhenUsed/>
    <w:qFormat/>
    <w:locked/>
    <w:uiPriority w:val="39"/>
    <w:pPr>
      <w:autoSpaceDE w:val="0"/>
      <w:autoSpaceDN w:val="0"/>
      <w:spacing w:before="217"/>
      <w:ind w:left="526" w:hanging="206"/>
      <w:jc w:val="left"/>
    </w:pPr>
    <w:rPr>
      <w:rFonts w:ascii="宋体" w:hAnsi="宋体" w:cs="宋体"/>
      <w:b/>
      <w:bCs/>
      <w:kern w:val="0"/>
      <w:sz w:val="24"/>
      <w:lang w:val="zh-CN" w:bidi="zh-CN"/>
    </w:rPr>
  </w:style>
  <w:style w:type="paragraph" w:styleId="24">
    <w:name w:val="List"/>
    <w:basedOn w:val="1"/>
    <w:autoRedefine/>
    <w:qFormat/>
    <w:locked/>
    <w:uiPriority w:val="0"/>
    <w:pPr>
      <w:ind w:left="200" w:hanging="200" w:hangingChars="200"/>
    </w:pPr>
  </w:style>
  <w:style w:type="paragraph" w:styleId="25">
    <w:name w:val="Normal (Web)"/>
    <w:basedOn w:val="1"/>
    <w:link w:val="106"/>
    <w:autoRedefine/>
    <w:qFormat/>
    <w:uiPriority w:val="0"/>
    <w:pPr>
      <w:widowControl/>
      <w:spacing w:before="100" w:beforeAutospacing="1" w:after="100" w:afterAutospacing="1"/>
      <w:jc w:val="left"/>
    </w:pPr>
    <w:rPr>
      <w:rFonts w:ascii="宋体" w:hAnsi="宋体"/>
      <w:kern w:val="0"/>
      <w:sz w:val="24"/>
      <w:szCs w:val="20"/>
    </w:rPr>
  </w:style>
  <w:style w:type="paragraph" w:styleId="26">
    <w:name w:val="annotation subject"/>
    <w:basedOn w:val="13"/>
    <w:next w:val="13"/>
    <w:link w:val="67"/>
    <w:autoRedefine/>
    <w:semiHidden/>
    <w:qFormat/>
    <w:uiPriority w:val="0"/>
    <w:rPr>
      <w:b/>
    </w:rPr>
  </w:style>
  <w:style w:type="table" w:styleId="28">
    <w:name w:val="Table Grid"/>
    <w:basedOn w:val="2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autoRedefine/>
    <w:qFormat/>
    <w:locked/>
    <w:uiPriority w:val="0"/>
    <w:rPr>
      <w:b/>
    </w:rPr>
  </w:style>
  <w:style w:type="character" w:styleId="31">
    <w:name w:val="page number"/>
    <w:basedOn w:val="29"/>
    <w:autoRedefine/>
    <w:qFormat/>
    <w:locked/>
    <w:uiPriority w:val="0"/>
  </w:style>
  <w:style w:type="character" w:styleId="32">
    <w:name w:val="FollowedHyperlink"/>
    <w:basedOn w:val="29"/>
    <w:autoRedefine/>
    <w:qFormat/>
    <w:locked/>
    <w:uiPriority w:val="0"/>
    <w:rPr>
      <w:color w:val="800080"/>
      <w:u w:val="none"/>
    </w:rPr>
  </w:style>
  <w:style w:type="character" w:styleId="33">
    <w:name w:val="Emphasis"/>
    <w:basedOn w:val="29"/>
    <w:autoRedefine/>
    <w:qFormat/>
    <w:locked/>
    <w:uiPriority w:val="0"/>
  </w:style>
  <w:style w:type="character" w:styleId="34">
    <w:name w:val="Hyperlink"/>
    <w:basedOn w:val="29"/>
    <w:autoRedefine/>
    <w:qFormat/>
    <w:locked/>
    <w:uiPriority w:val="0"/>
    <w:rPr>
      <w:color w:val="0000FF"/>
      <w:u w:val="single"/>
    </w:rPr>
  </w:style>
  <w:style w:type="character" w:styleId="35">
    <w:name w:val="annotation reference"/>
    <w:autoRedefine/>
    <w:semiHidden/>
    <w:qFormat/>
    <w:uiPriority w:val="0"/>
    <w:rPr>
      <w:sz w:val="21"/>
    </w:rPr>
  </w:style>
  <w:style w:type="paragraph" w:customStyle="1" w:styleId="36">
    <w:name w:val="表格标题"/>
    <w:basedOn w:val="1"/>
    <w:next w:val="37"/>
    <w:link w:val="39"/>
    <w:autoRedefine/>
    <w:qFormat/>
    <w:uiPriority w:val="0"/>
    <w:pPr>
      <w:numPr>
        <w:ilvl w:val="7"/>
        <w:numId w:val="1"/>
      </w:numPr>
      <w:tabs>
        <w:tab w:val="left" w:pos="420"/>
      </w:tabs>
      <w:spacing w:line="360" w:lineRule="auto"/>
      <w:ind w:left="0" w:firstLine="0"/>
      <w:jc w:val="center"/>
    </w:pPr>
    <w:rPr>
      <w:rFonts w:ascii="Times New Roman" w:hAnsi="Times New Roman" w:eastAsia="宋体"/>
      <w:b/>
      <w:sz w:val="24"/>
    </w:rPr>
  </w:style>
  <w:style w:type="paragraph" w:customStyle="1" w:styleId="37">
    <w:name w:val="表格内容"/>
    <w:basedOn w:val="24"/>
    <w:next w:val="1"/>
    <w:link w:val="52"/>
    <w:autoRedefine/>
    <w:qFormat/>
    <w:uiPriority w:val="0"/>
    <w:pPr>
      <w:tabs>
        <w:tab w:val="left" w:pos="0"/>
      </w:tabs>
      <w:ind w:left="0" w:firstLine="0" w:firstLineChars="0"/>
      <w:jc w:val="center"/>
    </w:pPr>
  </w:style>
  <w:style w:type="paragraph" w:customStyle="1" w:styleId="38">
    <w:name w:val="图文标题"/>
    <w:basedOn w:val="1"/>
    <w:next w:val="1"/>
    <w:link w:val="41"/>
    <w:autoRedefine/>
    <w:qFormat/>
    <w:uiPriority w:val="0"/>
    <w:pPr>
      <w:numPr>
        <w:ilvl w:val="8"/>
        <w:numId w:val="1"/>
      </w:numPr>
      <w:ind w:left="0" w:firstLine="0"/>
      <w:jc w:val="center"/>
    </w:pPr>
    <w:rPr>
      <w:b/>
      <w:sz w:val="24"/>
    </w:rPr>
  </w:style>
  <w:style w:type="character" w:customStyle="1" w:styleId="39">
    <w:name w:val="表格标题 Char2"/>
    <w:link w:val="36"/>
    <w:autoRedefine/>
    <w:qFormat/>
    <w:uiPriority w:val="0"/>
    <w:rPr>
      <w:rFonts w:ascii="Times New Roman" w:hAnsi="Times New Roman" w:eastAsia="宋体"/>
      <w:b/>
      <w:sz w:val="24"/>
    </w:rPr>
  </w:style>
  <w:style w:type="character" w:customStyle="1" w:styleId="40">
    <w:name w:val="表格内容 Char1"/>
    <w:autoRedefine/>
    <w:qFormat/>
    <w:uiPriority w:val="0"/>
    <w:rPr>
      <w:rFonts w:ascii="宋体" w:hAnsi="宋体" w:eastAsia="宋体"/>
      <w:kern w:val="0"/>
      <w:sz w:val="21"/>
    </w:rPr>
  </w:style>
  <w:style w:type="character" w:customStyle="1" w:styleId="41">
    <w:name w:val="图文标题 Char"/>
    <w:link w:val="38"/>
    <w:autoRedefine/>
    <w:qFormat/>
    <w:uiPriority w:val="0"/>
    <w:rPr>
      <w:rFonts w:ascii="Times New Roman" w:hAnsi="Times New Roman" w:eastAsia="宋体"/>
      <w:b/>
      <w:sz w:val="24"/>
    </w:rPr>
  </w:style>
  <w:style w:type="paragraph" w:customStyle="1" w:styleId="42">
    <w:name w:val="闽创报告正文"/>
    <w:basedOn w:val="1"/>
    <w:link w:val="43"/>
    <w:autoRedefine/>
    <w:qFormat/>
    <w:uiPriority w:val="0"/>
    <w:pPr>
      <w:tabs>
        <w:tab w:val="left" w:pos="0"/>
      </w:tabs>
      <w:spacing w:line="360" w:lineRule="auto"/>
      <w:ind w:firstLine="200" w:firstLineChars="200"/>
    </w:pPr>
    <w:rPr>
      <w:color w:val="000000"/>
      <w:sz w:val="24"/>
      <w:szCs w:val="20"/>
    </w:rPr>
  </w:style>
  <w:style w:type="character" w:customStyle="1" w:styleId="43">
    <w:name w:val="报告正文 Char"/>
    <w:link w:val="42"/>
    <w:autoRedefine/>
    <w:qFormat/>
    <w:uiPriority w:val="0"/>
    <w:rPr>
      <w:rFonts w:ascii="Times New Roman" w:hAnsi="Times New Roman" w:eastAsia="宋体"/>
      <w:color w:val="000000"/>
      <w:sz w:val="24"/>
      <w:szCs w:val="20"/>
    </w:rPr>
  </w:style>
  <w:style w:type="character" w:customStyle="1" w:styleId="44">
    <w:name w:val="标题 1 字符"/>
    <w:basedOn w:val="29"/>
    <w:link w:val="3"/>
    <w:autoRedefine/>
    <w:qFormat/>
    <w:uiPriority w:val="0"/>
    <w:rPr>
      <w:rFonts w:hint="eastAsia" w:ascii="宋体" w:hAnsi="宋体" w:eastAsia="宋体" w:cs="宋体"/>
      <w:b/>
      <w:bCs/>
      <w:kern w:val="44"/>
      <w:sz w:val="44"/>
      <w:szCs w:val="44"/>
    </w:rPr>
  </w:style>
  <w:style w:type="character" w:customStyle="1" w:styleId="45">
    <w:name w:val="表格标题 Char1"/>
    <w:basedOn w:val="29"/>
    <w:autoRedefine/>
    <w:qFormat/>
    <w:uiPriority w:val="0"/>
    <w:rPr>
      <w:b/>
      <w:sz w:val="24"/>
      <w:szCs w:val="24"/>
    </w:rPr>
  </w:style>
  <w:style w:type="paragraph" w:customStyle="1" w:styleId="46">
    <w:name w:val="表格标题无编号"/>
    <w:basedOn w:val="36"/>
    <w:autoRedefine/>
    <w:qFormat/>
    <w:uiPriority w:val="0"/>
    <w:pPr>
      <w:numPr>
        <w:ilvl w:val="0"/>
        <w:numId w:val="0"/>
      </w:numPr>
    </w:pPr>
  </w:style>
  <w:style w:type="paragraph" w:customStyle="1" w:styleId="47">
    <w:name w:val="Default"/>
    <w:basedOn w:val="48"/>
    <w:next w:val="10"/>
    <w:autoRedefine/>
    <w:unhideWhenUsed/>
    <w:qFormat/>
    <w:uiPriority w:val="99"/>
    <w:pPr>
      <w:autoSpaceDE w:val="0"/>
      <w:autoSpaceDN w:val="0"/>
    </w:pPr>
    <w:rPr>
      <w:rFonts w:hint="eastAsia" w:ascii="Calibri" w:hAnsi="Calibri" w:eastAsia="Times New Roman"/>
      <w:color w:val="000000"/>
      <w:sz w:val="24"/>
      <w:szCs w:val="22"/>
    </w:rPr>
  </w:style>
  <w:style w:type="paragraph" w:customStyle="1" w:styleId="48">
    <w:name w:val="纯文本1"/>
    <w:basedOn w:val="1"/>
    <w:autoRedefine/>
    <w:qFormat/>
    <w:uiPriority w:val="0"/>
    <w:pPr>
      <w:adjustRightInd w:val="0"/>
    </w:pPr>
    <w:rPr>
      <w:rFonts w:ascii="宋体" w:hAnsi="Courier New"/>
      <w:szCs w:val="20"/>
    </w:rPr>
  </w:style>
  <w:style w:type="paragraph" w:customStyle="1" w:styleId="49">
    <w:name w:val="样式 黑色 行距: 最小值 26 磅"/>
    <w:basedOn w:val="1"/>
    <w:autoRedefine/>
    <w:qFormat/>
    <w:uiPriority w:val="0"/>
    <w:pPr>
      <w:ind w:firstLine="200" w:firstLineChars="200"/>
      <w:jc w:val="left"/>
    </w:pPr>
    <w:rPr>
      <w:rFonts w:eastAsia="楷体_GB2312" w:cs="宋体"/>
      <w:color w:val="000000"/>
      <w:spacing w:val="6"/>
      <w:sz w:val="28"/>
      <w:szCs w:val="20"/>
    </w:rPr>
  </w:style>
  <w:style w:type="paragraph" w:customStyle="1" w:styleId="50">
    <w:name w:val="正文(首行缩进)"/>
    <w:autoRedefine/>
    <w:qFormat/>
    <w:uiPriority w:val="0"/>
    <w:pPr>
      <w:widowControl w:val="0"/>
      <w:adjustRightInd w:val="0"/>
      <w:snapToGrid w:val="0"/>
      <w:spacing w:line="360" w:lineRule="auto"/>
      <w:ind w:firstLine="200" w:firstLineChars="200"/>
      <w:jc w:val="both"/>
    </w:pPr>
    <w:rPr>
      <w:rFonts w:ascii="Calibri" w:hAnsi="Calibri" w:eastAsia="宋体" w:cs="Times New Roman"/>
      <w:snapToGrid w:val="0"/>
      <w:kern w:val="2"/>
      <w:sz w:val="24"/>
      <w:szCs w:val="24"/>
      <w:lang w:val="en-US" w:eastAsia="zh-CN" w:bidi="ar-SA"/>
    </w:rPr>
  </w:style>
  <w:style w:type="character" w:customStyle="1" w:styleId="51">
    <w:name w:val="表格标题 Char"/>
    <w:basedOn w:val="29"/>
    <w:autoRedefine/>
    <w:qFormat/>
    <w:uiPriority w:val="0"/>
    <w:rPr>
      <w:b/>
      <w:bCs/>
      <w:sz w:val="24"/>
    </w:rPr>
  </w:style>
  <w:style w:type="character" w:customStyle="1" w:styleId="52">
    <w:name w:val="表格内容 Char"/>
    <w:link w:val="37"/>
    <w:autoRedefine/>
    <w:qFormat/>
    <w:uiPriority w:val="0"/>
    <w:rPr>
      <w:kern w:val="2"/>
      <w:sz w:val="21"/>
      <w:szCs w:val="24"/>
    </w:rPr>
  </w:style>
  <w:style w:type="paragraph" w:customStyle="1" w:styleId="53">
    <w:name w:val="w 图表名称"/>
    <w:next w:val="1"/>
    <w:autoRedefine/>
    <w:qFormat/>
    <w:uiPriority w:val="0"/>
    <w:pPr>
      <w:tabs>
        <w:tab w:val="left" w:pos="3825"/>
        <w:tab w:val="left" w:pos="4680"/>
      </w:tabs>
      <w:spacing w:before="50" w:beforeLines="50" w:line="360" w:lineRule="auto"/>
      <w:jc w:val="center"/>
    </w:pPr>
    <w:rPr>
      <w:rFonts w:ascii="Times New Roman" w:hAnsi="Times New Roman" w:eastAsia="宋体" w:cs="Times New Roman"/>
      <w:b/>
      <w:sz w:val="24"/>
      <w:szCs w:val="21"/>
      <w:lang w:val="en-US" w:eastAsia="zh-CN" w:bidi="ar-SA"/>
    </w:rPr>
  </w:style>
  <w:style w:type="paragraph" w:customStyle="1" w:styleId="54">
    <w:name w:val="正文_1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5">
    <w:name w:val="普通(网站)2"/>
    <w:basedOn w:val="1"/>
    <w:autoRedefine/>
    <w:qFormat/>
    <w:uiPriority w:val="0"/>
    <w:pPr>
      <w:widowControl/>
      <w:spacing w:before="100" w:beforeAutospacing="1" w:after="100" w:afterAutospacing="1"/>
      <w:jc w:val="left"/>
    </w:pPr>
    <w:rPr>
      <w:rFonts w:ascii="宋体" w:hAnsi="宋体"/>
      <w:sz w:val="24"/>
      <w:szCs w:val="20"/>
    </w:rPr>
  </w:style>
  <w:style w:type="paragraph" w:customStyle="1" w:styleId="56">
    <w:name w:val="表格"/>
    <w:basedOn w:val="1"/>
    <w:next w:val="1"/>
    <w:link w:val="64"/>
    <w:autoRedefine/>
    <w:qFormat/>
    <w:uiPriority w:val="0"/>
    <w:pPr>
      <w:adjustRightInd w:val="0"/>
      <w:snapToGrid w:val="0"/>
      <w:spacing w:beforeLines="10" w:afterLines="10" w:line="259" w:lineRule="auto"/>
      <w:jc w:val="center"/>
    </w:pPr>
    <w:rPr>
      <w:rFonts w:ascii="宋体"/>
      <w:kern w:val="0"/>
      <w:szCs w:val="20"/>
    </w:rPr>
  </w:style>
  <w:style w:type="character" w:customStyle="1" w:styleId="57">
    <w:name w:val="页脚 字符1"/>
    <w:link w:val="21"/>
    <w:autoRedefine/>
    <w:qFormat/>
    <w:locked/>
    <w:uiPriority w:val="99"/>
    <w:rPr>
      <w:sz w:val="18"/>
    </w:rPr>
  </w:style>
  <w:style w:type="character" w:customStyle="1" w:styleId="58">
    <w:name w:val="日期 字符1"/>
    <w:link w:val="18"/>
    <w:autoRedefine/>
    <w:qFormat/>
    <w:locked/>
    <w:uiPriority w:val="0"/>
    <w:rPr>
      <w:rFonts w:ascii="Times New Roman" w:hAnsi="Times New Roman" w:eastAsia="宋体"/>
      <w:sz w:val="24"/>
    </w:rPr>
  </w:style>
  <w:style w:type="character" w:customStyle="1" w:styleId="59">
    <w:name w:val="页脚 字符"/>
    <w:basedOn w:val="29"/>
    <w:autoRedefine/>
    <w:qFormat/>
    <w:uiPriority w:val="99"/>
  </w:style>
  <w:style w:type="character" w:customStyle="1" w:styleId="60">
    <w:name w:val="普通(网站) 字符"/>
    <w:link w:val="25"/>
    <w:autoRedefine/>
    <w:qFormat/>
    <w:locked/>
    <w:uiPriority w:val="0"/>
    <w:rPr>
      <w:rFonts w:ascii="宋体" w:hAnsi="宋体" w:eastAsia="宋体"/>
      <w:sz w:val="24"/>
    </w:rPr>
  </w:style>
  <w:style w:type="character" w:customStyle="1" w:styleId="61">
    <w:name w:val="正文文本 字符1"/>
    <w:autoRedefine/>
    <w:semiHidden/>
    <w:qFormat/>
    <w:uiPriority w:val="0"/>
    <w:rPr>
      <w:rFonts w:ascii="Times New Roman" w:hAnsi="Times New Roman" w:eastAsia="宋体"/>
      <w:sz w:val="24"/>
    </w:rPr>
  </w:style>
  <w:style w:type="character" w:customStyle="1" w:styleId="62">
    <w:name w:val="正文文本 字符"/>
    <w:link w:val="2"/>
    <w:autoRedefine/>
    <w:qFormat/>
    <w:locked/>
    <w:uiPriority w:val="0"/>
    <w:rPr>
      <w:sz w:val="18"/>
    </w:rPr>
  </w:style>
  <w:style w:type="character" w:customStyle="1" w:styleId="63">
    <w:name w:val="批注文字 字符"/>
    <w:link w:val="13"/>
    <w:autoRedefine/>
    <w:qFormat/>
    <w:locked/>
    <w:uiPriority w:val="0"/>
    <w:rPr>
      <w:rFonts w:ascii="Times New Roman" w:hAnsi="Times New Roman" w:eastAsia="宋体"/>
      <w:sz w:val="24"/>
    </w:rPr>
  </w:style>
  <w:style w:type="character" w:customStyle="1" w:styleId="64">
    <w:name w:val="表格 Char"/>
    <w:link w:val="56"/>
    <w:autoRedefine/>
    <w:qFormat/>
    <w:locked/>
    <w:uiPriority w:val="0"/>
    <w:rPr>
      <w:rFonts w:ascii="宋体"/>
      <w:sz w:val="21"/>
    </w:rPr>
  </w:style>
  <w:style w:type="character" w:customStyle="1" w:styleId="65">
    <w:name w:val="日期 字符"/>
    <w:autoRedefine/>
    <w:semiHidden/>
    <w:qFormat/>
    <w:uiPriority w:val="0"/>
    <w:rPr>
      <w:rFonts w:ascii="Times New Roman" w:hAnsi="Times New Roman" w:eastAsia="宋体"/>
      <w:sz w:val="24"/>
    </w:rPr>
  </w:style>
  <w:style w:type="character" w:customStyle="1" w:styleId="66">
    <w:name w:val="批注框文本 字符"/>
    <w:link w:val="20"/>
    <w:autoRedefine/>
    <w:semiHidden/>
    <w:qFormat/>
    <w:locked/>
    <w:uiPriority w:val="0"/>
    <w:rPr>
      <w:rFonts w:ascii="Times New Roman" w:hAnsi="Times New Roman" w:eastAsia="宋体"/>
      <w:sz w:val="18"/>
    </w:rPr>
  </w:style>
  <w:style w:type="character" w:customStyle="1" w:styleId="67">
    <w:name w:val="批注主题 字符"/>
    <w:link w:val="26"/>
    <w:autoRedefine/>
    <w:semiHidden/>
    <w:qFormat/>
    <w:locked/>
    <w:uiPriority w:val="0"/>
    <w:rPr>
      <w:rFonts w:ascii="Times New Roman" w:hAnsi="Times New Roman" w:eastAsia="宋体"/>
      <w:b/>
      <w:kern w:val="2"/>
      <w:sz w:val="24"/>
    </w:rPr>
  </w:style>
  <w:style w:type="character" w:customStyle="1" w:styleId="68">
    <w:name w:val="页眉 字符"/>
    <w:link w:val="22"/>
    <w:autoRedefine/>
    <w:qFormat/>
    <w:locked/>
    <w:uiPriority w:val="0"/>
    <w:rPr>
      <w:sz w:val="18"/>
    </w:rPr>
  </w:style>
  <w:style w:type="character" w:customStyle="1" w:styleId="69">
    <w:name w:val="批注文字 字符1"/>
    <w:autoRedefine/>
    <w:semiHidden/>
    <w:qFormat/>
    <w:uiPriority w:val="0"/>
    <w:rPr>
      <w:rFonts w:ascii="Times New Roman" w:hAnsi="Times New Roman" w:eastAsia="宋体"/>
      <w:sz w:val="24"/>
    </w:rPr>
  </w:style>
  <w:style w:type="character" w:customStyle="1" w:styleId="70">
    <w:name w:val="正文文本缩进 字符"/>
    <w:link w:val="14"/>
    <w:autoRedefine/>
    <w:semiHidden/>
    <w:qFormat/>
    <w:locked/>
    <w:uiPriority w:val="0"/>
    <w:rPr>
      <w:rFonts w:ascii="Times New Roman" w:hAnsi="Times New Roman" w:eastAsia="宋体"/>
      <w:sz w:val="24"/>
    </w:rPr>
  </w:style>
  <w:style w:type="paragraph" w:customStyle="1" w:styleId="71">
    <w:name w:val="表正文"/>
    <w:basedOn w:val="1"/>
    <w:autoRedefine/>
    <w:qFormat/>
    <w:uiPriority w:val="0"/>
    <w:pPr>
      <w:spacing w:line="360" w:lineRule="auto"/>
      <w:ind w:firstLine="200" w:firstLineChars="200"/>
    </w:pPr>
    <w:rPr>
      <w:sz w:val="24"/>
    </w:rPr>
  </w:style>
  <w:style w:type="paragraph" w:customStyle="1" w:styleId="72">
    <w:name w:val="标题3"/>
    <w:basedOn w:val="1"/>
    <w:autoRedefine/>
    <w:qFormat/>
    <w:uiPriority w:val="0"/>
    <w:pPr>
      <w:spacing w:line="360" w:lineRule="auto"/>
      <w:outlineLvl w:val="2"/>
    </w:pPr>
    <w:rPr>
      <w:b/>
      <w:sz w:val="24"/>
    </w:rPr>
  </w:style>
  <w:style w:type="paragraph" w:customStyle="1" w:styleId="73">
    <w:name w:val="无编号标题2"/>
    <w:basedOn w:val="4"/>
    <w:next w:val="1"/>
    <w:autoRedefine/>
    <w:qFormat/>
    <w:uiPriority w:val="0"/>
    <w:pPr>
      <w:numPr>
        <w:ilvl w:val="0"/>
        <w:numId w:val="0"/>
      </w:numPr>
    </w:pPr>
  </w:style>
  <w:style w:type="paragraph" w:customStyle="1" w:styleId="74">
    <w:name w:val="表格内文字"/>
    <w:basedOn w:val="75"/>
    <w:next w:val="1"/>
    <w:autoRedefine/>
    <w:qFormat/>
    <w:uiPriority w:val="0"/>
    <w:pPr>
      <w:widowControl w:val="0"/>
      <w:tabs>
        <w:tab w:val="left" w:pos="3825"/>
        <w:tab w:val="left" w:pos="4680"/>
      </w:tabs>
      <w:adjustRightInd w:val="0"/>
      <w:snapToGrid w:val="0"/>
      <w:spacing w:line="240" w:lineRule="auto"/>
      <w:ind w:firstLine="480" w:firstLineChars="200"/>
    </w:pPr>
    <w:rPr>
      <w:rFonts w:ascii="Calibri" w:hAnsi="Calibri" w:cs="宋体"/>
      <w:b w:val="0"/>
      <w:sz w:val="21"/>
      <w:szCs w:val="24"/>
    </w:rPr>
  </w:style>
  <w:style w:type="paragraph" w:customStyle="1" w:styleId="75">
    <w:name w:val="表格名称"/>
    <w:next w:val="74"/>
    <w:autoRedefine/>
    <w:qFormat/>
    <w:uiPriority w:val="0"/>
    <w:pPr>
      <w:tabs>
        <w:tab w:val="left" w:pos="3825"/>
        <w:tab w:val="left" w:pos="4680"/>
      </w:tabs>
      <w:spacing w:line="360" w:lineRule="auto"/>
      <w:jc w:val="center"/>
    </w:pPr>
    <w:rPr>
      <w:rFonts w:ascii="Times New Roman" w:hAnsi="Times New Roman" w:eastAsia="宋体" w:cs="Times New Roman"/>
      <w:b/>
      <w:sz w:val="24"/>
      <w:szCs w:val="21"/>
      <w:lang w:val="en-US" w:eastAsia="zh-CN" w:bidi="ar-SA"/>
    </w:rPr>
  </w:style>
  <w:style w:type="paragraph" w:customStyle="1" w:styleId="76">
    <w:name w:val="正文1"/>
    <w:basedOn w:val="14"/>
    <w:autoRedefine/>
    <w:qFormat/>
    <w:uiPriority w:val="0"/>
    <w:pPr>
      <w:adjustRightInd w:val="0"/>
      <w:snapToGrid w:val="0"/>
      <w:spacing w:after="0" w:line="360" w:lineRule="auto"/>
      <w:ind w:left="0" w:leftChars="0" w:firstLine="200" w:firstLineChars="200"/>
      <w:textAlignment w:val="center"/>
    </w:pPr>
    <w:rPr>
      <w:szCs w:val="28"/>
    </w:rPr>
  </w:style>
  <w:style w:type="paragraph" w:customStyle="1" w:styleId="77">
    <w:name w:val="w表格内容"/>
    <w:basedOn w:val="1"/>
    <w:autoRedefine/>
    <w:qFormat/>
    <w:uiPriority w:val="0"/>
    <w:pPr>
      <w:jc w:val="center"/>
    </w:pPr>
  </w:style>
  <w:style w:type="paragraph" w:customStyle="1" w:styleId="78">
    <w:name w:val="w报告表正文"/>
    <w:basedOn w:val="1"/>
    <w:autoRedefine/>
    <w:qFormat/>
    <w:uiPriority w:val="0"/>
    <w:pPr>
      <w:spacing w:line="360" w:lineRule="auto"/>
      <w:ind w:firstLine="720" w:firstLineChars="200"/>
    </w:pPr>
    <w:rPr>
      <w:sz w:val="24"/>
    </w:rPr>
  </w:style>
  <w:style w:type="paragraph" w:customStyle="1" w:styleId="79">
    <w:name w:val="表头bt"/>
    <w:basedOn w:val="1"/>
    <w:next w:val="1"/>
    <w:link w:val="81"/>
    <w:autoRedefine/>
    <w:qFormat/>
    <w:uiPriority w:val="0"/>
    <w:pPr>
      <w:spacing w:line="360" w:lineRule="auto"/>
      <w:jc w:val="center"/>
    </w:pPr>
    <w:rPr>
      <w:b/>
      <w:sz w:val="24"/>
    </w:rPr>
  </w:style>
  <w:style w:type="paragraph" w:customStyle="1" w:styleId="80">
    <w:name w:val="表哥的格式"/>
    <w:autoRedefine/>
    <w:qFormat/>
    <w:uiPriority w:val="0"/>
    <w:pPr>
      <w:widowControl w:val="0"/>
      <w:autoSpaceDE w:val="0"/>
      <w:autoSpaceDN w:val="0"/>
      <w:adjustRightInd w:val="0"/>
      <w:snapToGrid w:val="0"/>
      <w:spacing w:line="360" w:lineRule="auto"/>
      <w:jc w:val="center"/>
    </w:pPr>
    <w:rPr>
      <w:rFonts w:ascii="Times New Roman" w:hAnsi="Times New Roman" w:eastAsia="宋体" w:cs="Times New Roman"/>
      <w:sz w:val="24"/>
      <w:szCs w:val="21"/>
      <w:lang w:val="en-US" w:eastAsia="zh-CN" w:bidi="ar-SA"/>
    </w:rPr>
  </w:style>
  <w:style w:type="character" w:customStyle="1" w:styleId="81">
    <w:name w:val="表头b Char"/>
    <w:link w:val="79"/>
    <w:autoRedefine/>
    <w:qFormat/>
    <w:uiPriority w:val="0"/>
    <w:rPr>
      <w:b/>
      <w:kern w:val="2"/>
      <w:sz w:val="24"/>
      <w:szCs w:val="24"/>
    </w:rPr>
  </w:style>
  <w:style w:type="paragraph" w:customStyle="1" w:styleId="82">
    <w:name w:val="表头"/>
    <w:basedOn w:val="1"/>
    <w:autoRedefine/>
    <w:qFormat/>
    <w:uiPriority w:val="0"/>
    <w:pPr>
      <w:spacing w:line="360" w:lineRule="auto"/>
      <w:jc w:val="center"/>
    </w:pPr>
    <w:rPr>
      <w:b/>
      <w:sz w:val="24"/>
    </w:rPr>
  </w:style>
  <w:style w:type="paragraph" w:customStyle="1" w:styleId="83">
    <w:name w:val="样式 首行缩进:  2 字符1"/>
    <w:basedOn w:val="1"/>
    <w:autoRedefine/>
    <w:qFormat/>
    <w:uiPriority w:val="0"/>
    <w:pPr>
      <w:adjustRightInd w:val="0"/>
      <w:snapToGrid w:val="0"/>
      <w:spacing w:line="360" w:lineRule="auto"/>
      <w:ind w:firstLine="480" w:firstLineChars="200"/>
    </w:pPr>
    <w:rPr>
      <w:rFonts w:hint="eastAsia" w:ascii="宋体" w:hAnsi="宋体"/>
      <w:sz w:val="24"/>
      <w:szCs w:val="20"/>
    </w:rPr>
  </w:style>
  <w:style w:type="paragraph" w:customStyle="1" w:styleId="84">
    <w:name w:val="表格样式"/>
    <w:basedOn w:val="1"/>
    <w:autoRedefine/>
    <w:qFormat/>
    <w:uiPriority w:val="0"/>
    <w:pPr>
      <w:jc w:val="center"/>
    </w:pPr>
  </w:style>
  <w:style w:type="character" w:customStyle="1" w:styleId="85">
    <w:name w:val="z表格内文字 字符"/>
    <w:basedOn w:val="29"/>
    <w:link w:val="86"/>
    <w:autoRedefine/>
    <w:qFormat/>
    <w:uiPriority w:val="0"/>
    <w:rPr>
      <w:color w:val="000000"/>
      <w:kern w:val="2"/>
      <w:sz w:val="21"/>
      <w:szCs w:val="21"/>
    </w:rPr>
  </w:style>
  <w:style w:type="paragraph" w:customStyle="1" w:styleId="86">
    <w:name w:val="z表格内文字"/>
    <w:basedOn w:val="1"/>
    <w:link w:val="85"/>
    <w:autoRedefine/>
    <w:qFormat/>
    <w:uiPriority w:val="0"/>
    <w:pPr>
      <w:jc w:val="center"/>
    </w:pPr>
    <w:rPr>
      <w:color w:val="000000"/>
      <w:szCs w:val="21"/>
    </w:rPr>
  </w:style>
  <w:style w:type="paragraph" w:customStyle="1" w:styleId="87">
    <w:name w:val="表内容"/>
    <w:basedOn w:val="1"/>
    <w:autoRedefine/>
    <w:qFormat/>
    <w:uiPriority w:val="0"/>
    <w:pPr>
      <w:spacing w:line="360" w:lineRule="exact"/>
      <w:jc w:val="center"/>
    </w:pPr>
    <w:rPr>
      <w:szCs w:val="20"/>
    </w:rPr>
  </w:style>
  <w:style w:type="character" w:customStyle="1" w:styleId="88">
    <w:name w:val="图文标题 字符"/>
    <w:basedOn w:val="29"/>
    <w:autoRedefine/>
    <w:qFormat/>
    <w:uiPriority w:val="0"/>
    <w:rPr>
      <w:rFonts w:ascii="Arial" w:hAnsi="Arial" w:cs="Arial"/>
      <w:b/>
      <w:kern w:val="2"/>
      <w:sz w:val="24"/>
      <w:szCs w:val="22"/>
    </w:rPr>
  </w:style>
  <w:style w:type="paragraph" w:customStyle="1" w:styleId="89">
    <w:name w:val="Table Paragraph"/>
    <w:basedOn w:val="1"/>
    <w:link w:val="90"/>
    <w:autoRedefine/>
    <w:qFormat/>
    <w:uiPriority w:val="1"/>
    <w:rPr>
      <w:rFonts w:ascii="宋体" w:hAnsi="宋体" w:cs="宋体"/>
      <w:lang w:val="zh-CN" w:bidi="zh-CN"/>
    </w:rPr>
  </w:style>
  <w:style w:type="character" w:customStyle="1" w:styleId="90">
    <w:name w:val="Table Paragraph Char"/>
    <w:link w:val="89"/>
    <w:autoRedefine/>
    <w:qFormat/>
    <w:uiPriority w:val="1"/>
    <w:rPr>
      <w:rFonts w:ascii="宋体" w:hAnsi="宋体" w:eastAsia="宋体" w:cs="宋体"/>
      <w:lang w:val="zh-CN" w:eastAsia="zh-CN" w:bidi="zh-CN"/>
    </w:rPr>
  </w:style>
  <w:style w:type="character" w:customStyle="1" w:styleId="91">
    <w:name w:val="正文缩进 字符"/>
    <w:basedOn w:val="29"/>
    <w:link w:val="12"/>
    <w:autoRedefine/>
    <w:qFormat/>
    <w:uiPriority w:val="0"/>
    <w:rPr>
      <w:sz w:val="18"/>
    </w:rPr>
  </w:style>
  <w:style w:type="character" w:customStyle="1" w:styleId="92">
    <w:name w:val="大纲正文 Char"/>
    <w:basedOn w:val="29"/>
    <w:link w:val="93"/>
    <w:autoRedefine/>
    <w:qFormat/>
    <w:uiPriority w:val="0"/>
    <w:rPr>
      <w:rFonts w:hint="eastAsia" w:ascii="宋体" w:hAnsi="宋体" w:eastAsia="宋体" w:cs="宋体"/>
      <w:kern w:val="2"/>
      <w:sz w:val="24"/>
    </w:rPr>
  </w:style>
  <w:style w:type="paragraph" w:customStyle="1" w:styleId="93">
    <w:name w:val="大纲正文"/>
    <w:basedOn w:val="1"/>
    <w:link w:val="92"/>
    <w:autoRedefine/>
    <w:qFormat/>
    <w:uiPriority w:val="0"/>
    <w:pPr>
      <w:widowControl/>
      <w:adjustRightInd w:val="0"/>
      <w:snapToGrid w:val="0"/>
      <w:spacing w:line="300" w:lineRule="auto"/>
      <w:ind w:firstLine="200" w:firstLineChars="200"/>
    </w:pPr>
    <w:rPr>
      <w:sz w:val="24"/>
      <w:szCs w:val="20"/>
    </w:rPr>
  </w:style>
  <w:style w:type="paragraph" w:customStyle="1" w:styleId="94">
    <w:name w:val="注释"/>
    <w:autoRedefine/>
    <w:qFormat/>
    <w:uiPriority w:val="0"/>
    <w:pPr>
      <w:widowControl w:val="0"/>
      <w:adjustRightInd w:val="0"/>
      <w:snapToGrid w:val="0"/>
      <w:spacing w:line="360" w:lineRule="auto"/>
      <w:jc w:val="both"/>
      <w:textAlignment w:val="baseline"/>
    </w:pPr>
    <w:rPr>
      <w:rFonts w:ascii="Calibri" w:hAnsi="Calibri" w:eastAsia="宋体" w:cs="宋体"/>
      <w:snapToGrid w:val="0"/>
      <w:spacing w:val="4"/>
      <w:sz w:val="24"/>
      <w:szCs w:val="21"/>
      <w:lang w:val="en-US" w:eastAsia="zh-CN" w:bidi="ar-SA"/>
    </w:rPr>
  </w:style>
  <w:style w:type="character" w:customStyle="1" w:styleId="95">
    <w:name w:val="font21"/>
    <w:basedOn w:val="29"/>
    <w:autoRedefine/>
    <w:qFormat/>
    <w:uiPriority w:val="0"/>
    <w:rPr>
      <w:rFonts w:hint="default" w:ascii="Times New Roman" w:hAnsi="Times New Roman" w:cs="Times New Roman"/>
      <w:color w:val="000000"/>
      <w:sz w:val="21"/>
      <w:szCs w:val="21"/>
      <w:u w:val="none"/>
    </w:rPr>
  </w:style>
  <w:style w:type="paragraph" w:styleId="96">
    <w:name w:val="List Paragraph"/>
    <w:basedOn w:val="1"/>
    <w:autoRedefine/>
    <w:qFormat/>
    <w:uiPriority w:val="99"/>
    <w:pPr>
      <w:ind w:firstLine="420" w:firstLineChars="200"/>
    </w:pPr>
  </w:style>
  <w:style w:type="character" w:customStyle="1" w:styleId="97">
    <w:name w:val="w报告表正文 Char"/>
    <w:basedOn w:val="29"/>
    <w:autoRedefine/>
    <w:qFormat/>
    <w:uiPriority w:val="0"/>
    <w:rPr>
      <w:sz w:val="24"/>
    </w:rPr>
  </w:style>
  <w:style w:type="paragraph" w:customStyle="1" w:styleId="98">
    <w:name w:val="a表格内文字"/>
    <w:basedOn w:val="1"/>
    <w:autoRedefine/>
    <w:qFormat/>
    <w:uiPriority w:val="0"/>
    <w:pPr>
      <w:jc w:val="center"/>
    </w:pPr>
    <w:rPr>
      <w:color w:val="000000"/>
      <w:szCs w:val="21"/>
    </w:rPr>
  </w:style>
  <w:style w:type="paragraph" w:customStyle="1" w:styleId="99">
    <w:name w:val="表格内容b"/>
    <w:basedOn w:val="1"/>
    <w:autoRedefine/>
    <w:qFormat/>
    <w:uiPriority w:val="0"/>
    <w:pPr>
      <w:jc w:val="center"/>
    </w:pPr>
  </w:style>
  <w:style w:type="paragraph" w:customStyle="1" w:styleId="100">
    <w:name w:val="表格内容bg"/>
    <w:basedOn w:val="1"/>
    <w:autoRedefine/>
    <w:qFormat/>
    <w:uiPriority w:val="0"/>
    <w:pPr>
      <w:jc w:val="center"/>
    </w:pPr>
  </w:style>
  <w:style w:type="character" w:customStyle="1" w:styleId="101">
    <w:name w:val="disabled"/>
    <w:basedOn w:val="29"/>
    <w:autoRedefine/>
    <w:qFormat/>
    <w:uiPriority w:val="0"/>
    <w:rPr>
      <w:vanish/>
      <w:bdr w:val="single" w:color="2F6B98" w:sz="4" w:space="0"/>
    </w:rPr>
  </w:style>
  <w:style w:type="character" w:customStyle="1" w:styleId="102">
    <w:name w:val="znspantitle"/>
    <w:basedOn w:val="29"/>
    <w:autoRedefine/>
    <w:qFormat/>
    <w:uiPriority w:val="0"/>
    <w:rPr>
      <w:b/>
      <w:bCs/>
      <w:color w:val="333333"/>
    </w:rPr>
  </w:style>
  <w:style w:type="character" w:customStyle="1" w:styleId="103">
    <w:name w:val="15"/>
    <w:basedOn w:val="29"/>
    <w:autoRedefine/>
    <w:qFormat/>
    <w:uiPriority w:val="0"/>
    <w:rPr>
      <w:rFonts w:hint="default" w:ascii="Times New Roman" w:hAnsi="Times New Roman" w:cs="Times New Roman"/>
    </w:rPr>
  </w:style>
  <w:style w:type="paragraph" w:customStyle="1" w:styleId="104">
    <w:name w:val="5段落"/>
    <w:basedOn w:val="1"/>
    <w:link w:val="105"/>
    <w:autoRedefine/>
    <w:qFormat/>
    <w:uiPriority w:val="0"/>
    <w:pPr>
      <w:keepNext w:val="0"/>
      <w:keepLines w:val="0"/>
      <w:widowControl w:val="0"/>
      <w:suppressLineNumbers w:val="0"/>
      <w:spacing w:before="0" w:beforeAutospacing="0" w:after="0" w:afterAutospacing="0" w:line="360" w:lineRule="auto"/>
      <w:ind w:left="0" w:right="0" w:firstLine="200" w:firstLineChars="200"/>
      <w:jc w:val="both"/>
    </w:pPr>
    <w:rPr>
      <w:rFonts w:hint="default" w:ascii="Times New Roman" w:hAnsi="Times New Roman" w:eastAsia="宋体" w:cs="Times New Roman"/>
      <w:kern w:val="2"/>
      <w:sz w:val="24"/>
      <w:szCs w:val="28"/>
      <w:lang w:val="en-US" w:eastAsia="zh-CN" w:bidi="ar"/>
    </w:rPr>
  </w:style>
  <w:style w:type="character" w:customStyle="1" w:styleId="105">
    <w:name w:val="5段落 Char"/>
    <w:basedOn w:val="29"/>
    <w:link w:val="104"/>
    <w:autoRedefine/>
    <w:qFormat/>
    <w:uiPriority w:val="0"/>
    <w:rPr>
      <w:kern w:val="2"/>
      <w:sz w:val="24"/>
      <w:szCs w:val="28"/>
    </w:rPr>
  </w:style>
  <w:style w:type="character" w:customStyle="1" w:styleId="106">
    <w:name w:val="普通(网站) Char"/>
    <w:basedOn w:val="29"/>
    <w:link w:val="25"/>
    <w:autoRedefine/>
    <w:qFormat/>
    <w:uiPriority w:val="0"/>
    <w:rPr>
      <w:rFonts w:hint="eastAsia" w:ascii="宋体" w:hAnsi="宋体" w:eastAsia="宋体" w:cs="宋体"/>
      <w:sz w:val="24"/>
    </w:rPr>
  </w:style>
  <w:style w:type="character" w:customStyle="1" w:styleId="107">
    <w:name w:val="正文文本 Char"/>
    <w:basedOn w:val="29"/>
    <w:link w:val="2"/>
    <w:autoRedefine/>
    <w:qFormat/>
    <w:uiPriority w:val="0"/>
    <w:rPr>
      <w:kern w:val="2"/>
      <w:sz w:val="21"/>
      <w:szCs w:val="24"/>
    </w:rPr>
  </w:style>
  <w:style w:type="character" w:customStyle="1" w:styleId="108">
    <w:name w:val="正文首行缩进 Char"/>
    <w:basedOn w:val="107"/>
    <w:link w:val="16"/>
    <w:autoRedefine/>
    <w:qFormat/>
    <w:uiPriority w:val="0"/>
    <w:rPr>
      <w:kern w:val="2"/>
      <w:sz w:val="21"/>
      <w:szCs w:val="24"/>
    </w:rPr>
  </w:style>
  <w:style w:type="paragraph" w:customStyle="1" w:styleId="109">
    <w:name w:val="我的正文"/>
    <w:autoRedefine/>
    <w:qFormat/>
    <w:uiPriority w:val="0"/>
    <w:pPr>
      <w:widowControl w:val="0"/>
      <w:spacing w:line="360" w:lineRule="auto"/>
      <w:ind w:firstLine="480" w:firstLineChars="200"/>
    </w:pPr>
    <w:rPr>
      <w:rFonts w:ascii="Calibri" w:hAnsi="Calibri" w:eastAsia="宋体" w:cs="Times New Roman"/>
      <w:kern w:val="2"/>
      <w:sz w:val="24"/>
      <w:szCs w:val="24"/>
      <w:lang w:val="en-US" w:eastAsia="zh-CN" w:bidi="ar-SA"/>
    </w:rPr>
  </w:style>
  <w:style w:type="character" w:customStyle="1" w:styleId="110">
    <w:name w:val="font11"/>
    <w:basedOn w:val="29"/>
    <w:autoRedefine/>
    <w:qFormat/>
    <w:uiPriority w:val="0"/>
    <w:rPr>
      <w:rFonts w:hint="default" w:ascii="Times New Roman" w:hAnsi="Times New Roman" w:cs="Times New Roman"/>
      <w:color w:val="000000"/>
      <w:sz w:val="21"/>
      <w:szCs w:val="21"/>
      <w:u w:val="none"/>
    </w:rPr>
  </w:style>
  <w:style w:type="character" w:customStyle="1" w:styleId="111">
    <w:name w:val="闽创报告正文 Char"/>
    <w:basedOn w:val="29"/>
    <w:autoRedefine/>
    <w:qFormat/>
    <w:uiPriority w:val="0"/>
    <w:rPr>
      <w:rFonts w:hint="eastAsia" w:ascii="宋体" w:hAnsi="宋体" w:eastAsia="宋体" w:cs="宋体"/>
      <w:color w:val="0000FF"/>
      <w:sz w:val="24"/>
      <w:lang w:val="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3" Type="http://schemas.microsoft.com/office/2011/relationships/people" Target="people.xml"/><Relationship Id="rId22" Type="http://schemas.openxmlformats.org/officeDocument/2006/relationships/fontTable" Target="fontTable.xml"/><Relationship Id="rId21" Type="http://schemas.microsoft.com/office/2006/relationships/keyMapCustomizations" Target="customizations.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6.wmf"/><Relationship Id="rId16" Type="http://schemas.openxmlformats.org/officeDocument/2006/relationships/image" Target="media/image5.jpeg"/><Relationship Id="rId15" Type="http://schemas.openxmlformats.org/officeDocument/2006/relationships/image" Target="media/image4.jpeg"/><Relationship Id="rId14" Type="http://schemas.openxmlformats.org/officeDocument/2006/relationships/image" Target="media/image3.wmf"/><Relationship Id="rId13" Type="http://schemas.openxmlformats.org/officeDocument/2006/relationships/oleObject" Target="embeddings/oleObject2.bin"/><Relationship Id="rId12" Type="http://schemas.openxmlformats.org/officeDocument/2006/relationships/image" Target="media/image2.wmf"/><Relationship Id="rId11" Type="http://schemas.openxmlformats.org/officeDocument/2006/relationships/oleObject" Target="embeddings/oleObject1.bin"/><Relationship Id="rId10" Type="http://schemas.openxmlformats.org/officeDocument/2006/relationships/image" Target="media/image1.jpe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06B2DA-93E4-45D3-A6FA-0B52EC453E7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58</Pages>
  <Words>36574</Words>
  <Characters>41876</Characters>
  <Lines>1</Lines>
  <Paragraphs>1</Paragraphs>
  <TotalTime>65</TotalTime>
  <ScaleCrop>false</ScaleCrop>
  <LinksUpToDate>false</LinksUpToDate>
  <CharactersWithSpaces>42154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2020-12-24T01:29:00Z</dcterms:created>
  <dc:creator>lhj</dc:creator>
  <cp:lastModifiedBy>WPS_1710313243</cp:lastModifiedBy>
  <cp:lastPrinted>2022-11-25T08:19:00Z</cp:lastPrinted>
  <dcterms:modified xsi:type="dcterms:W3CDTF">2024-04-18T07:20:44Z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38989071B05D4CDE8B14BE5562B06480_13</vt:lpwstr>
  </property>
</Properties>
</file>