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8"/>
        <w:rPr>
          <w:rFonts w:hint="eastAsia" w:eastAsia="宋体"/>
          <w:color w:val="auto"/>
          <w:highlight w:val="none"/>
          <w:lang w:eastAsia="zh-CN"/>
        </w:rPr>
        <w:sectPr>
          <w:head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r>
        <w:rPr>
          <w:rFonts w:hint="eastAsia" w:ascii="Times New Roman" w:hAnsi="Times New Roman" w:eastAsia="宋体" w:cs="Times New Roman"/>
          <w:bCs/>
          <w:color w:val="auto"/>
          <w:sz w:val="72"/>
          <w:szCs w:val="72"/>
          <w:highlight w:val="none"/>
          <w:lang w:eastAsia="zh-CN"/>
        </w:rPr>
        <w:drawing>
          <wp:inline distT="0" distB="0" distL="114300" distR="114300">
            <wp:extent cx="5645150" cy="7590790"/>
            <wp:effectExtent l="0" t="0" r="12700" b="10160"/>
            <wp:docPr id="292" name="图片 292" descr="SKM_C22624042315290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descr="SKM_C22624042315290_00"/>
                    <pic:cNvPicPr>
                      <a:picLocks noChangeAspect="1"/>
                    </pic:cNvPicPr>
                  </pic:nvPicPr>
                  <pic:blipFill>
                    <a:blip r:embed="rId8"/>
                    <a:srcRect l="48137" t="1314"/>
                    <a:stretch>
                      <a:fillRect/>
                    </a:stretch>
                  </pic:blipFill>
                  <pic:spPr>
                    <a:xfrm>
                      <a:off x="0" y="0"/>
                      <a:ext cx="5645150" cy="7590790"/>
                    </a:xfrm>
                    <a:prstGeom prst="rect">
                      <a:avLst/>
                    </a:prstGeom>
                  </pic:spPr>
                </pic:pic>
              </a:graphicData>
            </a:graphic>
          </wp:inline>
        </w:drawing>
      </w:r>
    </w:p>
    <w:p>
      <w:pPr>
        <w:pStyle w:val="58"/>
        <w:rPr>
          <w:color w:val="auto"/>
          <w:highlight w:val="none"/>
        </w:rPr>
      </w:pPr>
      <w:r>
        <w:rPr>
          <w:rFonts w:hint="eastAsia"/>
          <w:color w:val="auto"/>
          <w:highlight w:val="none"/>
        </w:rPr>
        <w:t>一、建设项目基本情况</w:t>
      </w:r>
    </w:p>
    <w:tbl>
      <w:tblPr>
        <w:tblStyle w:val="28"/>
        <w:tblW w:w="90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070"/>
        <w:gridCol w:w="2030"/>
        <w:gridCol w:w="1923"/>
        <w:gridCol w:w="298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70"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建设项目名称</w:t>
            </w:r>
          </w:p>
        </w:tc>
        <w:tc>
          <w:tcPr>
            <w:tcW w:w="6934" w:type="dxa"/>
            <w:gridSpan w:val="3"/>
            <w:vAlign w:val="center"/>
          </w:tcPr>
          <w:p>
            <w:pPr>
              <w:adjustRightInd w:val="0"/>
              <w:snapToGrid w:val="0"/>
              <w:spacing w:line="240" w:lineRule="auto"/>
              <w:jc w:val="center"/>
              <w:rPr>
                <w:rFonts w:hint="eastAsia" w:eastAsia="宋体"/>
                <w:color w:val="auto"/>
                <w:sz w:val="24"/>
                <w:highlight w:val="none"/>
                <w:lang w:eastAsia="zh-CN"/>
              </w:rPr>
            </w:pPr>
            <w:r>
              <w:rPr>
                <w:rFonts w:hint="eastAsia"/>
                <w:bCs/>
                <w:color w:val="auto"/>
                <w:sz w:val="24"/>
                <w:highlight w:val="none"/>
                <w:lang w:eastAsia="zh-CN"/>
              </w:rPr>
              <w:t>年产金属水暖卫浴配件8000吨、塑料卫浴配件3000吨、浴室柜2000套、进水软管100万米项目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70"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项目代码</w:t>
            </w:r>
          </w:p>
        </w:tc>
        <w:tc>
          <w:tcPr>
            <w:tcW w:w="6934" w:type="dxa"/>
            <w:gridSpan w:val="3"/>
            <w:vAlign w:val="center"/>
          </w:tcPr>
          <w:p>
            <w:pPr>
              <w:adjustRightInd w:val="0"/>
              <w:snapToGrid w:val="0"/>
              <w:jc w:val="center"/>
              <w:rPr>
                <w:rFonts w:hint="default" w:ascii="Times New Roman" w:hAnsi="Times New Roman" w:eastAsia="宋体" w:cs="Times New Roman"/>
                <w:color w:val="auto"/>
                <w:sz w:val="24"/>
                <w:highlight w:val="none"/>
              </w:rPr>
            </w:pPr>
            <w:r>
              <w:rPr>
                <w:rFonts w:hint="eastAsia" w:ascii="Times New Roman" w:hAnsi="Times New Roman" w:eastAsia="宋体" w:cs="Times New Roman"/>
                <w:bCs/>
                <w:color w:val="auto"/>
                <w:sz w:val="24"/>
                <w:highlight w:val="none"/>
                <w:lang w:eastAsia="zh-CN"/>
              </w:rPr>
              <w:t>2301-350583-04-03-828735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70"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建设单位联系人</w:t>
            </w:r>
          </w:p>
        </w:tc>
        <w:tc>
          <w:tcPr>
            <w:tcW w:w="2030" w:type="dxa"/>
            <w:vAlign w:val="center"/>
          </w:tcPr>
          <w:p>
            <w:pPr>
              <w:adjustRightInd w:val="0"/>
              <w:snapToGrid w:val="0"/>
              <w:jc w:val="center"/>
              <w:rPr>
                <w:rFonts w:hint="default" w:ascii="Times New Roman" w:hAnsi="Times New Roman" w:eastAsia="宋体" w:cs="Times New Roman"/>
                <w:color w:val="auto"/>
                <w:sz w:val="24"/>
                <w:highlight w:val="none"/>
                <w:lang w:val="en-US"/>
              </w:rPr>
            </w:pPr>
          </w:p>
        </w:tc>
        <w:tc>
          <w:tcPr>
            <w:tcW w:w="1923" w:type="dxa"/>
            <w:vAlign w:val="center"/>
          </w:tcPr>
          <w:p>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联系方式</w:t>
            </w:r>
          </w:p>
        </w:tc>
        <w:tc>
          <w:tcPr>
            <w:tcW w:w="2981" w:type="dxa"/>
            <w:vAlign w:val="center"/>
          </w:tcPr>
          <w:p>
            <w:pPr>
              <w:adjustRightInd w:val="0"/>
              <w:snapToGrid w:val="0"/>
              <w:jc w:val="center"/>
              <w:rPr>
                <w:rFonts w:hint="default" w:ascii="Times New Roman" w:hAnsi="Times New Roman" w:eastAsia="宋体" w:cs="Times New Roman"/>
                <w:color w:val="auto"/>
                <w:sz w:val="24"/>
                <w:highlight w:val="none"/>
                <w:lang w:val="en-US"/>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70"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建设地点</w:t>
            </w:r>
          </w:p>
        </w:tc>
        <w:tc>
          <w:tcPr>
            <w:tcW w:w="6934" w:type="dxa"/>
            <w:gridSpan w:val="3"/>
            <w:vAlign w:val="center"/>
          </w:tcPr>
          <w:p>
            <w:pPr>
              <w:adjustRightInd w:val="0"/>
              <w:snapToGrid w:val="0"/>
              <w:jc w:val="center"/>
              <w:rPr>
                <w:rFonts w:hint="default"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rPr>
              <w:t>福建省南安市美林街道茂盛路1288号</w:t>
            </w:r>
          </w:p>
          <w:p>
            <w:pPr>
              <w:adjustRightInd w:val="0"/>
              <w:snapToGrid w:val="0"/>
              <w:jc w:val="center"/>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w:t>
            </w:r>
            <w:r>
              <w:rPr>
                <w:rFonts w:hint="eastAsia" w:ascii="Times New Roman" w:hAnsi="Times New Roman" w:eastAsia="宋体" w:cs="Times New Roman"/>
                <w:bCs/>
                <w:color w:val="auto"/>
                <w:sz w:val="24"/>
                <w:highlight w:val="none"/>
                <w:lang w:eastAsia="zh-CN"/>
              </w:rPr>
              <w:t>南安经济开发区扶茂工业园中心片区内</w:t>
            </w:r>
            <w:r>
              <w:rPr>
                <w:rFonts w:hint="eastAsia" w:ascii="Times New Roman" w:hAnsi="Times New Roman" w:eastAsia="宋体" w:cs="Times New Roman"/>
                <w:bCs/>
                <w:color w:val="auto"/>
                <w:sz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70"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地理坐标</w:t>
            </w:r>
          </w:p>
        </w:tc>
        <w:tc>
          <w:tcPr>
            <w:tcW w:w="6934" w:type="dxa"/>
            <w:gridSpan w:val="3"/>
            <w:vAlign w:val="center"/>
          </w:tcPr>
          <w:p>
            <w:pPr>
              <w:adjustRightInd w:val="0"/>
              <w:snapToGrid w:val="0"/>
              <w:jc w:val="center"/>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w:t>
            </w:r>
            <w:r>
              <w:rPr>
                <w:rFonts w:hint="eastAsia" w:cs="Times New Roman"/>
                <w:bCs/>
                <w:color w:val="auto"/>
                <w:sz w:val="24"/>
                <w:highlight w:val="none"/>
                <w:lang w:val="en-US" w:eastAsia="zh-CN"/>
              </w:rPr>
              <w:t>东经：</w:t>
            </w:r>
            <w:r>
              <w:rPr>
                <w:rFonts w:hint="eastAsia" w:ascii="Times New Roman" w:hAnsi="Times New Roman" w:eastAsia="宋体" w:cs="Times New Roman"/>
                <w:bCs/>
                <w:color w:val="auto"/>
                <w:sz w:val="24"/>
                <w:highlight w:val="none"/>
              </w:rPr>
              <w:t>118度2</w:t>
            </w:r>
            <w:r>
              <w:rPr>
                <w:rFonts w:hint="eastAsia" w:ascii="Times New Roman" w:hAnsi="Times New Roman" w:eastAsia="宋体" w:cs="Times New Roman"/>
                <w:bCs/>
                <w:color w:val="auto"/>
                <w:sz w:val="24"/>
                <w:highlight w:val="none"/>
                <w:lang w:val="en-US" w:eastAsia="zh-CN"/>
              </w:rPr>
              <w:t>1</w:t>
            </w:r>
            <w:r>
              <w:rPr>
                <w:rFonts w:hint="eastAsia" w:ascii="Times New Roman" w:hAnsi="Times New Roman" w:eastAsia="宋体" w:cs="Times New Roman"/>
                <w:bCs/>
                <w:color w:val="auto"/>
                <w:sz w:val="24"/>
                <w:highlight w:val="none"/>
              </w:rPr>
              <w:t>分</w:t>
            </w:r>
            <w:r>
              <w:rPr>
                <w:rFonts w:hint="eastAsia" w:ascii="Times New Roman" w:hAnsi="Times New Roman" w:eastAsia="宋体" w:cs="Times New Roman"/>
                <w:bCs/>
                <w:color w:val="auto"/>
                <w:sz w:val="24"/>
                <w:highlight w:val="none"/>
                <w:lang w:val="en-US" w:eastAsia="zh-CN"/>
              </w:rPr>
              <w:t>5.873</w:t>
            </w:r>
            <w:r>
              <w:rPr>
                <w:rFonts w:hint="eastAsia" w:ascii="Times New Roman" w:hAnsi="Times New Roman" w:eastAsia="宋体" w:cs="Times New Roman"/>
                <w:bCs/>
                <w:color w:val="auto"/>
                <w:sz w:val="24"/>
                <w:highlight w:val="none"/>
              </w:rPr>
              <w:t>秒，</w:t>
            </w:r>
            <w:r>
              <w:rPr>
                <w:rFonts w:hint="eastAsia" w:cs="Times New Roman"/>
                <w:bCs/>
                <w:color w:val="auto"/>
                <w:sz w:val="24"/>
                <w:highlight w:val="none"/>
                <w:lang w:val="en-US" w:eastAsia="zh-CN"/>
              </w:rPr>
              <w:t>北纬：</w:t>
            </w:r>
            <w:r>
              <w:rPr>
                <w:rFonts w:hint="eastAsia" w:ascii="Times New Roman" w:hAnsi="Times New Roman" w:eastAsia="宋体" w:cs="Times New Roman"/>
                <w:bCs/>
                <w:color w:val="auto"/>
                <w:sz w:val="24"/>
                <w:highlight w:val="none"/>
              </w:rPr>
              <w:t>25度</w:t>
            </w:r>
            <w:r>
              <w:rPr>
                <w:rFonts w:hint="eastAsia" w:ascii="Times New Roman" w:hAnsi="Times New Roman" w:eastAsia="宋体" w:cs="Times New Roman"/>
                <w:bCs/>
                <w:color w:val="auto"/>
                <w:sz w:val="24"/>
                <w:highlight w:val="none"/>
                <w:lang w:val="en-US" w:eastAsia="zh-CN"/>
              </w:rPr>
              <w:t>0</w:t>
            </w:r>
            <w:r>
              <w:rPr>
                <w:rFonts w:hint="eastAsia" w:ascii="Times New Roman" w:hAnsi="Times New Roman" w:eastAsia="宋体" w:cs="Times New Roman"/>
                <w:bCs/>
                <w:color w:val="auto"/>
                <w:sz w:val="24"/>
                <w:highlight w:val="none"/>
              </w:rPr>
              <w:t>分</w:t>
            </w:r>
            <w:r>
              <w:rPr>
                <w:rFonts w:hint="eastAsia" w:ascii="Times New Roman" w:hAnsi="Times New Roman" w:eastAsia="宋体" w:cs="Times New Roman"/>
                <w:bCs/>
                <w:color w:val="auto"/>
                <w:sz w:val="24"/>
                <w:highlight w:val="none"/>
                <w:lang w:val="en-US" w:eastAsia="zh-CN"/>
              </w:rPr>
              <w:t>58.611</w:t>
            </w:r>
            <w:r>
              <w:rPr>
                <w:rFonts w:hint="eastAsia" w:ascii="Times New Roman" w:hAnsi="Times New Roman" w:eastAsia="宋体" w:cs="Times New Roman"/>
                <w:bCs/>
                <w:color w:val="auto"/>
                <w:sz w:val="24"/>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070" w:type="dxa"/>
            <w:tcMar>
              <w:top w:w="16" w:type="dxa"/>
              <w:left w:w="16" w:type="dxa"/>
              <w:right w:w="16" w:type="dxa"/>
            </w:tcMar>
            <w:vAlign w:val="center"/>
          </w:tcPr>
          <w:p>
            <w:pPr>
              <w:adjustRightInd w:val="0"/>
              <w:snapToGrid w:val="0"/>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国民经济</w:t>
            </w:r>
          </w:p>
          <w:p>
            <w:pPr>
              <w:adjustRightInd w:val="0"/>
              <w:snapToGrid w:val="0"/>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行业类别</w:t>
            </w:r>
          </w:p>
        </w:tc>
        <w:tc>
          <w:tcPr>
            <w:tcW w:w="2030" w:type="dxa"/>
            <w:vAlign w:val="center"/>
          </w:tcPr>
          <w:p>
            <w:pPr>
              <w:adjustRightInd w:val="0"/>
              <w:snapToGrid w:val="0"/>
              <w:jc w:val="center"/>
              <w:rPr>
                <w:rFonts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 xml:space="preserve">C3392 </w:t>
            </w:r>
            <w:r>
              <w:rPr>
                <w:rFonts w:hint="eastAsia" w:ascii="Times New Roman" w:hAnsi="Times New Roman" w:eastAsia="宋体" w:cs="Times New Roman"/>
                <w:color w:val="auto"/>
                <w:sz w:val="24"/>
                <w:highlight w:val="none"/>
                <w:lang w:val="en-US" w:eastAsia="zh-CN"/>
              </w:rPr>
              <w:t xml:space="preserve">有色金属 </w:t>
            </w:r>
          </w:p>
          <w:p>
            <w:pPr>
              <w:adjustRightInd w:val="0"/>
              <w:snapToGrid w:val="0"/>
              <w:jc w:val="center"/>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铸造、</w:t>
            </w:r>
            <w:r>
              <w:rPr>
                <w:rFonts w:hint="default" w:ascii="Times New Roman" w:hAnsi="Times New Roman" w:eastAsia="宋体" w:cs="Times New Roman"/>
                <w:color w:val="auto"/>
                <w:sz w:val="24"/>
                <w:highlight w:val="none"/>
                <w:lang w:val="en-US" w:eastAsia="zh-CN"/>
              </w:rPr>
              <w:t xml:space="preserve">C3383 </w:t>
            </w:r>
            <w:r>
              <w:rPr>
                <w:rFonts w:hint="eastAsia" w:ascii="Times New Roman" w:hAnsi="Times New Roman" w:eastAsia="宋体" w:cs="Times New Roman"/>
                <w:color w:val="auto"/>
                <w:sz w:val="24"/>
                <w:highlight w:val="none"/>
                <w:lang w:val="en-US" w:eastAsia="zh-CN"/>
              </w:rPr>
              <w:t xml:space="preserve">金 </w:t>
            </w:r>
          </w:p>
          <w:p>
            <w:pPr>
              <w:adjustRightInd w:val="0"/>
              <w:snapToGrid w:val="0"/>
              <w:jc w:val="center"/>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 xml:space="preserve">属制卫生器具 </w:t>
            </w:r>
          </w:p>
          <w:p>
            <w:pPr>
              <w:adjustRightInd w:val="0"/>
              <w:snapToGrid w:val="0"/>
              <w:jc w:val="center"/>
              <w:rPr>
                <w:rFonts w:hint="default" w:ascii="Times New Roman" w:hAnsi="Times New Roman" w:eastAsia="宋体" w:cs="Times New Roman"/>
                <w:color w:val="auto"/>
                <w:sz w:val="24"/>
                <w:highlight w:val="none"/>
                <w:lang w:val="en-US"/>
              </w:rPr>
            </w:pPr>
            <w:r>
              <w:rPr>
                <w:rFonts w:hint="eastAsia" w:ascii="Times New Roman" w:hAnsi="Times New Roman" w:eastAsia="宋体" w:cs="Times New Roman"/>
                <w:color w:val="auto"/>
                <w:sz w:val="24"/>
                <w:highlight w:val="none"/>
                <w:lang w:val="en-US" w:eastAsia="zh-CN"/>
              </w:rPr>
              <w:t>制造、C2927日用塑料制品制造、C2110木质家具制造</w:t>
            </w:r>
          </w:p>
        </w:tc>
        <w:tc>
          <w:tcPr>
            <w:tcW w:w="1923" w:type="dxa"/>
            <w:vAlign w:val="center"/>
          </w:tcPr>
          <w:p>
            <w:pPr>
              <w:adjustRightInd w:val="0"/>
              <w:snapToGrid w:val="0"/>
              <w:jc w:val="center"/>
              <w:rPr>
                <w:rFonts w:ascii="Times New Roman" w:hAnsi="Times New Roman" w:eastAsia="宋体" w:cs="Times New Roman"/>
                <w:color w:val="auto"/>
                <w:sz w:val="24"/>
                <w:highlight w:val="none"/>
              </w:rPr>
            </w:pPr>
            <w:bookmarkStart w:id="0" w:name="_Hlk49843745"/>
            <w:r>
              <w:rPr>
                <w:rFonts w:ascii="Times New Roman" w:hAnsi="Times New Roman" w:eastAsia="宋体" w:cs="Times New Roman"/>
                <w:color w:val="auto"/>
                <w:sz w:val="24"/>
                <w:highlight w:val="none"/>
              </w:rPr>
              <w:t>建设项目</w:t>
            </w:r>
          </w:p>
          <w:p>
            <w:pPr>
              <w:adjustRightInd w:val="0"/>
              <w:snapToGrid w:val="0"/>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行业类别</w:t>
            </w:r>
            <w:bookmarkEnd w:id="0"/>
          </w:p>
        </w:tc>
        <w:tc>
          <w:tcPr>
            <w:tcW w:w="2981" w:type="dxa"/>
            <w:vAlign w:val="center"/>
          </w:tcPr>
          <w:p>
            <w:pPr>
              <w:adjustRightInd w:val="0"/>
              <w:snapToGrid w:val="0"/>
              <w:jc w:val="center"/>
              <w:rPr>
                <w:rFonts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 xml:space="preserve">30-68 </w:t>
            </w:r>
            <w:r>
              <w:rPr>
                <w:rFonts w:hint="eastAsia" w:ascii="Times New Roman" w:hAnsi="Times New Roman" w:eastAsia="宋体" w:cs="Times New Roman"/>
                <w:color w:val="auto"/>
                <w:sz w:val="24"/>
                <w:highlight w:val="none"/>
                <w:lang w:val="en-US" w:eastAsia="zh-CN"/>
              </w:rPr>
              <w:t xml:space="preserve">铸造及其他金属制品 </w:t>
            </w:r>
          </w:p>
          <w:p>
            <w:pPr>
              <w:adjustRightInd w:val="0"/>
              <w:snapToGrid w:val="0"/>
              <w:jc w:val="center"/>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 xml:space="preserve">制造 </w:t>
            </w:r>
            <w:r>
              <w:rPr>
                <w:rFonts w:hint="default" w:ascii="Times New Roman" w:hAnsi="Times New Roman" w:eastAsia="宋体" w:cs="Times New Roman"/>
                <w:color w:val="auto"/>
                <w:sz w:val="24"/>
                <w:highlight w:val="none"/>
                <w:lang w:val="en-US" w:eastAsia="zh-CN"/>
              </w:rPr>
              <w:t>339</w:t>
            </w:r>
            <w:r>
              <w:rPr>
                <w:rFonts w:hint="eastAsia" w:ascii="Times New Roman" w:hAnsi="Times New Roman" w:eastAsia="宋体" w:cs="Times New Roman"/>
                <w:color w:val="auto"/>
                <w:sz w:val="24"/>
                <w:highlight w:val="none"/>
                <w:lang w:val="en-US" w:eastAsia="zh-CN"/>
              </w:rPr>
              <w:t>；</w:t>
            </w:r>
          </w:p>
          <w:p>
            <w:pPr>
              <w:adjustRightInd w:val="0"/>
              <w:snapToGrid w:val="0"/>
              <w:jc w:val="center"/>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 xml:space="preserve">30-66 </w:t>
            </w:r>
            <w:r>
              <w:rPr>
                <w:rFonts w:hint="eastAsia" w:ascii="Times New Roman" w:hAnsi="Times New Roman" w:eastAsia="宋体" w:cs="Times New Roman"/>
                <w:color w:val="auto"/>
                <w:sz w:val="24"/>
                <w:highlight w:val="none"/>
                <w:lang w:val="en-US" w:eastAsia="zh-CN"/>
              </w:rPr>
              <w:t>金属制日用品制造 338；</w:t>
            </w:r>
          </w:p>
          <w:p>
            <w:pPr>
              <w:adjustRightInd w:val="0"/>
              <w:snapToGrid w:val="0"/>
              <w:jc w:val="center"/>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26-53 塑料制品业 292；18-36木质家具制造 211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070"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建设性质</w:t>
            </w:r>
          </w:p>
        </w:tc>
        <w:tc>
          <w:tcPr>
            <w:tcW w:w="2030" w:type="dxa"/>
            <w:vAlign w:val="center"/>
          </w:tcPr>
          <w:p>
            <w:pPr>
              <w:jc w:val="left"/>
              <w:rPr>
                <w:color w:val="auto"/>
                <w:sz w:val="24"/>
                <w:highlight w:val="none"/>
              </w:rPr>
            </w:pPr>
            <w:r>
              <w:rPr>
                <w:rStyle w:val="68"/>
                <w:color w:val="auto"/>
                <w:highlight w:val="none"/>
                <w:lang w:bidi="ar"/>
              </w:rPr>
              <w:t></w:t>
            </w:r>
            <w:r>
              <w:rPr>
                <w:color w:val="auto"/>
                <w:sz w:val="24"/>
                <w:highlight w:val="none"/>
              </w:rPr>
              <w:t>新建（迁建）</w:t>
            </w:r>
          </w:p>
          <w:p>
            <w:pPr>
              <w:jc w:val="left"/>
              <w:rPr>
                <w:color w:val="auto"/>
                <w:sz w:val="24"/>
                <w:highlight w:val="none"/>
              </w:rPr>
            </w:pPr>
            <w:r>
              <w:rPr>
                <w:color w:val="auto"/>
                <w:sz w:val="24"/>
                <w:highlight w:val="none"/>
              </w:rPr>
              <w:sym w:font="Wingdings 2" w:char="00A3"/>
            </w:r>
            <w:r>
              <w:rPr>
                <w:color w:val="auto"/>
                <w:sz w:val="24"/>
                <w:highlight w:val="none"/>
              </w:rPr>
              <w:t>改建</w:t>
            </w:r>
          </w:p>
          <w:p>
            <w:pPr>
              <w:jc w:val="left"/>
              <w:rPr>
                <w:color w:val="auto"/>
                <w:sz w:val="24"/>
                <w:highlight w:val="none"/>
              </w:rPr>
            </w:pPr>
            <w:r>
              <w:rPr>
                <w:color w:val="auto"/>
                <w:sz w:val="24"/>
                <w:highlight w:val="none"/>
              </w:rPr>
              <w:sym w:font="Wingdings 2" w:char="00A3"/>
            </w:r>
            <w:r>
              <w:rPr>
                <w:color w:val="auto"/>
                <w:sz w:val="24"/>
                <w:highlight w:val="none"/>
              </w:rPr>
              <w:t>扩建</w:t>
            </w:r>
          </w:p>
          <w:p>
            <w:pPr>
              <w:jc w:val="left"/>
              <w:rPr>
                <w:color w:val="auto"/>
                <w:sz w:val="24"/>
                <w:highlight w:val="none"/>
              </w:rPr>
            </w:pPr>
            <w:r>
              <w:rPr>
                <w:color w:val="auto"/>
                <w:sz w:val="24"/>
                <w:highlight w:val="none"/>
              </w:rPr>
              <w:sym w:font="Wingdings 2" w:char="00A3"/>
            </w:r>
            <w:r>
              <w:rPr>
                <w:color w:val="auto"/>
                <w:sz w:val="24"/>
                <w:highlight w:val="none"/>
              </w:rPr>
              <w:t>技术改造</w:t>
            </w:r>
          </w:p>
        </w:tc>
        <w:tc>
          <w:tcPr>
            <w:tcW w:w="1923" w:type="dxa"/>
            <w:vAlign w:val="center"/>
          </w:tcPr>
          <w:p>
            <w:pPr>
              <w:adjustRightInd w:val="0"/>
              <w:snapToGrid w:val="0"/>
              <w:jc w:val="center"/>
              <w:rPr>
                <w:color w:val="auto"/>
                <w:sz w:val="24"/>
                <w:highlight w:val="none"/>
              </w:rPr>
            </w:pPr>
            <w:r>
              <w:rPr>
                <w:color w:val="auto"/>
                <w:sz w:val="24"/>
                <w:highlight w:val="none"/>
              </w:rPr>
              <w:t>建设项目</w:t>
            </w:r>
          </w:p>
          <w:p>
            <w:pPr>
              <w:adjustRightInd w:val="0"/>
              <w:snapToGrid w:val="0"/>
              <w:jc w:val="center"/>
              <w:rPr>
                <w:color w:val="auto"/>
                <w:sz w:val="24"/>
                <w:highlight w:val="none"/>
              </w:rPr>
            </w:pPr>
            <w:r>
              <w:rPr>
                <w:color w:val="auto"/>
                <w:sz w:val="24"/>
                <w:highlight w:val="none"/>
              </w:rPr>
              <w:t>申报情形</w:t>
            </w:r>
          </w:p>
        </w:tc>
        <w:tc>
          <w:tcPr>
            <w:tcW w:w="2981" w:type="dxa"/>
            <w:vAlign w:val="center"/>
          </w:tcPr>
          <w:p>
            <w:pPr>
              <w:jc w:val="left"/>
              <w:rPr>
                <w:color w:val="auto"/>
                <w:sz w:val="24"/>
                <w:highlight w:val="none"/>
              </w:rPr>
            </w:pPr>
            <w:r>
              <w:rPr>
                <w:rStyle w:val="68"/>
                <w:color w:val="auto"/>
                <w:highlight w:val="none"/>
                <w:lang w:bidi="ar"/>
              </w:rPr>
              <w:t></w:t>
            </w:r>
            <w:r>
              <w:rPr>
                <w:color w:val="auto"/>
                <w:sz w:val="24"/>
                <w:highlight w:val="none"/>
              </w:rPr>
              <w:t xml:space="preserve">首次申报项目             </w:t>
            </w:r>
          </w:p>
          <w:p>
            <w:pPr>
              <w:jc w:val="left"/>
              <w:rPr>
                <w:color w:val="auto"/>
                <w:sz w:val="24"/>
                <w:highlight w:val="none"/>
              </w:rPr>
            </w:pPr>
            <w:r>
              <w:rPr>
                <w:color w:val="auto"/>
                <w:sz w:val="24"/>
                <w:highlight w:val="none"/>
              </w:rPr>
              <w:sym w:font="Wingdings 2" w:char="00A3"/>
            </w:r>
            <w:r>
              <w:rPr>
                <w:color w:val="auto"/>
                <w:sz w:val="24"/>
                <w:highlight w:val="none"/>
              </w:rPr>
              <w:t>不予批准后再次申报项目</w:t>
            </w:r>
          </w:p>
          <w:p>
            <w:pPr>
              <w:jc w:val="left"/>
              <w:rPr>
                <w:color w:val="auto"/>
                <w:sz w:val="24"/>
                <w:highlight w:val="none"/>
              </w:rPr>
            </w:pPr>
            <w:r>
              <w:rPr>
                <w:color w:val="auto"/>
                <w:sz w:val="24"/>
                <w:highlight w:val="none"/>
              </w:rPr>
              <w:sym w:font="Wingdings 2" w:char="00A3"/>
            </w:r>
            <w:r>
              <w:rPr>
                <w:color w:val="auto"/>
                <w:sz w:val="24"/>
                <w:highlight w:val="none"/>
              </w:rPr>
              <w:t xml:space="preserve">超五年重新审核项目     </w:t>
            </w:r>
          </w:p>
          <w:p>
            <w:pPr>
              <w:jc w:val="left"/>
              <w:rPr>
                <w:color w:val="auto"/>
                <w:sz w:val="24"/>
                <w:highlight w:val="none"/>
              </w:rPr>
            </w:pPr>
            <w:r>
              <w:rPr>
                <w:color w:val="auto"/>
                <w:sz w:val="24"/>
                <w:highlight w:val="none"/>
              </w:rPr>
              <w:sym w:font="Wingdings 2" w:char="00A3"/>
            </w:r>
            <w:r>
              <w:rPr>
                <w:color w:val="auto"/>
                <w:sz w:val="24"/>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070"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项目审批（核准/</w:t>
            </w:r>
          </w:p>
          <w:p>
            <w:pPr>
              <w:adjustRightInd w:val="0"/>
              <w:snapToGrid w:val="0"/>
              <w:jc w:val="center"/>
              <w:rPr>
                <w:color w:val="auto"/>
                <w:sz w:val="24"/>
                <w:highlight w:val="none"/>
              </w:rPr>
            </w:pPr>
            <w:r>
              <w:rPr>
                <w:color w:val="auto"/>
                <w:sz w:val="24"/>
                <w:highlight w:val="none"/>
              </w:rPr>
              <w:t>备案）部门（选填）</w:t>
            </w:r>
          </w:p>
        </w:tc>
        <w:tc>
          <w:tcPr>
            <w:tcW w:w="2030" w:type="dxa"/>
            <w:vAlign w:val="center"/>
          </w:tcPr>
          <w:p>
            <w:pPr>
              <w:adjustRightInd w:val="0"/>
              <w:snapToGrid w:val="0"/>
              <w:jc w:val="center"/>
              <w:rPr>
                <w:color w:val="auto"/>
                <w:sz w:val="24"/>
                <w:highlight w:val="none"/>
              </w:rPr>
            </w:pPr>
            <w:r>
              <w:rPr>
                <w:color w:val="auto"/>
                <w:sz w:val="24"/>
                <w:highlight w:val="none"/>
              </w:rPr>
              <w:t>南安市</w:t>
            </w:r>
          </w:p>
          <w:p>
            <w:pPr>
              <w:adjustRightInd w:val="0"/>
              <w:snapToGrid w:val="0"/>
              <w:jc w:val="center"/>
              <w:rPr>
                <w:color w:val="auto"/>
                <w:sz w:val="24"/>
                <w:highlight w:val="none"/>
              </w:rPr>
            </w:pPr>
            <w:r>
              <w:rPr>
                <w:color w:val="auto"/>
                <w:sz w:val="24"/>
                <w:highlight w:val="none"/>
              </w:rPr>
              <w:t>发展和改革局</w:t>
            </w:r>
          </w:p>
        </w:tc>
        <w:tc>
          <w:tcPr>
            <w:tcW w:w="1923" w:type="dxa"/>
            <w:vAlign w:val="center"/>
          </w:tcPr>
          <w:p>
            <w:pPr>
              <w:adjustRightInd w:val="0"/>
              <w:snapToGrid w:val="0"/>
              <w:jc w:val="center"/>
              <w:rPr>
                <w:color w:val="auto"/>
                <w:sz w:val="24"/>
                <w:highlight w:val="none"/>
              </w:rPr>
            </w:pPr>
            <w:r>
              <w:rPr>
                <w:color w:val="auto"/>
                <w:sz w:val="24"/>
                <w:highlight w:val="none"/>
              </w:rPr>
              <w:t>项目审批（核准/</w:t>
            </w:r>
          </w:p>
          <w:p>
            <w:pPr>
              <w:adjustRightInd w:val="0"/>
              <w:snapToGrid w:val="0"/>
              <w:jc w:val="center"/>
              <w:rPr>
                <w:color w:val="auto"/>
                <w:sz w:val="24"/>
                <w:highlight w:val="none"/>
              </w:rPr>
            </w:pPr>
            <w:r>
              <w:rPr>
                <w:color w:val="auto"/>
                <w:sz w:val="24"/>
                <w:highlight w:val="none"/>
              </w:rPr>
              <w:t>备案）文号（选填）</w:t>
            </w:r>
          </w:p>
        </w:tc>
        <w:tc>
          <w:tcPr>
            <w:tcW w:w="2981" w:type="dxa"/>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闽发改备</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color w:val="auto"/>
                <w:sz w:val="24"/>
                <w:highlight w:val="none"/>
              </w:rPr>
            </w:pPr>
            <w:r>
              <w:rPr>
                <w:rFonts w:hint="eastAsia" w:eastAsia="宋体"/>
                <w:color w:val="auto"/>
                <w:sz w:val="24"/>
                <w:highlight w:val="none"/>
                <w:lang w:val="en-US" w:eastAsia="zh-CN"/>
              </w:rPr>
              <w:t>[202</w:t>
            </w:r>
            <w:r>
              <w:rPr>
                <w:rFonts w:hint="eastAsia"/>
                <w:color w:val="auto"/>
                <w:sz w:val="24"/>
                <w:highlight w:val="none"/>
                <w:lang w:val="en-US" w:eastAsia="zh-CN"/>
              </w:rPr>
              <w:t>3</w:t>
            </w:r>
            <w:r>
              <w:rPr>
                <w:rFonts w:hint="eastAsia" w:eastAsia="宋体"/>
                <w:color w:val="auto"/>
                <w:sz w:val="24"/>
                <w:highlight w:val="none"/>
                <w:lang w:val="en-US" w:eastAsia="zh-CN"/>
              </w:rPr>
              <w:t>]C06</w:t>
            </w:r>
            <w:r>
              <w:rPr>
                <w:rFonts w:hint="eastAsia"/>
                <w:color w:val="auto"/>
                <w:sz w:val="24"/>
                <w:highlight w:val="none"/>
                <w:lang w:val="en-US" w:eastAsia="zh-CN"/>
              </w:rPr>
              <w:t>0032</w:t>
            </w:r>
            <w:r>
              <w:rPr>
                <w:rFonts w:hint="eastAsia" w:eastAsia="宋体"/>
                <w:color w:val="auto"/>
                <w:sz w:val="24"/>
                <w:highlight w:val="none"/>
                <w:lang w:val="en-US" w:eastAsia="zh-CN"/>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70"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总投资（万元）</w:t>
            </w:r>
          </w:p>
        </w:tc>
        <w:tc>
          <w:tcPr>
            <w:tcW w:w="2030" w:type="dxa"/>
            <w:vAlign w:val="center"/>
          </w:tcPr>
          <w:p>
            <w:pPr>
              <w:adjustRightInd w:val="0"/>
              <w:snapToGrid w:val="0"/>
              <w:jc w:val="center"/>
              <w:rPr>
                <w:rFonts w:hint="default"/>
                <w:color w:val="auto"/>
                <w:sz w:val="24"/>
                <w:highlight w:val="none"/>
                <w:lang w:val="en-US"/>
              </w:rPr>
            </w:pPr>
            <w:r>
              <w:rPr>
                <w:rFonts w:hint="eastAsia"/>
                <w:color w:val="auto"/>
                <w:sz w:val="24"/>
                <w:highlight w:val="none"/>
                <w:lang w:val="en-US" w:eastAsia="zh-CN"/>
              </w:rPr>
              <w:t>6000</w:t>
            </w:r>
          </w:p>
        </w:tc>
        <w:tc>
          <w:tcPr>
            <w:tcW w:w="1923"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环保投资（万元）</w:t>
            </w:r>
          </w:p>
        </w:tc>
        <w:tc>
          <w:tcPr>
            <w:tcW w:w="2981" w:type="dxa"/>
            <w:vAlign w:val="center"/>
          </w:tcPr>
          <w:p>
            <w:pPr>
              <w:adjustRightInd w:val="0"/>
              <w:snapToGrid w:val="0"/>
              <w:jc w:val="center"/>
              <w:rPr>
                <w:rFonts w:hint="default" w:eastAsia="宋体"/>
                <w:color w:val="auto"/>
                <w:sz w:val="24"/>
                <w:highlight w:val="none"/>
                <w:lang w:val="en-US" w:eastAsia="zh-CN"/>
              </w:rPr>
            </w:pPr>
            <w:r>
              <w:rPr>
                <w:rFonts w:hint="eastAsia"/>
                <w:color w:val="auto"/>
                <w:sz w:val="24"/>
                <w:highlight w:val="none"/>
                <w:lang w:val="en-US" w:eastAsia="zh-CN"/>
              </w:rPr>
              <w:t>138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70"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环保投资占比（%）</w:t>
            </w:r>
          </w:p>
        </w:tc>
        <w:tc>
          <w:tcPr>
            <w:tcW w:w="2030" w:type="dxa"/>
            <w:vAlign w:val="center"/>
          </w:tcPr>
          <w:p>
            <w:pPr>
              <w:adjustRightInd w:val="0"/>
              <w:snapToGrid w:val="0"/>
              <w:jc w:val="center"/>
              <w:rPr>
                <w:color w:val="auto"/>
                <w:sz w:val="24"/>
                <w:highlight w:val="none"/>
              </w:rPr>
            </w:pPr>
            <w:r>
              <w:rPr>
                <w:rFonts w:hint="eastAsia"/>
                <w:color w:val="auto"/>
                <w:sz w:val="24"/>
                <w:highlight w:val="none"/>
                <w:lang w:val="en-US" w:eastAsia="zh-CN"/>
              </w:rPr>
              <w:t>2.3</w:t>
            </w:r>
            <w:r>
              <w:rPr>
                <w:color w:val="auto"/>
                <w:sz w:val="24"/>
                <w:highlight w:val="none"/>
              </w:rPr>
              <w:t>%</w:t>
            </w:r>
          </w:p>
        </w:tc>
        <w:tc>
          <w:tcPr>
            <w:tcW w:w="1923"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施工工期</w:t>
            </w:r>
          </w:p>
        </w:tc>
        <w:tc>
          <w:tcPr>
            <w:tcW w:w="2981" w:type="dxa"/>
            <w:vAlign w:val="center"/>
          </w:tcPr>
          <w:p>
            <w:pPr>
              <w:adjustRightInd w:val="0"/>
              <w:snapToGrid w:val="0"/>
              <w:jc w:val="center"/>
              <w:rPr>
                <w:rFonts w:hint="eastAsia" w:eastAsia="宋体"/>
                <w:color w:val="auto"/>
                <w:sz w:val="24"/>
                <w:highlight w:val="none"/>
                <w:lang w:eastAsia="zh-CN"/>
              </w:rPr>
            </w:pPr>
            <w:r>
              <w:rPr>
                <w:rFonts w:hint="eastAsia"/>
                <w:color w:val="auto"/>
                <w:sz w:val="24"/>
                <w:highlight w:val="none"/>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70"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是否开工建设</w:t>
            </w:r>
          </w:p>
        </w:tc>
        <w:tc>
          <w:tcPr>
            <w:tcW w:w="2030" w:type="dxa"/>
            <w:vAlign w:val="center"/>
          </w:tcPr>
          <w:p>
            <w:pPr>
              <w:adjustRightInd w:val="0"/>
              <w:snapToGrid w:val="0"/>
              <w:rPr>
                <w:color w:val="auto"/>
                <w:sz w:val="24"/>
                <w:highlight w:val="none"/>
              </w:rPr>
            </w:pPr>
            <w:r>
              <w:rPr>
                <w:color w:val="auto"/>
                <w:sz w:val="24"/>
                <w:highlight w:val="none"/>
              </w:rPr>
              <w:sym w:font="Wingdings 2" w:char="0052"/>
            </w:r>
            <w:r>
              <w:rPr>
                <w:color w:val="auto"/>
                <w:sz w:val="24"/>
                <w:highlight w:val="none"/>
              </w:rPr>
              <w:t>否</w:t>
            </w:r>
          </w:p>
          <w:p>
            <w:pPr>
              <w:adjustRightInd w:val="0"/>
              <w:snapToGrid w:val="0"/>
              <w:rPr>
                <w:color w:val="auto"/>
                <w:sz w:val="24"/>
                <w:highlight w:val="none"/>
              </w:rPr>
            </w:pPr>
            <w:r>
              <w:rPr>
                <w:rStyle w:val="68"/>
                <w:color w:val="auto"/>
                <w:highlight w:val="none"/>
                <w:lang w:bidi="ar"/>
              </w:rPr>
              <w:sym w:font="Wingdings 2" w:char="00A3"/>
            </w:r>
            <w:r>
              <w:rPr>
                <w:color w:val="auto"/>
                <w:sz w:val="24"/>
                <w:highlight w:val="none"/>
              </w:rPr>
              <w:t>是</w:t>
            </w:r>
            <w:r>
              <w:rPr>
                <w:color w:val="auto"/>
                <w:sz w:val="24"/>
                <w:highlight w:val="none"/>
                <w:u w:val="single"/>
              </w:rPr>
              <w:t xml:space="preserve">     </w:t>
            </w:r>
          </w:p>
        </w:tc>
        <w:tc>
          <w:tcPr>
            <w:tcW w:w="1923" w:type="dxa"/>
            <w:tcMar>
              <w:top w:w="16" w:type="dxa"/>
              <w:left w:w="16" w:type="dxa"/>
              <w:right w:w="16" w:type="dxa"/>
            </w:tcMar>
            <w:vAlign w:val="center"/>
          </w:tcPr>
          <w:p>
            <w:pPr>
              <w:adjustRightInd w:val="0"/>
              <w:snapToGrid w:val="0"/>
              <w:jc w:val="center"/>
              <w:rPr>
                <w:color w:val="auto"/>
                <w:spacing w:val="-6"/>
                <w:sz w:val="24"/>
                <w:highlight w:val="none"/>
              </w:rPr>
            </w:pPr>
            <w:r>
              <w:rPr>
                <w:color w:val="auto"/>
                <w:spacing w:val="-6"/>
                <w:sz w:val="24"/>
                <w:highlight w:val="none"/>
              </w:rPr>
              <w:t>用地（用海）</w:t>
            </w:r>
          </w:p>
          <w:p>
            <w:pPr>
              <w:adjustRightInd w:val="0"/>
              <w:snapToGrid w:val="0"/>
              <w:jc w:val="center"/>
              <w:rPr>
                <w:color w:val="auto"/>
                <w:sz w:val="24"/>
                <w:highlight w:val="none"/>
              </w:rPr>
            </w:pPr>
            <w:r>
              <w:rPr>
                <w:color w:val="auto"/>
                <w:spacing w:val="-6"/>
                <w:sz w:val="24"/>
                <w:highlight w:val="none"/>
              </w:rPr>
              <w:t>面积（m</w:t>
            </w:r>
            <w:r>
              <w:rPr>
                <w:color w:val="auto"/>
                <w:spacing w:val="-6"/>
                <w:sz w:val="24"/>
                <w:highlight w:val="none"/>
                <w:vertAlign w:val="superscript"/>
              </w:rPr>
              <w:t>2</w:t>
            </w:r>
            <w:r>
              <w:rPr>
                <w:color w:val="auto"/>
                <w:spacing w:val="-6"/>
                <w:sz w:val="24"/>
                <w:highlight w:val="none"/>
              </w:rPr>
              <w:t>）</w:t>
            </w:r>
          </w:p>
        </w:tc>
        <w:tc>
          <w:tcPr>
            <w:tcW w:w="2981" w:type="dxa"/>
            <w:vAlign w:val="center"/>
          </w:tcPr>
          <w:p>
            <w:pPr>
              <w:keepNext w:val="0"/>
              <w:keepLines w:val="0"/>
              <w:widowControl/>
              <w:suppressLineNumbers w:val="0"/>
              <w:jc w:val="center"/>
              <w:rPr>
                <w:rFonts w:hint="default" w:eastAsia="宋体"/>
                <w:color w:val="auto"/>
                <w:sz w:val="24"/>
                <w:highlight w:val="none"/>
                <w:lang w:val="en-US" w:eastAsia="zh-CN"/>
              </w:rPr>
            </w:pPr>
            <w:r>
              <w:rPr>
                <w:rFonts w:hint="eastAsia" w:ascii="Times New Roman" w:hAnsi="Times New Roman" w:eastAsia="宋体" w:cs="Times New Roman"/>
                <w:color w:val="auto"/>
                <w:spacing w:val="-6"/>
                <w:sz w:val="24"/>
                <w:highlight w:val="none"/>
                <w:lang w:val="en-US" w:eastAsia="zh-CN"/>
              </w:rPr>
              <w:t>占地</w:t>
            </w:r>
            <w:r>
              <w:rPr>
                <w:rFonts w:ascii="Times New Roman" w:hAnsi="Times New Roman" w:eastAsia="宋体" w:cs="Times New Roman"/>
                <w:color w:val="auto"/>
                <w:spacing w:val="-6"/>
                <w:sz w:val="24"/>
                <w:highlight w:val="none"/>
              </w:rPr>
              <w:t>面积为</w:t>
            </w:r>
            <w:r>
              <w:rPr>
                <w:rFonts w:hint="eastAsia" w:cs="Times New Roman"/>
                <w:color w:val="auto"/>
                <w:spacing w:val="-6"/>
                <w:sz w:val="24"/>
                <w:highlight w:val="none"/>
                <w:lang w:val="en-US" w:eastAsia="zh-CN"/>
              </w:rPr>
              <w:t>6929</w:t>
            </w:r>
            <w:r>
              <w:rPr>
                <w:rFonts w:ascii="Times New Roman" w:hAnsi="Times New Roman" w:eastAsia="宋体" w:cs="Times New Roman"/>
                <w:color w:val="auto"/>
                <w:spacing w:val="-6"/>
                <w:sz w:val="24"/>
                <w:highlight w:val="none"/>
              </w:rPr>
              <w:t>m</w:t>
            </w:r>
            <w:r>
              <w:rPr>
                <w:rFonts w:ascii="Times New Roman" w:hAnsi="Times New Roman" w:eastAsia="宋体" w:cs="Times New Roman"/>
                <w:color w:val="auto"/>
                <w:spacing w:val="-6"/>
                <w:sz w:val="24"/>
                <w:highlight w:val="none"/>
                <w:vertAlign w:val="superscript"/>
              </w:rPr>
              <w:t>2</w:t>
            </w:r>
            <w:r>
              <w:rPr>
                <w:rFonts w:hint="eastAsia" w:cs="Times New Roman"/>
                <w:color w:val="auto"/>
                <w:spacing w:val="-6"/>
                <w:sz w:val="24"/>
                <w:highlight w:val="none"/>
                <w:vertAlign w:val="baseline"/>
                <w:lang w:eastAsia="zh-CN"/>
              </w:rPr>
              <w:t>，</w:t>
            </w:r>
            <w:r>
              <w:rPr>
                <w:rFonts w:hint="eastAsia" w:ascii="Times New Roman" w:hAnsi="Times New Roman" w:eastAsia="宋体" w:cs="Times New Roman"/>
                <w:color w:val="auto"/>
                <w:spacing w:val="-6"/>
                <w:sz w:val="24"/>
                <w:highlight w:val="none"/>
                <w:lang w:val="en-US" w:eastAsia="zh-CN"/>
              </w:rPr>
              <w:t xml:space="preserve">总建筑面积约20787 </w:t>
            </w:r>
            <w:r>
              <w:rPr>
                <w:rFonts w:ascii="Times New Roman" w:hAnsi="Times New Roman" w:eastAsia="宋体" w:cs="Times New Roman"/>
                <w:color w:val="auto"/>
                <w:spacing w:val="-6"/>
                <w:sz w:val="24"/>
                <w:highlight w:val="none"/>
              </w:rPr>
              <w:t>m</w:t>
            </w:r>
            <w:r>
              <w:rPr>
                <w:rFonts w:ascii="Times New Roman" w:hAnsi="Times New Roman" w:eastAsia="宋体" w:cs="Times New Roman"/>
                <w:color w:val="auto"/>
                <w:spacing w:val="-6"/>
                <w:sz w:val="24"/>
                <w:highlight w:val="none"/>
                <w:vertAlign w:val="superscript"/>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24" w:hRule="atLeast"/>
          <w:jc w:val="center"/>
        </w:trPr>
        <w:tc>
          <w:tcPr>
            <w:tcW w:w="2070" w:type="dxa"/>
            <w:tcMar>
              <w:top w:w="16" w:type="dxa"/>
              <w:left w:w="16" w:type="dxa"/>
              <w:right w:w="16" w:type="dxa"/>
            </w:tcMar>
            <w:vAlign w:val="center"/>
          </w:tcPr>
          <w:p>
            <w:pPr>
              <w:adjustRightInd w:val="0"/>
              <w:snapToGrid w:val="0"/>
              <w:jc w:val="center"/>
              <w:rPr>
                <w:color w:val="auto"/>
                <w:sz w:val="24"/>
                <w:highlight w:val="none"/>
              </w:rPr>
            </w:pPr>
            <w:r>
              <w:rPr>
                <w:color w:val="auto"/>
                <w:kern w:val="0"/>
                <w:sz w:val="24"/>
                <w:highlight w:val="none"/>
              </w:rPr>
              <w:t>专项评价设置情况</w:t>
            </w:r>
          </w:p>
        </w:tc>
        <w:tc>
          <w:tcPr>
            <w:tcW w:w="6934" w:type="dxa"/>
            <w:gridSpan w:val="3"/>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lang w:val="en-US" w:eastAsia="zh-CN"/>
              </w:rPr>
              <w:t>根据《建设项目环境影响报告表编制技术指南（污染影响类（试行））》，土壤、声环境不开展专项评价，地下水原则上不开展专项评价。项目专项设置情况参照表</w:t>
            </w:r>
            <w:r>
              <w:rPr>
                <w:rFonts w:hint="default" w:ascii="Times New Roman" w:hAnsi="Times New Roman" w:eastAsia="宋体" w:cs="Times New Roman"/>
                <w:color w:val="auto"/>
                <w:kern w:val="0"/>
                <w:sz w:val="24"/>
                <w:highlight w:val="none"/>
                <w:lang w:val="en-US" w:eastAsia="zh-CN"/>
              </w:rPr>
              <w:t>1</w:t>
            </w:r>
            <w:r>
              <w:rPr>
                <w:rFonts w:hint="eastAsia" w:ascii="Times New Roman" w:hAnsi="Times New Roman" w:eastAsia="宋体" w:cs="Times New Roman"/>
                <w:color w:val="auto"/>
                <w:kern w:val="0"/>
                <w:sz w:val="24"/>
                <w:highlight w:val="none"/>
                <w:lang w:val="en-US" w:eastAsia="zh-CN"/>
              </w:rPr>
              <w:t>专项评价设置原则表，具体见下表1-1</w:t>
            </w:r>
            <w:r>
              <w:rPr>
                <w:rFonts w:ascii="Times New Roman" w:hAnsi="Times New Roman" w:eastAsia="宋体" w:cs="Times New Roman"/>
                <w:color w:val="auto"/>
                <w:kern w:val="0"/>
                <w:sz w:val="24"/>
                <w:highlight w:val="none"/>
              </w:rPr>
              <w:t>。</w:t>
            </w:r>
          </w:p>
          <w:p>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ascii="Times New Roman" w:hAnsi="Times New Roman"/>
                <w:b/>
                <w:color w:val="auto"/>
                <w:szCs w:val="24"/>
                <w:highlight w:val="none"/>
              </w:rPr>
            </w:pPr>
          </w:p>
          <w:p>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ascii="Times New Roman" w:hAnsi="Times New Roman"/>
                <w:b/>
                <w:color w:val="auto"/>
                <w:szCs w:val="24"/>
                <w:highlight w:val="none"/>
              </w:rPr>
            </w:pPr>
          </w:p>
          <w:p>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ascii="Times New Roman" w:hAnsi="Times New Roman"/>
                <w:b/>
                <w:color w:val="auto"/>
                <w:szCs w:val="24"/>
                <w:highlight w:val="none"/>
              </w:rPr>
            </w:pPr>
          </w:p>
          <w:p>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ascii="Times New Roman" w:hAnsi="Times New Roman"/>
                <w:b/>
                <w:color w:val="auto"/>
                <w:szCs w:val="24"/>
                <w:highlight w:val="none"/>
              </w:rPr>
            </w:pPr>
          </w:p>
          <w:p>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ascii="Times New Roman" w:hAnsi="Times New Roman"/>
                <w:b/>
                <w:color w:val="auto"/>
                <w:szCs w:val="24"/>
                <w:highlight w:val="none"/>
              </w:rPr>
            </w:pPr>
          </w:p>
          <w:p>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b/>
                <w:color w:val="auto"/>
                <w:szCs w:val="24"/>
                <w:highlight w:val="none"/>
              </w:rPr>
            </w:pPr>
            <w:r>
              <w:rPr>
                <w:rFonts w:ascii="Times New Roman" w:hAnsi="Times New Roman"/>
                <w:b/>
                <w:color w:val="auto"/>
                <w:szCs w:val="24"/>
                <w:highlight w:val="none"/>
              </w:rPr>
              <w:t>表</w:t>
            </w:r>
            <w:r>
              <w:rPr>
                <w:rFonts w:hint="eastAsia" w:ascii="Times New Roman" w:hAnsi="Times New Roman"/>
                <w:b/>
                <w:color w:val="auto"/>
                <w:szCs w:val="24"/>
                <w:highlight w:val="none"/>
                <w:lang w:val="en-US" w:eastAsia="zh-CN"/>
              </w:rPr>
              <w:t>1-1</w:t>
            </w:r>
            <w:r>
              <w:rPr>
                <w:rFonts w:ascii="Times New Roman" w:hAnsi="Times New Roman"/>
                <w:b/>
                <w:color w:val="auto"/>
                <w:szCs w:val="24"/>
                <w:highlight w:val="none"/>
              </w:rPr>
              <w:t xml:space="preserve"> </w:t>
            </w:r>
            <w:r>
              <w:rPr>
                <w:b/>
                <w:color w:val="auto"/>
                <w:szCs w:val="24"/>
                <w:highlight w:val="none"/>
              </w:rPr>
              <w:t>专项评价设置原则表</w:t>
            </w:r>
          </w:p>
          <w:tbl>
            <w:tblPr>
              <w:tblStyle w:val="29"/>
              <w:tblW w:w="469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5"/>
              <w:gridCol w:w="2368"/>
              <w:gridCol w:w="2477"/>
              <w:gridCol w:w="6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735"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专项评价的类别</w:t>
                  </w:r>
                </w:p>
              </w:tc>
              <w:tc>
                <w:tcPr>
                  <w:tcW w:w="1822"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设置原则</w:t>
                  </w:r>
                </w:p>
              </w:tc>
              <w:tc>
                <w:tcPr>
                  <w:tcW w:w="1906"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本项目情况</w:t>
                  </w:r>
                </w:p>
              </w:tc>
              <w:tc>
                <w:tcPr>
                  <w:tcW w:w="535"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是否设置专项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735"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大气</w:t>
                  </w:r>
                </w:p>
              </w:tc>
              <w:tc>
                <w:tcPr>
                  <w:tcW w:w="1822"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排放废气含有毒有害污染物</w:t>
                  </w:r>
                  <w:r>
                    <w:rPr>
                      <w:rFonts w:hint="default" w:ascii="Times New Roman" w:hAnsi="Times New Roman" w:eastAsia="宋体" w:cs="Times New Roman"/>
                      <w:color w:val="auto"/>
                      <w:sz w:val="21"/>
                      <w:szCs w:val="21"/>
                      <w:highlight w:val="none"/>
                      <w:vertAlign w:val="superscript"/>
                    </w:rPr>
                    <w:t>①</w:t>
                  </w:r>
                  <w:r>
                    <w:rPr>
                      <w:rFonts w:hint="default" w:ascii="Times New Roman" w:hAnsi="Times New Roman" w:eastAsia="宋体" w:cs="Times New Roman"/>
                      <w:color w:val="auto"/>
                      <w:sz w:val="21"/>
                      <w:szCs w:val="21"/>
                      <w:highlight w:val="none"/>
                      <w:vertAlign w:val="baseline"/>
                      <w:lang w:val="en-US" w:eastAsia="zh-CN"/>
                    </w:rPr>
                    <w:t>、二噁英、苯并[a]芘、氰化物、氯气且厂界外500米范围内有环境空气保护目标</w:t>
                  </w:r>
                  <w:r>
                    <w:rPr>
                      <w:rFonts w:hint="default" w:ascii="Times New Roman" w:hAnsi="Times New Roman" w:eastAsia="宋体" w:cs="Times New Roman"/>
                      <w:color w:val="auto"/>
                      <w:sz w:val="21"/>
                      <w:szCs w:val="21"/>
                      <w:highlight w:val="none"/>
                      <w:vertAlign w:val="superscript"/>
                    </w:rPr>
                    <w:t>②</w:t>
                  </w:r>
                  <w:r>
                    <w:rPr>
                      <w:rFonts w:hint="default" w:ascii="Times New Roman" w:hAnsi="Times New Roman" w:eastAsia="宋体" w:cs="Times New Roman"/>
                      <w:color w:val="auto"/>
                      <w:sz w:val="21"/>
                      <w:szCs w:val="21"/>
                      <w:highlight w:val="none"/>
                      <w:vertAlign w:val="baseline"/>
                      <w:lang w:val="en-US" w:eastAsia="zh-CN"/>
                    </w:rPr>
                    <w:t>的建设项目</w:t>
                  </w:r>
                </w:p>
              </w:tc>
              <w:tc>
                <w:tcPr>
                  <w:tcW w:w="1906"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eastAsia="zh-CN"/>
                    </w:rPr>
                    <w:t>项目排放废气中</w:t>
                  </w:r>
                  <w:r>
                    <w:rPr>
                      <w:rFonts w:hint="eastAsia" w:cs="Times New Roman"/>
                      <w:color w:val="auto"/>
                      <w:kern w:val="0"/>
                      <w:sz w:val="21"/>
                      <w:szCs w:val="21"/>
                      <w:highlight w:val="none"/>
                      <w:vertAlign w:val="baseline"/>
                      <w:lang w:val="en-US" w:eastAsia="zh-CN"/>
                    </w:rPr>
                    <w:t>污染物主要为</w:t>
                  </w:r>
                  <w:r>
                    <w:rPr>
                      <w:rFonts w:hint="default" w:ascii="Times New Roman" w:hAnsi="Times New Roman" w:eastAsia="宋体" w:cs="Times New Roman"/>
                      <w:color w:val="auto"/>
                      <w:kern w:val="0"/>
                      <w:sz w:val="21"/>
                      <w:szCs w:val="21"/>
                      <w:highlight w:val="none"/>
                      <w:vertAlign w:val="baseline"/>
                      <w:lang w:eastAsia="zh-CN"/>
                    </w:rPr>
                    <w:t>颗粒物</w:t>
                  </w:r>
                  <w:r>
                    <w:rPr>
                      <w:rFonts w:hint="eastAsia" w:ascii="Times New Roman" w:hAnsi="Times New Roman" w:eastAsia="宋体" w:cs="Times New Roman"/>
                      <w:color w:val="auto"/>
                      <w:kern w:val="0"/>
                      <w:sz w:val="21"/>
                      <w:szCs w:val="21"/>
                      <w:highlight w:val="none"/>
                      <w:vertAlign w:val="baseline"/>
                      <w:lang w:eastAsia="zh-CN"/>
                    </w:rPr>
                    <w:t>和非甲烷总烃</w:t>
                  </w:r>
                  <w:r>
                    <w:rPr>
                      <w:rFonts w:hint="default" w:ascii="Times New Roman" w:hAnsi="Times New Roman" w:eastAsia="宋体" w:cs="Times New Roman"/>
                      <w:color w:val="auto"/>
                      <w:kern w:val="0"/>
                      <w:sz w:val="21"/>
                      <w:szCs w:val="21"/>
                      <w:highlight w:val="none"/>
                      <w:vertAlign w:val="baseline"/>
                      <w:lang w:eastAsia="zh-CN"/>
                    </w:rPr>
                    <w:t xml:space="preserve">，不涉及大气专项设置原则中提及的因子 </w:t>
                  </w:r>
                </w:p>
              </w:tc>
              <w:tc>
                <w:tcPr>
                  <w:tcW w:w="535"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4" w:hRule="atLeast"/>
              </w:trPr>
              <w:tc>
                <w:tcPr>
                  <w:tcW w:w="735"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地表水</w:t>
                  </w:r>
                </w:p>
              </w:tc>
              <w:tc>
                <w:tcPr>
                  <w:tcW w:w="1822"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新增工业废水直排建设项目（槽罐车外送污水处理厂的除外）；新增废水直排的污水集中处理厂</w:t>
                  </w:r>
                </w:p>
              </w:tc>
              <w:tc>
                <w:tcPr>
                  <w:tcW w:w="1906"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21"/>
                      <w:highlight w:val="none"/>
                      <w:lang w:val="en-US" w:eastAsia="zh-CN"/>
                    </w:rPr>
                    <w:t>运营期</w:t>
                  </w:r>
                  <w:r>
                    <w:rPr>
                      <w:rFonts w:hint="eastAsia" w:cs="Times New Roman"/>
                      <w:color w:val="auto"/>
                      <w:sz w:val="21"/>
                      <w:szCs w:val="21"/>
                      <w:highlight w:val="none"/>
                      <w:lang w:val="en-US" w:eastAsia="zh-CN"/>
                    </w:rPr>
                    <w:t>无</w:t>
                  </w:r>
                  <w:r>
                    <w:rPr>
                      <w:rFonts w:hint="default" w:ascii="Times New Roman" w:hAnsi="Times New Roman" w:eastAsia="宋体" w:cs="Times New Roman"/>
                      <w:color w:val="auto"/>
                      <w:sz w:val="21"/>
                      <w:szCs w:val="21"/>
                      <w:highlight w:val="none"/>
                      <w:lang w:val="en-US" w:eastAsia="zh-CN"/>
                    </w:rPr>
                    <w:t>生产废水</w:t>
                  </w:r>
                  <w:r>
                    <w:rPr>
                      <w:rFonts w:hint="eastAsia" w:cs="Times New Roman"/>
                      <w:color w:val="auto"/>
                      <w:sz w:val="21"/>
                      <w:szCs w:val="21"/>
                      <w:highlight w:val="none"/>
                      <w:lang w:val="en-US" w:eastAsia="zh-CN"/>
                    </w:rPr>
                    <w:t>产生</w:t>
                  </w:r>
                  <w:r>
                    <w:rPr>
                      <w:rFonts w:hint="default" w:ascii="Times New Roman" w:hAnsi="Times New Roman" w:eastAsia="宋体" w:cs="Times New Roman"/>
                      <w:color w:val="auto"/>
                      <w:sz w:val="21"/>
                      <w:szCs w:val="21"/>
                      <w:highlight w:val="none"/>
                      <w:lang w:val="en-US" w:eastAsia="zh-CN"/>
                    </w:rPr>
                    <w:t>，项目生活污水经化粪池预处理后排入</w:t>
                  </w:r>
                  <w:r>
                    <w:rPr>
                      <w:rFonts w:hint="eastAsia" w:cs="Times New Roman"/>
                      <w:color w:val="auto"/>
                      <w:sz w:val="21"/>
                      <w:szCs w:val="21"/>
                      <w:highlight w:val="none"/>
                      <w:lang w:val="en-US" w:eastAsia="zh-CN"/>
                    </w:rPr>
                    <w:t>南安市污水处理厂</w:t>
                  </w:r>
                  <w:r>
                    <w:rPr>
                      <w:rFonts w:hint="default" w:ascii="Times New Roman" w:hAnsi="Times New Roman" w:eastAsia="宋体" w:cs="Times New Roman"/>
                      <w:color w:val="auto"/>
                      <w:sz w:val="21"/>
                      <w:szCs w:val="21"/>
                      <w:highlight w:val="none"/>
                      <w:lang w:val="en-US" w:eastAsia="zh-CN"/>
                    </w:rPr>
                    <w:t>处理，不涉及地表水专项设置原则中提及的情况</w:t>
                  </w:r>
                </w:p>
              </w:tc>
              <w:tc>
                <w:tcPr>
                  <w:tcW w:w="535"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1" w:hRule="atLeast"/>
              </w:trPr>
              <w:tc>
                <w:tcPr>
                  <w:tcW w:w="735"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环境</w:t>
                  </w:r>
                </w:p>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风险</w:t>
                  </w:r>
                </w:p>
              </w:tc>
              <w:tc>
                <w:tcPr>
                  <w:tcW w:w="1822"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有毒有害和易燃易爆危险物质存储量超过临界量</w:t>
                  </w:r>
                  <w:r>
                    <w:rPr>
                      <w:rFonts w:hint="default" w:ascii="Times New Roman" w:hAnsi="Times New Roman" w:eastAsia="宋体" w:cs="Times New Roman"/>
                      <w:color w:val="auto"/>
                      <w:sz w:val="21"/>
                      <w:szCs w:val="21"/>
                      <w:highlight w:val="none"/>
                      <w:vertAlign w:val="superscript"/>
                    </w:rPr>
                    <w:t>③</w:t>
                  </w:r>
                  <w:r>
                    <w:rPr>
                      <w:rFonts w:hint="default" w:ascii="Times New Roman" w:hAnsi="Times New Roman" w:eastAsia="宋体" w:cs="Times New Roman"/>
                      <w:color w:val="auto"/>
                      <w:sz w:val="21"/>
                      <w:szCs w:val="21"/>
                      <w:highlight w:val="none"/>
                      <w:vertAlign w:val="baseline"/>
                      <w:lang w:val="en-US" w:eastAsia="zh-CN"/>
                    </w:rPr>
                    <w:t>的建设项目</w:t>
                  </w:r>
                </w:p>
              </w:tc>
              <w:tc>
                <w:tcPr>
                  <w:tcW w:w="1906" w:type="pct"/>
                  <w:tcBorders>
                    <w:tl2br w:val="nil"/>
                    <w:tr2bl w:val="nil"/>
                  </w:tcBorders>
                  <w:noWrap w:val="0"/>
                  <w:vAlign w:val="center"/>
                </w:tcPr>
                <w:p>
                  <w:pPr>
                    <w:keepNext w:val="0"/>
                    <w:keepLines w:val="0"/>
                    <w:widowControl/>
                    <w:suppressLineNumbers w:val="0"/>
                    <w:jc w:val="center"/>
                    <w:rPr>
                      <w:color w:val="auto"/>
                      <w:highlight w:val="none"/>
                    </w:rPr>
                  </w:pPr>
                  <w:r>
                    <w:rPr>
                      <w:rFonts w:hint="eastAsia" w:ascii="宋体" w:hAnsi="宋体" w:eastAsia="宋体" w:cs="宋体"/>
                      <w:color w:val="auto"/>
                      <w:kern w:val="0"/>
                      <w:sz w:val="20"/>
                      <w:szCs w:val="20"/>
                      <w:highlight w:val="none"/>
                      <w:lang w:val="en-US" w:eastAsia="zh-CN" w:bidi="ar"/>
                    </w:rPr>
                    <w:t>项目危险物质与临界值比</w:t>
                  </w:r>
                </w:p>
                <w:p>
                  <w:pPr>
                    <w:keepNext w:val="0"/>
                    <w:keepLines w:val="0"/>
                    <w:widowControl/>
                    <w:suppressLineNumbers w:val="0"/>
                    <w:jc w:val="center"/>
                    <w:rPr>
                      <w:color w:val="auto"/>
                      <w:highlight w:val="none"/>
                    </w:rPr>
                  </w:pPr>
                  <w:r>
                    <w:rPr>
                      <w:rFonts w:hint="eastAsia" w:ascii="宋体" w:hAnsi="宋体" w:eastAsia="宋体" w:cs="宋体"/>
                      <w:color w:val="auto"/>
                      <w:kern w:val="0"/>
                      <w:sz w:val="20"/>
                      <w:szCs w:val="20"/>
                      <w:highlight w:val="none"/>
                      <w:lang w:val="en-US" w:eastAsia="zh-CN" w:bidi="ar"/>
                    </w:rPr>
                    <w:t xml:space="preserve">值 </w:t>
                  </w:r>
                  <w:r>
                    <w:rPr>
                      <w:rFonts w:hint="default" w:ascii="Times New Roman" w:hAnsi="Times New Roman" w:eastAsia="宋体" w:cs="Times New Roman"/>
                      <w:color w:val="auto"/>
                      <w:kern w:val="0"/>
                      <w:sz w:val="20"/>
                      <w:szCs w:val="20"/>
                      <w:highlight w:val="none"/>
                      <w:lang w:val="en-US" w:eastAsia="zh-CN" w:bidi="ar"/>
                    </w:rPr>
                    <w:t>Q</w:t>
                  </w:r>
                  <w:r>
                    <w:rPr>
                      <w:rFonts w:hint="eastAsia" w:ascii="宋体" w:hAnsi="宋体" w:eastAsia="宋体" w:cs="宋体"/>
                      <w:color w:val="auto"/>
                      <w:kern w:val="0"/>
                      <w:sz w:val="20"/>
                      <w:szCs w:val="20"/>
                      <w:highlight w:val="none"/>
                      <w:lang w:val="en-US" w:eastAsia="zh-CN" w:bidi="ar"/>
                    </w:rPr>
                    <w:t>＜</w:t>
                  </w:r>
                  <w:r>
                    <w:rPr>
                      <w:rFonts w:hint="default" w:ascii="Times New Roman" w:hAnsi="Times New Roman" w:eastAsia="宋体" w:cs="Times New Roman"/>
                      <w:color w:val="auto"/>
                      <w:kern w:val="0"/>
                      <w:sz w:val="20"/>
                      <w:szCs w:val="20"/>
                      <w:highlight w:val="none"/>
                      <w:lang w:val="en-US" w:eastAsia="zh-CN" w:bidi="ar"/>
                    </w:rPr>
                    <w:t>1</w:t>
                  </w:r>
                  <w:r>
                    <w:rPr>
                      <w:rFonts w:hint="eastAsia" w:ascii="宋体" w:hAnsi="宋体" w:eastAsia="宋体" w:cs="宋体"/>
                      <w:color w:val="auto"/>
                      <w:kern w:val="0"/>
                      <w:sz w:val="20"/>
                      <w:szCs w:val="20"/>
                      <w:highlight w:val="none"/>
                      <w:lang w:val="en-US" w:eastAsia="zh-CN" w:bidi="ar"/>
                    </w:rPr>
                    <w:t>，各类物质均不超</w:t>
                  </w:r>
                </w:p>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宋体" w:hAnsi="宋体" w:eastAsia="宋体" w:cs="宋体"/>
                      <w:color w:val="auto"/>
                      <w:kern w:val="0"/>
                      <w:sz w:val="20"/>
                      <w:szCs w:val="20"/>
                      <w:highlight w:val="none"/>
                      <w:lang w:val="en-US" w:eastAsia="zh-CN" w:bidi="ar"/>
                    </w:rPr>
                    <w:t>过临界量</w:t>
                  </w:r>
                </w:p>
              </w:tc>
              <w:tc>
                <w:tcPr>
                  <w:tcW w:w="535"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735"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生态</w:t>
                  </w:r>
                </w:p>
              </w:tc>
              <w:tc>
                <w:tcPr>
                  <w:tcW w:w="1822"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取水口下游500米范围内有重要水生生物的自然产卵场、索饵场、越冬场和洄游通道的新增河道取水的污染类建设项目</w:t>
                  </w:r>
                </w:p>
              </w:tc>
              <w:tc>
                <w:tcPr>
                  <w:tcW w:w="1906"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项目不</w:t>
                  </w:r>
                  <w:r>
                    <w:rPr>
                      <w:rFonts w:hint="eastAsia" w:cs="Times New Roman"/>
                      <w:color w:val="auto"/>
                      <w:sz w:val="21"/>
                      <w:szCs w:val="21"/>
                      <w:highlight w:val="none"/>
                      <w:vertAlign w:val="baseline"/>
                      <w:lang w:val="en-US" w:eastAsia="zh-CN"/>
                    </w:rPr>
                    <w:t>属于</w:t>
                  </w:r>
                  <w:r>
                    <w:rPr>
                      <w:rFonts w:hint="default" w:ascii="Times New Roman" w:hAnsi="Times New Roman" w:eastAsia="宋体" w:cs="Times New Roman"/>
                      <w:color w:val="auto"/>
                      <w:sz w:val="21"/>
                      <w:szCs w:val="21"/>
                      <w:highlight w:val="none"/>
                      <w:vertAlign w:val="baseline"/>
                      <w:lang w:val="en-US" w:eastAsia="zh-CN"/>
                    </w:rPr>
                    <w:t>河道取水的污染类建设项目</w:t>
                  </w:r>
                </w:p>
              </w:tc>
              <w:tc>
                <w:tcPr>
                  <w:tcW w:w="535"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735"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海洋</w:t>
                  </w:r>
                </w:p>
              </w:tc>
              <w:tc>
                <w:tcPr>
                  <w:tcW w:w="1822"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直接向海排放污染物的海洋工程建设项目</w:t>
                  </w:r>
                </w:p>
              </w:tc>
              <w:tc>
                <w:tcPr>
                  <w:tcW w:w="1906" w:type="pc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宋体" w:hAnsi="宋体" w:eastAsia="宋体" w:cs="宋体"/>
                      <w:color w:val="auto"/>
                      <w:kern w:val="0"/>
                      <w:sz w:val="21"/>
                      <w:szCs w:val="21"/>
                      <w:highlight w:val="none"/>
                      <w:lang w:val="en-US" w:eastAsia="zh-CN" w:bidi="ar"/>
                    </w:rPr>
                    <w:t>本项目不涉及向海排放污染物</w:t>
                  </w:r>
                </w:p>
              </w:tc>
              <w:tc>
                <w:tcPr>
                  <w:tcW w:w="535"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3" w:hRule="atLeast"/>
              </w:trPr>
              <w:tc>
                <w:tcPr>
                  <w:tcW w:w="5000"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注：①废气中有毒有害污染物指纳入《有毒有害大气污染物名录》的污染物（不包括无排放标准的污染物）。</w:t>
                  </w:r>
                </w:p>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②环境空气保护目标指自然保护区、风景名胜区、居住区、文化区和农村地区中人群较集中的区域。</w:t>
                  </w:r>
                </w:p>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③临界量及其计算方法可参考《建设项目环境风险评价技术导则》</w:t>
                  </w:r>
                  <w:r>
                    <w:rPr>
                      <w:rFonts w:hint="eastAsia"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（HJ 169）附录B、附录C。</w:t>
                  </w:r>
                </w:p>
              </w:tc>
            </w:tr>
          </w:tbl>
          <w:p>
            <w:pPr>
              <w:keepNext w:val="0"/>
              <w:keepLines w:val="0"/>
              <w:pageBreakBefore w:val="0"/>
              <w:widowControl/>
              <w:suppressLineNumbers w:val="0"/>
              <w:kinsoku/>
              <w:wordWrap/>
              <w:overflowPunct/>
              <w:topLinePunct w:val="0"/>
              <w:autoSpaceDE/>
              <w:autoSpaceDN/>
              <w:bidi w:val="0"/>
              <w:adjustRightInd w:val="0"/>
              <w:snapToGrid w:val="0"/>
              <w:spacing w:before="157" w:beforeLines="50" w:line="360" w:lineRule="auto"/>
              <w:ind w:firstLine="480" w:firstLineChars="200"/>
              <w:jc w:val="left"/>
              <w:textAlignment w:val="auto"/>
              <w:rPr>
                <w:rFonts w:hint="eastAsia" w:ascii="Times New Roman" w:hAnsi="Times New Roman" w:eastAsia="宋体" w:cs="Times New Roman"/>
                <w:color w:val="auto"/>
                <w:spacing w:val="-6"/>
                <w:sz w:val="24"/>
                <w:highlight w:val="none"/>
                <w:lang w:val="en-US" w:eastAsia="zh-CN"/>
              </w:rPr>
            </w:pPr>
            <w:r>
              <w:rPr>
                <w:rFonts w:hint="eastAsia" w:ascii="宋体" w:hAnsi="宋体" w:eastAsia="宋体" w:cs="宋体"/>
                <w:color w:val="auto"/>
                <w:kern w:val="0"/>
                <w:sz w:val="24"/>
                <w:szCs w:val="24"/>
                <w:highlight w:val="none"/>
                <w:lang w:val="en-US" w:eastAsia="zh-CN" w:bidi="ar"/>
              </w:rPr>
              <w:t>根据上表分析可知，项目无需开展专项评价工作。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070" w:type="dxa"/>
            <w:vAlign w:val="center"/>
          </w:tcPr>
          <w:p>
            <w:pPr>
              <w:autoSpaceDE w:val="0"/>
              <w:autoSpaceDN w:val="0"/>
              <w:adjustRightInd w:val="0"/>
              <w:snapToGrid w:val="0"/>
              <w:jc w:val="center"/>
              <w:rPr>
                <w:color w:val="auto"/>
                <w:kern w:val="0"/>
                <w:sz w:val="24"/>
                <w:highlight w:val="none"/>
              </w:rPr>
            </w:pPr>
            <w:r>
              <w:rPr>
                <w:color w:val="auto"/>
                <w:sz w:val="24"/>
                <w:highlight w:val="none"/>
              </w:rPr>
              <w:t>规划情况</w:t>
            </w:r>
          </w:p>
        </w:tc>
        <w:tc>
          <w:tcPr>
            <w:tcW w:w="6934" w:type="dxa"/>
            <w:gridSpan w:val="3"/>
            <w:vAlign w:val="center"/>
          </w:tcPr>
          <w:p>
            <w:pPr>
              <w:autoSpaceDE w:val="0"/>
              <w:autoSpaceDN w:val="0"/>
              <w:adjustRightInd w:val="0"/>
              <w:snapToGrid w:val="0"/>
              <w:spacing w:line="360" w:lineRule="auto"/>
              <w:jc w:val="left"/>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规划名称：</w:t>
            </w:r>
            <w:r>
              <w:rPr>
                <w:rFonts w:ascii="Times New Roman" w:hAnsi="Times New Roman" w:eastAsia="宋体" w:cs="Times New Roman"/>
                <w:color w:val="auto"/>
                <w:sz w:val="24"/>
                <w:highlight w:val="none"/>
              </w:rPr>
              <w:t>《南安经济开发区扶茂工业园控制性详细</w:t>
            </w:r>
            <w:r>
              <w:rPr>
                <w:rFonts w:hint="eastAsia" w:cs="Times New Roman"/>
                <w:color w:val="auto"/>
                <w:sz w:val="24"/>
                <w:highlight w:val="none"/>
                <w:lang w:eastAsia="zh-CN"/>
              </w:rPr>
              <w:t>规划</w:t>
            </w:r>
            <w:r>
              <w:rPr>
                <w:rFonts w:ascii="Times New Roman" w:hAnsi="Times New Roman" w:eastAsia="宋体" w:cs="Times New Roman"/>
                <w:color w:val="auto"/>
                <w:sz w:val="24"/>
                <w:highlight w:val="none"/>
              </w:rPr>
              <w:t>土地利用规划图》（2014-2030）</w:t>
            </w:r>
          </w:p>
          <w:p>
            <w:pPr>
              <w:autoSpaceDE w:val="0"/>
              <w:autoSpaceDN w:val="0"/>
              <w:adjustRightInd w:val="0"/>
              <w:snapToGrid w:val="0"/>
              <w:spacing w:line="360" w:lineRule="auto"/>
              <w:jc w:val="left"/>
              <w:rPr>
                <w:color w:val="auto"/>
                <w:highlight w:val="none"/>
              </w:rPr>
            </w:pPr>
            <w:r>
              <w:rPr>
                <w:rFonts w:hint="eastAsia" w:ascii="Times New Roman" w:hAnsi="Times New Roman" w:eastAsia="宋体" w:cs="Times New Roman"/>
                <w:color w:val="auto"/>
                <w:sz w:val="24"/>
                <w:highlight w:val="none"/>
                <w:lang w:val="en-US" w:eastAsia="zh-CN"/>
              </w:rPr>
              <w:t>审批机关：</w:t>
            </w:r>
            <w:r>
              <w:rPr>
                <w:rFonts w:ascii="Times New Roman" w:hAnsi="Times New Roman" w:eastAsia="宋体" w:cs="Times New Roman"/>
                <w:color w:val="auto"/>
                <w:sz w:val="24"/>
                <w:highlight w:val="none"/>
              </w:rPr>
              <w:t>福建省生态环境厅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070" w:type="dxa"/>
            <w:vAlign w:val="center"/>
          </w:tcPr>
          <w:p>
            <w:pPr>
              <w:adjustRightInd w:val="0"/>
              <w:snapToGrid w:val="0"/>
              <w:jc w:val="center"/>
              <w:rPr>
                <w:color w:val="auto"/>
                <w:sz w:val="24"/>
                <w:highlight w:val="none"/>
              </w:rPr>
            </w:pPr>
            <w:r>
              <w:rPr>
                <w:color w:val="auto"/>
                <w:sz w:val="24"/>
                <w:highlight w:val="none"/>
              </w:rPr>
              <w:t>规划环境影响</w:t>
            </w:r>
          </w:p>
          <w:p>
            <w:pPr>
              <w:adjustRightInd w:val="0"/>
              <w:snapToGrid w:val="0"/>
              <w:jc w:val="center"/>
              <w:rPr>
                <w:color w:val="auto"/>
                <w:kern w:val="0"/>
                <w:sz w:val="24"/>
                <w:highlight w:val="none"/>
              </w:rPr>
            </w:pPr>
            <w:r>
              <w:rPr>
                <w:color w:val="auto"/>
                <w:sz w:val="24"/>
                <w:highlight w:val="none"/>
              </w:rPr>
              <w:t>评价情况</w:t>
            </w:r>
          </w:p>
        </w:tc>
        <w:tc>
          <w:tcPr>
            <w:tcW w:w="693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 xml:space="preserve">规划环评文件名称：《福建南安经济开发区总体规划（2014-2030 年）环境影响报告书》 </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 xml:space="preserve">召集审查机关：原福建省环保厅 </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color w:val="auto"/>
                <w:highlight w:val="none"/>
              </w:rPr>
            </w:pPr>
            <w:r>
              <w:rPr>
                <w:rFonts w:hint="default" w:ascii="Times New Roman" w:hAnsi="Times New Roman" w:eastAsia="宋体" w:cs="Times New Roman"/>
                <w:color w:val="auto"/>
                <w:sz w:val="24"/>
                <w:highlight w:val="none"/>
                <w:lang w:val="en-US" w:eastAsia="zh-CN"/>
              </w:rPr>
              <w:t>审查文件名称及文号：《福建省环保厅关于印发福建南安经济开发区总体规划（2014-2030 年）环境影响报告书审查小组意见的函》（闽环保评[2018]36号）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70" w:type="dxa"/>
            <w:vAlign w:val="center"/>
          </w:tcPr>
          <w:p>
            <w:pPr>
              <w:autoSpaceDE w:val="0"/>
              <w:autoSpaceDN w:val="0"/>
              <w:adjustRightInd w:val="0"/>
              <w:snapToGrid w:val="0"/>
              <w:jc w:val="center"/>
              <w:rPr>
                <w:color w:val="auto"/>
                <w:kern w:val="0"/>
                <w:sz w:val="24"/>
                <w:highlight w:val="none"/>
              </w:rPr>
            </w:pPr>
            <w:r>
              <w:rPr>
                <w:color w:val="auto"/>
                <w:kern w:val="0"/>
                <w:sz w:val="24"/>
                <w:highlight w:val="none"/>
              </w:rPr>
              <w:t>规划及规划环境影响评价符合性分析</w:t>
            </w:r>
          </w:p>
        </w:tc>
        <w:tc>
          <w:tcPr>
            <w:tcW w:w="6934" w:type="dxa"/>
            <w:gridSpan w:val="3"/>
            <w:vAlign w:val="center"/>
          </w:tcPr>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jc w:val="left"/>
              <w:textAlignment w:val="auto"/>
              <w:rPr>
                <w:rFonts w:hint="eastAsia" w:ascii="Times New Roman" w:hAnsi="Times New Roman" w:eastAsia="宋体" w:cs="Times New Roman"/>
                <w:b/>
                <w:bCs/>
                <w:color w:val="auto"/>
                <w:sz w:val="24"/>
                <w:highlight w:val="none"/>
                <w:lang w:val="en-US" w:eastAsia="zh-CN"/>
              </w:rPr>
            </w:pPr>
            <w:r>
              <w:rPr>
                <w:rFonts w:hint="eastAsia"/>
                <w:b/>
                <w:bCs/>
                <w:color w:val="auto"/>
                <w:sz w:val="24"/>
                <w:highlight w:val="none"/>
                <w:lang w:val="en-US" w:eastAsia="zh-CN"/>
              </w:rPr>
              <w:t>1.1与</w:t>
            </w:r>
            <w:r>
              <w:rPr>
                <w:rFonts w:ascii="Times New Roman" w:hAnsi="Times New Roman" w:eastAsia="宋体" w:cs="Times New Roman"/>
                <w:b/>
                <w:bCs/>
                <w:color w:val="auto"/>
                <w:sz w:val="24"/>
                <w:highlight w:val="none"/>
              </w:rPr>
              <w:t>《南安经济开发区扶茂工业园控制性详细规土地利用规划图》（2014-2030）</w:t>
            </w:r>
            <w:r>
              <w:rPr>
                <w:rFonts w:hint="eastAsia" w:ascii="Times New Roman" w:hAnsi="Times New Roman" w:eastAsia="宋体" w:cs="Times New Roman"/>
                <w:b/>
                <w:bCs/>
                <w:color w:val="auto"/>
                <w:sz w:val="24"/>
                <w:highlight w:val="none"/>
                <w:lang w:val="en-US" w:eastAsia="zh-CN"/>
              </w:rPr>
              <w:t>符合性分析</w:t>
            </w:r>
          </w:p>
          <w:p>
            <w:pPr>
              <w:spacing w:line="360" w:lineRule="auto"/>
              <w:ind w:firstLine="480"/>
              <w:rPr>
                <w:rFonts w:hint="eastAsia" w:eastAsia="宋体"/>
                <w:color w:val="auto"/>
                <w:sz w:val="24"/>
                <w:highlight w:val="none"/>
                <w:lang w:val="en-US" w:eastAsia="zh-CN"/>
              </w:rPr>
            </w:pPr>
            <w:r>
              <w:rPr>
                <w:color w:val="auto"/>
                <w:sz w:val="24"/>
                <w:highlight w:val="none"/>
              </w:rPr>
              <w:t>项目选址于</w:t>
            </w:r>
            <w:r>
              <w:rPr>
                <w:rFonts w:hint="eastAsia"/>
                <w:bCs/>
                <w:color w:val="auto"/>
                <w:sz w:val="24"/>
                <w:highlight w:val="none"/>
                <w:lang w:eastAsia="zh-CN"/>
              </w:rPr>
              <w:t>福建省南安市美林街道茂盛路1288号</w:t>
            </w:r>
            <w:r>
              <w:rPr>
                <w:rFonts w:hint="eastAsia"/>
                <w:bCs/>
                <w:color w:val="auto"/>
                <w:sz w:val="24"/>
                <w:highlight w:val="none"/>
              </w:rPr>
              <w:t>（</w:t>
            </w:r>
            <w:r>
              <w:rPr>
                <w:rFonts w:hint="eastAsia"/>
                <w:bCs/>
                <w:color w:val="auto"/>
                <w:sz w:val="24"/>
                <w:highlight w:val="none"/>
                <w:lang w:eastAsia="zh-CN"/>
              </w:rPr>
              <w:t>南安经济开发区扶茂工业园中心片区内</w:t>
            </w:r>
            <w:r>
              <w:rPr>
                <w:rFonts w:hint="eastAsia"/>
                <w:bCs/>
                <w:color w:val="auto"/>
                <w:sz w:val="24"/>
                <w:highlight w:val="none"/>
              </w:rPr>
              <w:t>）</w:t>
            </w:r>
            <w:r>
              <w:rPr>
                <w:color w:val="auto"/>
                <w:sz w:val="24"/>
                <w:highlight w:val="none"/>
              </w:rPr>
              <w:t>，</w:t>
            </w:r>
            <w:r>
              <w:rPr>
                <w:rFonts w:hint="eastAsia"/>
                <w:color w:val="auto"/>
                <w:sz w:val="24"/>
                <w:highlight w:val="none"/>
              </w:rPr>
              <w:t>为</w:t>
            </w:r>
            <w:r>
              <w:rPr>
                <w:rFonts w:hint="eastAsia"/>
                <w:bCs/>
                <w:color w:val="auto"/>
                <w:sz w:val="24"/>
                <w:highlight w:val="none"/>
              </w:rPr>
              <w:t>南安经济开发区扶茂工业园</w:t>
            </w:r>
            <w:r>
              <w:rPr>
                <w:rFonts w:hint="eastAsia"/>
                <w:color w:val="auto"/>
                <w:sz w:val="24"/>
                <w:highlight w:val="none"/>
              </w:rPr>
              <w:t>规划用地，对照《</w:t>
            </w:r>
            <w:r>
              <w:rPr>
                <w:rFonts w:hint="eastAsia"/>
                <w:bCs/>
                <w:color w:val="auto"/>
                <w:sz w:val="24"/>
                <w:highlight w:val="none"/>
              </w:rPr>
              <w:t>南安经济开发区扶茂工业园控制性详细规划土地利用规划图</w:t>
            </w:r>
            <w:r>
              <w:rPr>
                <w:rFonts w:hint="eastAsia"/>
                <w:color w:val="auto"/>
                <w:sz w:val="24"/>
                <w:highlight w:val="none"/>
              </w:rPr>
              <w:t>》（附图</w:t>
            </w:r>
            <w:r>
              <w:rPr>
                <w:rFonts w:hint="eastAsia"/>
                <w:color w:val="auto"/>
                <w:sz w:val="24"/>
                <w:highlight w:val="none"/>
                <w:lang w:val="en-US" w:eastAsia="zh-CN"/>
              </w:rPr>
              <w:t>6</w:t>
            </w:r>
            <w:r>
              <w:rPr>
                <w:rFonts w:hint="eastAsia"/>
                <w:color w:val="auto"/>
                <w:sz w:val="24"/>
                <w:highlight w:val="none"/>
              </w:rPr>
              <w:t>）</w:t>
            </w:r>
            <w:r>
              <w:rPr>
                <w:color w:val="auto"/>
                <w:sz w:val="24"/>
                <w:highlight w:val="none"/>
              </w:rPr>
              <w:t>，该地块规划用途为</w:t>
            </w:r>
            <w:r>
              <w:rPr>
                <w:rFonts w:hint="eastAsia"/>
                <w:color w:val="auto"/>
                <w:sz w:val="24"/>
                <w:highlight w:val="none"/>
              </w:rPr>
              <w:t>工业用地</w:t>
            </w:r>
            <w:r>
              <w:rPr>
                <w:rFonts w:hint="eastAsia"/>
                <w:color w:val="auto"/>
                <w:sz w:val="24"/>
                <w:highlight w:val="none"/>
                <w:lang w:eastAsia="zh-CN"/>
              </w:rPr>
              <w:t>；同时</w:t>
            </w:r>
            <w:r>
              <w:rPr>
                <w:color w:val="auto"/>
                <w:sz w:val="24"/>
                <w:highlight w:val="none"/>
              </w:rPr>
              <w:t>根据建设单位提供</w:t>
            </w:r>
            <w:r>
              <w:rPr>
                <w:rFonts w:hint="eastAsia"/>
                <w:color w:val="auto"/>
                <w:sz w:val="24"/>
                <w:highlight w:val="none"/>
                <w:lang w:val="en-US" w:eastAsia="zh-CN"/>
              </w:rPr>
              <w:t>编号为闽（2021）南安市不动产权第1200677号的不动产权证书（附件4）</w:t>
            </w:r>
            <w:r>
              <w:rPr>
                <w:color w:val="auto"/>
                <w:sz w:val="24"/>
                <w:highlight w:val="none"/>
              </w:rPr>
              <w:t>，</w:t>
            </w:r>
            <w:r>
              <w:rPr>
                <w:rFonts w:hint="eastAsia"/>
                <w:color w:val="auto"/>
                <w:sz w:val="24"/>
                <w:highlight w:val="none"/>
                <w:lang w:val="en-US" w:eastAsia="zh-CN"/>
              </w:rPr>
              <w:t>项目用地用途</w:t>
            </w:r>
            <w:r>
              <w:rPr>
                <w:rFonts w:hint="eastAsia"/>
                <w:color w:val="auto"/>
                <w:sz w:val="24"/>
                <w:highlight w:val="none"/>
              </w:rPr>
              <w:t>为</w:t>
            </w:r>
            <w:r>
              <w:rPr>
                <w:rFonts w:hint="eastAsia"/>
                <w:color w:val="auto"/>
                <w:sz w:val="24"/>
                <w:highlight w:val="none"/>
                <w:lang w:val="en-US" w:eastAsia="zh-CN"/>
              </w:rPr>
              <w:t>工业用地，项目属于工业建设项目，</w:t>
            </w:r>
            <w:r>
              <w:rPr>
                <w:rFonts w:hint="eastAsia"/>
                <w:color w:val="auto"/>
                <w:sz w:val="24"/>
                <w:highlight w:val="none"/>
              </w:rPr>
              <w:t>因此本项目建设符合</w:t>
            </w:r>
            <w:r>
              <w:rPr>
                <w:rFonts w:hint="eastAsia"/>
                <w:bCs/>
                <w:color w:val="auto"/>
                <w:sz w:val="24"/>
                <w:highlight w:val="none"/>
              </w:rPr>
              <w:t>南安经济开发区扶茂工业园土地利用规划</w:t>
            </w:r>
            <w:r>
              <w:rPr>
                <w:color w:val="auto"/>
                <w:sz w:val="24"/>
                <w:highlight w:val="none"/>
              </w:rPr>
              <w:t>。</w:t>
            </w:r>
            <w:r>
              <w:rPr>
                <w:rFonts w:hint="eastAsia"/>
                <w:color w:val="auto"/>
                <w:sz w:val="24"/>
                <w:highlight w:val="none"/>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SA"/>
              </w:rPr>
              <w:t>1.2 与规划环评及审查意见符合性分析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对照《福建南安经济开发区总体规划（2014-2030 年）环境影响报告书》及审查意见要求，对本项目建设的符合性如下表</w:t>
            </w:r>
            <w:r>
              <w:rPr>
                <w:rFonts w:hint="eastAsia" w:ascii="Times New Roman" w:hAnsi="Times New Roman" w:eastAsia="宋体" w:cs="Times New Roman"/>
                <w:color w:val="auto"/>
                <w:kern w:val="0"/>
                <w:sz w:val="24"/>
                <w:szCs w:val="24"/>
                <w:highlight w:val="none"/>
                <w:lang w:val="en-US" w:eastAsia="zh-CN" w:bidi="ar"/>
              </w:rPr>
              <w:t>1-2</w:t>
            </w:r>
            <w:r>
              <w:rPr>
                <w:rFonts w:hint="default" w:ascii="Times New Roman" w:hAnsi="Times New Roman" w:eastAsia="宋体" w:cs="Times New Roman"/>
                <w:color w:val="auto"/>
                <w:kern w:val="0"/>
                <w:sz w:val="24"/>
                <w:szCs w:val="24"/>
                <w:highlight w:val="none"/>
                <w:lang w:val="en-US" w:eastAsia="zh-CN" w:bidi="ar"/>
              </w:rPr>
              <w:t>分析。</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表1-2 项目与规划环评及其审查意见的符合性分析</w:t>
            </w:r>
          </w:p>
          <w:tbl>
            <w:tblPr>
              <w:tblStyle w:val="29"/>
              <w:tblW w:w="67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9"/>
              <w:gridCol w:w="465"/>
              <w:gridCol w:w="3495"/>
              <w:gridCol w:w="23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84" w:type="dxa"/>
                  <w:gridSpan w:val="2"/>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cs="Plotter"/>
                      <w:b/>
                      <w:color w:val="auto"/>
                      <w:sz w:val="21"/>
                      <w:szCs w:val="21"/>
                      <w:highlight w:val="none"/>
                    </w:rPr>
                  </w:pPr>
                  <w:r>
                    <w:rPr>
                      <w:rFonts w:cs="Plotter"/>
                      <w:b/>
                      <w:color w:val="auto"/>
                      <w:sz w:val="21"/>
                      <w:szCs w:val="21"/>
                      <w:highlight w:val="none"/>
                    </w:rPr>
                    <w:t>分析</w:t>
                  </w:r>
                </w:p>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color w:val="auto"/>
                      <w:sz w:val="21"/>
                      <w:szCs w:val="21"/>
                      <w:highlight w:val="none"/>
                      <w:vertAlign w:val="baseline"/>
                      <w:lang w:val="en-US" w:eastAsia="zh-CN"/>
                    </w:rPr>
                  </w:pPr>
                  <w:r>
                    <w:rPr>
                      <w:rFonts w:cs="Plotter"/>
                      <w:b/>
                      <w:color w:val="auto"/>
                      <w:sz w:val="21"/>
                      <w:szCs w:val="21"/>
                      <w:highlight w:val="none"/>
                    </w:rPr>
                    <w:t>内容</w:t>
                  </w:r>
                </w:p>
              </w:tc>
              <w:tc>
                <w:tcPr>
                  <w:tcW w:w="34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color w:val="auto"/>
                      <w:sz w:val="21"/>
                      <w:szCs w:val="21"/>
                      <w:highlight w:val="none"/>
                      <w:vertAlign w:val="baseline"/>
                      <w:lang w:val="en-US" w:eastAsia="zh-CN"/>
                    </w:rPr>
                  </w:pPr>
                  <w:r>
                    <w:rPr>
                      <w:rFonts w:cs="Plotter"/>
                      <w:b/>
                      <w:color w:val="auto"/>
                      <w:sz w:val="21"/>
                      <w:szCs w:val="21"/>
                      <w:highlight w:val="none"/>
                    </w:rPr>
                    <w:t>规划环评要求</w:t>
                  </w:r>
                </w:p>
              </w:tc>
              <w:tc>
                <w:tcPr>
                  <w:tcW w:w="23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color w:val="auto"/>
                      <w:sz w:val="21"/>
                      <w:szCs w:val="21"/>
                      <w:highlight w:val="none"/>
                      <w:vertAlign w:val="baseline"/>
                      <w:lang w:val="en-US" w:eastAsia="zh-CN"/>
                    </w:rPr>
                  </w:pPr>
                  <w:r>
                    <w:rPr>
                      <w:rFonts w:cs="Plotter"/>
                      <w:b/>
                      <w:color w:val="auto"/>
                      <w:sz w:val="21"/>
                      <w:szCs w:val="21"/>
                      <w:highlight w:val="none"/>
                    </w:rPr>
                    <w:t>本项目</w:t>
                  </w:r>
                  <w:r>
                    <w:rPr>
                      <w:rFonts w:hint="eastAsia" w:cs="Plotter"/>
                      <w:b/>
                      <w:color w:val="auto"/>
                      <w:sz w:val="21"/>
                      <w:szCs w:val="21"/>
                      <w:highlight w:val="none"/>
                    </w:rPr>
                    <w:t>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9" w:type="dxa"/>
                  <w:vMerge w:val="restart"/>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cs="Plotter"/>
                      <w:color w:val="auto"/>
                      <w:sz w:val="21"/>
                      <w:szCs w:val="21"/>
                      <w:highlight w:val="none"/>
                    </w:rPr>
                  </w:pPr>
                  <w:r>
                    <w:rPr>
                      <w:rFonts w:cs="Plotter"/>
                      <w:color w:val="auto"/>
                      <w:sz w:val="21"/>
                      <w:szCs w:val="21"/>
                      <w:highlight w:val="none"/>
                    </w:rPr>
                    <w:t>功</w:t>
                  </w:r>
                </w:p>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cs="Plotter"/>
                      <w:color w:val="auto"/>
                      <w:sz w:val="21"/>
                      <w:szCs w:val="21"/>
                      <w:highlight w:val="none"/>
                    </w:rPr>
                  </w:pPr>
                  <w:r>
                    <w:rPr>
                      <w:rFonts w:cs="Plotter"/>
                      <w:color w:val="auto"/>
                      <w:sz w:val="21"/>
                      <w:szCs w:val="21"/>
                      <w:highlight w:val="none"/>
                    </w:rPr>
                    <w:t>能</w:t>
                  </w:r>
                </w:p>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cs="Plotter"/>
                      <w:color w:val="auto"/>
                      <w:sz w:val="21"/>
                      <w:szCs w:val="21"/>
                      <w:highlight w:val="none"/>
                    </w:rPr>
                  </w:pPr>
                  <w:r>
                    <w:rPr>
                      <w:rFonts w:cs="Plotter"/>
                      <w:color w:val="auto"/>
                      <w:sz w:val="21"/>
                      <w:szCs w:val="21"/>
                      <w:highlight w:val="none"/>
                    </w:rPr>
                    <w:t>布</w:t>
                  </w:r>
                </w:p>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color w:val="auto"/>
                      <w:sz w:val="21"/>
                      <w:szCs w:val="21"/>
                      <w:highlight w:val="none"/>
                      <w:vertAlign w:val="baseline"/>
                      <w:lang w:val="en-US" w:eastAsia="zh-CN"/>
                    </w:rPr>
                  </w:pPr>
                  <w:r>
                    <w:rPr>
                      <w:rFonts w:cs="Plotter"/>
                      <w:color w:val="auto"/>
                      <w:sz w:val="21"/>
                      <w:szCs w:val="21"/>
                      <w:highlight w:val="none"/>
                    </w:rPr>
                    <w:t>局</w:t>
                  </w:r>
                </w:p>
              </w:tc>
              <w:tc>
                <w:tcPr>
                  <w:tcW w:w="465" w:type="dxa"/>
                  <w:tcBorders>
                    <w:tl2br w:val="nil"/>
                    <w:tr2bl w:val="nil"/>
                  </w:tcBorders>
                  <w:vAlign w:val="center"/>
                </w:tcPr>
                <w:p>
                  <w:pPr>
                    <w:jc w:val="center"/>
                    <w:rPr>
                      <w:rFonts w:hint="default"/>
                      <w:color w:val="auto"/>
                      <w:sz w:val="21"/>
                      <w:szCs w:val="21"/>
                      <w:highlight w:val="none"/>
                      <w:vertAlign w:val="baseline"/>
                      <w:lang w:val="en-US" w:eastAsia="zh-CN"/>
                    </w:rPr>
                  </w:pPr>
                  <w:r>
                    <w:rPr>
                      <w:rFonts w:cs="Plotter"/>
                      <w:color w:val="auto"/>
                      <w:sz w:val="21"/>
                      <w:szCs w:val="21"/>
                      <w:highlight w:val="none"/>
                    </w:rPr>
                    <w:t>规划布局结构</w:t>
                  </w:r>
                </w:p>
              </w:tc>
              <w:tc>
                <w:tcPr>
                  <w:tcW w:w="3495" w:type="dxa"/>
                  <w:tcBorders>
                    <w:tl2br w:val="nil"/>
                    <w:tr2bl w:val="nil"/>
                  </w:tcBorders>
                  <w:vAlign w:val="center"/>
                </w:tcPr>
                <w:p>
                  <w:pPr>
                    <w:jc w:val="center"/>
                    <w:rPr>
                      <w:rFonts w:hint="default"/>
                      <w:color w:val="auto"/>
                      <w:sz w:val="21"/>
                      <w:szCs w:val="21"/>
                      <w:highlight w:val="none"/>
                      <w:vertAlign w:val="baseline"/>
                      <w:lang w:val="en-US" w:eastAsia="zh-CN"/>
                    </w:rPr>
                  </w:pPr>
                  <w:r>
                    <w:rPr>
                      <w:rFonts w:cs="Plotter"/>
                      <w:color w:val="auto"/>
                      <w:sz w:val="21"/>
                      <w:szCs w:val="21"/>
                      <w:highlight w:val="none"/>
                    </w:rPr>
                    <w:t>南安经济开发区规划范围包括扶茂工业园（观音山物流园区以西、省新镇区以南）、仑苍水暖园（镇区扣除中心区部分）及成功科技园</w:t>
                  </w:r>
                </w:p>
              </w:tc>
              <w:tc>
                <w:tcPr>
                  <w:tcW w:w="2339" w:type="dxa"/>
                  <w:tcBorders>
                    <w:tl2br w:val="nil"/>
                    <w:tr2bl w:val="nil"/>
                  </w:tcBorders>
                  <w:vAlign w:val="center"/>
                </w:tcPr>
                <w:p>
                  <w:pPr>
                    <w:jc w:val="center"/>
                    <w:rPr>
                      <w:rFonts w:hint="default"/>
                      <w:color w:val="auto"/>
                      <w:sz w:val="21"/>
                      <w:szCs w:val="21"/>
                      <w:highlight w:val="none"/>
                      <w:vertAlign w:val="baseline"/>
                      <w:lang w:val="en-US" w:eastAsia="zh-CN"/>
                    </w:rPr>
                  </w:pPr>
                  <w:r>
                    <w:rPr>
                      <w:rFonts w:hint="eastAsia" w:cs="Plotter"/>
                      <w:color w:val="auto"/>
                      <w:sz w:val="21"/>
                      <w:szCs w:val="21"/>
                      <w:highlight w:val="none"/>
                    </w:rPr>
                    <w:t>本项目位于</w:t>
                  </w:r>
                  <w:r>
                    <w:rPr>
                      <w:rFonts w:hint="eastAsia" w:cs="Plotter"/>
                      <w:color w:val="auto"/>
                      <w:sz w:val="21"/>
                      <w:szCs w:val="21"/>
                      <w:highlight w:val="none"/>
                      <w:lang w:eastAsia="zh-CN"/>
                    </w:rPr>
                    <w:t>福建省南安市美林街道茂盛路1288号</w:t>
                  </w:r>
                  <w:r>
                    <w:rPr>
                      <w:rFonts w:hint="eastAsia" w:cs="Plotter"/>
                      <w:color w:val="auto"/>
                      <w:sz w:val="21"/>
                      <w:szCs w:val="21"/>
                      <w:highlight w:val="none"/>
                    </w:rPr>
                    <w:t>（</w:t>
                  </w:r>
                  <w:r>
                    <w:rPr>
                      <w:rFonts w:hint="eastAsia" w:cs="Plotter"/>
                      <w:color w:val="auto"/>
                      <w:sz w:val="21"/>
                      <w:szCs w:val="21"/>
                      <w:highlight w:val="none"/>
                      <w:lang w:eastAsia="zh-CN"/>
                    </w:rPr>
                    <w:t>南安经济开发区扶茂工业园中心片区内</w:t>
                  </w:r>
                  <w:r>
                    <w:rPr>
                      <w:rFonts w:hint="eastAsia" w:cs="Plotter"/>
                      <w:color w:val="auto"/>
                      <w:sz w:val="21"/>
                      <w:szCs w:val="21"/>
                      <w:highlight w:val="none"/>
                    </w:rPr>
                    <w:t>），为南安经济开发区扶茂工业园规划用地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color w:val="auto"/>
                      <w:sz w:val="21"/>
                      <w:szCs w:val="21"/>
                      <w:highlight w:val="none"/>
                      <w:vertAlign w:val="baseline"/>
                      <w:lang w:val="en-US" w:eastAsia="zh-CN"/>
                    </w:rPr>
                  </w:pPr>
                </w:p>
              </w:tc>
              <w:tc>
                <w:tcPr>
                  <w:tcW w:w="465" w:type="dxa"/>
                  <w:tcBorders>
                    <w:tl2br w:val="nil"/>
                    <w:tr2bl w:val="nil"/>
                  </w:tcBorders>
                  <w:vAlign w:val="center"/>
                </w:tcPr>
                <w:p>
                  <w:pPr>
                    <w:jc w:val="center"/>
                    <w:rPr>
                      <w:rFonts w:hint="default"/>
                      <w:color w:val="auto"/>
                      <w:sz w:val="21"/>
                      <w:szCs w:val="21"/>
                      <w:highlight w:val="none"/>
                      <w:vertAlign w:val="baseline"/>
                      <w:lang w:val="en-US" w:eastAsia="zh-CN"/>
                    </w:rPr>
                  </w:pPr>
                  <w:r>
                    <w:rPr>
                      <w:rFonts w:cs="Plotter"/>
                      <w:color w:val="auto"/>
                      <w:sz w:val="21"/>
                      <w:szCs w:val="21"/>
                      <w:highlight w:val="none"/>
                    </w:rPr>
                    <w:t>产业发展规划</w:t>
                  </w:r>
                </w:p>
              </w:tc>
              <w:tc>
                <w:tcPr>
                  <w:tcW w:w="3495" w:type="dxa"/>
                  <w:tcBorders>
                    <w:tl2br w:val="nil"/>
                    <w:tr2bl w:val="nil"/>
                  </w:tcBorders>
                  <w:vAlign w:val="center"/>
                </w:tcPr>
                <w:p>
                  <w:pPr>
                    <w:jc w:val="center"/>
                    <w:rPr>
                      <w:rFonts w:hint="eastAsia" w:eastAsia="宋体" w:cs="Plotter"/>
                      <w:color w:val="auto"/>
                      <w:sz w:val="21"/>
                      <w:szCs w:val="21"/>
                      <w:highlight w:val="none"/>
                      <w:lang w:eastAsia="zh-CN"/>
                    </w:rPr>
                  </w:pPr>
                  <w:r>
                    <w:rPr>
                      <w:rFonts w:cs="Plotter"/>
                      <w:color w:val="auto"/>
                      <w:sz w:val="21"/>
                      <w:szCs w:val="21"/>
                      <w:highlight w:val="none"/>
                    </w:rPr>
                    <w:t>扶茂工业区主要是以发展水暖厨卫、消防阀门、五金制品、机械装备及水暖相关配套业、日用制品（纸制品、塑料制品、密胺制品）及鞋服针织以及物流仓储等</w:t>
                  </w:r>
                  <w:r>
                    <w:rPr>
                      <w:rFonts w:hint="eastAsia" w:cs="Plotter"/>
                      <w:color w:val="auto"/>
                      <w:sz w:val="21"/>
                      <w:szCs w:val="21"/>
                      <w:highlight w:val="none"/>
                      <w:lang w:eastAsia="zh-CN"/>
                    </w:rPr>
                    <w:t>；</w:t>
                  </w:r>
                </w:p>
                <w:p>
                  <w:pPr>
                    <w:keepNext w:val="0"/>
                    <w:keepLines w:val="0"/>
                    <w:widowControl/>
                    <w:suppressLineNumbers w:val="0"/>
                    <w:jc w:val="center"/>
                    <w:rPr>
                      <w:rFonts w:hint="eastAsia" w:eastAsia="宋体"/>
                      <w:color w:val="auto"/>
                      <w:sz w:val="21"/>
                      <w:szCs w:val="21"/>
                      <w:highlight w:val="none"/>
                      <w:vertAlign w:val="baseline"/>
                      <w:lang w:val="en-US" w:eastAsia="zh-CN"/>
                    </w:rPr>
                  </w:pPr>
                  <w:r>
                    <w:rPr>
                      <w:rFonts w:hint="eastAsia" w:cs="Plotter"/>
                      <w:color w:val="auto"/>
                      <w:sz w:val="21"/>
                      <w:szCs w:val="21"/>
                      <w:highlight w:val="none"/>
                      <w:lang w:eastAsia="zh-CN"/>
                    </w:rPr>
                    <w:t>其中扶茂工业园</w:t>
                  </w:r>
                  <w:r>
                    <w:rPr>
                      <w:rFonts w:hint="eastAsia" w:ascii="宋体" w:hAnsi="宋体" w:eastAsia="宋体" w:cs="宋体"/>
                      <w:color w:val="auto"/>
                      <w:kern w:val="0"/>
                      <w:sz w:val="21"/>
                      <w:szCs w:val="21"/>
                      <w:highlight w:val="none"/>
                      <w:lang w:val="en-US" w:eastAsia="zh-CN" w:bidi="ar"/>
                    </w:rPr>
                    <w:t>中心片区功能定位为水暖厨卫、消防阀门</w:t>
                  </w:r>
                </w:p>
              </w:tc>
              <w:tc>
                <w:tcPr>
                  <w:tcW w:w="2339" w:type="dxa"/>
                  <w:tcBorders>
                    <w:tl2br w:val="nil"/>
                    <w:tr2bl w:val="nil"/>
                  </w:tcBorders>
                  <w:vAlign w:val="center"/>
                </w:tcPr>
                <w:p>
                  <w:pPr>
                    <w:jc w:val="center"/>
                    <w:rPr>
                      <w:rFonts w:hint="default"/>
                      <w:color w:val="auto"/>
                      <w:sz w:val="21"/>
                      <w:szCs w:val="21"/>
                      <w:highlight w:val="none"/>
                      <w:vertAlign w:val="baseline"/>
                      <w:lang w:val="en-US" w:eastAsia="zh-CN"/>
                    </w:rPr>
                  </w:pPr>
                  <w:r>
                    <w:rPr>
                      <w:rFonts w:hint="eastAsia" w:cs="Plotter"/>
                      <w:color w:val="auto"/>
                      <w:sz w:val="21"/>
                      <w:szCs w:val="21"/>
                      <w:highlight w:val="none"/>
                    </w:rPr>
                    <w:t>本项目</w:t>
                  </w:r>
                  <w:r>
                    <w:rPr>
                      <w:rFonts w:hint="eastAsia" w:cs="Plotter"/>
                      <w:color w:val="auto"/>
                      <w:sz w:val="21"/>
                      <w:szCs w:val="21"/>
                      <w:highlight w:val="none"/>
                      <w:lang w:val="en-US" w:eastAsia="zh-CN"/>
                    </w:rPr>
                    <w:t>产品属于水暖厨卫行业、</w:t>
                  </w:r>
                  <w:r>
                    <w:rPr>
                      <w:rFonts w:cs="Plotter"/>
                      <w:color w:val="auto"/>
                      <w:sz w:val="21"/>
                      <w:szCs w:val="21"/>
                      <w:highlight w:val="none"/>
                    </w:rPr>
                    <w:t>水暖相关配套</w:t>
                  </w:r>
                  <w:r>
                    <w:rPr>
                      <w:rFonts w:hint="eastAsia" w:cs="Plotter"/>
                      <w:color w:val="auto"/>
                      <w:sz w:val="21"/>
                      <w:szCs w:val="21"/>
                      <w:highlight w:val="none"/>
                      <w:lang w:val="en-US" w:eastAsia="zh-CN"/>
                    </w:rPr>
                    <w:t>行业项目</w:t>
                  </w:r>
                  <w:r>
                    <w:rPr>
                      <w:rFonts w:hint="eastAsia" w:cs="Plotter"/>
                      <w:color w:val="auto"/>
                      <w:sz w:val="21"/>
                      <w:szCs w:val="21"/>
                      <w:highlight w:val="none"/>
                    </w:rPr>
                    <w:t>，符合园区产业规划。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84" w:type="dxa"/>
                  <w:gridSpan w:val="2"/>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cs="Plotter"/>
                      <w:color w:val="auto"/>
                      <w:sz w:val="21"/>
                      <w:szCs w:val="21"/>
                      <w:highlight w:val="none"/>
                    </w:rPr>
                  </w:pPr>
                  <w:r>
                    <w:rPr>
                      <w:rFonts w:cs="Plotter"/>
                      <w:color w:val="auto"/>
                      <w:sz w:val="21"/>
                      <w:szCs w:val="21"/>
                      <w:highlight w:val="none"/>
                    </w:rPr>
                    <w:t>准</w:t>
                  </w:r>
                </w:p>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cs="Plotter"/>
                      <w:color w:val="auto"/>
                      <w:sz w:val="21"/>
                      <w:szCs w:val="21"/>
                      <w:highlight w:val="none"/>
                    </w:rPr>
                  </w:pPr>
                  <w:r>
                    <w:rPr>
                      <w:rFonts w:cs="Plotter"/>
                      <w:color w:val="auto"/>
                      <w:sz w:val="21"/>
                      <w:szCs w:val="21"/>
                      <w:highlight w:val="none"/>
                    </w:rPr>
                    <w:t>入</w:t>
                  </w:r>
                </w:p>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cs="Plotter"/>
                      <w:color w:val="auto"/>
                      <w:sz w:val="21"/>
                      <w:szCs w:val="21"/>
                      <w:highlight w:val="none"/>
                    </w:rPr>
                  </w:pPr>
                  <w:r>
                    <w:rPr>
                      <w:rFonts w:cs="Plotter"/>
                      <w:color w:val="auto"/>
                      <w:sz w:val="21"/>
                      <w:szCs w:val="21"/>
                      <w:highlight w:val="none"/>
                    </w:rPr>
                    <w:t>条</w:t>
                  </w:r>
                </w:p>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color w:val="auto"/>
                      <w:sz w:val="21"/>
                      <w:szCs w:val="21"/>
                      <w:highlight w:val="none"/>
                      <w:vertAlign w:val="baseline"/>
                      <w:lang w:val="en-US" w:eastAsia="zh-CN"/>
                    </w:rPr>
                  </w:pPr>
                  <w:r>
                    <w:rPr>
                      <w:rFonts w:cs="Plotter"/>
                      <w:color w:val="auto"/>
                      <w:sz w:val="21"/>
                      <w:szCs w:val="21"/>
                      <w:highlight w:val="none"/>
                    </w:rPr>
                    <w:t>件</w:t>
                  </w:r>
                </w:p>
              </w:tc>
              <w:tc>
                <w:tcPr>
                  <w:tcW w:w="3495" w:type="dxa"/>
                  <w:tcBorders>
                    <w:tl2br w:val="nil"/>
                    <w:tr2bl w:val="nil"/>
                  </w:tcBorders>
                  <w:vAlign w:val="center"/>
                </w:tcPr>
                <w:p>
                  <w:pPr>
                    <w:jc w:val="center"/>
                    <w:rPr>
                      <w:rFonts w:cs="Plotter"/>
                      <w:color w:val="auto"/>
                      <w:sz w:val="21"/>
                      <w:szCs w:val="21"/>
                      <w:highlight w:val="none"/>
                    </w:rPr>
                  </w:pPr>
                  <w:r>
                    <w:rPr>
                      <w:rFonts w:hint="eastAsia" w:ascii="宋体" w:hAnsi="宋体" w:cs="宋体"/>
                      <w:color w:val="auto"/>
                      <w:sz w:val="21"/>
                      <w:szCs w:val="21"/>
                      <w:highlight w:val="none"/>
                    </w:rPr>
                    <w:t>①</w:t>
                  </w:r>
                  <w:r>
                    <w:rPr>
                      <w:rFonts w:cs="Plotter"/>
                      <w:color w:val="auto"/>
                      <w:sz w:val="21"/>
                      <w:szCs w:val="21"/>
                      <w:highlight w:val="none"/>
                    </w:rPr>
                    <w:t>禁止对西溪水环境风险构成重大危险源的工业项目入园。</w:t>
                  </w:r>
                </w:p>
                <w:p>
                  <w:pPr>
                    <w:jc w:val="center"/>
                    <w:rPr>
                      <w:rFonts w:cs="Plotter"/>
                      <w:color w:val="auto"/>
                      <w:sz w:val="21"/>
                      <w:szCs w:val="21"/>
                      <w:highlight w:val="none"/>
                    </w:rPr>
                  </w:pPr>
                  <w:r>
                    <w:rPr>
                      <w:rFonts w:hint="eastAsia" w:ascii="宋体" w:hAnsi="宋体" w:cs="宋体"/>
                      <w:color w:val="auto"/>
                      <w:sz w:val="21"/>
                      <w:szCs w:val="21"/>
                      <w:highlight w:val="none"/>
                    </w:rPr>
                    <w:t>②</w:t>
                  </w:r>
                  <w:r>
                    <w:rPr>
                      <w:rFonts w:cs="Plotter"/>
                      <w:color w:val="auto"/>
                      <w:sz w:val="21"/>
                      <w:szCs w:val="21"/>
                      <w:highlight w:val="none"/>
                    </w:rPr>
                    <w:t>限制高污染、高能耗、国家限制类、水环境制约因素、大气环境制约因素及环境风险大的项目；限制相关产业政策中规定的限制类产业。</w:t>
                  </w:r>
                </w:p>
                <w:p>
                  <w:pPr>
                    <w:jc w:val="center"/>
                    <w:rPr>
                      <w:rFonts w:hint="default"/>
                      <w:color w:val="auto"/>
                      <w:sz w:val="21"/>
                      <w:szCs w:val="21"/>
                      <w:highlight w:val="none"/>
                      <w:vertAlign w:val="baseline"/>
                      <w:lang w:val="en-US" w:eastAsia="zh-CN"/>
                    </w:rPr>
                  </w:pPr>
                  <w:r>
                    <w:rPr>
                      <w:rFonts w:hint="eastAsia" w:ascii="宋体" w:hAnsi="宋体" w:cs="宋体"/>
                      <w:color w:val="auto"/>
                      <w:sz w:val="21"/>
                      <w:szCs w:val="21"/>
                      <w:highlight w:val="none"/>
                    </w:rPr>
                    <w:t>③</w:t>
                  </w:r>
                  <w:r>
                    <w:rPr>
                      <w:rFonts w:cs="Plotter"/>
                      <w:color w:val="auto"/>
                      <w:sz w:val="21"/>
                      <w:szCs w:val="21"/>
                      <w:highlight w:val="none"/>
                    </w:rPr>
                    <w:t>禁止引进制革、电镀、漂染行业等排放有毒有害重金属、持久性污染物的工业项目，禁止新建造纸和化工行业和以排放氨氮、总磷等主要污染物的工业项目；禁止发展涉及</w:t>
                  </w:r>
                  <w:r>
                    <w:rPr>
                      <w:rFonts w:hint="eastAsia" w:cs="Plotter"/>
                      <w:color w:val="auto"/>
                      <w:sz w:val="21"/>
                      <w:szCs w:val="21"/>
                      <w:highlight w:val="none"/>
                      <w:lang w:eastAsia="zh-CN"/>
                    </w:rPr>
                    <w:t>具有</w:t>
                  </w:r>
                  <w:r>
                    <w:rPr>
                      <w:rFonts w:cs="Plotter"/>
                      <w:color w:val="auto"/>
                      <w:sz w:val="21"/>
                      <w:szCs w:val="21"/>
                      <w:highlight w:val="none"/>
                    </w:rPr>
                    <w:t>急性毒性、浸出毒性的危险废物产生的产业，即会产生根据国家规定的危险废物鉴定标准和鉴定方法认定的具有急性毒性、浸出毒性的废物；禁止发展涉及有第一类污染物、持久性污染物排放的产业；禁止相关产业政策中规定的限制类产业。</w:t>
                  </w:r>
                </w:p>
              </w:tc>
              <w:tc>
                <w:tcPr>
                  <w:tcW w:w="2339" w:type="dxa"/>
                  <w:tcBorders>
                    <w:tl2br w:val="nil"/>
                    <w:tr2bl w:val="nil"/>
                  </w:tcBorders>
                  <w:vAlign w:val="center"/>
                </w:tcPr>
                <w:p>
                  <w:pPr>
                    <w:keepNext w:val="0"/>
                    <w:keepLines w:val="0"/>
                    <w:pageBreakBefore w:val="0"/>
                    <w:kinsoku/>
                    <w:wordWrap/>
                    <w:overflowPunct/>
                    <w:topLinePunct w:val="0"/>
                    <w:bidi w:val="0"/>
                    <w:adjustRightInd w:val="0"/>
                    <w:snapToGrid w:val="0"/>
                    <w:jc w:val="center"/>
                    <w:textAlignment w:val="auto"/>
                    <w:rPr>
                      <w:rFonts w:hint="eastAsia"/>
                      <w:color w:val="auto"/>
                      <w:sz w:val="21"/>
                      <w:szCs w:val="21"/>
                      <w:highlight w:val="none"/>
                      <w:lang w:eastAsia="zh-CN"/>
                    </w:rPr>
                  </w:pPr>
                  <w:r>
                    <w:rPr>
                      <w:rFonts w:hint="eastAsia"/>
                      <w:color w:val="auto"/>
                      <w:sz w:val="21"/>
                      <w:szCs w:val="21"/>
                      <w:highlight w:val="none"/>
                    </w:rPr>
                    <w:t>①项目仅排放生活污水，不会对西溪</w:t>
                  </w:r>
                  <w:r>
                    <w:rPr>
                      <w:color w:val="auto"/>
                      <w:sz w:val="21"/>
                      <w:szCs w:val="21"/>
                      <w:highlight w:val="none"/>
                    </w:rPr>
                    <w:t>水环境风险构成危险</w:t>
                  </w:r>
                  <w:r>
                    <w:rPr>
                      <w:rFonts w:hint="eastAsia"/>
                      <w:color w:val="auto"/>
                      <w:sz w:val="21"/>
                      <w:szCs w:val="21"/>
                      <w:highlight w:val="none"/>
                      <w:lang w:eastAsia="zh-CN"/>
                    </w:rPr>
                    <w:t>；</w:t>
                  </w:r>
                </w:p>
                <w:p>
                  <w:pPr>
                    <w:keepNext w:val="0"/>
                    <w:keepLines w:val="0"/>
                    <w:pageBreakBefore w:val="0"/>
                    <w:kinsoku/>
                    <w:wordWrap/>
                    <w:overflowPunct/>
                    <w:topLinePunct w:val="0"/>
                    <w:bidi w:val="0"/>
                    <w:adjustRightInd w:val="0"/>
                    <w:snapToGrid w:val="0"/>
                    <w:jc w:val="center"/>
                    <w:textAlignment w:val="auto"/>
                    <w:rPr>
                      <w:rFonts w:hint="eastAsia"/>
                      <w:color w:val="auto"/>
                      <w:sz w:val="21"/>
                      <w:szCs w:val="21"/>
                      <w:highlight w:val="none"/>
                      <w:lang w:eastAsia="zh-CN"/>
                    </w:rPr>
                  </w:pPr>
                  <w:r>
                    <w:rPr>
                      <w:rFonts w:hint="eastAsia"/>
                      <w:color w:val="auto"/>
                      <w:sz w:val="21"/>
                      <w:szCs w:val="21"/>
                      <w:highlight w:val="none"/>
                    </w:rPr>
                    <w:t>②项目</w:t>
                  </w:r>
                  <w:r>
                    <w:rPr>
                      <w:rFonts w:hint="eastAsia"/>
                      <w:color w:val="auto"/>
                      <w:sz w:val="21"/>
                      <w:szCs w:val="21"/>
                      <w:highlight w:val="none"/>
                      <w:lang w:val="en-US" w:eastAsia="zh-CN"/>
                    </w:rPr>
                    <w:t>建设符合国家当前产业政策，</w:t>
                  </w:r>
                  <w:r>
                    <w:rPr>
                      <w:rFonts w:hint="eastAsia"/>
                      <w:color w:val="auto"/>
                      <w:sz w:val="21"/>
                      <w:szCs w:val="21"/>
                      <w:highlight w:val="none"/>
                    </w:rPr>
                    <w:t>不</w:t>
                  </w:r>
                  <w:r>
                    <w:rPr>
                      <w:rFonts w:hint="eastAsia"/>
                      <w:color w:val="auto"/>
                      <w:sz w:val="21"/>
                      <w:szCs w:val="21"/>
                      <w:highlight w:val="none"/>
                      <w:lang w:val="en-US" w:eastAsia="zh-CN"/>
                    </w:rPr>
                    <w:t>属于</w:t>
                  </w:r>
                  <w:r>
                    <w:rPr>
                      <w:color w:val="auto"/>
                      <w:sz w:val="21"/>
                      <w:szCs w:val="21"/>
                      <w:highlight w:val="none"/>
                    </w:rPr>
                    <w:t>限制类产业</w:t>
                  </w:r>
                  <w:r>
                    <w:rPr>
                      <w:rFonts w:hint="eastAsia"/>
                      <w:color w:val="auto"/>
                      <w:sz w:val="21"/>
                      <w:szCs w:val="21"/>
                      <w:highlight w:val="none"/>
                      <w:lang w:eastAsia="zh-CN"/>
                    </w:rPr>
                    <w:t>；</w:t>
                  </w:r>
                </w:p>
                <w:p>
                  <w:pPr>
                    <w:keepNext w:val="0"/>
                    <w:keepLines w:val="0"/>
                    <w:pageBreakBefore w:val="0"/>
                    <w:kinsoku/>
                    <w:wordWrap/>
                    <w:overflowPunct/>
                    <w:topLinePunct w:val="0"/>
                    <w:bidi w:val="0"/>
                    <w:adjustRightInd w:val="0"/>
                    <w:snapToGrid w:val="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rPr>
                    <w:t>③本项目</w:t>
                  </w:r>
                  <w:r>
                    <w:rPr>
                      <w:rFonts w:hint="eastAsia"/>
                      <w:color w:val="auto"/>
                      <w:sz w:val="21"/>
                      <w:szCs w:val="21"/>
                      <w:highlight w:val="none"/>
                      <w:lang w:val="en-US" w:eastAsia="zh-CN"/>
                    </w:rPr>
                    <w:t>建设</w:t>
                  </w:r>
                  <w:r>
                    <w:rPr>
                      <w:rFonts w:hint="eastAsia"/>
                      <w:color w:val="auto"/>
                      <w:sz w:val="21"/>
                      <w:szCs w:val="21"/>
                      <w:highlight w:val="none"/>
                    </w:rPr>
                    <w:t>符合园区产业规划，符合园区准入条件。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9" w:type="dxa"/>
                  <w:vMerge w:val="restart"/>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color w:val="auto"/>
                      <w:sz w:val="21"/>
                      <w:szCs w:val="21"/>
                      <w:highlight w:val="none"/>
                      <w:vertAlign w:val="baseline"/>
                      <w:lang w:val="en-US" w:eastAsia="zh-CN"/>
                    </w:rPr>
                  </w:pPr>
                  <w:r>
                    <w:rPr>
                      <w:rFonts w:cs="Plotter"/>
                      <w:color w:val="auto"/>
                      <w:sz w:val="21"/>
                      <w:szCs w:val="21"/>
                      <w:highlight w:val="none"/>
                    </w:rPr>
                    <w:t>污染防治措施</w:t>
                  </w:r>
                </w:p>
              </w:tc>
              <w:tc>
                <w:tcPr>
                  <w:tcW w:w="465" w:type="dxa"/>
                  <w:tcBorders>
                    <w:tl2br w:val="nil"/>
                    <w:tr2bl w:val="nil"/>
                  </w:tcBorders>
                  <w:vAlign w:val="center"/>
                </w:tcPr>
                <w:p>
                  <w:pPr>
                    <w:jc w:val="center"/>
                    <w:rPr>
                      <w:rFonts w:hint="default"/>
                      <w:color w:val="auto"/>
                      <w:sz w:val="21"/>
                      <w:szCs w:val="21"/>
                      <w:highlight w:val="none"/>
                      <w:vertAlign w:val="baseline"/>
                      <w:lang w:val="en-US" w:eastAsia="zh-CN"/>
                    </w:rPr>
                  </w:pPr>
                  <w:r>
                    <w:rPr>
                      <w:rFonts w:cs="Plotter"/>
                      <w:color w:val="auto"/>
                      <w:sz w:val="21"/>
                      <w:szCs w:val="21"/>
                      <w:highlight w:val="none"/>
                    </w:rPr>
                    <w:t>水污染</w:t>
                  </w:r>
                </w:p>
              </w:tc>
              <w:tc>
                <w:tcPr>
                  <w:tcW w:w="34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①采用雨污分流制。</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②建设完善的污水处理系统，污水处理达到综合排放一级标准后排放。</w:t>
                  </w:r>
                </w:p>
                <w:p>
                  <w:pPr>
                    <w:jc w:val="center"/>
                    <w:rPr>
                      <w:rFonts w:hint="default"/>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③工业废水须企业自行预处理，水质达到城市污水厂进水水质要求后方可排入城市污水系统。</w:t>
                  </w:r>
                </w:p>
              </w:tc>
              <w:tc>
                <w:tcPr>
                  <w:tcW w:w="2339" w:type="dxa"/>
                  <w:tcBorders>
                    <w:tl2br w:val="nil"/>
                    <w:tr2bl w:val="nil"/>
                  </w:tcBorders>
                  <w:vAlign w:val="center"/>
                </w:tcPr>
                <w:p>
                  <w:pPr>
                    <w:keepNext w:val="0"/>
                    <w:keepLines w:val="0"/>
                    <w:widowControl/>
                    <w:suppressLineNumbers w:val="0"/>
                    <w:jc w:val="center"/>
                    <w:rPr>
                      <w:color w:val="auto"/>
                      <w:highlight w:val="none"/>
                    </w:rPr>
                  </w:pPr>
                  <w:r>
                    <w:rPr>
                      <w:rFonts w:hint="eastAsia" w:ascii="宋体" w:hAnsi="宋体" w:eastAsia="宋体" w:cs="宋体"/>
                      <w:color w:val="auto"/>
                      <w:kern w:val="0"/>
                      <w:sz w:val="21"/>
                      <w:szCs w:val="21"/>
                      <w:highlight w:val="none"/>
                      <w:lang w:val="en-US" w:eastAsia="zh-CN" w:bidi="ar"/>
                    </w:rPr>
                    <w:t>本项目实行</w:t>
                  </w:r>
                  <w:r>
                    <w:rPr>
                      <w:rFonts w:hint="default" w:ascii="Times New Roman" w:hAnsi="Times New Roman" w:eastAsia="宋体" w:cs="Times New Roman"/>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雨污分</w:t>
                  </w:r>
                </w:p>
                <w:p>
                  <w:pPr>
                    <w:keepNext w:val="0"/>
                    <w:keepLines w:val="0"/>
                    <w:widowControl/>
                    <w:suppressLineNumbers w:val="0"/>
                    <w:jc w:val="center"/>
                    <w:rPr>
                      <w:color w:val="auto"/>
                      <w:highlight w:val="none"/>
                    </w:rPr>
                  </w:pPr>
                  <w:r>
                    <w:rPr>
                      <w:rFonts w:hint="eastAsia" w:ascii="宋体" w:hAnsi="宋体" w:eastAsia="宋体" w:cs="宋体"/>
                      <w:color w:val="auto"/>
                      <w:kern w:val="0"/>
                      <w:sz w:val="21"/>
                      <w:szCs w:val="21"/>
                      <w:highlight w:val="none"/>
                      <w:lang w:val="en-US" w:eastAsia="zh-CN" w:bidi="ar"/>
                    </w:rPr>
                    <w:t>流</w:t>
                  </w:r>
                  <w:r>
                    <w:rPr>
                      <w:rFonts w:hint="default" w:ascii="Times New Roman" w:hAnsi="Times New Roman" w:eastAsia="宋体" w:cs="Times New Roman"/>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，生活污水处理达</w:t>
                  </w:r>
                </w:p>
                <w:p>
                  <w:pPr>
                    <w:keepNext w:val="0"/>
                    <w:keepLines w:val="0"/>
                    <w:widowControl/>
                    <w:suppressLineNumbers w:val="0"/>
                    <w:jc w:val="center"/>
                    <w:rPr>
                      <w:color w:val="auto"/>
                      <w:highlight w:val="none"/>
                    </w:rPr>
                  </w:pPr>
                  <w:r>
                    <w:rPr>
                      <w:rFonts w:hint="eastAsia" w:ascii="宋体" w:hAnsi="宋体" w:eastAsia="宋体" w:cs="宋体"/>
                      <w:color w:val="auto"/>
                      <w:kern w:val="0"/>
                      <w:sz w:val="21"/>
                      <w:szCs w:val="21"/>
                      <w:highlight w:val="none"/>
                      <w:lang w:val="en-US" w:eastAsia="zh-CN" w:bidi="ar"/>
                    </w:rPr>
                    <w:t>标后接入园区污水管</w:t>
                  </w:r>
                </w:p>
                <w:p>
                  <w:pPr>
                    <w:keepNext w:val="0"/>
                    <w:keepLines w:val="0"/>
                    <w:widowControl/>
                    <w:suppressLineNumbers w:val="0"/>
                    <w:jc w:val="center"/>
                    <w:rPr>
                      <w:rFonts w:hint="default"/>
                      <w:color w:val="auto"/>
                      <w:sz w:val="21"/>
                      <w:szCs w:val="21"/>
                      <w:highlight w:val="none"/>
                      <w:vertAlign w:val="baseline"/>
                      <w:lang w:val="en-US" w:eastAsia="zh-CN"/>
                    </w:rPr>
                  </w:pPr>
                  <w:r>
                    <w:rPr>
                      <w:rFonts w:hint="eastAsia" w:ascii="宋体" w:hAnsi="宋体" w:eastAsia="宋体" w:cs="宋体"/>
                      <w:color w:val="auto"/>
                      <w:kern w:val="0"/>
                      <w:sz w:val="21"/>
                      <w:szCs w:val="21"/>
                      <w:highlight w:val="none"/>
                      <w:lang w:val="en-US" w:eastAsia="zh-CN" w:bidi="ar"/>
                    </w:rPr>
                    <w:t>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color w:val="auto"/>
                      <w:sz w:val="21"/>
                      <w:szCs w:val="21"/>
                      <w:highlight w:val="none"/>
                      <w:vertAlign w:val="baseline"/>
                      <w:lang w:val="en-US" w:eastAsia="zh-CN"/>
                    </w:rPr>
                  </w:pPr>
                </w:p>
              </w:tc>
              <w:tc>
                <w:tcPr>
                  <w:tcW w:w="465" w:type="dxa"/>
                  <w:tcBorders>
                    <w:tl2br w:val="nil"/>
                    <w:tr2bl w:val="nil"/>
                  </w:tcBorders>
                  <w:vAlign w:val="center"/>
                </w:tcPr>
                <w:p>
                  <w:pPr>
                    <w:jc w:val="center"/>
                    <w:rPr>
                      <w:rFonts w:hint="default"/>
                      <w:color w:val="auto"/>
                      <w:sz w:val="21"/>
                      <w:szCs w:val="21"/>
                      <w:highlight w:val="none"/>
                      <w:vertAlign w:val="baseline"/>
                      <w:lang w:val="en-US" w:eastAsia="zh-CN"/>
                    </w:rPr>
                  </w:pPr>
                  <w:r>
                    <w:rPr>
                      <w:rFonts w:cs="Plotter"/>
                      <w:color w:val="auto"/>
                      <w:sz w:val="21"/>
                      <w:szCs w:val="21"/>
                      <w:highlight w:val="none"/>
                    </w:rPr>
                    <w:t>大气污染</w:t>
                  </w:r>
                </w:p>
              </w:tc>
              <w:tc>
                <w:tcPr>
                  <w:tcW w:w="34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采用新型燃料，加强对主要</w:t>
                  </w:r>
                </w:p>
                <w:p>
                  <w:pPr>
                    <w:jc w:val="center"/>
                    <w:rPr>
                      <w:rFonts w:hint="default"/>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污染源的控制。</w:t>
                  </w:r>
                </w:p>
              </w:tc>
              <w:tc>
                <w:tcPr>
                  <w:tcW w:w="2339" w:type="dxa"/>
                  <w:tcBorders>
                    <w:tl2br w:val="nil"/>
                    <w:tr2bl w:val="nil"/>
                  </w:tcBorders>
                  <w:vAlign w:val="center"/>
                </w:tcPr>
                <w:p>
                  <w:pPr>
                    <w:keepNext w:val="0"/>
                    <w:keepLines w:val="0"/>
                    <w:widowControl/>
                    <w:suppressLineNumbers w:val="0"/>
                    <w:jc w:val="center"/>
                    <w:rPr>
                      <w:rFonts w:hint="default"/>
                      <w:color w:val="auto"/>
                      <w:sz w:val="21"/>
                      <w:szCs w:val="21"/>
                      <w:highlight w:val="none"/>
                      <w:vertAlign w:val="baseline"/>
                      <w:lang w:val="en-US" w:eastAsia="zh-CN"/>
                    </w:rPr>
                  </w:pPr>
                  <w:r>
                    <w:rPr>
                      <w:rFonts w:hint="eastAsia" w:ascii="宋体" w:hAnsi="宋体" w:eastAsia="宋体" w:cs="宋体"/>
                      <w:color w:val="auto"/>
                      <w:kern w:val="0"/>
                      <w:sz w:val="21"/>
                      <w:szCs w:val="21"/>
                      <w:highlight w:val="none"/>
                      <w:lang w:val="en-US" w:eastAsia="zh-CN" w:bidi="ar"/>
                    </w:rPr>
                    <w:t>本项目采用电作为供热能源，废气采取水帘柜、喷淋塔、吸附装置等防治措施后可达标排放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color w:val="auto"/>
                      <w:sz w:val="21"/>
                      <w:szCs w:val="21"/>
                      <w:highlight w:val="none"/>
                      <w:vertAlign w:val="baseline"/>
                      <w:lang w:val="en-US" w:eastAsia="zh-CN"/>
                    </w:rPr>
                  </w:pPr>
                </w:p>
              </w:tc>
              <w:tc>
                <w:tcPr>
                  <w:tcW w:w="465" w:type="dxa"/>
                  <w:tcBorders>
                    <w:tl2br w:val="nil"/>
                    <w:tr2bl w:val="nil"/>
                  </w:tcBorders>
                  <w:vAlign w:val="center"/>
                </w:tcPr>
                <w:p>
                  <w:pPr>
                    <w:jc w:val="center"/>
                    <w:rPr>
                      <w:rFonts w:hint="default"/>
                      <w:color w:val="auto"/>
                      <w:sz w:val="21"/>
                      <w:szCs w:val="21"/>
                      <w:highlight w:val="none"/>
                      <w:vertAlign w:val="baseline"/>
                      <w:lang w:val="en-US" w:eastAsia="zh-CN"/>
                    </w:rPr>
                  </w:pPr>
                  <w:r>
                    <w:rPr>
                      <w:rFonts w:cs="Plotter"/>
                      <w:color w:val="auto"/>
                      <w:sz w:val="21"/>
                      <w:szCs w:val="21"/>
                      <w:highlight w:val="none"/>
                    </w:rPr>
                    <w:t>噪声</w:t>
                  </w:r>
                </w:p>
              </w:tc>
              <w:tc>
                <w:tcPr>
                  <w:tcW w:w="34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①企业应优先采用低噪声</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设备，对于高噪声设备，必须采</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用相应有效噪声防治措施，以降</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低噪声污染。对噪声扰民企业实</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行限期治理或搬迁。</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②在铁路、高速公路、快速</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路、交通性干道两侧设置一定宽</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度的绿化隔离带；加强交通管理</w:t>
                  </w:r>
                </w:p>
                <w:p>
                  <w:pPr>
                    <w:jc w:val="center"/>
                    <w:rPr>
                      <w:rFonts w:hint="default"/>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力度，区内机动车辆禁鸣喇叭。</w:t>
                  </w:r>
                </w:p>
              </w:tc>
              <w:tc>
                <w:tcPr>
                  <w:tcW w:w="2339" w:type="dxa"/>
                  <w:tcBorders>
                    <w:tl2br w:val="nil"/>
                    <w:tr2bl w:val="nil"/>
                  </w:tcBorders>
                  <w:vAlign w:val="center"/>
                </w:tcPr>
                <w:p>
                  <w:pPr>
                    <w:jc w:val="center"/>
                    <w:rPr>
                      <w:rFonts w:hint="default"/>
                      <w:color w:val="auto"/>
                      <w:sz w:val="21"/>
                      <w:szCs w:val="21"/>
                      <w:highlight w:val="none"/>
                      <w:vertAlign w:val="baseline"/>
                      <w:lang w:val="en-US" w:eastAsia="zh-CN"/>
                    </w:rPr>
                  </w:pPr>
                  <w:r>
                    <w:rPr>
                      <w:rFonts w:hint="eastAsia" w:cs="Plotter"/>
                      <w:color w:val="auto"/>
                      <w:sz w:val="21"/>
                      <w:szCs w:val="21"/>
                      <w:highlight w:val="none"/>
                    </w:rPr>
                    <w:t>本项目与居住用地保持着一定距离，设备采用低声级设备，噪声采取</w:t>
                  </w:r>
                  <w:r>
                    <w:rPr>
                      <w:rFonts w:cs="Plotter"/>
                      <w:color w:val="auto"/>
                      <w:sz w:val="21"/>
                      <w:szCs w:val="21"/>
                      <w:highlight w:val="none"/>
                    </w:rPr>
                    <w:t>厂房隔声、减振消声</w:t>
                  </w:r>
                  <w:r>
                    <w:rPr>
                      <w:rFonts w:hint="eastAsia" w:cs="Plotter"/>
                      <w:color w:val="auto"/>
                      <w:sz w:val="21"/>
                      <w:szCs w:val="21"/>
                      <w:highlight w:val="none"/>
                    </w:rPr>
                    <w:t>等</w:t>
                  </w:r>
                  <w:r>
                    <w:rPr>
                      <w:rFonts w:cs="Plotter"/>
                      <w:color w:val="auto"/>
                      <w:sz w:val="21"/>
                      <w:szCs w:val="21"/>
                      <w:highlight w:val="none"/>
                    </w:rPr>
                    <w:t>防治措施</w:t>
                  </w:r>
                  <w:r>
                    <w:rPr>
                      <w:rFonts w:hint="eastAsia" w:cs="Plotter"/>
                      <w:color w:val="auto"/>
                      <w:sz w:val="21"/>
                      <w:szCs w:val="21"/>
                      <w:highlight w:val="none"/>
                    </w:rPr>
                    <w:t>后均可达标排放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color w:val="auto"/>
                      <w:sz w:val="21"/>
                      <w:szCs w:val="21"/>
                      <w:highlight w:val="none"/>
                      <w:vertAlign w:val="baseline"/>
                      <w:lang w:val="en-US" w:eastAsia="zh-CN"/>
                    </w:rPr>
                  </w:pPr>
                </w:p>
              </w:tc>
              <w:tc>
                <w:tcPr>
                  <w:tcW w:w="465" w:type="dxa"/>
                  <w:tcBorders>
                    <w:tl2br w:val="nil"/>
                    <w:tr2bl w:val="nil"/>
                  </w:tcBorders>
                  <w:vAlign w:val="center"/>
                </w:tcPr>
                <w:p>
                  <w:pPr>
                    <w:jc w:val="center"/>
                    <w:rPr>
                      <w:rFonts w:hint="default"/>
                      <w:color w:val="auto"/>
                      <w:sz w:val="21"/>
                      <w:szCs w:val="21"/>
                      <w:highlight w:val="none"/>
                      <w:vertAlign w:val="baseline"/>
                      <w:lang w:val="en-US" w:eastAsia="zh-CN"/>
                    </w:rPr>
                  </w:pPr>
                  <w:r>
                    <w:rPr>
                      <w:rFonts w:cs="Plotter"/>
                      <w:color w:val="auto"/>
                      <w:sz w:val="21"/>
                      <w:szCs w:val="21"/>
                      <w:highlight w:val="none"/>
                    </w:rPr>
                    <w:t>固体废物</w:t>
                  </w:r>
                </w:p>
              </w:tc>
              <w:tc>
                <w:tcPr>
                  <w:tcW w:w="34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在企业内部推行清洁生产，</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减少废料产生，实现固体废物减</w:t>
                  </w:r>
                </w:p>
                <w:p>
                  <w:pPr>
                    <w:jc w:val="center"/>
                    <w:rPr>
                      <w:rFonts w:hint="default"/>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量化和资源化。</w:t>
                  </w:r>
                </w:p>
              </w:tc>
              <w:tc>
                <w:tcPr>
                  <w:tcW w:w="2339" w:type="dxa"/>
                  <w:tcBorders>
                    <w:tl2br w:val="nil"/>
                    <w:tr2bl w:val="nil"/>
                  </w:tcBorders>
                  <w:vAlign w:val="center"/>
                </w:tcPr>
                <w:p>
                  <w:pPr>
                    <w:jc w:val="center"/>
                    <w:rPr>
                      <w:rFonts w:hint="default"/>
                      <w:color w:val="auto"/>
                      <w:sz w:val="21"/>
                      <w:szCs w:val="21"/>
                      <w:highlight w:val="none"/>
                      <w:vertAlign w:val="baseline"/>
                      <w:lang w:val="en-US" w:eastAsia="zh-CN"/>
                    </w:rPr>
                  </w:pPr>
                  <w:r>
                    <w:rPr>
                      <w:rFonts w:hint="eastAsia" w:cs="Plotter"/>
                      <w:color w:val="auto"/>
                      <w:sz w:val="21"/>
                      <w:szCs w:val="21"/>
                      <w:highlight w:val="none"/>
                    </w:rPr>
                    <w:t>本项目固废进行分类收集与处置，均可得到妥善处置</w:t>
                  </w:r>
                </w:p>
              </w:tc>
            </w:tr>
          </w:tbl>
          <w:p>
            <w:pPr>
              <w:spacing w:line="360" w:lineRule="auto"/>
              <w:rPr>
                <w:color w:val="auto"/>
                <w:sz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94" w:hRule="atLeast"/>
          <w:jc w:val="center"/>
        </w:trPr>
        <w:tc>
          <w:tcPr>
            <w:tcW w:w="2070" w:type="dxa"/>
            <w:vAlign w:val="center"/>
          </w:tcPr>
          <w:p>
            <w:pPr>
              <w:autoSpaceDE w:val="0"/>
              <w:autoSpaceDN w:val="0"/>
              <w:adjustRightInd w:val="0"/>
              <w:snapToGrid w:val="0"/>
              <w:jc w:val="center"/>
              <w:rPr>
                <w:color w:val="auto"/>
                <w:kern w:val="0"/>
                <w:sz w:val="24"/>
                <w:highlight w:val="none"/>
              </w:rPr>
            </w:pPr>
            <w:r>
              <w:rPr>
                <w:color w:val="auto"/>
                <w:kern w:val="0"/>
                <w:sz w:val="24"/>
                <w:highlight w:val="none"/>
              </w:rPr>
              <w:t>其他符合性分析</w:t>
            </w:r>
          </w:p>
        </w:tc>
        <w:tc>
          <w:tcPr>
            <w:tcW w:w="6934" w:type="dxa"/>
            <w:gridSpan w:val="3"/>
            <w:vAlign w:val="center"/>
          </w:tcPr>
          <w:p>
            <w:pPr>
              <w:pStyle w:val="34"/>
              <w:keepNext w:val="0"/>
              <w:keepLines w:val="0"/>
              <w:pageBreakBefore w:val="0"/>
              <w:widowControl w:val="0"/>
              <w:kinsoku/>
              <w:wordWrap/>
              <w:overflowPunct/>
              <w:topLinePunct w:val="0"/>
              <w:autoSpaceDE/>
              <w:autoSpaceDN/>
              <w:bidi w:val="0"/>
              <w:adjustRightInd w:val="0"/>
              <w:snapToGrid w:val="0"/>
              <w:spacing w:before="157" w:beforeLines="50" w:after="0"/>
              <w:ind w:left="0" w:leftChars="0" w:firstLine="0" w:firstLineChars="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1.3、</w:t>
            </w:r>
            <w:r>
              <w:rPr>
                <w:rFonts w:hint="default" w:ascii="Times New Roman" w:hAnsi="Times New Roman" w:eastAsia="宋体" w:cs="Times New Roman"/>
                <w:b/>
                <w:bCs/>
                <w:color w:val="auto"/>
                <w:sz w:val="24"/>
                <w:szCs w:val="24"/>
                <w:highlight w:val="none"/>
              </w:rPr>
              <w:t>产业政策符合性分析</w:t>
            </w:r>
          </w:p>
          <w:p>
            <w:pPr>
              <w:keepNext w:val="0"/>
              <w:keepLines w:val="0"/>
              <w:pageBreakBefore w:val="0"/>
              <w:widowControl/>
              <w:suppressLineNumbers w:val="0"/>
              <w:kinsoku/>
              <w:wordWrap/>
              <w:overflowPunct/>
              <w:topLinePunct w:val="0"/>
              <w:bidi w:val="0"/>
              <w:adjustRightInd w:val="0"/>
              <w:snapToGrid w:val="0"/>
              <w:spacing w:line="360" w:lineRule="auto"/>
              <w:ind w:firstLine="480" w:firstLineChars="200"/>
              <w:jc w:val="both"/>
              <w:textAlignment w:val="auto"/>
              <w:rPr>
                <w:rFonts w:hint="default" w:ascii="微软雅黑" w:hAnsi="微软雅黑" w:eastAsia="微软雅黑" w:cs="微软雅黑"/>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SA"/>
              </w:rPr>
              <w:t>本项目主要从事</w:t>
            </w:r>
            <w:r>
              <w:rPr>
                <w:rFonts w:hint="eastAsia" w:cs="Times New Roman"/>
                <w:color w:val="auto"/>
                <w:kern w:val="0"/>
                <w:sz w:val="24"/>
                <w:szCs w:val="24"/>
                <w:highlight w:val="none"/>
                <w:lang w:val="en-US" w:eastAsia="zh-CN" w:bidi="ar-SA"/>
              </w:rPr>
              <w:t>水暖卫浴配件、塑料卫浴配件、浴室柜、进水软管的生产加工</w:t>
            </w:r>
            <w:r>
              <w:rPr>
                <w:rFonts w:hint="default" w:ascii="Times New Roman" w:hAnsi="Times New Roman" w:eastAsia="宋体" w:cs="Times New Roman"/>
                <w:color w:val="auto"/>
                <w:kern w:val="0"/>
                <w:sz w:val="24"/>
                <w:szCs w:val="24"/>
                <w:highlight w:val="none"/>
                <w:lang w:val="en-US" w:eastAsia="zh-CN" w:bidi="ar-SA"/>
              </w:rPr>
              <w:t>，检索《产业结构调整指导目录(2019 年本)》、《限制用地项目目录(2012年本)》和《禁止用地项目目录 (2012 年本)》等产业政策，本项目采用的生产设备、工艺、生产的产品均不属于以上产业政策中的限制类或淘汰类。建设单位</w:t>
            </w:r>
            <w:r>
              <w:rPr>
                <w:rFonts w:hint="eastAsia" w:ascii="Times New Roman" w:hAnsi="Times New Roman" w:eastAsia="宋体" w:cs="Times New Roman"/>
                <w:color w:val="auto"/>
                <w:kern w:val="0"/>
                <w:sz w:val="24"/>
                <w:szCs w:val="24"/>
                <w:highlight w:val="none"/>
                <w:lang w:val="en-US" w:eastAsia="zh-CN" w:bidi="ar-SA"/>
              </w:rPr>
              <w:t>已通过南安市发展和改革局</w:t>
            </w:r>
            <w:r>
              <w:rPr>
                <w:rFonts w:hint="default" w:ascii="Times New Roman" w:hAnsi="Times New Roman" w:eastAsia="宋体" w:cs="Times New Roman"/>
                <w:color w:val="auto"/>
                <w:kern w:val="0"/>
                <w:sz w:val="24"/>
                <w:szCs w:val="24"/>
                <w:highlight w:val="none"/>
                <w:lang w:val="en-US" w:eastAsia="zh-CN" w:bidi="ar-SA"/>
              </w:rPr>
              <w:t>备案，备案编号</w:t>
            </w:r>
            <w:r>
              <w:rPr>
                <w:rFonts w:hint="eastAsia" w:cs="Times New Roman"/>
                <w:color w:val="auto"/>
                <w:kern w:val="0"/>
                <w:sz w:val="24"/>
                <w:szCs w:val="24"/>
                <w:highlight w:val="none"/>
                <w:lang w:val="en-US" w:eastAsia="zh-CN" w:bidi="ar-SA"/>
              </w:rPr>
              <w:t>为</w:t>
            </w:r>
            <w:r>
              <w:rPr>
                <w:rFonts w:hint="eastAsia" w:ascii="Times New Roman" w:hAnsi="Times New Roman" w:eastAsia="宋体" w:cs="Times New Roman"/>
                <w:color w:val="auto"/>
                <w:kern w:val="0"/>
                <w:sz w:val="24"/>
                <w:szCs w:val="24"/>
                <w:highlight w:val="none"/>
                <w:lang w:val="en-US" w:eastAsia="zh-CN" w:bidi="ar-SA"/>
              </w:rPr>
              <w:t>闽发改备[2022]C060</w:t>
            </w:r>
            <w:r>
              <w:rPr>
                <w:rFonts w:hint="eastAsia" w:cs="Times New Roman"/>
                <w:color w:val="auto"/>
                <w:kern w:val="0"/>
                <w:sz w:val="24"/>
                <w:szCs w:val="24"/>
                <w:highlight w:val="none"/>
                <w:lang w:val="en-US" w:eastAsia="zh-CN" w:bidi="ar-SA"/>
              </w:rPr>
              <w:t>032</w:t>
            </w:r>
            <w:r>
              <w:rPr>
                <w:rFonts w:hint="eastAsia" w:ascii="Times New Roman" w:hAnsi="Times New Roman" w:eastAsia="宋体" w:cs="Times New Roman"/>
                <w:color w:val="auto"/>
                <w:kern w:val="0"/>
                <w:sz w:val="24"/>
                <w:szCs w:val="24"/>
                <w:highlight w:val="none"/>
                <w:lang w:val="en-US" w:eastAsia="zh-CN" w:bidi="ar-SA"/>
              </w:rPr>
              <w:t>号</w:t>
            </w:r>
            <w:r>
              <w:rPr>
                <w:rFonts w:hint="default" w:ascii="Times New Roman" w:hAnsi="Times New Roman" w:eastAsia="宋体" w:cs="Times New Roman"/>
                <w:color w:val="auto"/>
                <w:kern w:val="0"/>
                <w:sz w:val="24"/>
                <w:szCs w:val="24"/>
                <w:highlight w:val="none"/>
                <w:lang w:val="en-US" w:eastAsia="zh-CN" w:bidi="ar-SA"/>
              </w:rPr>
              <w:t>，属允许类范畴，其建设符合国家当前产业政策。</w:t>
            </w:r>
          </w:p>
          <w:p>
            <w:pPr>
              <w:pStyle w:val="34"/>
              <w:keepNext w:val="0"/>
              <w:keepLines w:val="0"/>
              <w:pageBreakBefore w:val="0"/>
              <w:kinsoku/>
              <w:wordWrap/>
              <w:overflowPunct/>
              <w:topLinePunct w:val="0"/>
              <w:bidi w:val="0"/>
              <w:adjustRightInd w:val="0"/>
              <w:snapToGrid w:val="0"/>
              <w:spacing w:after="0"/>
              <w:ind w:left="0" w:leftChars="0" w:firstLine="0" w:firstLineChars="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1.4、</w:t>
            </w:r>
            <w:r>
              <w:rPr>
                <w:rFonts w:hint="default" w:ascii="Times New Roman" w:hAnsi="Times New Roman" w:eastAsia="宋体" w:cs="Times New Roman"/>
                <w:b/>
                <w:bCs/>
                <w:color w:val="auto"/>
                <w:sz w:val="24"/>
                <w:szCs w:val="24"/>
                <w:highlight w:val="none"/>
              </w:rPr>
              <w:t>“三线一单”控制要求符合性分析</w:t>
            </w:r>
          </w:p>
          <w:p>
            <w:pPr>
              <w:pStyle w:val="34"/>
              <w:keepNext w:val="0"/>
              <w:keepLines w:val="0"/>
              <w:pageBreakBefore w:val="0"/>
              <w:kinsoku/>
              <w:wordWrap/>
              <w:overflowPunct/>
              <w:topLinePunct w:val="0"/>
              <w:bidi w:val="0"/>
              <w:adjustRightInd w:val="0"/>
              <w:snapToGrid w:val="0"/>
              <w:spacing w:after="0"/>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生态保护红线</w:t>
            </w:r>
            <w:r>
              <w:rPr>
                <w:rFonts w:hint="default" w:ascii="Times New Roman" w:hAnsi="Times New Roman" w:eastAsia="宋体" w:cs="Times New Roman"/>
                <w:color w:val="auto"/>
                <w:sz w:val="24"/>
                <w:szCs w:val="24"/>
                <w:highlight w:val="none"/>
                <w:lang w:val="en-US" w:eastAsia="zh-CN"/>
              </w:rPr>
              <w:t>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按照《福建省人民政府办公厅关于印发福建省生态保护红线划定成果调整工作方案的通知》(闽政办[2017]80号)，生态保护红线是指在生态空间范围内具有特殊重要生态功能、必须强制性严格保护的区域，是保障和维护国家生态安全的底线和生命线，通常包括具有重要水源涵养、生物多样性维护、水土保持、防风固沙、海岸生态稳定等功能的生态功能重要区域，以及水土流失、土地沙化、石漠化、盐渍化等生态环境敏感脆弱区域。</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项目位于</w:t>
            </w:r>
            <w:r>
              <w:rPr>
                <w:rFonts w:hint="eastAsia" w:ascii="Times New Roman" w:hAnsi="Times New Roman" w:eastAsia="宋体" w:cs="Times New Roman"/>
                <w:color w:val="auto"/>
                <w:sz w:val="24"/>
                <w:szCs w:val="24"/>
                <w:highlight w:val="none"/>
                <w:lang w:val="en-US" w:eastAsia="zh-CN"/>
              </w:rPr>
              <w:t>福建省南安市美林街道茂盛路1288号（南安经济开发区扶茂工业园中心片区内）</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项目用地性质为工业用地，</w:t>
            </w:r>
            <w:r>
              <w:rPr>
                <w:rFonts w:hint="default" w:ascii="Times New Roman" w:hAnsi="Times New Roman" w:eastAsia="宋体" w:cs="Times New Roman"/>
                <w:color w:val="auto"/>
                <w:sz w:val="24"/>
                <w:szCs w:val="24"/>
                <w:highlight w:val="none"/>
                <w:lang w:val="en-US" w:eastAsia="zh-CN"/>
              </w:rPr>
              <w:t>不在自然保护区、风景名胜区、饮用水源保护地和其他需要特别保护等法律法规禁止开发建设的区域。因此，项目建设符合生态红线控制要求。</w:t>
            </w:r>
          </w:p>
          <w:p>
            <w:pPr>
              <w:pStyle w:val="17"/>
              <w:keepNext w:val="0"/>
              <w:keepLines w:val="0"/>
              <w:pageBreakBefore w:val="0"/>
              <w:widowControl/>
              <w:kinsoku/>
              <w:wordWrap/>
              <w:overflowPunct/>
              <w:topLinePunct w:val="0"/>
              <w:autoSpaceDE/>
              <w:autoSpaceDN/>
              <w:bidi w:val="0"/>
              <w:adjustRightInd w:val="0"/>
              <w:snapToGrid w:val="0"/>
              <w:spacing w:after="0" w:line="360" w:lineRule="auto"/>
              <w:ind w:left="0" w:leftChars="0"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环境质量底线</w:t>
            </w:r>
            <w:r>
              <w:rPr>
                <w:rFonts w:hint="default" w:ascii="Times New Roman" w:hAnsi="Times New Roman" w:eastAsia="宋体" w:cs="Times New Roman"/>
                <w:color w:val="auto"/>
                <w:sz w:val="24"/>
                <w:szCs w:val="24"/>
                <w:highlight w:val="none"/>
                <w:lang w:val="en-US" w:eastAsia="zh-CN"/>
              </w:rPr>
              <w:t>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项目所在区域的环境质量底线为：环境空气质量目标为</w:t>
            </w:r>
            <w:r>
              <w:rPr>
                <w:rFonts w:hint="default" w:ascii="Times New Roman" w:hAnsi="Times New Roman" w:eastAsia="宋体" w:cs="Times New Roman"/>
                <w:color w:val="auto"/>
                <w:sz w:val="24"/>
                <w:szCs w:val="24"/>
                <w:highlight w:val="none"/>
              </w:rPr>
              <w:t>GB3095-2012《环境空气质量标准》二级标准及其修改单</w:t>
            </w:r>
            <w:r>
              <w:rPr>
                <w:rFonts w:hint="default" w:ascii="Times New Roman" w:hAnsi="Times New Roman" w:eastAsia="宋体" w:cs="Times New Roman"/>
                <w:color w:val="auto"/>
                <w:sz w:val="24"/>
                <w:szCs w:val="24"/>
                <w:highlight w:val="none"/>
                <w:lang w:val="en-US" w:eastAsia="zh-CN"/>
              </w:rPr>
              <w:t>标准；水环境质量目标为《地表水环境质量标准》(GB3838-2002)表1中Ⅲ类标准；声环境质量目标为《声环境质量标准》（GB3096-2008）3类标准。根据《南安市环境质量分析报告（202</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年度）》数据，项目所在区域环境质量现状良好，符合环境功能区划要求，具有一定的环境容量。</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项目</w:t>
            </w:r>
            <w:r>
              <w:rPr>
                <w:rFonts w:hint="eastAsia"/>
                <w:color w:val="auto"/>
                <w:sz w:val="24"/>
                <w:highlight w:val="none"/>
                <w:lang w:val="en-US" w:eastAsia="zh-CN"/>
              </w:rPr>
              <w:t>无</w:t>
            </w:r>
            <w:r>
              <w:rPr>
                <w:color w:val="auto"/>
                <w:sz w:val="24"/>
                <w:highlight w:val="none"/>
              </w:rPr>
              <w:t>生产废水</w:t>
            </w:r>
            <w:r>
              <w:rPr>
                <w:rFonts w:hint="eastAsia"/>
                <w:color w:val="auto"/>
                <w:sz w:val="24"/>
                <w:highlight w:val="none"/>
                <w:lang w:eastAsia="zh-CN"/>
              </w:rPr>
              <w:t>，</w:t>
            </w:r>
            <w:r>
              <w:rPr>
                <w:rFonts w:hint="eastAsia"/>
                <w:color w:val="auto"/>
                <w:sz w:val="24"/>
                <w:highlight w:val="none"/>
                <w:lang w:val="en-US" w:eastAsia="zh-CN"/>
              </w:rPr>
              <w:t>项目</w:t>
            </w:r>
            <w:r>
              <w:rPr>
                <w:color w:val="auto"/>
                <w:sz w:val="24"/>
                <w:highlight w:val="none"/>
              </w:rPr>
              <w:t>生活污水</w:t>
            </w:r>
            <w:r>
              <w:rPr>
                <w:rFonts w:hint="eastAsia" w:ascii="Times New Roman" w:hAnsi="Times New Roman" w:eastAsia="宋体" w:cs="Times New Roman"/>
                <w:color w:val="auto"/>
                <w:sz w:val="24"/>
                <w:szCs w:val="24"/>
                <w:highlight w:val="none"/>
                <w:lang w:val="en-US" w:eastAsia="zh-CN"/>
              </w:rPr>
              <w:t>经化粪池预处理达标后纳入区域污水处理厂处理达标后排放，</w:t>
            </w:r>
            <w:r>
              <w:rPr>
                <w:rFonts w:hint="default" w:ascii="Times New Roman" w:hAnsi="Times New Roman" w:eastAsia="宋体" w:cs="Times New Roman"/>
                <w:color w:val="auto"/>
                <w:sz w:val="24"/>
                <w:szCs w:val="24"/>
                <w:highlight w:val="none"/>
                <w:lang w:val="en-US" w:eastAsia="zh-CN"/>
              </w:rPr>
              <w:t>项目所在区域水环境质量现状良好，符合环境功能区划要求，具有一定的环境容量；项目生产废气及噪声经采取相应污染治理措施后可达标排放；项目固废均得以妥善处理。因此，项目建设不会触及区域环境质量底线。</w:t>
            </w:r>
          </w:p>
          <w:p>
            <w:pPr>
              <w:pStyle w:val="17"/>
              <w:keepNext w:val="0"/>
              <w:keepLines w:val="0"/>
              <w:pageBreakBefore w:val="0"/>
              <w:widowControl/>
              <w:kinsoku/>
              <w:wordWrap/>
              <w:overflowPunct/>
              <w:topLinePunct w:val="0"/>
              <w:autoSpaceDE/>
              <w:autoSpaceDN/>
              <w:bidi w:val="0"/>
              <w:adjustRightInd/>
              <w:snapToGrid/>
              <w:spacing w:after="0" w:line="360" w:lineRule="auto"/>
              <w:ind w:left="0" w:leftChars="0"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）资源利用上线</w:t>
            </w:r>
            <w:r>
              <w:rPr>
                <w:rFonts w:hint="default" w:ascii="Times New Roman" w:hAnsi="Times New Roman" w:eastAsia="宋体" w:cs="Times New Roman"/>
                <w:color w:val="auto"/>
                <w:sz w:val="24"/>
                <w:szCs w:val="24"/>
                <w:highlight w:val="none"/>
                <w:lang w:val="en-US" w:eastAsia="zh-CN"/>
              </w:rPr>
              <w:t>符合性分析</w:t>
            </w:r>
          </w:p>
          <w:p>
            <w:pPr>
              <w:pStyle w:val="17"/>
              <w:keepNext w:val="0"/>
              <w:keepLines w:val="0"/>
              <w:pageBreakBefore w:val="0"/>
              <w:widowControl/>
              <w:kinsoku/>
              <w:wordWrap/>
              <w:overflowPunct/>
              <w:topLinePunct w:val="0"/>
              <w:autoSpaceDE/>
              <w:autoSpaceDN/>
              <w:bidi w:val="0"/>
              <w:adjustRightInd/>
              <w:snapToGrid/>
              <w:spacing w:after="0" w:line="360" w:lineRule="auto"/>
              <w:ind w:left="0" w:leftChars="0"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项目建设过程中所利用的资源主要为水资源</w:t>
            </w:r>
            <w:r>
              <w:rPr>
                <w:rFonts w:hint="default" w:ascii="Times New Roman" w:hAnsi="Times New Roman" w:eastAsia="宋体" w:cs="Times New Roman"/>
                <w:color w:val="auto"/>
                <w:sz w:val="24"/>
                <w:szCs w:val="24"/>
                <w:highlight w:val="none"/>
                <w:lang w:val="en-US" w:eastAsia="zh-CN"/>
              </w:rPr>
              <w:t>和电</w:t>
            </w:r>
            <w:r>
              <w:rPr>
                <w:rFonts w:hint="default" w:ascii="Times New Roman" w:hAnsi="Times New Roman" w:eastAsia="宋体" w:cs="Times New Roman"/>
                <w:color w:val="auto"/>
                <w:sz w:val="24"/>
                <w:szCs w:val="24"/>
                <w:highlight w:val="none"/>
                <w:lang w:eastAsia="zh-CN"/>
              </w:rPr>
              <w:t>，均为清洁能源，项目建成运行后通过内部管理、设备选择、原辅材料的选用管理和污染治理等多方面采取合理可行的防治措施，以“节能、降耗、减污”为目标，有效的控制污染。</w:t>
            </w:r>
            <w:r>
              <w:rPr>
                <w:rFonts w:hint="default" w:ascii="Times New Roman" w:hAnsi="Times New Roman" w:eastAsia="宋体" w:cs="Times New Roman"/>
                <w:color w:val="auto"/>
                <w:sz w:val="24"/>
                <w:szCs w:val="24"/>
                <w:highlight w:val="none"/>
                <w:lang w:val="en-US" w:eastAsia="zh-CN"/>
              </w:rPr>
              <w:t>因此</w:t>
            </w:r>
            <w:r>
              <w:rPr>
                <w:rFonts w:hint="default" w:ascii="Times New Roman" w:hAnsi="Times New Roman" w:eastAsia="宋体" w:cs="Times New Roman"/>
                <w:color w:val="auto"/>
                <w:sz w:val="24"/>
                <w:szCs w:val="24"/>
                <w:highlight w:val="none"/>
                <w:lang w:eastAsia="zh-CN"/>
              </w:rPr>
              <w:t>项目的水、电等资源利用不会突破区域的资源利用上线，</w:t>
            </w:r>
            <w:r>
              <w:rPr>
                <w:rFonts w:hint="default" w:ascii="Times New Roman" w:hAnsi="Times New Roman" w:eastAsia="宋体" w:cs="Times New Roman"/>
                <w:color w:val="auto"/>
                <w:sz w:val="24"/>
                <w:szCs w:val="24"/>
                <w:highlight w:val="none"/>
                <w:lang w:val="en-US" w:eastAsia="zh-CN"/>
              </w:rPr>
              <w:t>符合</w:t>
            </w:r>
            <w:r>
              <w:rPr>
                <w:rFonts w:hint="default" w:ascii="Times New Roman" w:hAnsi="Times New Roman" w:eastAsia="宋体" w:cs="Times New Roman"/>
                <w:color w:val="auto"/>
                <w:sz w:val="24"/>
                <w:szCs w:val="24"/>
                <w:highlight w:val="none"/>
                <w:lang w:eastAsia="zh-CN"/>
              </w:rPr>
              <w:t>资源利用上线</w:t>
            </w:r>
            <w:r>
              <w:rPr>
                <w:rFonts w:hint="default" w:ascii="Times New Roman" w:hAnsi="Times New Roman" w:eastAsia="宋体" w:cs="Times New Roman"/>
                <w:color w:val="auto"/>
                <w:sz w:val="24"/>
                <w:szCs w:val="24"/>
                <w:highlight w:val="none"/>
                <w:lang w:val="en-US" w:eastAsia="zh-CN"/>
              </w:rPr>
              <w:t>要求。</w:t>
            </w:r>
          </w:p>
          <w:p>
            <w:pPr>
              <w:pStyle w:val="17"/>
              <w:keepNext w:val="0"/>
              <w:keepLines w:val="0"/>
              <w:pageBreakBefore w:val="0"/>
              <w:widowControl/>
              <w:kinsoku/>
              <w:wordWrap/>
              <w:overflowPunct/>
              <w:topLinePunct w:val="0"/>
              <w:autoSpaceDE/>
              <w:autoSpaceDN/>
              <w:bidi w:val="0"/>
              <w:adjustRightInd w:val="0"/>
              <w:snapToGrid w:val="0"/>
              <w:spacing w:after="0" w:line="360" w:lineRule="auto"/>
              <w:ind w:left="0" w:leftChars="0"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（4）环境准入负面清单符合性分析</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outlineLvl w:val="9"/>
              <w:rPr>
                <w:rFonts w:hint="default" w:ascii="Times New Roman" w:hAnsi="Times New Roman" w:eastAsia="宋体" w:cs="Times New Roman"/>
                <w:color w:val="auto"/>
                <w:sz w:val="24"/>
                <w:highlight w:val="none"/>
                <w:lang w:eastAsia="zh-CN" w:bidi="ar"/>
              </w:rPr>
            </w:pPr>
            <w:r>
              <w:rPr>
                <w:rFonts w:hint="default" w:ascii="Times New Roman" w:hAnsi="Times New Roman" w:eastAsia="宋体" w:cs="Times New Roman"/>
                <w:color w:val="auto"/>
                <w:sz w:val="24"/>
                <w:highlight w:val="none"/>
                <w:lang w:val="en-US" w:eastAsia="zh-CN" w:bidi="ar"/>
              </w:rPr>
              <w:t>本评价结合国家产业政策、</w:t>
            </w:r>
            <w:r>
              <w:rPr>
                <w:rFonts w:ascii="Times New Roman" w:hAnsi="Times New Roman" w:eastAsia="宋体" w:cs="Times New Roman"/>
                <w:color w:val="auto"/>
                <w:sz w:val="24"/>
                <w:highlight w:val="none"/>
                <w:lang w:bidi="ar"/>
              </w:rPr>
              <w:t>《市场准入负面清单（202</w:t>
            </w:r>
            <w:r>
              <w:rPr>
                <w:rFonts w:hint="eastAsia" w:ascii="Times New Roman" w:hAnsi="Times New Roman" w:eastAsia="宋体" w:cs="Times New Roman"/>
                <w:color w:val="auto"/>
                <w:sz w:val="24"/>
                <w:highlight w:val="none"/>
                <w:lang w:bidi="ar"/>
              </w:rPr>
              <w:t>2</w:t>
            </w:r>
            <w:r>
              <w:rPr>
                <w:rFonts w:ascii="Times New Roman" w:hAnsi="Times New Roman" w:eastAsia="宋体" w:cs="Times New Roman"/>
                <w:color w:val="auto"/>
                <w:sz w:val="24"/>
                <w:highlight w:val="none"/>
                <w:lang w:bidi="ar"/>
              </w:rPr>
              <w:t>年版）》</w:t>
            </w:r>
            <w:r>
              <w:rPr>
                <w:rFonts w:hint="default" w:ascii="Times New Roman" w:hAnsi="Times New Roman" w:eastAsia="宋体" w:cs="Times New Roman"/>
                <w:color w:val="auto"/>
                <w:sz w:val="24"/>
                <w:highlight w:val="none"/>
                <w:lang w:val="en-US" w:eastAsia="zh-CN" w:bidi="ar"/>
              </w:rPr>
              <w:t xml:space="preserve">、《泉州市内资投资准入特别管理措施（负面清单）（试行）》及“三线一单”进行说明。 </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outlineLvl w:val="9"/>
              <w:rPr>
                <w:rFonts w:hint="default" w:ascii="Times New Roman" w:hAnsi="Times New Roman" w:eastAsia="宋体" w:cs="Times New Roman"/>
                <w:color w:val="auto"/>
                <w:sz w:val="24"/>
                <w:highlight w:val="none"/>
                <w:lang w:val="en-US" w:eastAsia="zh-CN" w:bidi="ar"/>
              </w:rPr>
            </w:pPr>
            <w:r>
              <w:rPr>
                <w:rFonts w:hint="default" w:ascii="Times New Roman" w:hAnsi="Times New Roman" w:eastAsia="宋体" w:cs="Times New Roman"/>
                <w:color w:val="auto"/>
                <w:sz w:val="24"/>
                <w:highlight w:val="none"/>
                <w:lang w:val="en-US" w:eastAsia="zh-CN" w:bidi="ar"/>
              </w:rPr>
              <w:t xml:space="preserve">①产业政策符合性 </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outlineLvl w:val="9"/>
              <w:rPr>
                <w:rFonts w:hint="default" w:ascii="Times New Roman" w:hAnsi="Times New Roman" w:eastAsia="宋体" w:cs="Times New Roman"/>
                <w:color w:val="auto"/>
                <w:sz w:val="24"/>
                <w:highlight w:val="none"/>
                <w:lang w:eastAsia="zh-CN" w:bidi="ar"/>
              </w:rPr>
            </w:pPr>
            <w:r>
              <w:rPr>
                <w:rFonts w:hint="default" w:ascii="Times New Roman" w:hAnsi="Times New Roman" w:eastAsia="宋体" w:cs="Times New Roman"/>
                <w:color w:val="auto"/>
                <w:sz w:val="24"/>
                <w:highlight w:val="none"/>
                <w:lang w:val="en-US" w:eastAsia="zh-CN" w:bidi="ar"/>
              </w:rPr>
              <w:t>根据</w:t>
            </w:r>
            <w:r>
              <w:rPr>
                <w:rFonts w:hint="eastAsia" w:ascii="Times New Roman" w:hAnsi="Times New Roman" w:eastAsia="宋体" w:cs="Times New Roman"/>
                <w:color w:val="auto"/>
                <w:sz w:val="24"/>
                <w:highlight w:val="none"/>
                <w:lang w:val="en-US" w:eastAsia="zh-CN" w:bidi="ar"/>
              </w:rPr>
              <w:t>本章节</w:t>
            </w:r>
            <w:r>
              <w:rPr>
                <w:rFonts w:hint="default" w:ascii="Times New Roman" w:hAnsi="Times New Roman" w:eastAsia="宋体" w:cs="Times New Roman"/>
                <w:color w:val="auto"/>
                <w:sz w:val="24"/>
                <w:highlight w:val="none"/>
                <w:lang w:val="en-US" w:eastAsia="zh-CN" w:bidi="ar"/>
              </w:rPr>
              <w:t>“1.</w:t>
            </w:r>
            <w:r>
              <w:rPr>
                <w:rFonts w:hint="eastAsia" w:cs="Times New Roman"/>
                <w:color w:val="auto"/>
                <w:sz w:val="24"/>
                <w:highlight w:val="none"/>
                <w:lang w:val="en-US" w:eastAsia="zh-CN" w:bidi="ar"/>
              </w:rPr>
              <w:t>3</w:t>
            </w:r>
            <w:r>
              <w:rPr>
                <w:rFonts w:hint="default" w:ascii="Times New Roman" w:hAnsi="Times New Roman" w:eastAsia="宋体" w:cs="Times New Roman"/>
                <w:color w:val="auto"/>
                <w:sz w:val="24"/>
                <w:highlight w:val="none"/>
                <w:lang w:val="en-US" w:eastAsia="zh-CN" w:bidi="ar"/>
              </w:rPr>
              <w:t xml:space="preserve"> 产业政策符合性分析”，项目建设符合国家当前产业政策。 </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outlineLvl w:val="9"/>
              <w:rPr>
                <w:rFonts w:hint="default" w:ascii="Times New Roman" w:hAnsi="Times New Roman" w:eastAsia="宋体" w:cs="Times New Roman"/>
                <w:color w:val="auto"/>
                <w:sz w:val="24"/>
                <w:highlight w:val="none"/>
                <w:lang w:val="en-US" w:eastAsia="zh-CN" w:bidi="ar"/>
              </w:rPr>
            </w:pPr>
            <w:r>
              <w:rPr>
                <w:rFonts w:hint="default" w:ascii="Times New Roman" w:hAnsi="Times New Roman" w:eastAsia="宋体" w:cs="Times New Roman"/>
                <w:color w:val="auto"/>
                <w:sz w:val="24"/>
                <w:highlight w:val="none"/>
                <w:lang w:val="en-US" w:eastAsia="zh-CN" w:bidi="ar"/>
              </w:rPr>
              <w:t>②“负面清单”符合性</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outlineLvl w:val="9"/>
              <w:rPr>
                <w:rFonts w:hint="default" w:ascii="Times New Roman" w:hAnsi="Times New Roman" w:eastAsia="宋体" w:cs="Times New Roman"/>
                <w:color w:val="auto"/>
                <w:sz w:val="24"/>
                <w:highlight w:val="none"/>
                <w:lang w:eastAsia="zh-CN" w:bidi="ar"/>
              </w:rPr>
            </w:pPr>
            <w:r>
              <w:rPr>
                <w:rFonts w:hint="default" w:ascii="Times New Roman" w:hAnsi="Times New Roman" w:eastAsia="宋体" w:cs="Times New Roman"/>
                <w:color w:val="auto"/>
                <w:sz w:val="24"/>
                <w:highlight w:val="none"/>
                <w:lang w:val="en-US" w:eastAsia="zh-CN" w:bidi="ar"/>
              </w:rPr>
              <w:t>经检索</w:t>
            </w:r>
            <w:r>
              <w:rPr>
                <w:rFonts w:ascii="Times New Roman" w:hAnsi="Times New Roman" w:eastAsia="宋体" w:cs="Times New Roman"/>
                <w:color w:val="auto"/>
                <w:sz w:val="24"/>
                <w:highlight w:val="none"/>
                <w:lang w:bidi="ar"/>
              </w:rPr>
              <w:t>《市场准入负面清单（202</w:t>
            </w:r>
            <w:r>
              <w:rPr>
                <w:rFonts w:hint="eastAsia" w:ascii="Times New Roman" w:hAnsi="Times New Roman" w:eastAsia="宋体" w:cs="Times New Roman"/>
                <w:color w:val="auto"/>
                <w:sz w:val="24"/>
                <w:highlight w:val="none"/>
                <w:lang w:bidi="ar"/>
              </w:rPr>
              <w:t>2</w:t>
            </w:r>
            <w:r>
              <w:rPr>
                <w:rFonts w:ascii="Times New Roman" w:hAnsi="Times New Roman" w:eastAsia="宋体" w:cs="Times New Roman"/>
                <w:color w:val="auto"/>
                <w:sz w:val="24"/>
                <w:highlight w:val="none"/>
                <w:lang w:bidi="ar"/>
              </w:rPr>
              <w:t>年版）》</w:t>
            </w:r>
            <w:r>
              <w:rPr>
                <w:rFonts w:hint="default" w:ascii="Times New Roman" w:hAnsi="Times New Roman" w:eastAsia="宋体" w:cs="Times New Roman"/>
                <w:color w:val="auto"/>
                <w:sz w:val="24"/>
                <w:highlight w:val="none"/>
                <w:lang w:val="en-US" w:eastAsia="zh-CN" w:bidi="ar"/>
              </w:rPr>
              <w:t xml:space="preserve">及《泉州市内资投资准入特别管理措施（负面清单）（试行）》，项目不在上述清单的禁止准入类和限制准入类。 </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outlineLvl w:val="9"/>
              <w:rPr>
                <w:rFonts w:hint="default" w:ascii="Times New Roman" w:hAnsi="Times New Roman" w:eastAsia="宋体" w:cs="Times New Roman"/>
                <w:color w:val="auto"/>
                <w:sz w:val="24"/>
                <w:highlight w:val="none"/>
                <w:lang w:val="en-US" w:eastAsia="zh-CN" w:bidi="ar"/>
              </w:rPr>
            </w:pPr>
            <w:r>
              <w:rPr>
                <w:rFonts w:hint="default" w:ascii="Times New Roman" w:hAnsi="Times New Roman" w:eastAsia="宋体" w:cs="Times New Roman"/>
                <w:color w:val="auto"/>
                <w:sz w:val="24"/>
                <w:highlight w:val="none"/>
                <w:lang w:val="en-US" w:eastAsia="zh-CN" w:bidi="ar"/>
              </w:rPr>
              <w:t>③与“三线一单”要求符合性</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center"/>
              <w:textAlignment w:val="auto"/>
              <w:rPr>
                <w:rFonts w:hint="default" w:ascii="Times New Roman" w:hAnsi="Times New Roman" w:eastAsia="宋体" w:cs="Times New Roman"/>
                <w:b w:val="0"/>
                <w:bCs w:val="0"/>
                <w:color w:val="auto"/>
                <w:kern w:val="0"/>
                <w:sz w:val="24"/>
                <w:szCs w:val="24"/>
                <w:highlight w:val="none"/>
                <w:lang w:val="en-US" w:eastAsia="zh-CN" w:bidi="ar-SA"/>
              </w:rPr>
            </w:pPr>
            <w:r>
              <w:rPr>
                <w:rFonts w:hint="default" w:ascii="Times New Roman" w:hAnsi="Times New Roman" w:eastAsia="宋体" w:cs="Times New Roman"/>
                <w:b w:val="0"/>
                <w:bCs w:val="0"/>
                <w:color w:val="auto"/>
                <w:kern w:val="0"/>
                <w:sz w:val="24"/>
                <w:szCs w:val="24"/>
                <w:highlight w:val="none"/>
                <w:lang w:val="en-US" w:eastAsia="zh-CN" w:bidi="ar-SA"/>
              </w:rPr>
              <w:t>对照《福建省人民政府关于实施“三线一单”生态环境分区管控的通知》（闽政〔2020〕12号）的相关内容，详见表1</w:t>
            </w:r>
            <w:r>
              <w:rPr>
                <w:rFonts w:hint="default" w:ascii="Times New Roman" w:hAnsi="Times New Roman" w:cs="Times New Roman"/>
                <w:b w:val="0"/>
                <w:bCs w:val="0"/>
                <w:color w:val="auto"/>
                <w:kern w:val="0"/>
                <w:sz w:val="24"/>
                <w:szCs w:val="24"/>
                <w:highlight w:val="none"/>
                <w:lang w:val="en-US" w:eastAsia="zh-CN" w:bidi="ar-SA"/>
              </w:rPr>
              <w:t>.</w:t>
            </w:r>
            <w:r>
              <w:rPr>
                <w:rFonts w:hint="eastAsia" w:cs="Times New Roman"/>
                <w:b w:val="0"/>
                <w:bCs w:val="0"/>
                <w:color w:val="auto"/>
                <w:kern w:val="0"/>
                <w:sz w:val="24"/>
                <w:szCs w:val="24"/>
                <w:highlight w:val="none"/>
                <w:lang w:val="en-US" w:eastAsia="zh-CN" w:bidi="ar-SA"/>
              </w:rPr>
              <w:t>4</w:t>
            </w:r>
            <w:r>
              <w:rPr>
                <w:rFonts w:hint="default" w:ascii="Times New Roman" w:hAnsi="Times New Roman" w:eastAsia="宋体" w:cs="Times New Roman"/>
                <w:b w:val="0"/>
                <w:bCs w:val="0"/>
                <w:color w:val="auto"/>
                <w:kern w:val="0"/>
                <w:sz w:val="24"/>
                <w:szCs w:val="24"/>
                <w:highlight w:val="none"/>
                <w:lang w:val="en-US" w:eastAsia="zh-CN" w:bidi="ar-SA"/>
              </w:rPr>
              <w:t>-</w:t>
            </w:r>
            <w:r>
              <w:rPr>
                <w:rFonts w:hint="default" w:ascii="Times New Roman" w:hAnsi="Times New Roman" w:cs="Times New Roman"/>
                <w:b w:val="0"/>
                <w:bCs w:val="0"/>
                <w:color w:val="auto"/>
                <w:kern w:val="0"/>
                <w:sz w:val="24"/>
                <w:szCs w:val="24"/>
                <w:highlight w:val="none"/>
                <w:lang w:val="en-US" w:eastAsia="zh-CN" w:bidi="ar-SA"/>
              </w:rPr>
              <w:t>1</w:t>
            </w:r>
            <w:r>
              <w:rPr>
                <w:rFonts w:hint="default" w:ascii="Times New Roman" w:hAnsi="Times New Roman" w:eastAsia="宋体" w:cs="Times New Roman"/>
                <w:b w:val="0"/>
                <w:bCs w:val="0"/>
                <w:color w:val="auto"/>
                <w:kern w:val="0"/>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center"/>
              <w:textAlignment w:val="auto"/>
              <w:rPr>
                <w:rFonts w:hint="default" w:ascii="Times New Roman" w:hAnsi="Times New Roman" w:eastAsia="宋体" w:cs="Times New Roman"/>
                <w:b w:val="0"/>
                <w:bCs w:val="0"/>
                <w:color w:val="auto"/>
                <w:kern w:val="0"/>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表1</w:t>
            </w:r>
            <w:r>
              <w:rPr>
                <w:rFonts w:hint="eastAsia"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val="en-US" w:eastAsia="zh-CN"/>
              </w:rPr>
              <w:t>-</w:t>
            </w:r>
            <w:r>
              <w:rPr>
                <w:rFonts w:hint="eastAsia"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en-US" w:eastAsia="zh-CN"/>
              </w:rPr>
              <w:t xml:space="preserve">  福建省生态环境总体准入要求</w:t>
            </w:r>
          </w:p>
          <w:tbl>
            <w:tblPr>
              <w:tblStyle w:val="29"/>
              <w:tblW w:w="68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4"/>
              <w:gridCol w:w="496"/>
              <w:gridCol w:w="3342"/>
              <w:gridCol w:w="1635"/>
              <w:gridCol w:w="6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513"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适用</w:t>
                  </w:r>
                </w:p>
                <w:p>
                  <w:pPr>
                    <w:pStyle w:val="1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范围</w:t>
                  </w:r>
                </w:p>
              </w:tc>
              <w:tc>
                <w:tcPr>
                  <w:tcW w:w="2798" w:type="pct"/>
                  <w:gridSpan w:val="2"/>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准入要求</w:t>
                  </w:r>
                </w:p>
              </w:tc>
              <w:tc>
                <w:tcPr>
                  <w:tcW w:w="1192"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项目情况</w:t>
                  </w:r>
                </w:p>
              </w:tc>
              <w:tc>
                <w:tcPr>
                  <w:tcW w:w="496"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513" w:type="pct"/>
                  <w:vMerge w:val="restar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全省</w:t>
                  </w:r>
                </w:p>
                <w:p>
                  <w:pPr>
                    <w:pStyle w:val="1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陆域</w:t>
                  </w:r>
                </w:p>
              </w:tc>
              <w:tc>
                <w:tcPr>
                  <w:tcW w:w="361"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空间布局约束</w:t>
                  </w:r>
                </w:p>
              </w:tc>
              <w:tc>
                <w:tcPr>
                  <w:tcW w:w="2436"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1.石化、汽车、船舶、冶金、水泥、制浆造纸、印染等重点产业，要符合全省规划布局要求。</w:t>
                  </w:r>
                </w:p>
                <w:p>
                  <w:pPr>
                    <w:pStyle w:val="1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2.严控钢铁、水泥、平板玻璃等产能过剩行业新增产能，新增产能应实施产能等量或减量置换。</w:t>
                  </w:r>
                </w:p>
                <w:p>
                  <w:pPr>
                    <w:pStyle w:val="1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3.除列入国家规划的大型煤电和符合相关要求的等容量替代项目，以及以供热为主的热电联产项目外，原则上不再建设新的煤电项目。</w:t>
                  </w:r>
                </w:p>
                <w:p>
                  <w:pPr>
                    <w:pStyle w:val="1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4.氟化工产业应集中布局在《关于促进我省氟化工产业绿色高效发展的若干意见》中确定的园区，在上述园区之外不再新建氟化工项目，园区之外现有氟化工项目不再扩大规模。</w:t>
                  </w:r>
                </w:p>
                <w:p>
                  <w:pPr>
                    <w:pStyle w:val="1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5.禁止在水环境质量不能稳定达标的区域内，建设新增相应不达标污染物指标排放量的工业项目。</w:t>
                  </w:r>
                </w:p>
              </w:tc>
              <w:tc>
                <w:tcPr>
                  <w:tcW w:w="1192" w:type="pct"/>
                  <w:tcBorders>
                    <w:tl2br w:val="nil"/>
                    <w:tr2bl w:val="nil"/>
                  </w:tcBorders>
                  <w:noWrap w:val="0"/>
                  <w:vAlign w:val="center"/>
                </w:tcPr>
                <w:p>
                  <w:pPr>
                    <w:keepNext w:val="0"/>
                    <w:keepLines w:val="0"/>
                    <w:widowControl/>
                    <w:suppressLineNumbers w:val="0"/>
                    <w:jc w:val="lef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项目主要从事金属水暖卫浴配件、塑料卫浴配件、浴室柜、进水软管的生产， 无生产废水外排，因此项目不属于全省陆域空间布局约束项目。</w:t>
                  </w:r>
                </w:p>
              </w:tc>
              <w:tc>
                <w:tcPr>
                  <w:tcW w:w="496"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51" w:hRule="atLeast"/>
                <w:jc w:val="center"/>
              </w:trPr>
              <w:tc>
                <w:tcPr>
                  <w:tcW w:w="513" w:type="pct"/>
                  <w:vMerge w:val="continue"/>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361"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污染物排放管控</w:t>
                  </w:r>
                </w:p>
              </w:tc>
              <w:tc>
                <w:tcPr>
                  <w:tcW w:w="2436"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建设项目新增的主要污染物排放量应按要求实行等量或倍量替代。涉及总磷排放的建设项目应按照要求实行总磷排放量倍量或等量削减替代。涉及重金属重点行业建设项目新增的重点重金属污染物应按要求实行“减量置换”或“等量替换”。涉新增VOCs排放项目，VOCs排放实行区域内等量替代，福州、厦门、漳州、泉州、莆田、宁德等6个重点控制区可实施倍量替代。</w:t>
                  </w:r>
                </w:p>
                <w:p>
                  <w:pPr>
                    <w:pStyle w:val="1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2.新建水泥、有色金属项目应执行大气污染物特别排放限值，钢铁项目应执行超低排放指标要求，火电项目应达到超低排放限值。</w:t>
                  </w:r>
                </w:p>
                <w:p>
                  <w:pPr>
                    <w:pStyle w:val="1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3.尾水排入近岸海域汇水区域、“六江两溪”流域以及湖泊、水库等封闭、半封闭水域的城镇污水处理设施执行不低于一级A排放标准。</w:t>
                  </w:r>
                </w:p>
              </w:tc>
              <w:tc>
                <w:tcPr>
                  <w:tcW w:w="1192" w:type="pct"/>
                  <w:tcBorders>
                    <w:tl2br w:val="nil"/>
                    <w:tr2bl w:val="nil"/>
                  </w:tcBorders>
                  <w:noWrap w:val="0"/>
                  <w:vAlign w:val="center"/>
                </w:tcPr>
                <w:p>
                  <w:pPr>
                    <w:keepNext w:val="0"/>
                    <w:keepLines w:val="0"/>
                    <w:widowControl/>
                    <w:suppressLineNumbers w:val="0"/>
                    <w:jc w:val="center"/>
                    <w:rPr>
                      <w:color w:val="auto"/>
                      <w:highlight w:val="none"/>
                    </w:rPr>
                  </w:pPr>
                  <w:r>
                    <w:rPr>
                      <w:rFonts w:hint="eastAsia" w:ascii="宋体" w:hAnsi="宋体" w:eastAsia="宋体" w:cs="宋体"/>
                      <w:color w:val="auto"/>
                      <w:kern w:val="0"/>
                      <w:sz w:val="21"/>
                      <w:szCs w:val="21"/>
                      <w:highlight w:val="none"/>
                      <w:lang w:val="en-US" w:eastAsia="zh-CN" w:bidi="ar"/>
                    </w:rPr>
                    <w:t>项目主要从事</w:t>
                  </w:r>
                  <w:r>
                    <w:rPr>
                      <w:rFonts w:hint="eastAsia" w:ascii="Times New Roman" w:hAnsi="Times New Roman" w:eastAsia="宋体" w:cs="Times New Roman"/>
                      <w:color w:val="auto"/>
                      <w:kern w:val="2"/>
                      <w:sz w:val="21"/>
                      <w:szCs w:val="21"/>
                      <w:highlight w:val="none"/>
                      <w:lang w:val="en-US" w:eastAsia="zh-CN" w:bidi="ar-SA"/>
                    </w:rPr>
                    <w:t>金属水暖卫浴配件、塑料卫浴配件、浴室柜、进水软管的生产，</w:t>
                  </w:r>
                  <w:r>
                    <w:rPr>
                      <w:rFonts w:hint="eastAsia" w:ascii="宋体" w:hAnsi="宋体" w:eastAsia="宋体" w:cs="宋体"/>
                      <w:color w:val="auto"/>
                      <w:kern w:val="0"/>
                      <w:sz w:val="21"/>
                      <w:szCs w:val="21"/>
                      <w:highlight w:val="none"/>
                      <w:lang w:val="en-US" w:eastAsia="zh-CN" w:bidi="ar"/>
                    </w:rPr>
                    <w:t xml:space="preserve"> 项目不涉及总磷排放。项目属于涉新增</w:t>
                  </w:r>
                  <w:r>
                    <w:rPr>
                      <w:rFonts w:hint="default" w:ascii="Times New Roman" w:hAnsi="Times New Roman" w:eastAsia="宋体" w:cs="Times New Roman"/>
                      <w:color w:val="auto"/>
                      <w:kern w:val="0"/>
                      <w:sz w:val="21"/>
                      <w:szCs w:val="21"/>
                      <w:highlight w:val="none"/>
                      <w:lang w:val="en-US" w:eastAsia="zh-CN" w:bidi="ar"/>
                    </w:rPr>
                    <w:t xml:space="preserve">VOCs </w:t>
                  </w:r>
                  <w:r>
                    <w:rPr>
                      <w:rFonts w:hint="eastAsia" w:ascii="宋体" w:hAnsi="宋体" w:eastAsia="宋体" w:cs="宋体"/>
                      <w:color w:val="auto"/>
                      <w:kern w:val="0"/>
                      <w:sz w:val="21"/>
                      <w:szCs w:val="21"/>
                      <w:highlight w:val="none"/>
                      <w:lang w:val="en-US" w:eastAsia="zh-CN" w:bidi="ar"/>
                    </w:rPr>
                    <w:t xml:space="preserve">排放项目，其新增排放 </w:t>
                  </w:r>
                  <w:r>
                    <w:rPr>
                      <w:rFonts w:hint="default" w:ascii="Times New Roman" w:hAnsi="Times New Roman" w:eastAsia="宋体" w:cs="Times New Roman"/>
                      <w:color w:val="auto"/>
                      <w:kern w:val="0"/>
                      <w:sz w:val="21"/>
                      <w:szCs w:val="21"/>
                      <w:highlight w:val="none"/>
                      <w:lang w:val="en-US" w:eastAsia="zh-CN" w:bidi="ar"/>
                    </w:rPr>
                    <w:t xml:space="preserve">VOCs </w:t>
                  </w:r>
                  <w:r>
                    <w:rPr>
                      <w:rFonts w:hint="eastAsia" w:ascii="宋体" w:hAnsi="宋体" w:eastAsia="宋体" w:cs="宋体"/>
                      <w:color w:val="auto"/>
                      <w:kern w:val="0"/>
                      <w:sz w:val="21"/>
                      <w:szCs w:val="21"/>
                      <w:highlight w:val="none"/>
                      <w:lang w:val="en-US" w:eastAsia="zh-CN" w:bidi="ar"/>
                    </w:rPr>
                    <w:t>的废</w:t>
                  </w:r>
                </w:p>
                <w:p>
                  <w:pPr>
                    <w:keepNext w:val="0"/>
                    <w:keepLines w:val="0"/>
                    <w:widowControl/>
                    <w:suppressLineNumbers w:val="0"/>
                    <w:jc w:val="center"/>
                    <w:rPr>
                      <w:color w:val="auto"/>
                      <w:highlight w:val="none"/>
                    </w:rPr>
                  </w:pPr>
                  <w:r>
                    <w:rPr>
                      <w:rFonts w:hint="eastAsia" w:ascii="宋体" w:hAnsi="宋体" w:eastAsia="宋体" w:cs="宋体"/>
                      <w:color w:val="auto"/>
                      <w:kern w:val="0"/>
                      <w:sz w:val="21"/>
                      <w:szCs w:val="21"/>
                      <w:highlight w:val="none"/>
                      <w:lang w:val="en-US" w:eastAsia="zh-CN" w:bidi="ar"/>
                    </w:rPr>
                    <w:t>气属于污染物排放管控项目，</w:t>
                  </w:r>
                </w:p>
                <w:p>
                  <w:pPr>
                    <w:keepNext w:val="0"/>
                    <w:keepLines w:val="0"/>
                    <w:widowControl/>
                    <w:suppressLineNumbers w:val="0"/>
                    <w:jc w:val="center"/>
                    <w:rPr>
                      <w:color w:val="auto"/>
                      <w:highlight w:val="none"/>
                    </w:rPr>
                  </w:pPr>
                  <w:r>
                    <w:rPr>
                      <w:rFonts w:hint="default" w:ascii="Times New Roman" w:hAnsi="Times New Roman" w:eastAsia="宋体" w:cs="Times New Roman"/>
                      <w:color w:val="auto"/>
                      <w:kern w:val="0"/>
                      <w:sz w:val="21"/>
                      <w:szCs w:val="21"/>
                      <w:highlight w:val="none"/>
                      <w:lang w:val="en-US" w:eastAsia="zh-CN" w:bidi="ar"/>
                    </w:rPr>
                    <w:t xml:space="preserve">VOCs </w:t>
                  </w:r>
                  <w:r>
                    <w:rPr>
                      <w:rFonts w:hint="eastAsia" w:ascii="宋体" w:hAnsi="宋体" w:eastAsia="宋体" w:cs="宋体"/>
                      <w:color w:val="auto"/>
                      <w:kern w:val="0"/>
                      <w:sz w:val="21"/>
                      <w:szCs w:val="21"/>
                      <w:highlight w:val="none"/>
                      <w:lang w:val="en-US" w:eastAsia="zh-CN" w:bidi="ar"/>
                    </w:rPr>
                    <w:t>排放</w:t>
                  </w:r>
                </w:p>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实行区域内</w:t>
                  </w:r>
                  <w:r>
                    <w:rPr>
                      <w:rFonts w:hint="default" w:ascii="Times New Roman" w:hAnsi="Times New Roman" w:eastAsia="宋体" w:cs="Times New Roman"/>
                      <w:color w:val="auto"/>
                      <w:kern w:val="0"/>
                      <w:sz w:val="21"/>
                      <w:szCs w:val="21"/>
                      <w:highlight w:val="none"/>
                      <w:lang w:val="en-US" w:eastAsia="zh-CN" w:bidi="ar"/>
                    </w:rPr>
                    <w:t xml:space="preserve">1.2 </w:t>
                  </w:r>
                  <w:r>
                    <w:rPr>
                      <w:rFonts w:hint="eastAsia" w:ascii="宋体" w:hAnsi="宋体" w:eastAsia="宋体" w:cs="宋体"/>
                      <w:color w:val="auto"/>
                      <w:kern w:val="0"/>
                      <w:sz w:val="21"/>
                      <w:szCs w:val="21"/>
                      <w:highlight w:val="none"/>
                      <w:lang w:val="en-US" w:eastAsia="zh-CN" w:bidi="ar"/>
                    </w:rPr>
                    <w:t>倍削减替代，由泉州市南安生态环境局进行区域调剂。项目外排废水为生活污水，生活污水预处理后排入市政排污管网纳入南安市污水处理厂集中处理，尾水排放执行《城镇污水处理厂污染物排放标准》（</w:t>
                  </w:r>
                  <w:r>
                    <w:rPr>
                      <w:rFonts w:hint="default" w:ascii="Times New Roman" w:hAnsi="Times New Roman" w:eastAsia="宋体" w:cs="Times New Roman"/>
                      <w:color w:val="auto"/>
                      <w:kern w:val="0"/>
                      <w:sz w:val="21"/>
                      <w:szCs w:val="21"/>
                      <w:highlight w:val="none"/>
                      <w:lang w:val="en-US" w:eastAsia="zh-CN" w:bidi="ar"/>
                    </w:rPr>
                    <w:t>GB18918-2002</w:t>
                  </w:r>
                  <w:r>
                    <w:rPr>
                      <w:rFonts w:hint="eastAsia" w:ascii="宋体" w:hAnsi="宋体" w:eastAsia="宋体" w:cs="宋体"/>
                      <w:color w:val="auto"/>
                      <w:kern w:val="0"/>
                      <w:sz w:val="21"/>
                      <w:szCs w:val="21"/>
                      <w:highlight w:val="none"/>
                      <w:lang w:val="en-US" w:eastAsia="zh-CN" w:bidi="ar"/>
                    </w:rPr>
                    <w:t>）表</w:t>
                  </w:r>
                  <w:r>
                    <w:rPr>
                      <w:rFonts w:hint="default" w:ascii="Times New Roman" w:hAnsi="Times New Roman"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一级</w:t>
                  </w:r>
                  <w:r>
                    <w:rPr>
                      <w:rFonts w:hint="default" w:ascii="Times New Roman" w:hAnsi="Times New Roman" w:eastAsia="宋体" w:cs="Times New Roman"/>
                      <w:color w:val="auto"/>
                      <w:kern w:val="0"/>
                      <w:sz w:val="21"/>
                      <w:szCs w:val="21"/>
                      <w:highlight w:val="none"/>
                      <w:lang w:val="en-US" w:eastAsia="zh-CN" w:bidi="ar"/>
                    </w:rPr>
                    <w:t xml:space="preserve">A </w:t>
                  </w:r>
                  <w:r>
                    <w:rPr>
                      <w:rFonts w:hint="eastAsia" w:ascii="宋体" w:hAnsi="宋体" w:eastAsia="宋体" w:cs="宋体"/>
                      <w:color w:val="auto"/>
                      <w:kern w:val="0"/>
                      <w:sz w:val="21"/>
                      <w:szCs w:val="21"/>
                      <w:highlight w:val="none"/>
                      <w:lang w:val="en-US" w:eastAsia="zh-CN" w:bidi="ar"/>
                    </w:rPr>
                    <w:t>排放标准。</w:t>
                  </w:r>
                </w:p>
              </w:tc>
              <w:tc>
                <w:tcPr>
                  <w:tcW w:w="496"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bl>
          <w:p>
            <w:pPr>
              <w:pStyle w:val="34"/>
              <w:keepNext w:val="0"/>
              <w:keepLines w:val="0"/>
              <w:pageBreakBefore w:val="0"/>
              <w:widowControl w:val="0"/>
              <w:kinsoku/>
              <w:wordWrap/>
              <w:overflowPunct/>
              <w:topLinePunct w:val="0"/>
              <w:autoSpaceDE/>
              <w:autoSpaceDN/>
              <w:bidi w:val="0"/>
              <w:adjustRightInd w:val="0"/>
              <w:snapToGrid w:val="0"/>
              <w:spacing w:before="157" w:beforeLines="50" w:after="0"/>
              <w:ind w:left="0" w:leftChars="0" w:firstLine="48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对照上表，</w:t>
            </w:r>
            <w:r>
              <w:rPr>
                <w:rFonts w:hint="default" w:ascii="Times New Roman" w:hAnsi="Times New Roman" w:eastAsia="宋体" w:cs="Times New Roman"/>
                <w:color w:val="auto"/>
                <w:sz w:val="24"/>
                <w:szCs w:val="24"/>
                <w:highlight w:val="none"/>
                <w:lang w:eastAsia="zh-CN"/>
              </w:rPr>
              <w:t>项目建设符合</w:t>
            </w:r>
            <w:r>
              <w:rPr>
                <w:rFonts w:hint="default" w:ascii="Times New Roman" w:hAnsi="Times New Roman" w:eastAsia="宋体" w:cs="Times New Roman"/>
                <w:color w:val="auto"/>
                <w:sz w:val="24"/>
                <w:szCs w:val="24"/>
                <w:highlight w:val="none"/>
                <w:lang w:val="en-US" w:eastAsia="zh-CN"/>
              </w:rPr>
              <w:t>《福建省人民政府关于实施“三线一单”生态环境分区管控的通知》（闽政[2020]12号）关于</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福建省生态环境总体准入要求</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w:t>
            </w:r>
          </w:p>
          <w:p>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48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 4 \* GB3 \* MERGEFORMAT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olor w:val="auto"/>
                <w:sz w:val="24"/>
                <w:szCs w:val="24"/>
                <w:highlight w:val="none"/>
                <w:lang w:val="en-US" w:eastAsia="zh-CN"/>
              </w:rPr>
              <w:t>④</w:t>
            </w:r>
            <w:r>
              <w:rPr>
                <w:rFonts w:hint="default" w:ascii="Times New Roman" w:hAnsi="Times New Roman" w:eastAsia="宋体" w:cs="Times New Roman"/>
                <w:color w:val="auto"/>
                <w:sz w:val="24"/>
                <w:szCs w:val="24"/>
                <w:highlight w:val="none"/>
                <w:lang w:val="en-US" w:eastAsia="zh-CN"/>
              </w:rPr>
              <w:fldChar w:fldCharType="end"/>
            </w:r>
            <w:r>
              <w:rPr>
                <w:rFonts w:hint="default" w:ascii="Times New Roman" w:hAnsi="Times New Roman" w:eastAsia="宋体" w:cs="Times New Roman"/>
                <w:color w:val="auto"/>
                <w:sz w:val="24"/>
                <w:szCs w:val="24"/>
                <w:highlight w:val="none"/>
                <w:lang w:val="en-US" w:eastAsia="zh-CN"/>
              </w:rPr>
              <w:t>根据《泉州市人民政府关于实施“三线一单”生态环境分区管控的通知》（泉政文〔2021〕50号），项目属于南安市重点管控单元，环境管控单元编码ZH35058320001，与分区管控符合性分析如下表1</w:t>
            </w:r>
            <w:r>
              <w:rPr>
                <w:rFonts w:hint="eastAsia" w:ascii="Times New Roman" w:hAnsi="Times New Roman"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表1</w:t>
            </w:r>
            <w:r>
              <w:rPr>
                <w:rFonts w:hint="eastAsia"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val="en-US" w:eastAsia="zh-CN"/>
              </w:rPr>
              <w:t>-</w:t>
            </w:r>
            <w:r>
              <w:rPr>
                <w:rFonts w:hint="eastAsia"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en-US" w:eastAsia="zh-CN"/>
              </w:rPr>
              <w:t xml:space="preserve">  本项目与南安市环境管控单元准入要求符合性分析</w:t>
            </w:r>
          </w:p>
          <w:tbl>
            <w:tblPr>
              <w:tblStyle w:val="29"/>
              <w:tblW w:w="67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2"/>
              <w:gridCol w:w="855"/>
              <w:gridCol w:w="705"/>
              <w:gridCol w:w="405"/>
              <w:gridCol w:w="2467"/>
              <w:gridCol w:w="15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772" w:type="dxa"/>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环境管控单元</w:t>
                  </w:r>
                </w:p>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编码</w:t>
                  </w:r>
                </w:p>
              </w:tc>
              <w:tc>
                <w:tcPr>
                  <w:tcW w:w="855" w:type="dxa"/>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环境管控单元名称</w:t>
                  </w:r>
                </w:p>
              </w:tc>
              <w:tc>
                <w:tcPr>
                  <w:tcW w:w="705" w:type="dxa"/>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管控单元类别</w:t>
                  </w:r>
                </w:p>
              </w:tc>
              <w:tc>
                <w:tcPr>
                  <w:tcW w:w="2872" w:type="dxa"/>
                  <w:gridSpan w:val="2"/>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管控</w:t>
                  </w:r>
                </w:p>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要求</w:t>
                  </w:r>
                </w:p>
              </w:tc>
              <w:tc>
                <w:tcPr>
                  <w:tcW w:w="1514" w:type="dxa"/>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项目</w:t>
                  </w:r>
                  <w:r>
                    <w:rPr>
                      <w:rFonts w:hint="default" w:ascii="Times New Roman" w:hAnsi="Times New Roman" w:eastAsia="宋体" w:cs="Times New Roman"/>
                      <w:b/>
                      <w:bCs/>
                      <w:color w:val="auto"/>
                      <w:sz w:val="21"/>
                      <w:szCs w:val="21"/>
                      <w:highlight w:val="none"/>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2" w:hRule="atLeast"/>
                <w:jc w:val="center"/>
              </w:trPr>
              <w:tc>
                <w:tcPr>
                  <w:tcW w:w="772"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ZH35058320001</w:t>
                  </w:r>
                </w:p>
              </w:tc>
              <w:tc>
                <w:tcPr>
                  <w:tcW w:w="85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福建南安经济开发区</w:t>
                  </w:r>
                </w:p>
              </w:tc>
              <w:tc>
                <w:tcPr>
                  <w:tcW w:w="70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重点管控单元</w:t>
                  </w:r>
                </w:p>
              </w:tc>
              <w:tc>
                <w:tcPr>
                  <w:tcW w:w="40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空间布局约束</w:t>
                  </w:r>
                </w:p>
              </w:tc>
              <w:tc>
                <w:tcPr>
                  <w:tcW w:w="246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1.禁止引入电镀、涉剧毒物质、涉重金属和持久性污染物等的环境风险项目。</w:t>
                  </w:r>
                </w:p>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2.禁止新建制浆造纸和以排放氨氮、总磷等主要污染物的工业项目。</w:t>
                  </w:r>
                </w:p>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3.现有化工、食品加工等企业应逐步搬迁。</w:t>
                  </w:r>
                </w:p>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4.禁止引入冶炼项目。</w:t>
                  </w:r>
                </w:p>
              </w:tc>
              <w:tc>
                <w:tcPr>
                  <w:tcW w:w="1514" w:type="dxa"/>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项目主要从事</w:t>
                  </w:r>
                  <w:r>
                    <w:rPr>
                      <w:rFonts w:hint="eastAsia" w:ascii="Times New Roman" w:hAnsi="Times New Roman" w:eastAsia="宋体" w:cs="Times New Roman"/>
                      <w:color w:val="auto"/>
                      <w:kern w:val="2"/>
                      <w:sz w:val="21"/>
                      <w:szCs w:val="21"/>
                      <w:highlight w:val="none"/>
                      <w:lang w:val="en-US" w:eastAsia="zh-CN" w:bidi="ar-SA"/>
                    </w:rPr>
                    <w:t>金属水暖卫浴配件、塑料卫浴配件、浴室柜、进水软管的生产，</w:t>
                  </w:r>
                  <w:r>
                    <w:rPr>
                      <w:rFonts w:hint="eastAsia" w:cs="Times New Roman"/>
                      <w:color w:val="auto"/>
                      <w:sz w:val="21"/>
                      <w:szCs w:val="21"/>
                      <w:highlight w:val="none"/>
                      <w:lang w:val="en-US" w:eastAsia="zh-CN"/>
                    </w:rPr>
                    <w:t>符合园区产业规划，项目不涉及管控情况，符合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7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85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rPr>
                  </w:pPr>
                </w:p>
              </w:tc>
              <w:tc>
                <w:tcPr>
                  <w:tcW w:w="70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40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污染物排放管控</w:t>
                  </w:r>
                </w:p>
              </w:tc>
              <w:tc>
                <w:tcPr>
                  <w:tcW w:w="246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1.涉新增VOCs排放项目，实施区域内VOCs排放1.2倍削减替代。</w:t>
                  </w:r>
                </w:p>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2.包装印刷业烘干车间应安装吸附设备回收有机溶剂，车间有机废气净化效率不低于90%。</w:t>
                  </w:r>
                </w:p>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3.引进项目清洁生产水平须达到国内同行业先进水平。</w:t>
                  </w:r>
                </w:p>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4.园区废水依托的污水处</w:t>
                  </w:r>
                  <w:r>
                    <w:rPr>
                      <w:rFonts w:hint="eastAsia" w:cs="Times New Roman"/>
                      <w:color w:val="auto"/>
                      <w:sz w:val="21"/>
                      <w:szCs w:val="21"/>
                      <w:highlight w:val="none"/>
                      <w:lang w:val="en-US" w:eastAsia="zh-CN"/>
                    </w:rPr>
                    <w:t>理</w:t>
                  </w:r>
                  <w:r>
                    <w:rPr>
                      <w:rFonts w:hint="default" w:ascii="Times New Roman" w:hAnsi="Times New Roman" w:eastAsia="宋体" w:cs="Times New Roman"/>
                      <w:color w:val="auto"/>
                      <w:sz w:val="21"/>
                      <w:szCs w:val="21"/>
                      <w:highlight w:val="none"/>
                    </w:rPr>
                    <w:t>厂尾水执行《城镇污水</w:t>
                  </w:r>
                  <w:r>
                    <w:rPr>
                      <w:rFonts w:hint="eastAsia" w:cs="Times New Roman"/>
                      <w:color w:val="auto"/>
                      <w:sz w:val="21"/>
                      <w:szCs w:val="21"/>
                      <w:highlight w:val="none"/>
                      <w:lang w:val="en-US" w:eastAsia="zh-CN"/>
                    </w:rPr>
                    <w:t>处</w:t>
                  </w:r>
                  <w:r>
                    <w:rPr>
                      <w:rFonts w:hint="default" w:ascii="Times New Roman" w:hAnsi="Times New Roman" w:eastAsia="宋体" w:cs="Times New Roman"/>
                      <w:color w:val="auto"/>
                      <w:sz w:val="21"/>
                      <w:szCs w:val="21"/>
                      <w:highlight w:val="none"/>
                    </w:rPr>
                    <w:t>理厂污染物排放标准》中一级A标准要求。</w:t>
                  </w:r>
                </w:p>
              </w:tc>
              <w:tc>
                <w:tcPr>
                  <w:tcW w:w="1514" w:type="dxa"/>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项目</w:t>
                  </w:r>
                  <w:r>
                    <w:rPr>
                      <w:rFonts w:hint="default" w:ascii="Times New Roman" w:hAnsi="Times New Roman" w:eastAsia="宋体" w:cs="Times New Roman"/>
                      <w:color w:val="auto"/>
                      <w:sz w:val="21"/>
                      <w:szCs w:val="21"/>
                      <w:highlight w:val="none"/>
                    </w:rPr>
                    <w:t>VOCs排放</w:t>
                  </w:r>
                  <w:r>
                    <w:rPr>
                      <w:rFonts w:hint="eastAsia" w:cs="Times New Roman"/>
                      <w:color w:val="auto"/>
                      <w:sz w:val="21"/>
                      <w:szCs w:val="21"/>
                      <w:highlight w:val="none"/>
                      <w:lang w:val="en-US" w:eastAsia="zh-CN"/>
                    </w:rPr>
                    <w:t>实行</w:t>
                  </w:r>
                  <w:r>
                    <w:rPr>
                      <w:rFonts w:hint="default" w:ascii="Times New Roman" w:hAnsi="Times New Roman" w:eastAsia="宋体" w:cs="Times New Roman"/>
                      <w:color w:val="auto"/>
                      <w:sz w:val="21"/>
                      <w:szCs w:val="21"/>
                      <w:highlight w:val="none"/>
                    </w:rPr>
                    <w:t>1.2倍削减替代</w:t>
                  </w:r>
                  <w:r>
                    <w:rPr>
                      <w:rFonts w:hint="eastAsia" w:cs="Times New Roman"/>
                      <w:color w:val="auto"/>
                      <w:sz w:val="21"/>
                      <w:szCs w:val="21"/>
                      <w:highlight w:val="none"/>
                      <w:lang w:eastAsia="zh-CN"/>
                    </w:rPr>
                    <w:t>，</w:t>
                  </w:r>
                  <w:r>
                    <w:rPr>
                      <w:rFonts w:hint="eastAsia" w:ascii="宋体" w:hAnsi="宋体" w:eastAsia="宋体" w:cs="宋体"/>
                      <w:color w:val="auto"/>
                      <w:kern w:val="0"/>
                      <w:sz w:val="21"/>
                      <w:szCs w:val="21"/>
                      <w:highlight w:val="none"/>
                      <w:lang w:val="en-US" w:eastAsia="zh-CN" w:bidi="ar"/>
                    </w:rPr>
                    <w:t>废气采取水帘柜、喷淋塔、吸附装置等防治措施后可达标排放</w:t>
                  </w:r>
                  <w:r>
                    <w:rPr>
                      <w:rFonts w:hint="eastAsia" w:cs="Times New Roman"/>
                      <w:color w:val="auto"/>
                      <w:sz w:val="21"/>
                      <w:szCs w:val="21"/>
                      <w:highlight w:val="none"/>
                      <w:lang w:val="en-US" w:eastAsia="zh-CN"/>
                    </w:rPr>
                    <w:t>，清洁生产水平处于先进水平，</w:t>
                  </w:r>
                  <w:r>
                    <w:rPr>
                      <w:color w:val="auto"/>
                      <w:sz w:val="21"/>
                      <w:szCs w:val="21"/>
                      <w:highlight w:val="none"/>
                    </w:rPr>
                    <w:t>生活污水</w:t>
                  </w:r>
                  <w:r>
                    <w:rPr>
                      <w:rFonts w:hint="eastAsia" w:ascii="Times New Roman" w:hAnsi="Times New Roman" w:eastAsia="宋体" w:cs="Times New Roman"/>
                      <w:color w:val="auto"/>
                      <w:sz w:val="21"/>
                      <w:szCs w:val="21"/>
                      <w:highlight w:val="none"/>
                      <w:lang w:val="en-US" w:eastAsia="zh-CN"/>
                    </w:rPr>
                    <w:t>经化粪池预处理达标后纳入区域污水处理厂处理达标后排放</w:t>
                  </w:r>
                  <w:r>
                    <w:rPr>
                      <w:rFonts w:hint="eastAsia"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94" w:hRule="atLeast"/>
                <w:jc w:val="center"/>
              </w:trPr>
              <w:tc>
                <w:tcPr>
                  <w:tcW w:w="77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85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lang w:val="en-US" w:eastAsia="zh-CN"/>
                    </w:rPr>
                  </w:pPr>
                </w:p>
              </w:tc>
              <w:tc>
                <w:tcPr>
                  <w:tcW w:w="70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0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环境风险防控</w:t>
                  </w:r>
                </w:p>
              </w:tc>
              <w:tc>
                <w:tcPr>
                  <w:tcW w:w="246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1.建立健全环境风险防控体系，制定环境风险应急预案，建立完善有效的环境风险防控设施和有效的拦截、降污、导流等措施，防止泄漏物和事故废水污染地表水、地下水和土壤环境。</w:t>
                  </w:r>
                </w:p>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2.单元内现有具有潜在土壤污染环境风险的企业，应建立风险管控制度，完善污染治理设施，储备应急物资。污染地块列入修复地块名单，应当进行修复的，由造成污染的单位和个人负责被污染土壤的修复。</w:t>
                  </w:r>
                </w:p>
              </w:tc>
              <w:tc>
                <w:tcPr>
                  <w:tcW w:w="1514" w:type="dxa"/>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项目根据企业实际情况制定</w:t>
                  </w:r>
                  <w:r>
                    <w:rPr>
                      <w:rFonts w:hint="default" w:ascii="Times New Roman" w:hAnsi="Times New Roman" w:eastAsia="宋体" w:cs="Times New Roman"/>
                      <w:color w:val="auto"/>
                      <w:sz w:val="21"/>
                      <w:szCs w:val="21"/>
                      <w:highlight w:val="none"/>
                    </w:rPr>
                    <w:t>健全</w:t>
                  </w:r>
                  <w:r>
                    <w:rPr>
                      <w:rFonts w:hint="eastAsia" w:cs="Times New Roman"/>
                      <w:color w:val="auto"/>
                      <w:sz w:val="21"/>
                      <w:szCs w:val="21"/>
                      <w:highlight w:val="none"/>
                      <w:lang w:val="en-US" w:eastAsia="zh-CN"/>
                    </w:rPr>
                    <w:t>的</w:t>
                  </w:r>
                  <w:r>
                    <w:rPr>
                      <w:rFonts w:hint="default" w:ascii="Times New Roman" w:hAnsi="Times New Roman" w:eastAsia="宋体" w:cs="Times New Roman"/>
                      <w:color w:val="auto"/>
                      <w:sz w:val="21"/>
                      <w:szCs w:val="21"/>
                      <w:highlight w:val="none"/>
                    </w:rPr>
                    <w:t>环境风险防控</w:t>
                  </w:r>
                  <w:r>
                    <w:rPr>
                      <w:rFonts w:hint="eastAsia" w:cs="Times New Roman"/>
                      <w:color w:val="auto"/>
                      <w:sz w:val="21"/>
                      <w:szCs w:val="21"/>
                      <w:highlight w:val="none"/>
                      <w:lang w:eastAsia="zh-CN"/>
                    </w:rPr>
                    <w:t>体系，</w:t>
                  </w:r>
                  <w:r>
                    <w:rPr>
                      <w:rFonts w:hint="eastAsia" w:cs="Times New Roman"/>
                      <w:color w:val="auto"/>
                      <w:sz w:val="21"/>
                      <w:szCs w:val="21"/>
                      <w:highlight w:val="none"/>
                      <w:lang w:val="en-US" w:eastAsia="zh-CN"/>
                    </w:rPr>
                    <w:t>厂区实现地面</w:t>
                  </w:r>
                  <w:r>
                    <w:rPr>
                      <w:rFonts w:hint="eastAsia" w:ascii="Times New Roman" w:hAnsi="Times New Roman" w:eastAsia="宋体" w:cs="Times New Roman"/>
                      <w:color w:val="auto"/>
                      <w:sz w:val="21"/>
                      <w:szCs w:val="21"/>
                      <w:highlight w:val="none"/>
                      <w:lang w:val="en-US" w:eastAsia="zh-CN"/>
                    </w:rPr>
                    <w:t>硬化等条件，</w:t>
                  </w:r>
                  <w:r>
                    <w:rPr>
                      <w:rFonts w:hint="default" w:ascii="Times New Roman" w:hAnsi="Times New Roman" w:eastAsia="宋体" w:cs="Times New Roman"/>
                      <w:color w:val="auto"/>
                      <w:sz w:val="21"/>
                      <w:szCs w:val="21"/>
                      <w:highlight w:val="none"/>
                      <w:lang w:val="en-US" w:eastAsia="zh-CN"/>
                    </w:rPr>
                    <w:t>一般不会出现地下水、土壤环境污染</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43" w:hRule="atLeast"/>
                <w:jc w:val="center"/>
              </w:trPr>
              <w:tc>
                <w:tcPr>
                  <w:tcW w:w="77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85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lang w:val="en-US" w:eastAsia="zh-CN"/>
                    </w:rPr>
                  </w:pPr>
                </w:p>
              </w:tc>
              <w:tc>
                <w:tcPr>
                  <w:tcW w:w="70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0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资源开发效率要求</w:t>
                  </w:r>
                </w:p>
              </w:tc>
              <w:tc>
                <w:tcPr>
                  <w:tcW w:w="246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禁止使用高污染燃料，禁止新建、改建、扩建燃用高污染燃料的设施。</w:t>
                  </w:r>
                </w:p>
              </w:tc>
              <w:tc>
                <w:tcPr>
                  <w:tcW w:w="1514" w:type="dxa"/>
                  <w:tcBorders>
                    <w:tl2br w:val="nil"/>
                    <w:tr2bl w:val="nil"/>
                  </w:tcBorders>
                  <w:noWrap w:val="0"/>
                  <w:vAlign w:val="center"/>
                </w:tcPr>
                <w:p>
                  <w:pPr>
                    <w:keepNext w:val="0"/>
                    <w:keepLines w:val="0"/>
                    <w:widowControl/>
                    <w:suppressLineNumbers w:val="0"/>
                    <w:jc w:val="center"/>
                    <w:rPr>
                      <w:color w:val="auto"/>
                      <w:highlight w:val="none"/>
                    </w:rPr>
                  </w:pPr>
                  <w:r>
                    <w:rPr>
                      <w:rFonts w:hint="eastAsia" w:ascii="宋体" w:hAnsi="宋体" w:eastAsia="宋体" w:cs="宋体"/>
                      <w:color w:val="auto"/>
                      <w:kern w:val="0"/>
                      <w:sz w:val="21"/>
                      <w:szCs w:val="21"/>
                      <w:highlight w:val="none"/>
                      <w:lang w:val="en-US" w:eastAsia="zh-CN" w:bidi="ar"/>
                    </w:rPr>
                    <w:t>项目运营过程中所利用的资源主要为水、</w:t>
                  </w:r>
                </w:p>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电，均为清洁能源。</w:t>
                  </w:r>
                </w:p>
              </w:tc>
            </w:tr>
          </w:tbl>
          <w:p>
            <w:pPr>
              <w:pStyle w:val="34"/>
              <w:keepNext w:val="0"/>
              <w:keepLines w:val="0"/>
              <w:pageBreakBefore w:val="0"/>
              <w:widowControl w:val="0"/>
              <w:kinsoku/>
              <w:wordWrap/>
              <w:overflowPunct/>
              <w:topLinePunct w:val="0"/>
              <w:autoSpaceDE/>
              <w:autoSpaceDN/>
              <w:bidi w:val="0"/>
              <w:adjustRightInd/>
              <w:snapToGrid/>
              <w:spacing w:before="157" w:beforeLines="50" w:after="0"/>
              <w:ind w:left="0" w:leftChars="0" w:firstLine="48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对照上表，</w:t>
            </w:r>
            <w:r>
              <w:rPr>
                <w:rFonts w:hint="default" w:ascii="Times New Roman" w:hAnsi="Times New Roman" w:eastAsia="宋体" w:cs="Times New Roman"/>
                <w:color w:val="auto"/>
                <w:sz w:val="24"/>
                <w:szCs w:val="24"/>
                <w:highlight w:val="none"/>
                <w:lang w:eastAsia="zh-CN"/>
              </w:rPr>
              <w:t>项目建设符合</w:t>
            </w:r>
            <w:r>
              <w:rPr>
                <w:rFonts w:hint="default" w:ascii="Times New Roman" w:hAnsi="Times New Roman" w:eastAsia="宋体" w:cs="Times New Roman"/>
                <w:color w:val="auto"/>
                <w:sz w:val="24"/>
                <w:szCs w:val="24"/>
                <w:highlight w:val="none"/>
                <w:lang w:val="en-US" w:eastAsia="zh-CN"/>
              </w:rPr>
              <w:t>《泉州市人民政府关于实施“三线一单”生态环境分区管控的通知》（泉政文〔2021〕50号）文件关于“南安市环境管控单元准入要求”。</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综上所述，项目建设符合“三线一单”控制要求。 </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b/>
                <w:color w:val="auto"/>
                <w:sz w:val="24"/>
                <w:highlight w:val="none"/>
              </w:rPr>
            </w:pPr>
            <w:r>
              <w:rPr>
                <w:rFonts w:hint="eastAsia"/>
                <w:b/>
                <w:color w:val="auto"/>
                <w:sz w:val="24"/>
                <w:highlight w:val="none"/>
                <w:lang w:val="en-US" w:eastAsia="zh-CN"/>
              </w:rPr>
              <w:t>1.5、</w:t>
            </w:r>
            <w:r>
              <w:rPr>
                <w:b/>
                <w:color w:val="auto"/>
                <w:sz w:val="24"/>
                <w:highlight w:val="none"/>
              </w:rPr>
              <w:t>与《泉州市流域水环境保护工作实施方案》的符合性分析</w:t>
            </w:r>
          </w:p>
          <w:p>
            <w:pPr>
              <w:spacing w:line="360" w:lineRule="auto"/>
              <w:ind w:firstLine="480"/>
              <w:rPr>
                <w:color w:val="auto"/>
                <w:sz w:val="24"/>
                <w:highlight w:val="none"/>
              </w:rPr>
            </w:pPr>
            <w:r>
              <w:rPr>
                <w:color w:val="auto"/>
                <w:sz w:val="24"/>
                <w:highlight w:val="none"/>
              </w:rPr>
              <w:t>项目位于</w:t>
            </w:r>
            <w:r>
              <w:rPr>
                <w:rFonts w:hint="eastAsia"/>
                <w:bCs/>
                <w:color w:val="auto"/>
                <w:sz w:val="24"/>
                <w:highlight w:val="none"/>
              </w:rPr>
              <w:t>福建省泉州市</w:t>
            </w:r>
            <w:r>
              <w:rPr>
                <w:rFonts w:hint="eastAsia"/>
                <w:bCs/>
                <w:color w:val="auto"/>
                <w:sz w:val="24"/>
                <w:highlight w:val="none"/>
                <w:lang w:eastAsia="zh-CN"/>
              </w:rPr>
              <w:t>福建省南安市美林街道茂盛路1288号</w:t>
            </w:r>
            <w:r>
              <w:rPr>
                <w:rFonts w:hint="eastAsia"/>
                <w:bCs/>
                <w:color w:val="auto"/>
                <w:sz w:val="24"/>
                <w:highlight w:val="none"/>
              </w:rPr>
              <w:t>（</w:t>
            </w:r>
            <w:r>
              <w:rPr>
                <w:rFonts w:hint="eastAsia"/>
                <w:bCs/>
                <w:color w:val="auto"/>
                <w:sz w:val="24"/>
                <w:highlight w:val="none"/>
                <w:lang w:eastAsia="zh-CN"/>
              </w:rPr>
              <w:t>南</w:t>
            </w:r>
            <w:r>
              <w:rPr>
                <w:rFonts w:hint="eastAsia" w:ascii="Times New Roman" w:hAnsi="Times New Roman" w:eastAsia="宋体" w:cs="Times New Roman"/>
                <w:color w:val="auto"/>
                <w:sz w:val="24"/>
                <w:highlight w:val="none"/>
                <w:lang w:eastAsia="zh-CN"/>
              </w:rPr>
              <w:t>安经济开发区扶茂工业园中心片区内</w:t>
            </w:r>
            <w:r>
              <w:rPr>
                <w:rFonts w:hint="eastAsia"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项目主要从事金属水暖卫浴配件、塑料卫浴配件、浴室柜、进水软管的生产，</w:t>
            </w:r>
            <w:r>
              <w:rPr>
                <w:rFonts w:hint="eastAsia" w:ascii="Times New Roman" w:hAnsi="Times New Roman" w:eastAsia="宋体" w:cs="Times New Roman"/>
                <w:color w:val="auto"/>
                <w:sz w:val="24"/>
                <w:highlight w:val="none"/>
              </w:rPr>
              <w:t>项目</w:t>
            </w:r>
            <w:r>
              <w:rPr>
                <w:rFonts w:hint="eastAsia" w:ascii="Times New Roman" w:hAnsi="Times New Roman" w:eastAsia="宋体" w:cs="Times New Roman"/>
                <w:color w:val="auto"/>
                <w:sz w:val="24"/>
                <w:highlight w:val="none"/>
                <w:lang w:val="en-US" w:eastAsia="zh-CN"/>
              </w:rPr>
              <w:t>建设</w:t>
            </w:r>
            <w:r>
              <w:rPr>
                <w:rFonts w:hint="eastAsia"/>
                <w:color w:val="auto"/>
                <w:sz w:val="24"/>
                <w:highlight w:val="none"/>
              </w:rPr>
              <w:t>符合当地产业发展规划和产业政策要求</w:t>
            </w:r>
            <w:r>
              <w:rPr>
                <w:color w:val="auto"/>
                <w:sz w:val="24"/>
                <w:highlight w:val="none"/>
              </w:rPr>
              <w:t>，</w:t>
            </w:r>
            <w:r>
              <w:rPr>
                <w:rFonts w:hint="eastAsia"/>
                <w:color w:val="auto"/>
                <w:sz w:val="24"/>
                <w:highlight w:val="none"/>
                <w:lang w:val="en-US" w:eastAsia="zh-CN"/>
              </w:rPr>
              <w:t>项目无</w:t>
            </w:r>
            <w:r>
              <w:rPr>
                <w:color w:val="auto"/>
                <w:sz w:val="24"/>
                <w:highlight w:val="none"/>
              </w:rPr>
              <w:t>生产废水</w:t>
            </w:r>
            <w:r>
              <w:rPr>
                <w:rFonts w:hint="eastAsia"/>
                <w:color w:val="auto"/>
                <w:sz w:val="24"/>
                <w:highlight w:val="none"/>
                <w:lang w:val="en-US" w:eastAsia="zh-CN"/>
              </w:rPr>
              <w:t>产生</w:t>
            </w:r>
            <w:r>
              <w:rPr>
                <w:color w:val="auto"/>
                <w:sz w:val="24"/>
                <w:highlight w:val="none"/>
              </w:rPr>
              <w:t>，生活污水</w:t>
            </w:r>
            <w:r>
              <w:rPr>
                <w:rFonts w:hint="eastAsia"/>
                <w:color w:val="auto"/>
                <w:sz w:val="24"/>
                <w:highlight w:val="none"/>
                <w:lang w:val="en-US" w:eastAsia="zh-CN"/>
              </w:rPr>
              <w:t>经化粪池预处理达标后纳入污水处理厂处理达标后排入</w:t>
            </w:r>
            <w:r>
              <w:rPr>
                <w:rFonts w:hint="eastAsia"/>
                <w:color w:val="auto"/>
                <w:sz w:val="24"/>
                <w:highlight w:val="none"/>
              </w:rPr>
              <w:t>西溪，</w:t>
            </w:r>
            <w:r>
              <w:rPr>
                <w:rFonts w:hint="eastAsia"/>
                <w:color w:val="auto"/>
                <w:sz w:val="24"/>
                <w:highlight w:val="none"/>
                <w:lang w:val="en-US" w:eastAsia="zh-CN"/>
              </w:rPr>
              <w:t>处理达标后对西溪影响很小</w:t>
            </w:r>
            <w:r>
              <w:rPr>
                <w:rFonts w:hint="eastAsia"/>
                <w:color w:val="auto"/>
                <w:sz w:val="24"/>
                <w:highlight w:val="none"/>
              </w:rPr>
              <w:t>。</w:t>
            </w:r>
            <w:r>
              <w:rPr>
                <w:color w:val="auto"/>
                <w:sz w:val="24"/>
                <w:highlight w:val="none"/>
              </w:rPr>
              <w:t>根据《泉州市流域水环境保护工作实施方案（2017-2021年）》，项目不属于：“</w:t>
            </w:r>
            <w:r>
              <w:rPr>
                <w:rFonts w:hint="eastAsia"/>
                <w:color w:val="auto"/>
                <w:sz w:val="24"/>
                <w:highlight w:val="none"/>
              </w:rPr>
              <w:t>①</w:t>
            </w:r>
            <w:r>
              <w:rPr>
                <w:color w:val="auto"/>
                <w:sz w:val="24"/>
                <w:highlight w:val="none"/>
              </w:rPr>
              <w:t>淘汰落后产能。依据部分工业行业淘汰落后生产工艺设备和产品指导目录、产业结构调整指导目录及相关行业污染物排放标准，结合水环境质量改善要求、产业发展情况、国家及省级总体方案部署，制定落后产能淘汰方案并分年度实施。</w:t>
            </w:r>
            <w:r>
              <w:rPr>
                <w:rFonts w:hint="eastAsia"/>
                <w:color w:val="auto"/>
                <w:sz w:val="24"/>
                <w:highlight w:val="none"/>
              </w:rPr>
              <w:t>②</w:t>
            </w:r>
            <w:r>
              <w:rPr>
                <w:color w:val="auto"/>
                <w:sz w:val="24"/>
                <w:highlight w:val="none"/>
              </w:rPr>
              <w:t>严格环境准入。晋江、洛阳江上游不再审批化工（单纯混合或分装除外）、</w:t>
            </w:r>
            <w:r>
              <w:rPr>
                <w:rFonts w:hint="eastAsia"/>
                <w:color w:val="auto"/>
                <w:sz w:val="24"/>
                <w:highlight w:val="none"/>
              </w:rPr>
              <w:t>电镀、制革、染料、农药、印染、铅蓄电池、造纸等可能影响晋江、洛阳江饮用水源水质安全的建设项目”，因此项目的建设与《泉州市流域水环境保护工作实施方案（</w:t>
            </w:r>
            <w:r>
              <w:rPr>
                <w:color w:val="auto"/>
                <w:sz w:val="24"/>
                <w:highlight w:val="none"/>
              </w:rPr>
              <w:t>2017-2021年）》相符合。</w:t>
            </w:r>
          </w:p>
          <w:p>
            <w:pPr>
              <w:autoSpaceDE w:val="0"/>
              <w:autoSpaceDN w:val="0"/>
              <w:adjustRightInd w:val="0"/>
              <w:snapToGrid w:val="0"/>
              <w:spacing w:line="360" w:lineRule="auto"/>
              <w:jc w:val="left"/>
              <w:rPr>
                <w:b/>
                <w:bCs/>
                <w:color w:val="auto"/>
                <w:kern w:val="0"/>
                <w:sz w:val="24"/>
                <w:highlight w:val="none"/>
              </w:rPr>
            </w:pPr>
            <w:r>
              <w:rPr>
                <w:rFonts w:hint="eastAsia"/>
                <w:b/>
                <w:bCs/>
                <w:color w:val="auto"/>
                <w:kern w:val="0"/>
                <w:sz w:val="24"/>
                <w:highlight w:val="none"/>
                <w:lang w:val="en-US" w:eastAsia="zh-CN"/>
              </w:rPr>
              <w:t>1.6、</w:t>
            </w:r>
            <w:r>
              <w:rPr>
                <w:rFonts w:hint="eastAsia"/>
                <w:b/>
                <w:bCs/>
                <w:color w:val="auto"/>
                <w:kern w:val="0"/>
                <w:sz w:val="24"/>
                <w:highlight w:val="none"/>
              </w:rPr>
              <w:t>项目与周围环境相容性分析</w:t>
            </w:r>
          </w:p>
          <w:p>
            <w:pPr>
              <w:pStyle w:val="10"/>
              <w:keepNext w:val="0"/>
              <w:keepLines w:val="0"/>
              <w:pageBreakBefore w:val="0"/>
              <w:kinsoku/>
              <w:wordWrap/>
              <w:overflowPunct/>
              <w:topLinePunct w:val="0"/>
              <w:autoSpaceDE/>
              <w:autoSpaceDN/>
              <w:bidi w:val="0"/>
              <w:adjustRightInd w:val="0"/>
              <w:snapToGrid w:val="0"/>
              <w:spacing w:before="0" w:beforeLines="0" w:line="360" w:lineRule="auto"/>
              <w:ind w:firstLine="48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项目位</w:t>
            </w:r>
            <w:r>
              <w:rPr>
                <w:rFonts w:hint="default" w:ascii="Times New Roman" w:hAnsi="Times New Roman" w:eastAsia="宋体" w:cs="Times New Roman"/>
                <w:color w:val="auto"/>
                <w:sz w:val="24"/>
                <w:szCs w:val="24"/>
                <w:highlight w:val="none"/>
                <w:lang w:val="en-GB" w:eastAsia="zh-CN"/>
              </w:rPr>
              <w:t>于</w:t>
            </w:r>
            <w:r>
              <w:rPr>
                <w:rFonts w:hint="default" w:ascii="Times New Roman" w:hAnsi="Times New Roman" w:eastAsia="宋体" w:cs="Times New Roman"/>
                <w:color w:val="auto"/>
                <w:sz w:val="24"/>
                <w:szCs w:val="24"/>
                <w:highlight w:val="none"/>
                <w:lang w:val="en-US" w:eastAsia="zh-CN"/>
              </w:rPr>
              <w:t>福建省泉州市</w:t>
            </w:r>
            <w:r>
              <w:rPr>
                <w:rFonts w:hint="eastAsia" w:ascii="Times New Roman" w:hAnsi="Times New Roman" w:eastAsia="宋体" w:cs="Times New Roman"/>
                <w:color w:val="auto"/>
                <w:sz w:val="24"/>
                <w:szCs w:val="24"/>
                <w:highlight w:val="none"/>
                <w:lang w:val="en-US" w:eastAsia="zh-CN"/>
              </w:rPr>
              <w:t>福建省南安市美林街道茂盛路1288号</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南安经济开发区扶茂工业园中心片区内</w:t>
            </w:r>
            <w:r>
              <w:rPr>
                <w:rFonts w:hint="default" w:ascii="Times New Roman" w:hAnsi="Times New Roman" w:eastAsia="宋体" w:cs="Times New Roman"/>
                <w:color w:val="auto"/>
                <w:sz w:val="24"/>
                <w:szCs w:val="24"/>
                <w:highlight w:val="none"/>
                <w:lang w:val="en-US" w:eastAsia="zh-CN"/>
              </w:rPr>
              <w:t>），经核实项目周边情况，项目</w:t>
            </w:r>
            <w:r>
              <w:rPr>
                <w:rFonts w:hint="eastAsia" w:ascii="Times New Roman" w:hAnsi="Times New Roman" w:eastAsia="宋体" w:cs="Times New Roman"/>
                <w:color w:val="auto"/>
                <w:sz w:val="24"/>
                <w:szCs w:val="24"/>
                <w:highlight w:val="none"/>
                <w:lang w:val="en-US" w:eastAsia="zh-CN"/>
              </w:rPr>
              <w:t>北</w:t>
            </w:r>
            <w:r>
              <w:rPr>
                <w:rFonts w:hint="default" w:ascii="Times New Roman" w:hAnsi="Times New Roman" w:eastAsia="宋体" w:cs="Times New Roman"/>
                <w:color w:val="auto"/>
                <w:sz w:val="24"/>
                <w:szCs w:val="24"/>
                <w:highlight w:val="none"/>
                <w:lang w:val="en-US" w:eastAsia="zh-CN"/>
              </w:rPr>
              <w:t>侧为</w:t>
            </w:r>
            <w:r>
              <w:rPr>
                <w:rFonts w:hint="eastAsia" w:ascii="Times New Roman" w:hAnsi="Times New Roman" w:eastAsia="宋体" w:cs="Times New Roman"/>
                <w:color w:val="auto"/>
                <w:sz w:val="24"/>
                <w:szCs w:val="24"/>
                <w:highlight w:val="none"/>
                <w:lang w:val="en-US" w:eastAsia="zh-CN"/>
              </w:rPr>
              <w:t>特一阀门用地</w:t>
            </w:r>
            <w:r>
              <w:rPr>
                <w:rFonts w:hint="default" w:ascii="Times New Roman" w:hAnsi="Times New Roman" w:eastAsia="宋体" w:cs="Times New Roman"/>
                <w:color w:val="auto"/>
                <w:sz w:val="24"/>
                <w:szCs w:val="24"/>
                <w:highlight w:val="none"/>
                <w:lang w:val="en-US" w:eastAsia="zh-CN"/>
              </w:rPr>
              <w:t>，东侧为</w:t>
            </w:r>
            <w:r>
              <w:rPr>
                <w:rFonts w:hint="eastAsia" w:ascii="Times New Roman" w:eastAsia="宋体" w:cs="Times New Roman"/>
                <w:color w:val="auto"/>
                <w:sz w:val="24"/>
                <w:szCs w:val="24"/>
                <w:highlight w:val="none"/>
                <w:lang w:val="en-US" w:eastAsia="zh-CN"/>
              </w:rPr>
              <w:t>双利阀门用地</w:t>
            </w:r>
            <w:r>
              <w:rPr>
                <w:rFonts w:hint="eastAsia" w:ascii="Times New Roman" w:hAnsi="Times New Roman" w:eastAsia="宋体" w:cs="Times New Roman"/>
                <w:color w:val="auto"/>
                <w:sz w:val="24"/>
                <w:szCs w:val="24"/>
                <w:highlight w:val="none"/>
                <w:lang w:val="en-US" w:eastAsia="zh-CN"/>
              </w:rPr>
              <w:t>和中轻和成股份有限公司</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南侧隔茂盛中路为科牧卫浴集团</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西</w:t>
            </w:r>
            <w:r>
              <w:rPr>
                <w:rFonts w:hint="default" w:ascii="Times New Roman" w:hAnsi="Times New Roman" w:eastAsia="宋体" w:cs="Times New Roman"/>
                <w:color w:val="auto"/>
                <w:sz w:val="24"/>
                <w:szCs w:val="24"/>
                <w:highlight w:val="none"/>
                <w:lang w:val="en-US" w:eastAsia="zh-CN"/>
              </w:rPr>
              <w:t>侧为</w:t>
            </w:r>
            <w:r>
              <w:rPr>
                <w:rFonts w:hint="eastAsia" w:ascii="Times New Roman" w:hAnsi="Times New Roman" w:eastAsia="宋体" w:cs="Times New Roman"/>
                <w:color w:val="auto"/>
                <w:sz w:val="24"/>
                <w:szCs w:val="24"/>
                <w:highlight w:val="none"/>
                <w:lang w:val="en-US" w:eastAsia="zh-CN"/>
              </w:rPr>
              <w:t>鸿乾五金用地</w:t>
            </w:r>
            <w:r>
              <w:rPr>
                <w:rFonts w:hint="default" w:ascii="Times New Roman" w:hAnsi="Times New Roman" w:eastAsia="宋体" w:cs="Times New Roman"/>
                <w:color w:val="auto"/>
                <w:sz w:val="24"/>
                <w:szCs w:val="24"/>
                <w:highlight w:val="none"/>
                <w:lang w:val="en-US" w:eastAsia="zh-CN"/>
              </w:rPr>
              <w:t>，离项目较近的环境保护目标为项目西</w:t>
            </w:r>
            <w:r>
              <w:rPr>
                <w:rFonts w:hint="eastAsia" w:ascii="Times New Roman" w:eastAsia="宋体" w:cs="Times New Roman"/>
                <w:color w:val="auto"/>
                <w:sz w:val="24"/>
                <w:szCs w:val="24"/>
                <w:highlight w:val="none"/>
                <w:lang w:val="en-US" w:eastAsia="zh-CN"/>
              </w:rPr>
              <w:t>北</w:t>
            </w:r>
            <w:r>
              <w:rPr>
                <w:rFonts w:hint="default" w:ascii="Times New Roman" w:hAnsi="Times New Roman" w:eastAsia="宋体" w:cs="Times New Roman"/>
                <w:color w:val="auto"/>
                <w:sz w:val="24"/>
                <w:szCs w:val="24"/>
                <w:highlight w:val="none"/>
                <w:lang w:val="en-US" w:eastAsia="zh-CN"/>
              </w:rPr>
              <w:t>侧</w:t>
            </w:r>
            <w:r>
              <w:rPr>
                <w:rFonts w:hint="eastAsia" w:ascii="Times New Roman" w:eastAsia="宋体" w:cs="Times New Roman"/>
                <w:color w:val="auto"/>
                <w:sz w:val="24"/>
                <w:szCs w:val="24"/>
                <w:highlight w:val="none"/>
                <w:lang w:val="en-US" w:eastAsia="zh-CN"/>
              </w:rPr>
              <w:t>146</w:t>
            </w:r>
            <w:r>
              <w:rPr>
                <w:rFonts w:hint="default" w:ascii="Times New Roman" w:hAnsi="Times New Roman" w:eastAsia="宋体" w:cs="Times New Roman"/>
                <w:color w:val="auto"/>
                <w:sz w:val="24"/>
                <w:szCs w:val="24"/>
                <w:highlight w:val="none"/>
                <w:lang w:val="en-US" w:eastAsia="zh-CN"/>
              </w:rPr>
              <w:t>m处的九牧生活区和西南侧</w:t>
            </w:r>
            <w:r>
              <w:rPr>
                <w:rFonts w:hint="eastAsia" w:ascii="Times New Roman" w:hAnsi="Times New Roman" w:eastAsia="宋体" w:cs="Times New Roman"/>
                <w:color w:val="auto"/>
                <w:sz w:val="24"/>
                <w:szCs w:val="24"/>
                <w:highlight w:val="none"/>
                <w:lang w:val="en-US" w:eastAsia="zh-CN"/>
              </w:rPr>
              <w:t>195</w:t>
            </w:r>
            <w:r>
              <w:rPr>
                <w:rFonts w:hint="default" w:ascii="Times New Roman" w:hAnsi="Times New Roman" w:eastAsia="宋体" w:cs="Times New Roman"/>
                <w:color w:val="auto"/>
                <w:sz w:val="24"/>
                <w:szCs w:val="24"/>
                <w:highlight w:val="none"/>
                <w:lang w:val="en-US" w:eastAsia="zh-CN"/>
              </w:rPr>
              <w:t>m处的溪洲村居民区，项目在送生态环境部门受理之前</w:t>
            </w: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"http://www.fjhb.org/portal.php?mod=view&amp;aid=18848）对本项目环评报告进行全文公示，公示时间为5个工作日，信息公开期间，没有收到相关群众的反馈意见，公示截图见附图8。"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olor w:val="auto"/>
                <w:sz w:val="24"/>
                <w:szCs w:val="24"/>
                <w:highlight w:val="none"/>
                <w:lang w:val="en-US" w:eastAsia="zh-CN"/>
              </w:rPr>
              <w:t>对本项目环评报告进行了</w:t>
            </w:r>
            <w:r>
              <w:rPr>
                <w:rFonts w:hint="eastAsia" w:ascii="Times New Roman" w:eastAsia="宋体" w:cs="Times New Roman"/>
                <w:color w:val="auto"/>
                <w:sz w:val="24"/>
                <w:szCs w:val="24"/>
                <w:highlight w:val="none"/>
                <w:lang w:val="en-US" w:eastAsia="zh-CN"/>
              </w:rPr>
              <w:t>网络信息公开</w:t>
            </w:r>
            <w:r>
              <w:rPr>
                <w:rFonts w:hint="default" w:ascii="Times New Roman" w:hAnsi="Times New Roman" w:eastAsia="宋体" w:cs="Times New Roman"/>
                <w:color w:val="auto"/>
                <w:sz w:val="24"/>
                <w:szCs w:val="24"/>
                <w:highlight w:val="none"/>
                <w:lang w:val="en-US" w:eastAsia="zh-CN"/>
              </w:rPr>
              <w:t>，信息公开期间没有收到相关群众的反馈意见，</w:t>
            </w:r>
            <w:r>
              <w:rPr>
                <w:rFonts w:hint="default" w:ascii="Times New Roman" w:hAnsi="Times New Roman" w:eastAsia="宋体" w:cs="Times New Roman"/>
                <w:color w:val="auto"/>
                <w:sz w:val="24"/>
                <w:szCs w:val="24"/>
                <w:highlight w:val="none"/>
                <w:lang w:val="en-US" w:eastAsia="zh-CN"/>
              </w:rPr>
              <w:fldChar w:fldCharType="end"/>
            </w:r>
            <w:r>
              <w:rPr>
                <w:rFonts w:hint="default" w:ascii="Times New Roman" w:hAnsi="Times New Roman" w:eastAsia="宋体" w:cs="Times New Roman"/>
                <w:color w:val="auto"/>
                <w:sz w:val="24"/>
                <w:szCs w:val="24"/>
                <w:highlight w:val="none"/>
                <w:lang w:val="en-US" w:eastAsia="zh-CN"/>
              </w:rPr>
              <w:t>在采取相应的措施后，项目</w:t>
            </w:r>
            <w:r>
              <w:rPr>
                <w:rFonts w:hint="eastAsia" w:ascii="Times New Roman" w:eastAsia="宋体" w:cs="Times New Roman"/>
                <w:color w:val="auto"/>
                <w:sz w:val="24"/>
                <w:szCs w:val="24"/>
                <w:highlight w:val="none"/>
                <w:lang w:val="en-US" w:eastAsia="zh-CN"/>
              </w:rPr>
              <w:t>废水、</w:t>
            </w:r>
            <w:r>
              <w:rPr>
                <w:rFonts w:hint="default" w:ascii="Times New Roman" w:hAnsi="Times New Roman" w:eastAsia="宋体" w:cs="Times New Roman"/>
                <w:color w:val="auto"/>
                <w:sz w:val="24"/>
                <w:szCs w:val="24"/>
                <w:highlight w:val="none"/>
                <w:lang w:val="en-US" w:eastAsia="zh-CN"/>
              </w:rPr>
              <w:t>废气、噪声对周边</w:t>
            </w:r>
            <w:r>
              <w:rPr>
                <w:rFonts w:hint="eastAsia" w:ascii="Times New Roman" w:hAnsi="Times New Roman" w:eastAsia="宋体" w:cs="Times New Roman"/>
                <w:color w:val="auto"/>
                <w:kern w:val="0"/>
                <w:sz w:val="24"/>
                <w:szCs w:val="24"/>
                <w:highlight w:val="none"/>
                <w:lang w:val="en-US" w:eastAsia="zh-CN" w:bidi="ar"/>
              </w:rPr>
              <w:t>环境保护目标</w:t>
            </w:r>
            <w:r>
              <w:rPr>
                <w:rFonts w:hint="default" w:ascii="Times New Roman" w:hAnsi="Times New Roman" w:eastAsia="宋体" w:cs="Times New Roman"/>
                <w:color w:val="auto"/>
                <w:sz w:val="24"/>
                <w:szCs w:val="24"/>
                <w:highlight w:val="none"/>
                <w:lang w:val="en-US" w:eastAsia="zh-CN"/>
              </w:rPr>
              <w:t>影响小；项目所在地周围没有珍稀动植物、名胜古迹和自然保护区等需特殊保护的区域，所在区域环境质量良好，对项目污染因子有一定环境容量；通过对项目生产过程的分析结果，本环评认为，只要该项目自觉遵守有关法律法规，切实落实各项环保治理设施的建设，并保证各设施正常运行，实现各项污染物达标排放，项目建设对周边环境影响不大，与周边环境相容。从自然、社会条件来看，项目在利用当地的土地、人力资源、现有的交通、电力设施等方面的选择是适宜的。</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1.7、生态功能区划符合性</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根据《南安市生态功能区划修编（2013年）》中南安市生态功能区划图，项目选址于</w:t>
            </w:r>
            <w:r>
              <w:rPr>
                <w:rFonts w:hint="eastAsia" w:ascii="Times New Roman" w:hAnsi="Times New Roman" w:eastAsia="宋体" w:cs="Times New Roman"/>
                <w:color w:val="auto"/>
                <w:sz w:val="24"/>
                <w:szCs w:val="24"/>
                <w:highlight w:val="none"/>
                <w:lang w:val="en-US" w:eastAsia="zh-CN"/>
              </w:rPr>
              <w:t>福建省泉州市</w:t>
            </w:r>
            <w:r>
              <w:rPr>
                <w:rFonts w:hint="eastAsia" w:cs="Times New Roman"/>
                <w:color w:val="auto"/>
                <w:sz w:val="24"/>
                <w:szCs w:val="24"/>
                <w:highlight w:val="none"/>
                <w:lang w:val="en-US" w:eastAsia="zh-CN"/>
              </w:rPr>
              <w:t>福建省南安市美林街道茂盛路1288号</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南安经济开发区扶茂工业园中心片区内</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，属于</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南安中西部西溪流域低山丘陵城镇工业与农业生态功能小区（410158305）</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，项目用地性质为工业用地，建设项目属于工业项目，因此，项目建设和南安市生态功能区划相符合。</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1.8、清洁生产分析</w:t>
            </w:r>
          </w:p>
          <w:p>
            <w:pPr>
              <w:adjustRightInd w:val="0"/>
              <w:snapToGrid w:val="0"/>
              <w:spacing w:line="360" w:lineRule="auto"/>
              <w:ind w:firstLine="480" w:firstLineChars="200"/>
              <w:jc w:val="left"/>
              <w:outlineLvl w:val="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清洁生产的内容包括清洁的产品、清洁的生产过程和清洁服务三个方面。一般说来，对一个生产过程影响的因素主要包括生产工艺与装备要求、资源能源利用指标、产品指标、污染物产生指标、废物回收利用指标、环境管理要求等。本评价简要分析如下：</w:t>
            </w:r>
          </w:p>
          <w:p>
            <w:pPr>
              <w:adjustRightInd w:val="0"/>
              <w:snapToGrid w:val="0"/>
              <w:spacing w:line="360" w:lineRule="auto"/>
              <w:ind w:firstLine="480" w:firstLineChars="200"/>
              <w:jc w:val="left"/>
              <w:outlineLvl w:val="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（1）生产工艺与装备要求</w:t>
            </w:r>
          </w:p>
          <w:p>
            <w:pPr>
              <w:adjustRightInd w:val="0"/>
              <w:snapToGrid w:val="0"/>
              <w:spacing w:line="360" w:lineRule="auto"/>
              <w:ind w:firstLine="480" w:firstLineChars="200"/>
              <w:jc w:val="left"/>
              <w:outlineLvl w:val="2"/>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highlight w:val="none"/>
                <w:lang w:val="en-US" w:eastAsia="zh-CN"/>
              </w:rPr>
              <w:t>项目主要从事金属水暖卫浴配件、塑料卫浴配件、浴室柜、进水软管的生产，属于水暖厨卫行业</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不属于《产业结构调整指导目录（20</w:t>
            </w:r>
            <w:r>
              <w:rPr>
                <w:rFonts w:hint="default" w:ascii="Times New Roman" w:hAnsi="Times New Roman" w:eastAsia="宋体" w:cs="Times New Roman"/>
                <w:color w:val="auto"/>
                <w:sz w:val="24"/>
                <w:szCs w:val="24"/>
                <w:highlight w:val="none"/>
                <w:lang w:val="en-US" w:eastAsia="zh-CN"/>
              </w:rPr>
              <w:t>19</w:t>
            </w:r>
            <w:r>
              <w:rPr>
                <w:rFonts w:hint="default" w:ascii="Times New Roman" w:hAnsi="Times New Roman" w:eastAsia="宋体" w:cs="Times New Roman"/>
                <w:color w:val="auto"/>
                <w:sz w:val="24"/>
                <w:szCs w:val="24"/>
                <w:highlight w:val="none"/>
              </w:rPr>
              <w:t>年本）》中限制类、淘汰类项目，且生产</w:t>
            </w:r>
            <w:r>
              <w:rPr>
                <w:rFonts w:hint="default" w:ascii="Times New Roman" w:hAnsi="Times New Roman" w:eastAsia="宋体" w:cs="Times New Roman"/>
                <w:color w:val="auto"/>
                <w:sz w:val="24"/>
                <w:szCs w:val="24"/>
                <w:highlight w:val="none"/>
                <w:lang w:val="en-US" w:eastAsia="zh-CN"/>
              </w:rPr>
              <w:t>工</w:t>
            </w:r>
            <w:r>
              <w:rPr>
                <w:rFonts w:hint="default" w:ascii="Times New Roman" w:hAnsi="Times New Roman" w:eastAsia="宋体" w:cs="Times New Roman"/>
                <w:color w:val="auto"/>
                <w:sz w:val="24"/>
                <w:szCs w:val="24"/>
                <w:highlight w:val="none"/>
              </w:rPr>
              <w:t>艺装备不属于《部分工业行业淘汰落后生产工艺装备和产品指导目录（2010 年本）》（工产业〔2010〕第122 号公告）确定的淘汰落后生产工艺装备和产品目录。</w:t>
            </w:r>
          </w:p>
          <w:p>
            <w:pPr>
              <w:adjustRightInd w:val="0"/>
              <w:snapToGrid w:val="0"/>
              <w:spacing w:line="360" w:lineRule="auto"/>
              <w:ind w:firstLine="480" w:firstLineChars="200"/>
              <w:jc w:val="left"/>
              <w:outlineLvl w:val="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（2）资源能源利用指标</w:t>
            </w:r>
          </w:p>
          <w:p>
            <w:pPr>
              <w:adjustRightInd w:val="0"/>
              <w:snapToGrid w:val="0"/>
              <w:spacing w:line="360" w:lineRule="auto"/>
              <w:ind w:firstLine="480" w:firstLineChars="200"/>
              <w:jc w:val="left"/>
              <w:outlineLvl w:val="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本项目不涉及使用燃煤、燃油等污染较大的燃料。</w:t>
            </w:r>
            <w:r>
              <w:rPr>
                <w:rFonts w:hint="default" w:ascii="Times New Roman" w:hAnsi="Times New Roman" w:eastAsia="宋体" w:cs="Times New Roman"/>
                <w:color w:val="auto"/>
                <w:sz w:val="24"/>
                <w:szCs w:val="24"/>
                <w:highlight w:val="none"/>
                <w:lang w:eastAsia="zh-CN"/>
              </w:rPr>
              <w:t>项目建设过程中所利用的资源主要为水资源</w:t>
            </w:r>
            <w:r>
              <w:rPr>
                <w:rFonts w:hint="default" w:ascii="Times New Roman" w:hAnsi="Times New Roman" w:eastAsia="宋体" w:cs="Times New Roman"/>
                <w:color w:val="auto"/>
                <w:sz w:val="24"/>
                <w:szCs w:val="24"/>
                <w:highlight w:val="none"/>
                <w:lang w:val="en-US" w:eastAsia="zh-CN"/>
              </w:rPr>
              <w:t>和电</w:t>
            </w:r>
            <w:r>
              <w:rPr>
                <w:rFonts w:hint="default" w:ascii="Times New Roman" w:hAnsi="Times New Roman" w:eastAsia="宋体" w:cs="Times New Roman"/>
                <w:color w:val="auto"/>
                <w:sz w:val="24"/>
                <w:szCs w:val="24"/>
                <w:highlight w:val="none"/>
                <w:lang w:eastAsia="zh-CN"/>
              </w:rPr>
              <w:t>，均为清洁能源</w:t>
            </w:r>
            <w:r>
              <w:rPr>
                <w:rFonts w:hint="default" w:ascii="Times New Roman" w:hAnsi="Times New Roman" w:eastAsia="宋体" w:cs="Times New Roman"/>
                <w:color w:val="auto"/>
                <w:sz w:val="24"/>
                <w:szCs w:val="24"/>
                <w:highlight w:val="none"/>
              </w:rPr>
              <w:t>。选用节能型设备，并且设备自动化</w:t>
            </w:r>
            <w:r>
              <w:rPr>
                <w:rFonts w:hint="default" w:ascii="Times New Roman" w:hAnsi="Times New Roman" w:eastAsia="宋体" w:cs="Times New Roman"/>
                <w:color w:val="auto"/>
                <w:sz w:val="24"/>
                <w:szCs w:val="24"/>
                <w:highlight w:val="none"/>
                <w:lang w:val="en-US" w:eastAsia="zh-CN"/>
              </w:rPr>
              <w:t>程度高</w:t>
            </w:r>
            <w:r>
              <w:rPr>
                <w:rFonts w:hint="default" w:ascii="Times New Roman" w:hAnsi="Times New Roman" w:eastAsia="宋体" w:cs="Times New Roman"/>
                <w:color w:val="auto"/>
                <w:sz w:val="24"/>
                <w:szCs w:val="24"/>
                <w:highlight w:val="none"/>
              </w:rPr>
              <w:t>，效率高，能耗低。</w:t>
            </w:r>
          </w:p>
          <w:p>
            <w:pPr>
              <w:adjustRightInd w:val="0"/>
              <w:snapToGrid w:val="0"/>
              <w:spacing w:line="360" w:lineRule="auto"/>
              <w:ind w:firstLine="480" w:firstLineChars="200"/>
              <w:jc w:val="left"/>
              <w:outlineLvl w:val="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（3）产品指标</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outlineLvl w:val="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本项目生产过程所用原料</w:t>
            </w:r>
            <w:r>
              <w:rPr>
                <w:rFonts w:hint="default" w:ascii="Times New Roman" w:hAnsi="Times New Roman" w:eastAsia="宋体" w:cs="Times New Roman"/>
                <w:color w:val="auto"/>
                <w:sz w:val="24"/>
                <w:szCs w:val="24"/>
                <w:highlight w:val="none"/>
                <w:lang w:val="en-US" w:eastAsia="zh-CN"/>
              </w:rPr>
              <w:t>均为市面上较为常见的材料，均合格，</w:t>
            </w:r>
            <w:r>
              <w:rPr>
                <w:rFonts w:hint="default" w:ascii="Times New Roman" w:hAnsi="Times New Roman" w:eastAsia="宋体" w:cs="Times New Roman"/>
                <w:color w:val="auto"/>
                <w:sz w:val="24"/>
                <w:szCs w:val="24"/>
                <w:highlight w:val="none"/>
              </w:rPr>
              <w:t>不会对销售、消费环节造成污染。</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outlineLvl w:val="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综上，本项目各类产品的指标符合清洁生产基本要求。</w:t>
            </w:r>
          </w:p>
          <w:p>
            <w:pPr>
              <w:adjustRightInd w:val="0"/>
              <w:snapToGrid w:val="0"/>
              <w:spacing w:line="360" w:lineRule="auto"/>
              <w:ind w:firstLine="480" w:firstLineChars="200"/>
              <w:jc w:val="left"/>
              <w:outlineLvl w:val="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（4）污染物产生指标</w:t>
            </w:r>
          </w:p>
          <w:p>
            <w:pPr>
              <w:adjustRightInd w:val="0"/>
              <w:snapToGrid w:val="0"/>
              <w:spacing w:line="360" w:lineRule="auto"/>
              <w:ind w:firstLine="480" w:firstLineChars="200"/>
              <w:jc w:val="left"/>
              <w:outlineLvl w:val="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①废水：</w:t>
            </w:r>
            <w:r>
              <w:rPr>
                <w:rFonts w:hint="default" w:ascii="Times New Roman" w:hAnsi="Times New Roman" w:eastAsia="宋体" w:cs="Times New Roman"/>
                <w:color w:val="auto"/>
                <w:sz w:val="24"/>
                <w:szCs w:val="24"/>
                <w:highlight w:val="none"/>
                <w:lang w:val="en-US" w:eastAsia="zh-CN"/>
              </w:rPr>
              <w:t>项目</w:t>
            </w:r>
            <w:r>
              <w:rPr>
                <w:rFonts w:hint="eastAsia"/>
                <w:color w:val="auto"/>
                <w:sz w:val="24"/>
                <w:highlight w:val="none"/>
                <w:lang w:val="en-US" w:eastAsia="zh-CN"/>
              </w:rPr>
              <w:t>无</w:t>
            </w:r>
            <w:r>
              <w:rPr>
                <w:color w:val="auto"/>
                <w:sz w:val="24"/>
                <w:highlight w:val="none"/>
              </w:rPr>
              <w:t>生产废水</w:t>
            </w:r>
            <w:r>
              <w:rPr>
                <w:rFonts w:hint="eastAsia"/>
                <w:color w:val="auto"/>
                <w:sz w:val="24"/>
                <w:highlight w:val="none"/>
                <w:lang w:val="en-US" w:eastAsia="zh-CN"/>
              </w:rPr>
              <w:t>产生</w:t>
            </w:r>
            <w:r>
              <w:rPr>
                <w:color w:val="auto"/>
                <w:sz w:val="24"/>
                <w:highlight w:val="none"/>
              </w:rPr>
              <w:t>，</w:t>
            </w:r>
            <w:r>
              <w:rPr>
                <w:rFonts w:hint="eastAsia"/>
                <w:color w:val="auto"/>
                <w:sz w:val="24"/>
                <w:highlight w:val="none"/>
                <w:lang w:val="en-US" w:eastAsia="zh-CN"/>
              </w:rPr>
              <w:t>项目</w:t>
            </w:r>
            <w:r>
              <w:rPr>
                <w:color w:val="auto"/>
                <w:sz w:val="24"/>
                <w:highlight w:val="none"/>
              </w:rPr>
              <w:t>生活污水</w:t>
            </w:r>
            <w:r>
              <w:rPr>
                <w:rFonts w:hint="eastAsia" w:ascii="Times New Roman" w:hAnsi="Times New Roman" w:eastAsia="宋体" w:cs="Times New Roman"/>
                <w:color w:val="auto"/>
                <w:sz w:val="24"/>
                <w:szCs w:val="24"/>
                <w:highlight w:val="none"/>
                <w:lang w:val="en-US" w:eastAsia="zh-CN"/>
              </w:rPr>
              <w:t>经化粪池预处理达标后纳入区域污水处理厂处理达标后排放，</w:t>
            </w:r>
            <w:r>
              <w:rPr>
                <w:rFonts w:hint="default" w:ascii="Times New Roman" w:hAnsi="Times New Roman" w:eastAsia="宋体" w:cs="Times New Roman"/>
                <w:color w:val="auto"/>
                <w:sz w:val="24"/>
                <w:szCs w:val="24"/>
                <w:highlight w:val="none"/>
                <w:lang w:val="en-US" w:eastAsia="zh-CN"/>
              </w:rPr>
              <w:t>对纳污水体</w:t>
            </w:r>
            <w:r>
              <w:rPr>
                <w:rFonts w:hint="default" w:ascii="Times New Roman" w:hAnsi="Times New Roman" w:eastAsia="宋体" w:cs="Times New Roman"/>
                <w:color w:val="auto"/>
                <w:sz w:val="24"/>
                <w:szCs w:val="24"/>
                <w:highlight w:val="none"/>
              </w:rPr>
              <w:t>影响</w:t>
            </w:r>
            <w:r>
              <w:rPr>
                <w:rFonts w:hint="default" w:ascii="Times New Roman" w:hAnsi="Times New Roman" w:eastAsia="宋体" w:cs="Times New Roman"/>
                <w:color w:val="auto"/>
                <w:sz w:val="24"/>
                <w:szCs w:val="24"/>
                <w:highlight w:val="none"/>
                <w:lang w:val="en-US" w:eastAsia="zh-CN"/>
              </w:rPr>
              <w:t>小</w:t>
            </w:r>
            <w:r>
              <w:rPr>
                <w:rFonts w:hint="default" w:ascii="Times New Roman" w:hAnsi="Times New Roman" w:eastAsia="宋体" w:cs="Times New Roman"/>
                <w:color w:val="auto"/>
                <w:sz w:val="24"/>
                <w:szCs w:val="24"/>
                <w:highlight w:val="none"/>
              </w:rPr>
              <w:t>。</w:t>
            </w:r>
          </w:p>
          <w:p>
            <w:pPr>
              <w:adjustRightInd w:val="0"/>
              <w:snapToGrid w:val="0"/>
              <w:spacing w:line="360" w:lineRule="auto"/>
              <w:ind w:firstLine="480" w:firstLineChars="200"/>
              <w:jc w:val="left"/>
              <w:outlineLvl w:val="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②噪声：生产设备噪声经构筑物隔声、减振、消声等综合性降噪措施处理后</w:t>
            </w:r>
            <w:r>
              <w:rPr>
                <w:rFonts w:hint="default" w:ascii="Times New Roman" w:hAnsi="Times New Roman" w:eastAsia="宋体" w:cs="Times New Roman"/>
                <w:color w:val="auto"/>
                <w:sz w:val="24"/>
                <w:szCs w:val="24"/>
                <w:highlight w:val="none"/>
                <w:lang w:val="en-US" w:eastAsia="zh-CN"/>
              </w:rPr>
              <w:t>可达标排放，</w:t>
            </w:r>
            <w:r>
              <w:rPr>
                <w:rFonts w:hint="default" w:ascii="Times New Roman" w:hAnsi="Times New Roman" w:eastAsia="宋体" w:cs="Times New Roman"/>
                <w:color w:val="auto"/>
                <w:sz w:val="24"/>
                <w:szCs w:val="24"/>
                <w:highlight w:val="none"/>
              </w:rPr>
              <w:t>不对周边声环境造成明显影响。</w:t>
            </w:r>
          </w:p>
          <w:p>
            <w:pPr>
              <w:adjustRightInd w:val="0"/>
              <w:snapToGrid w:val="0"/>
              <w:spacing w:line="360" w:lineRule="auto"/>
              <w:ind w:firstLine="480" w:firstLineChars="200"/>
              <w:jc w:val="left"/>
              <w:outlineLvl w:val="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③环境空气：</w:t>
            </w: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rPr>
              <w:t>废气经收集、净化处理后，可有效减少对外环境的影响</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color w:val="auto"/>
                <w:sz w:val="24"/>
                <w:szCs w:val="24"/>
                <w:highlight w:val="none"/>
                <w:lang w:val="en-US" w:eastAsia="zh-CN"/>
              </w:rPr>
              <w:t>分析均可达标排放</w:t>
            </w:r>
            <w:r>
              <w:rPr>
                <w:rFonts w:hint="default" w:ascii="Times New Roman" w:hAnsi="Times New Roman" w:eastAsia="宋体" w:cs="Times New Roman"/>
                <w:color w:val="auto"/>
                <w:sz w:val="24"/>
                <w:szCs w:val="24"/>
                <w:highlight w:val="none"/>
              </w:rPr>
              <w:t>，对</w:t>
            </w:r>
            <w:r>
              <w:rPr>
                <w:rFonts w:hint="default" w:ascii="Times New Roman" w:hAnsi="Times New Roman" w:eastAsia="宋体" w:cs="Times New Roman"/>
                <w:color w:val="auto"/>
                <w:sz w:val="24"/>
                <w:szCs w:val="24"/>
                <w:highlight w:val="none"/>
                <w:lang w:val="en-US" w:eastAsia="zh-CN"/>
              </w:rPr>
              <w:t>大气</w:t>
            </w:r>
            <w:r>
              <w:rPr>
                <w:rFonts w:hint="default" w:ascii="Times New Roman" w:hAnsi="Times New Roman" w:eastAsia="宋体" w:cs="Times New Roman"/>
                <w:color w:val="auto"/>
                <w:sz w:val="24"/>
                <w:szCs w:val="24"/>
                <w:highlight w:val="none"/>
              </w:rPr>
              <w:t>环境影响小。</w:t>
            </w:r>
          </w:p>
          <w:p>
            <w:pPr>
              <w:adjustRightInd w:val="0"/>
              <w:snapToGrid w:val="0"/>
              <w:spacing w:line="360" w:lineRule="auto"/>
              <w:ind w:firstLine="480" w:firstLineChars="200"/>
              <w:jc w:val="left"/>
              <w:outlineLvl w:val="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④固废：固废经减量化、资源化、无害化处理后，得以妥善处置，不会对周边环境造成影响。</w:t>
            </w:r>
          </w:p>
          <w:p>
            <w:pPr>
              <w:adjustRightInd w:val="0"/>
              <w:snapToGrid w:val="0"/>
              <w:spacing w:line="360" w:lineRule="auto"/>
              <w:ind w:firstLine="480" w:firstLineChars="200"/>
              <w:jc w:val="left"/>
              <w:outlineLvl w:val="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综上，项目在生产过程中不会对外环境产生显著影响，基本符合清洁生产要求。</w:t>
            </w:r>
          </w:p>
          <w:p>
            <w:pPr>
              <w:adjustRightInd w:val="0"/>
              <w:snapToGrid w:val="0"/>
              <w:spacing w:line="360" w:lineRule="auto"/>
              <w:ind w:firstLine="480" w:firstLineChars="200"/>
              <w:jc w:val="left"/>
              <w:outlineLvl w:val="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（5）废物回收利用指标</w:t>
            </w:r>
          </w:p>
          <w:p>
            <w:pPr>
              <w:adjustRightInd w:val="0"/>
              <w:snapToGrid w:val="0"/>
              <w:spacing w:line="360" w:lineRule="auto"/>
              <w:ind w:firstLine="480" w:firstLineChars="200"/>
              <w:jc w:val="left"/>
              <w:outlineLvl w:val="2"/>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lang w:val="en-US" w:eastAsia="zh-CN"/>
              </w:rPr>
              <w:t>水龙头不合格品及金属边角料</w:t>
            </w:r>
            <w:r>
              <w:rPr>
                <w:rFonts w:hint="eastAsia" w:cs="Times New Roman"/>
                <w:color w:val="auto"/>
                <w:kern w:val="0"/>
                <w:sz w:val="24"/>
                <w:szCs w:val="24"/>
                <w:highlight w:val="none"/>
                <w:lang w:val="en-US" w:eastAsia="zh-CN" w:bidi="ar"/>
              </w:rPr>
              <w:t>外售</w:t>
            </w:r>
            <w:r>
              <w:rPr>
                <w:rFonts w:hint="default" w:ascii="Times New Roman" w:hAnsi="Times New Roman" w:eastAsia="宋体" w:cs="Times New Roman"/>
                <w:color w:val="auto"/>
                <w:kern w:val="0"/>
                <w:sz w:val="24"/>
                <w:szCs w:val="24"/>
                <w:highlight w:val="none"/>
                <w:lang w:val="en-US" w:eastAsia="zh-CN" w:bidi="ar"/>
              </w:rPr>
              <w:t>相关单位回收利用</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炉渣</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废砂</w:t>
            </w:r>
            <w:r>
              <w:rPr>
                <w:rFonts w:hint="eastAsia" w:ascii="Times New Roman" w:hAnsi="Times New Roman" w:eastAsia="宋体" w:cs="Times New Roman"/>
                <w:color w:val="auto"/>
                <w:sz w:val="24"/>
                <w:szCs w:val="24"/>
                <w:highlight w:val="none"/>
                <w:lang w:val="en-US" w:eastAsia="zh-CN"/>
              </w:rPr>
              <w:t>、布袋除尘器收集粉尘、废木材边角料</w:t>
            </w:r>
            <w:r>
              <w:rPr>
                <w:rFonts w:hint="default" w:ascii="Times New Roman" w:hAnsi="Times New Roman" w:eastAsia="宋体" w:cs="Times New Roman"/>
                <w:color w:val="auto"/>
                <w:sz w:val="24"/>
                <w:szCs w:val="24"/>
                <w:highlight w:val="none"/>
                <w:lang w:val="en-US" w:eastAsia="zh-CN"/>
              </w:rPr>
              <w:t>集中收集后外售给有关物资回收单位，生活垃圾集中收集后交由环卫部门统一处理，</w:t>
            </w:r>
            <w:r>
              <w:rPr>
                <w:rFonts w:hint="eastAsia" w:ascii="Times New Roman" w:hAnsi="Times New Roman" w:eastAsia="宋体" w:cs="Times New Roman"/>
                <w:color w:val="auto"/>
                <w:sz w:val="24"/>
                <w:szCs w:val="24"/>
                <w:highlight w:val="none"/>
                <w:lang w:val="en-US" w:eastAsia="zh-CN"/>
              </w:rPr>
              <w:t>危险废物集中</w:t>
            </w:r>
            <w:r>
              <w:rPr>
                <w:rFonts w:hint="default" w:ascii="Times New Roman" w:hAnsi="Times New Roman" w:eastAsia="宋体" w:cs="Times New Roman"/>
                <w:color w:val="auto"/>
                <w:sz w:val="24"/>
                <w:szCs w:val="24"/>
                <w:highlight w:val="none"/>
              </w:rPr>
              <w:t>收集后委托有资质单位处置，符合国内清洁生产基本水平。</w:t>
            </w:r>
          </w:p>
          <w:p>
            <w:pPr>
              <w:adjustRightInd w:val="0"/>
              <w:snapToGrid w:val="0"/>
              <w:spacing w:line="360" w:lineRule="auto"/>
              <w:ind w:firstLine="480" w:firstLineChars="200"/>
              <w:jc w:val="left"/>
              <w:outlineLvl w:val="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（6）环境管理</w:t>
            </w:r>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outlineLvl w:val="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应严格执行环保“三同时”制度，及时成立环保管理小组，加强本厂清洁生产管理，建议对水、电、能源、原辅材料采取考核制度，通过企业环境内审实现清洁生产的全过程管理，找出能耗高、物耗高、污染重的原因，降低能耗、物耗以及废物产生量。同时建立危险废物管理台账制度，</w:t>
            </w:r>
            <w:r>
              <w:rPr>
                <w:rFonts w:hint="eastAsia" w:cs="Times New Roman"/>
                <w:color w:val="auto"/>
                <w:sz w:val="24"/>
                <w:szCs w:val="24"/>
                <w:highlight w:val="none"/>
                <w:lang w:eastAsia="zh-CN"/>
              </w:rPr>
              <w:t>对其他</w:t>
            </w:r>
            <w:r>
              <w:rPr>
                <w:rFonts w:hint="default" w:ascii="Times New Roman" w:hAnsi="Times New Roman" w:eastAsia="宋体" w:cs="Times New Roman"/>
                <w:color w:val="auto"/>
                <w:sz w:val="24"/>
                <w:szCs w:val="24"/>
                <w:highlight w:val="none"/>
              </w:rPr>
              <w:t>固体废物的产生、处置情况也应加强管理。</w:t>
            </w:r>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outlineLvl w:val="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本项目将设企业环境管理部门，严格按照功能分区、环境管理及对各种废弃物</w:t>
            </w:r>
            <w:r>
              <w:rPr>
                <w:rFonts w:hint="default" w:ascii="Times New Roman" w:hAnsi="Times New Roman" w:eastAsia="宋体" w:cs="Times New Roman"/>
                <w:color w:val="auto"/>
                <w:sz w:val="24"/>
                <w:szCs w:val="24"/>
                <w:highlight w:val="none"/>
                <w:lang w:val="en-US" w:eastAsia="zh-CN"/>
              </w:rPr>
              <w:t>进行</w:t>
            </w:r>
            <w:r>
              <w:rPr>
                <w:rFonts w:hint="default" w:ascii="Times New Roman" w:hAnsi="Times New Roman" w:eastAsia="宋体" w:cs="Times New Roman"/>
                <w:color w:val="auto"/>
                <w:sz w:val="24"/>
                <w:szCs w:val="24"/>
                <w:highlight w:val="none"/>
              </w:rPr>
              <w:t>处置，同时制定了各类环境管理的相关规章、制度和措施的要求。</w:t>
            </w:r>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outlineLvl w:val="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（7）小结</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综上，本项目的原辅料及能源、设备、资源综合利用、污染物产生、环境管理等指标能够满足国内清洁生产一般水平。 </w:t>
            </w:r>
          </w:p>
          <w:p>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w:t>
            </w:r>
            <w:r>
              <w:rPr>
                <w:rFonts w:hint="default" w:ascii="Times New Roman" w:hAnsi="Times New Roman" w:eastAsia="宋体" w:cs="Times New Roman"/>
                <w:b/>
                <w:bCs/>
                <w:color w:val="auto"/>
                <w:sz w:val="24"/>
                <w:szCs w:val="24"/>
                <w:highlight w:val="none"/>
                <w:lang w:val="en-US" w:eastAsia="zh-CN"/>
              </w:rPr>
              <w:t>9</w:t>
            </w:r>
            <w:r>
              <w:rPr>
                <w:rFonts w:hint="default" w:ascii="Times New Roman" w:hAnsi="Times New Roman" w:eastAsia="宋体" w:cs="Times New Roman"/>
                <w:b/>
                <w:bCs/>
                <w:color w:val="auto"/>
                <w:sz w:val="24"/>
                <w:szCs w:val="24"/>
                <w:highlight w:val="none"/>
              </w:rPr>
              <w:t>与VOCs</w:t>
            </w:r>
            <w:r>
              <w:rPr>
                <w:rFonts w:hint="default" w:ascii="Times New Roman" w:hAnsi="Times New Roman" w:eastAsia="宋体" w:cs="Times New Roman"/>
                <w:b/>
                <w:bCs/>
                <w:color w:val="auto"/>
                <w:sz w:val="24"/>
                <w:szCs w:val="24"/>
                <w:highlight w:val="none"/>
                <w:lang w:val="en-US" w:eastAsia="zh-CN"/>
              </w:rPr>
              <w:t>相关规定</w:t>
            </w:r>
            <w:r>
              <w:rPr>
                <w:rFonts w:hint="default" w:ascii="Times New Roman" w:hAnsi="Times New Roman" w:eastAsia="宋体" w:cs="Times New Roman"/>
                <w:b/>
                <w:bCs/>
                <w:color w:val="auto"/>
                <w:sz w:val="24"/>
                <w:szCs w:val="24"/>
                <w:highlight w:val="none"/>
              </w:rPr>
              <w:t>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rPr>
              <w:t>建设情况与《泉州市环境保护委员会办公室关于建立VOCs废气综合治理长效机制的通知》</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与《泉州市2020挥发性有机物治理攻坚实施方案》</w:t>
            </w:r>
            <w:r>
              <w:rPr>
                <w:bCs/>
                <w:color w:val="auto"/>
                <w:kern w:val="0"/>
                <w:sz w:val="24"/>
                <w:highlight w:val="none"/>
              </w:rPr>
              <w:t>符合性分析</w:t>
            </w:r>
            <w:r>
              <w:rPr>
                <w:rFonts w:hint="default" w:ascii="Times New Roman" w:hAnsi="Times New Roman" w:eastAsia="宋体" w:cs="Times New Roman"/>
                <w:color w:val="auto"/>
                <w:sz w:val="24"/>
                <w:szCs w:val="24"/>
                <w:highlight w:val="none"/>
                <w:lang w:val="en-US" w:eastAsia="zh-CN"/>
              </w:rPr>
              <w:t>详见下表1-</w:t>
            </w: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5、1-6</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w:t>
            </w:r>
            <w:r>
              <w:rPr>
                <w:rFonts w:hint="eastAsia"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项目建设情况与《泉州市环境保护委员会办公室关于建立VOCs废气综合治理长效机制的通知》相符性分析</w:t>
            </w:r>
          </w:p>
          <w:tbl>
            <w:tblPr>
              <w:tblStyle w:val="28"/>
              <w:tblW w:w="643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70"/>
              <w:gridCol w:w="3060"/>
              <w:gridCol w:w="4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08" w:type="pct"/>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规范要求</w:t>
                  </w:r>
                </w:p>
              </w:tc>
              <w:tc>
                <w:tcPr>
                  <w:tcW w:w="2377" w:type="pct"/>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项目实际情况</w:t>
                  </w:r>
                </w:p>
              </w:tc>
              <w:tc>
                <w:tcPr>
                  <w:tcW w:w="313" w:type="pct"/>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2308" w:type="pct"/>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新建涉VOCs排放的工业项目必须入园，实行区域内VOCs排放等量或减量削减替代</w:t>
                  </w:r>
                </w:p>
              </w:tc>
              <w:tc>
                <w:tcPr>
                  <w:tcW w:w="2377" w:type="pct"/>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项目选址于</w:t>
                  </w:r>
                  <w:r>
                    <w:rPr>
                      <w:rFonts w:hint="default" w:ascii="Times New Roman" w:hAnsi="Times New Roman" w:eastAsia="宋体" w:cs="Times New Roman"/>
                      <w:color w:val="auto"/>
                      <w:sz w:val="21"/>
                      <w:szCs w:val="21"/>
                      <w:highlight w:val="none"/>
                      <w:lang w:val="en-US" w:eastAsia="zh-CN"/>
                    </w:rPr>
                    <w:t>福建省泉州市</w:t>
                  </w:r>
                  <w:r>
                    <w:rPr>
                      <w:rFonts w:hint="eastAsia" w:cs="Times New Roman"/>
                      <w:color w:val="auto"/>
                      <w:sz w:val="21"/>
                      <w:szCs w:val="21"/>
                      <w:highlight w:val="none"/>
                      <w:lang w:val="en-US" w:eastAsia="zh-CN"/>
                    </w:rPr>
                    <w:t>福建省南安市美林街道茂盛路1288号</w:t>
                  </w: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南安经济开发区扶茂工业园中心片区内</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位于工业区，符合入园要求；VOCs实行1.2倍</w:t>
                  </w:r>
                  <w:r>
                    <w:rPr>
                      <w:rFonts w:hint="default" w:ascii="Times New Roman" w:hAnsi="Times New Roman" w:eastAsia="宋体" w:cs="Times New Roman"/>
                      <w:color w:val="auto"/>
                      <w:sz w:val="21"/>
                      <w:szCs w:val="21"/>
                      <w:highlight w:val="none"/>
                    </w:rPr>
                    <w:t>减量削减替代</w:t>
                  </w:r>
                </w:p>
              </w:tc>
              <w:tc>
                <w:tcPr>
                  <w:tcW w:w="313" w:type="pct"/>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08" w:type="pct"/>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新改扩建项目要使用低（无）VOCs含量原辅材料，采取密闭措施，加强废气收集，配套安装高效治理设施，减少污染排放</w:t>
                  </w:r>
                </w:p>
              </w:tc>
              <w:tc>
                <w:tcPr>
                  <w:tcW w:w="2377" w:type="pct"/>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项目</w:t>
                  </w:r>
                  <w:r>
                    <w:rPr>
                      <w:rFonts w:hint="eastAsia" w:cs="Times New Roman"/>
                      <w:color w:val="auto"/>
                      <w:sz w:val="21"/>
                      <w:szCs w:val="21"/>
                      <w:highlight w:val="none"/>
                      <w:lang w:val="en-US" w:eastAsia="zh-CN"/>
                    </w:rPr>
                    <w:t>喷漆工序</w:t>
                  </w:r>
                  <w:r>
                    <w:rPr>
                      <w:rFonts w:hint="default" w:ascii="Times New Roman" w:hAnsi="Times New Roman" w:eastAsia="宋体" w:cs="Times New Roman"/>
                      <w:color w:val="auto"/>
                      <w:sz w:val="21"/>
                      <w:szCs w:val="21"/>
                      <w:highlight w:val="none"/>
                      <w:lang w:val="en-US" w:eastAsia="zh-CN"/>
                    </w:rPr>
                    <w:t>使用水性</w:t>
                  </w:r>
                  <w:r>
                    <w:rPr>
                      <w:rFonts w:hint="eastAsia" w:ascii="Times New Roman" w:hAnsi="Times New Roman" w:eastAsia="宋体" w:cs="Times New Roman"/>
                      <w:color w:val="auto"/>
                      <w:sz w:val="21"/>
                      <w:szCs w:val="21"/>
                      <w:highlight w:val="none"/>
                      <w:lang w:val="en-US" w:eastAsia="zh-CN"/>
                    </w:rPr>
                    <w:t>漆</w:t>
                  </w:r>
                  <w:r>
                    <w:rPr>
                      <w:rFonts w:hint="default" w:ascii="Times New Roman" w:hAnsi="Times New Roman" w:eastAsia="宋体" w:cs="Times New Roman"/>
                      <w:color w:val="auto"/>
                      <w:sz w:val="21"/>
                      <w:szCs w:val="21"/>
                      <w:highlight w:val="none"/>
                      <w:lang w:val="en-US" w:eastAsia="zh-CN"/>
                    </w:rPr>
                    <w:t>属于低VOCs含量原辅材料，</w:t>
                  </w:r>
                  <w:r>
                    <w:rPr>
                      <w:rFonts w:hint="eastAsia" w:ascii="Times New Roman" w:hAnsi="Times New Roman" w:eastAsia="宋体" w:cs="Times New Roman"/>
                      <w:color w:val="auto"/>
                      <w:sz w:val="21"/>
                      <w:szCs w:val="21"/>
                      <w:highlight w:val="none"/>
                      <w:lang w:val="en-US" w:eastAsia="zh-CN"/>
                    </w:rPr>
                    <w:t>项目浇注、压铸、制芯、喷漆等工序产生的有机废气采取密闭措施，废气有效收集经</w:t>
                  </w:r>
                  <w:r>
                    <w:rPr>
                      <w:rFonts w:hint="eastAsia" w:cs="Times New Roman"/>
                      <w:color w:val="auto"/>
                      <w:sz w:val="21"/>
                      <w:szCs w:val="21"/>
                      <w:highlight w:val="none"/>
                      <w:lang w:val="en-US" w:eastAsia="zh-CN"/>
                    </w:rPr>
                    <w:t>相应处理设施</w:t>
                  </w:r>
                  <w:r>
                    <w:rPr>
                      <w:rFonts w:hint="eastAsia" w:ascii="Times New Roman" w:hAnsi="Times New Roman" w:eastAsia="宋体" w:cs="Times New Roman"/>
                      <w:color w:val="auto"/>
                      <w:sz w:val="21"/>
                      <w:szCs w:val="21"/>
                      <w:highlight w:val="none"/>
                      <w:lang w:val="en-US" w:eastAsia="zh-CN"/>
                    </w:rPr>
                    <w:t>处理后通过排气筒高空排放。</w:t>
                  </w:r>
                </w:p>
              </w:tc>
              <w:tc>
                <w:tcPr>
                  <w:tcW w:w="313" w:type="pct"/>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相符</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rPr>
              <w:t>表</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w:t>
            </w:r>
            <w:r>
              <w:rPr>
                <w:rFonts w:hint="eastAsia" w:ascii="Times New Roman" w:hAnsi="Times New Roman" w:eastAsia="宋体"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rPr>
              <w:t>项目</w:t>
            </w:r>
            <w:r>
              <w:rPr>
                <w:rFonts w:hint="default" w:ascii="Times New Roman" w:hAnsi="Times New Roman" w:eastAsia="宋体" w:cs="Times New Roman"/>
                <w:b/>
                <w:bCs/>
                <w:color w:val="auto"/>
                <w:sz w:val="24"/>
                <w:szCs w:val="24"/>
                <w:highlight w:val="none"/>
                <w:lang w:val="en-US" w:eastAsia="zh-CN"/>
              </w:rPr>
              <w:t>与《泉州市2020挥发性有机物治理攻坚实施方案》符合性分析一览表</w:t>
            </w:r>
          </w:p>
          <w:tbl>
            <w:tblPr>
              <w:tblStyle w:val="28"/>
              <w:tblW w:w="677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4"/>
              <w:gridCol w:w="2669"/>
              <w:gridCol w:w="2871"/>
              <w:gridCol w:w="6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noWrap w:val="0"/>
                  <w:vAlign w:val="center"/>
                </w:tcPr>
                <w:p>
                  <w:pPr>
                    <w:jc w:val="center"/>
                    <w:outlineLvl w:val="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序号</w:t>
                  </w:r>
                </w:p>
              </w:tc>
              <w:tc>
                <w:tcPr>
                  <w:tcW w:w="1970" w:type="pct"/>
                  <w:noWrap w:val="0"/>
                  <w:vAlign w:val="center"/>
                </w:tcPr>
                <w:p>
                  <w:pPr>
                    <w:jc w:val="center"/>
                    <w:outlineLvl w:val="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相关</w:t>
                  </w:r>
                  <w:r>
                    <w:rPr>
                      <w:rFonts w:hint="default" w:ascii="Times New Roman" w:hAnsi="Times New Roman" w:eastAsia="宋体" w:cs="Times New Roman"/>
                      <w:color w:val="auto"/>
                      <w:sz w:val="21"/>
                      <w:szCs w:val="21"/>
                      <w:highlight w:val="none"/>
                    </w:rPr>
                    <w:t>要求</w:t>
                  </w:r>
                </w:p>
              </w:tc>
              <w:tc>
                <w:tcPr>
                  <w:tcW w:w="2119" w:type="pct"/>
                  <w:noWrap w:val="0"/>
                  <w:vAlign w:val="center"/>
                </w:tcPr>
                <w:p>
                  <w:pPr>
                    <w:jc w:val="center"/>
                    <w:outlineLvl w:val="2"/>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本项目</w:t>
                  </w:r>
                </w:p>
              </w:tc>
              <w:tc>
                <w:tcPr>
                  <w:tcW w:w="442" w:type="pct"/>
                  <w:noWrap w:val="0"/>
                  <w:vAlign w:val="center"/>
                </w:tcPr>
                <w:p>
                  <w:pPr>
                    <w:jc w:val="center"/>
                    <w:outlineLvl w:val="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noWrap w:val="0"/>
                  <w:vAlign w:val="center"/>
                </w:tcPr>
                <w:p>
                  <w:pPr>
                    <w:jc w:val="center"/>
                    <w:outlineLvl w:val="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970" w:type="pct"/>
                  <w:noWrap w:val="0"/>
                  <w:vAlign w:val="center"/>
                </w:tcPr>
                <w:p>
                  <w:pPr>
                    <w:jc w:val="center"/>
                    <w:outlineLvl w:val="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制定VOCs无组织排放控制规程，细化到具体工序和生产环节，以及启停机、检维修作业等，落实到具体责任人。</w:t>
                  </w:r>
                </w:p>
              </w:tc>
              <w:tc>
                <w:tcPr>
                  <w:tcW w:w="2119" w:type="pct"/>
                  <w:noWrap w:val="0"/>
                  <w:vAlign w:val="center"/>
                </w:tcPr>
                <w:p>
                  <w:pPr>
                    <w:jc w:val="center"/>
                    <w:outlineLvl w:val="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项目生产车间均为独立封闭的厂房，拟在</w:t>
                  </w:r>
                  <w:r>
                    <w:rPr>
                      <w:rFonts w:hint="eastAsia" w:ascii="Times New Roman" w:hAnsi="Times New Roman" w:eastAsia="宋体" w:cs="Times New Roman"/>
                      <w:color w:val="auto"/>
                      <w:sz w:val="21"/>
                      <w:szCs w:val="21"/>
                      <w:highlight w:val="none"/>
                      <w:lang w:val="en-US" w:eastAsia="zh-CN"/>
                    </w:rPr>
                    <w:t>浇注、制芯、喷漆等产生</w:t>
                  </w:r>
                  <w:r>
                    <w:rPr>
                      <w:rFonts w:hint="default" w:ascii="Times New Roman" w:hAnsi="Times New Roman" w:eastAsia="宋体" w:cs="Times New Roman"/>
                      <w:color w:val="auto"/>
                      <w:sz w:val="21"/>
                      <w:szCs w:val="21"/>
                      <w:highlight w:val="none"/>
                      <w:lang w:val="en-US" w:eastAsia="zh-CN"/>
                    </w:rPr>
                    <w:t>VOCs</w:t>
                  </w:r>
                  <w:r>
                    <w:rPr>
                      <w:rFonts w:hint="eastAsia" w:ascii="Times New Roman" w:hAnsi="Times New Roman" w:eastAsia="宋体" w:cs="Times New Roman"/>
                      <w:color w:val="auto"/>
                      <w:sz w:val="21"/>
                      <w:szCs w:val="21"/>
                      <w:highlight w:val="none"/>
                      <w:lang w:val="en-US" w:eastAsia="zh-CN"/>
                    </w:rPr>
                    <w:t>工序</w:t>
                  </w:r>
                  <w:r>
                    <w:rPr>
                      <w:rFonts w:hint="default" w:ascii="Times New Roman" w:hAnsi="Times New Roman" w:eastAsia="宋体" w:cs="Times New Roman"/>
                      <w:color w:val="auto"/>
                      <w:sz w:val="21"/>
                      <w:szCs w:val="21"/>
                      <w:highlight w:val="none"/>
                      <w:lang w:val="en-US" w:eastAsia="zh-CN"/>
                    </w:rPr>
                    <w:t>工位上方设置</w:t>
                  </w:r>
                  <w:r>
                    <w:rPr>
                      <w:rFonts w:hint="eastAsia" w:ascii="Times New Roman" w:hAnsi="Times New Roman" w:eastAsia="宋体" w:cs="Times New Roman"/>
                      <w:color w:val="auto"/>
                      <w:sz w:val="21"/>
                      <w:szCs w:val="21"/>
                      <w:highlight w:val="none"/>
                      <w:lang w:val="en-US" w:eastAsia="zh-CN"/>
                    </w:rPr>
                    <w:t>集气</w:t>
                  </w:r>
                  <w:r>
                    <w:rPr>
                      <w:rFonts w:hint="default" w:ascii="Times New Roman" w:hAnsi="Times New Roman" w:eastAsia="宋体" w:cs="Times New Roman"/>
                      <w:color w:val="auto"/>
                      <w:sz w:val="21"/>
                      <w:szCs w:val="21"/>
                      <w:highlight w:val="none"/>
                      <w:lang w:val="en-US" w:eastAsia="zh-CN"/>
                    </w:rPr>
                    <w:t>设施，集气系统和废气处理设施与生</w:t>
                  </w:r>
                  <w:r>
                    <w:rPr>
                      <w:rFonts w:hint="default" w:ascii="Times New Roman" w:hAnsi="Times New Roman" w:eastAsia="宋体" w:cs="Times New Roman"/>
                      <w:color w:val="auto"/>
                      <w:sz w:val="21"/>
                      <w:szCs w:val="21"/>
                      <w:highlight w:val="none"/>
                    </w:rPr>
                    <w:t>产活动及工艺设施同步运行，含挥发性有机物的原辅材料在储存和输送过程中保持密闭，使用过程中随取随开，用后及时密闭，减少挥发</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遇到设备故障时，及时维修，及时排除故障。</w:t>
                  </w:r>
                </w:p>
              </w:tc>
              <w:tc>
                <w:tcPr>
                  <w:tcW w:w="442" w:type="pct"/>
                  <w:noWrap w:val="0"/>
                  <w:vAlign w:val="center"/>
                </w:tcPr>
                <w:p>
                  <w:pPr>
                    <w:jc w:val="center"/>
                    <w:outlineLvl w:val="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noWrap w:val="0"/>
                  <w:vAlign w:val="center"/>
                </w:tcPr>
                <w:p>
                  <w:pPr>
                    <w:jc w:val="center"/>
                    <w:outlineLvl w:val="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970" w:type="pct"/>
                  <w:noWrap w:val="0"/>
                  <w:vAlign w:val="center"/>
                </w:tcPr>
                <w:p>
                  <w:pPr>
                    <w:jc w:val="center"/>
                    <w:outlineLvl w:val="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含VOCs物料储存环节应采用密闭容器，封闭式储库等，转移和输送环节应采用密闭管道或密闭容器等，生产和使用环节应采用密闭设备或在密闭空间中操作并有效收集废气，或进行局部气体收集；非取用状态时容器应密闭。处置环节应将盛装过VOCs物料的包装容器、含VOCs废料（渣、液）、废吸附剂等通过加盖、封装等方式密闭，妥善存放，集中清运，交有资质的单位处置，不得随意丢弃；</w:t>
                  </w:r>
                </w:p>
              </w:tc>
              <w:tc>
                <w:tcPr>
                  <w:tcW w:w="2119" w:type="pct"/>
                  <w:noWrap w:val="0"/>
                  <w:vAlign w:val="center"/>
                </w:tcPr>
                <w:p>
                  <w:pPr>
                    <w:jc w:val="center"/>
                    <w:outlineLvl w:val="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项目水性</w:t>
                  </w:r>
                  <w:r>
                    <w:rPr>
                      <w:rFonts w:hint="eastAsia" w:cs="Times New Roman"/>
                      <w:color w:val="auto"/>
                      <w:sz w:val="21"/>
                      <w:szCs w:val="21"/>
                      <w:highlight w:val="none"/>
                      <w:lang w:val="en-US" w:eastAsia="zh-CN"/>
                    </w:rPr>
                    <w:t>漆</w:t>
                  </w:r>
                  <w:r>
                    <w:rPr>
                      <w:rFonts w:hint="eastAsia" w:ascii="Times New Roman" w:hAnsi="Times New Roman" w:eastAsia="宋体" w:cs="Times New Roman"/>
                      <w:color w:val="auto"/>
                      <w:sz w:val="21"/>
                      <w:szCs w:val="21"/>
                      <w:highlight w:val="none"/>
                      <w:lang w:val="en-US" w:eastAsia="zh-CN"/>
                    </w:rPr>
                    <w:t>等</w:t>
                  </w:r>
                  <w:r>
                    <w:rPr>
                      <w:rFonts w:hint="default" w:ascii="Times New Roman" w:hAnsi="Times New Roman" w:eastAsia="宋体" w:cs="Times New Roman"/>
                      <w:color w:val="auto"/>
                      <w:sz w:val="21"/>
                      <w:szCs w:val="21"/>
                      <w:highlight w:val="none"/>
                    </w:rPr>
                    <w:t>原辅材料在储存和输送过程中保持密闭，使用过程中随取随开，用后及时密闭，减少挥发在储存和输送过程中保持密闭，使用过程中随取随开，用后及时密闭，减少挥发</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项目将废弃原料空桶加盖密封后暂存于危废仓库，</w:t>
                  </w:r>
                  <w:r>
                    <w:rPr>
                      <w:rFonts w:hint="eastAsia" w:cs="Times New Roman"/>
                      <w:color w:val="auto"/>
                      <w:sz w:val="21"/>
                      <w:szCs w:val="21"/>
                      <w:highlight w:val="none"/>
                      <w:lang w:val="en-US" w:eastAsia="zh-CN"/>
                    </w:rPr>
                    <w:t>项目危险废物</w:t>
                  </w:r>
                  <w:r>
                    <w:rPr>
                      <w:rFonts w:hint="default" w:ascii="Times New Roman" w:hAnsi="Times New Roman" w:eastAsia="宋体" w:cs="Times New Roman"/>
                      <w:color w:val="auto"/>
                      <w:sz w:val="21"/>
                      <w:szCs w:val="21"/>
                      <w:highlight w:val="none"/>
                      <w:lang w:val="en-US" w:eastAsia="zh-CN"/>
                    </w:rPr>
                    <w:t>暂存于危废仓库，妥善存放，集中清运，交有资质的单位处置。</w:t>
                  </w:r>
                </w:p>
              </w:tc>
              <w:tc>
                <w:tcPr>
                  <w:tcW w:w="442" w:type="pct"/>
                  <w:noWrap w:val="0"/>
                  <w:vAlign w:val="center"/>
                </w:tcPr>
                <w:p>
                  <w:pPr>
                    <w:jc w:val="center"/>
                    <w:outlineLvl w:val="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noWrap w:val="0"/>
                  <w:vAlign w:val="center"/>
                </w:tcPr>
                <w:p>
                  <w:pPr>
                    <w:jc w:val="center"/>
                    <w:outlineLvl w:val="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970" w:type="pct"/>
                  <w:noWrap w:val="0"/>
                  <w:vAlign w:val="center"/>
                </w:tcPr>
                <w:p>
                  <w:pPr>
                    <w:jc w:val="center"/>
                    <w:outlineLvl w:val="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除恶臭异味治理外，一般不采用低温等离子、光催化、光氧化等技术</w:t>
                  </w:r>
                </w:p>
              </w:tc>
              <w:tc>
                <w:tcPr>
                  <w:tcW w:w="2119" w:type="pct"/>
                  <w:noWrap w:val="0"/>
                  <w:vAlign w:val="center"/>
                </w:tcPr>
                <w:p>
                  <w:pPr>
                    <w:jc w:val="center"/>
                    <w:outlineLvl w:val="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项目有机废气拟采用</w:t>
                  </w:r>
                  <w:r>
                    <w:rPr>
                      <w:rFonts w:hint="eastAsia" w:cs="Times New Roman"/>
                      <w:color w:val="auto"/>
                      <w:sz w:val="21"/>
                      <w:szCs w:val="21"/>
                      <w:highlight w:val="none"/>
                      <w:lang w:val="en-US" w:eastAsia="zh-CN"/>
                    </w:rPr>
                    <w:t>二级</w:t>
                  </w:r>
                  <w:r>
                    <w:rPr>
                      <w:rFonts w:hint="default" w:ascii="Times New Roman" w:hAnsi="Times New Roman" w:eastAsia="宋体" w:cs="Times New Roman"/>
                      <w:color w:val="auto"/>
                      <w:sz w:val="21"/>
                      <w:szCs w:val="21"/>
                      <w:highlight w:val="none"/>
                      <w:lang w:val="en-US" w:eastAsia="zh-CN"/>
                    </w:rPr>
                    <w:t>活性炭吸附装置进行处理。</w:t>
                  </w:r>
                </w:p>
              </w:tc>
              <w:tc>
                <w:tcPr>
                  <w:tcW w:w="442" w:type="pct"/>
                  <w:noWrap w:val="0"/>
                  <w:vAlign w:val="center"/>
                </w:tcPr>
                <w:p>
                  <w:pPr>
                    <w:jc w:val="center"/>
                    <w:outlineLvl w:val="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5" w:hRule="atLeast"/>
                <w:jc w:val="center"/>
              </w:trPr>
              <w:tc>
                <w:tcPr>
                  <w:tcW w:w="467" w:type="pct"/>
                  <w:noWrap w:val="0"/>
                  <w:vAlign w:val="center"/>
                </w:tcPr>
                <w:p>
                  <w:pPr>
                    <w:jc w:val="center"/>
                    <w:outlineLvl w:val="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1970" w:type="pct"/>
                  <w:noWrap w:val="0"/>
                  <w:vAlign w:val="center"/>
                </w:tcPr>
                <w:p>
                  <w:pPr>
                    <w:jc w:val="center"/>
                    <w:outlineLvl w:val="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对于采用局部集气罩的，应根据废气排放特点合理选择收集点位，距集气罩开口面最远处的 VOCs无组织排放位置，控制风速不低于0.3米/秒，达不到要求的通过更换大功率风机、增设烟道风机、增加垂帘等方式及时改造；加强生产车间密闭管理，在符合安全生产、职业卫生相关规定前提下，采用自动卷帘门、密闭性好的塑钢门窗等，在非必要时保持关闭。</w:t>
                  </w:r>
                </w:p>
              </w:tc>
              <w:tc>
                <w:tcPr>
                  <w:tcW w:w="2119" w:type="pct"/>
                  <w:noWrap w:val="0"/>
                  <w:vAlign w:val="center"/>
                </w:tcPr>
                <w:p>
                  <w:pPr>
                    <w:jc w:val="center"/>
                    <w:outlineLvl w:val="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项目生产时厂房车间为独立封闭，在非必要时保持关闭，加强生产车间密闭管理。</w:t>
                  </w:r>
                </w:p>
              </w:tc>
              <w:tc>
                <w:tcPr>
                  <w:tcW w:w="442" w:type="pct"/>
                  <w:noWrap w:val="0"/>
                  <w:vAlign w:val="center"/>
                </w:tcPr>
                <w:p>
                  <w:pPr>
                    <w:jc w:val="center"/>
                    <w:outlineLvl w:val="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98" w:hRule="atLeast"/>
                <w:jc w:val="center"/>
              </w:trPr>
              <w:tc>
                <w:tcPr>
                  <w:tcW w:w="467" w:type="pct"/>
                  <w:noWrap w:val="0"/>
                  <w:vAlign w:val="center"/>
                </w:tcPr>
                <w:p>
                  <w:pPr>
                    <w:jc w:val="center"/>
                    <w:outlineLvl w:val="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1970" w:type="pct"/>
                  <w:noWrap w:val="0"/>
                  <w:vAlign w:val="center"/>
                </w:tcPr>
                <w:p>
                  <w:pPr>
                    <w:jc w:val="center"/>
                    <w:outlineLvl w:val="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采用活性炭吸附技术的，应选择碘值不低于800毫克/克的活性炭，并按设计要求足量添加、及时更换。</w:t>
                  </w:r>
                </w:p>
              </w:tc>
              <w:tc>
                <w:tcPr>
                  <w:tcW w:w="2119" w:type="pct"/>
                  <w:noWrap w:val="0"/>
                  <w:vAlign w:val="center"/>
                </w:tcPr>
                <w:p>
                  <w:pPr>
                    <w:jc w:val="center"/>
                    <w:outlineLvl w:val="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项目将选择碘值不低于800毫克/克的活性炭，并按设计要求足量添加、及时更换。</w:t>
                  </w:r>
                </w:p>
              </w:tc>
              <w:tc>
                <w:tcPr>
                  <w:tcW w:w="442" w:type="pct"/>
                  <w:noWrap w:val="0"/>
                  <w:vAlign w:val="center"/>
                </w:tcPr>
                <w:p>
                  <w:pPr>
                    <w:jc w:val="center"/>
                    <w:outlineLvl w:val="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bl>
          <w:p>
            <w:pPr>
              <w:keepNext w:val="0"/>
              <w:keepLines w:val="0"/>
              <w:pageBreakBefore w:val="0"/>
              <w:widowControl/>
              <w:suppressLineNumbers w:val="0"/>
              <w:kinsoku/>
              <w:wordWrap/>
              <w:overflowPunct/>
              <w:topLinePunct w:val="0"/>
              <w:autoSpaceDE/>
              <w:autoSpaceDN/>
              <w:bidi w:val="0"/>
              <w:adjustRightInd/>
              <w:snapToGrid/>
              <w:spacing w:before="157" w:beforeLines="50"/>
              <w:jc w:val="left"/>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1.10、与 T/CFA0310021-2023《铸造企业规范条件》的符合性分析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 xml:space="preserve">项目与 </w:t>
            </w:r>
            <w:r>
              <w:rPr>
                <w:rFonts w:hint="default" w:ascii="Times New Roman" w:hAnsi="Times New Roman" w:eastAsia="宋体" w:cs="Times New Roman"/>
                <w:color w:val="auto"/>
                <w:sz w:val="24"/>
                <w:szCs w:val="24"/>
                <w:highlight w:val="none"/>
                <w:lang w:val="en-US" w:eastAsia="zh-CN"/>
              </w:rPr>
              <w:t>T/CFA0310021-2023</w:t>
            </w:r>
            <w:r>
              <w:rPr>
                <w:rFonts w:hint="eastAsia" w:ascii="Times New Roman" w:hAnsi="Times New Roman" w:eastAsia="宋体" w:cs="Times New Roman"/>
                <w:color w:val="auto"/>
                <w:sz w:val="24"/>
                <w:szCs w:val="24"/>
                <w:highlight w:val="none"/>
                <w:lang w:val="en-US" w:eastAsia="zh-CN"/>
              </w:rPr>
              <w:t xml:space="preserve">《铸造企业规范条件》的符合性分析见表 </w:t>
            </w:r>
            <w:r>
              <w:rPr>
                <w:rFonts w:hint="default" w:ascii="Times New Roman" w:hAnsi="Times New Roman" w:eastAsia="宋体" w:cs="Times New Roman"/>
                <w:color w:val="auto"/>
                <w:sz w:val="24"/>
                <w:szCs w:val="24"/>
                <w:highlight w:val="none"/>
                <w:lang w:val="en-US" w:eastAsia="zh-CN"/>
              </w:rPr>
              <w:t>1</w:t>
            </w:r>
            <w:r>
              <w:rPr>
                <w:rFonts w:hint="eastAsia"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Times New Roman" w:hAnsi="Times New Roman" w:eastAsia="宋体" w:cs="Times New Roman"/>
                <w:b/>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Times New Roman" w:hAnsi="Times New Roman" w:eastAsia="宋体" w:cs="Times New Roman"/>
                <w:b/>
                <w:bCs/>
                <w:color w:val="auto"/>
                <w:sz w:val="24"/>
                <w:szCs w:val="24"/>
                <w:highlight w:val="none"/>
                <w:lang w:val="en-US" w:eastAsia="zh-CN"/>
              </w:rPr>
            </w:pPr>
          </w:p>
          <w:p>
            <w:pPr>
              <w:pStyle w:val="34"/>
              <w:rPr>
                <w:rFonts w:hint="eastAsia"/>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Times New Roman" w:hAnsi="Times New Roman" w:eastAsia="宋体" w:cs="Times New Roman"/>
                <w:b/>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表</w:t>
            </w:r>
            <w:r>
              <w:rPr>
                <w:rFonts w:hint="default" w:ascii="Times New Roman" w:hAnsi="Times New Roman" w:eastAsia="宋体" w:cs="Times New Roman"/>
                <w:b/>
                <w:bCs/>
                <w:color w:val="auto"/>
                <w:sz w:val="24"/>
                <w:szCs w:val="24"/>
                <w:highlight w:val="none"/>
                <w:lang w:val="en-US" w:eastAsia="zh-CN"/>
              </w:rPr>
              <w:t>1</w:t>
            </w:r>
            <w:r>
              <w:rPr>
                <w:rFonts w:hint="eastAsia" w:cs="Times New Roman"/>
                <w:b/>
                <w:bCs/>
                <w:color w:val="auto"/>
                <w:sz w:val="24"/>
                <w:szCs w:val="24"/>
                <w:highlight w:val="none"/>
                <w:lang w:val="en-US" w:eastAsia="zh-CN"/>
              </w:rPr>
              <w:t>.10-1</w:t>
            </w:r>
            <w:r>
              <w:rPr>
                <w:rFonts w:hint="default" w:ascii="Times New Roman" w:hAnsi="Times New Roman" w:eastAsia="宋体" w:cs="Times New Roman"/>
                <w:b/>
                <w:bCs/>
                <w:color w:val="auto"/>
                <w:sz w:val="24"/>
                <w:szCs w:val="24"/>
                <w:highlight w:val="none"/>
                <w:lang w:val="en-US" w:eastAsia="zh-CN"/>
              </w:rPr>
              <w:t xml:space="preserve"> </w:t>
            </w:r>
            <w:r>
              <w:rPr>
                <w:rFonts w:hint="eastAsia" w:ascii="Times New Roman" w:hAnsi="Times New Roman" w:eastAsia="宋体" w:cs="Times New Roman"/>
                <w:b/>
                <w:bCs/>
                <w:color w:val="auto"/>
                <w:sz w:val="24"/>
                <w:szCs w:val="24"/>
                <w:highlight w:val="none"/>
                <w:lang w:val="en-US" w:eastAsia="zh-CN"/>
              </w:rPr>
              <w:t>本项目与《铸造企业规范条件》符合性分析</w:t>
            </w:r>
          </w:p>
          <w:tbl>
            <w:tblPr>
              <w:tblStyle w:val="29"/>
              <w:tblW w:w="673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12"/>
              <w:gridCol w:w="446"/>
              <w:gridCol w:w="570"/>
              <w:gridCol w:w="2766"/>
              <w:gridCol w:w="2011"/>
              <w:gridCol w:w="4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512" w:type="dxa"/>
                  <w:tcBorders>
                    <w:tl2br w:val="nil"/>
                    <w:tr2bl w:val="nil"/>
                  </w:tcBorders>
                  <w:vAlign w:val="center"/>
                </w:tcPr>
                <w:p>
                  <w:pPr>
                    <w:pStyle w:val="34"/>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序号</w:t>
                  </w:r>
                </w:p>
              </w:tc>
              <w:tc>
                <w:tcPr>
                  <w:tcW w:w="1016" w:type="dxa"/>
                  <w:gridSpan w:val="2"/>
                  <w:tcBorders>
                    <w:tl2br w:val="nil"/>
                    <w:tr2bl w:val="nil"/>
                  </w:tcBorders>
                  <w:vAlign w:val="center"/>
                </w:tcPr>
                <w:p>
                  <w:pPr>
                    <w:pStyle w:val="34"/>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类别</w:t>
                  </w:r>
                </w:p>
              </w:tc>
              <w:tc>
                <w:tcPr>
                  <w:tcW w:w="2766" w:type="dxa"/>
                  <w:tcBorders>
                    <w:tl2br w:val="nil"/>
                    <w:tr2bl w:val="nil"/>
                  </w:tcBorders>
                  <w:vAlign w:val="center"/>
                </w:tcPr>
                <w:p>
                  <w:pPr>
                    <w:pStyle w:val="34"/>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lang w:val="en-US" w:eastAsia="zh-CN" w:bidi="ar"/>
                    </w:rPr>
                    <w:t>铸造行业规范条件</w:t>
                  </w:r>
                </w:p>
              </w:tc>
              <w:tc>
                <w:tcPr>
                  <w:tcW w:w="20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lang w:val="en-US" w:eastAsia="zh-CN" w:bidi="ar"/>
                    </w:rPr>
                    <w:t>本项目情况</w:t>
                  </w:r>
                </w:p>
              </w:tc>
              <w:tc>
                <w:tcPr>
                  <w:tcW w:w="43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lang w:val="en-US" w:eastAsia="zh-CN" w:bidi="ar"/>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637" w:hRule="atLeast"/>
                <w:jc w:val="center"/>
              </w:trPr>
              <w:tc>
                <w:tcPr>
                  <w:tcW w:w="512" w:type="dxa"/>
                  <w:vMerge w:val="restart"/>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c>
                <w:tcPr>
                  <w:tcW w:w="1016" w:type="dxa"/>
                  <w:gridSpan w:val="2"/>
                  <w:vMerge w:val="restart"/>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建设条件与布局</w:t>
                  </w:r>
                </w:p>
              </w:tc>
              <w:tc>
                <w:tcPr>
                  <w:tcW w:w="2766"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企业的布局及厂址的确定应符合国家相关法律法规、产业政策以及各地方装备制造业和铸造行业的总体规划要求。</w:t>
                  </w:r>
                </w:p>
              </w:tc>
              <w:tc>
                <w:tcPr>
                  <w:tcW w:w="2011"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项目的布局及厂址的确定符合国家相关法律法规、产业政策以及各地方装备制造业和铸造行业的总体规划要求</w:t>
                  </w:r>
                </w:p>
              </w:tc>
              <w:tc>
                <w:tcPr>
                  <w:tcW w:w="434" w:type="dxa"/>
                  <w:tcBorders>
                    <w:tl2br w:val="nil"/>
                    <w:tr2bl w:val="nil"/>
                  </w:tcBorders>
                  <w:vAlign w:val="center"/>
                </w:tcPr>
                <w:p>
                  <w:pPr>
                    <w:keepNext w:val="0"/>
                    <w:keepLines w:val="0"/>
                    <w:widowControl/>
                    <w:suppressLineNumbers w:val="0"/>
                    <w:jc w:val="both"/>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34" w:hRule="atLeast"/>
                <w:jc w:val="center"/>
              </w:trPr>
              <w:tc>
                <w:tcPr>
                  <w:tcW w:w="512"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016" w:type="dxa"/>
                  <w:gridSpan w:val="2"/>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2766"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企业生产场所应依法取得土地使用权并符合土地使用性质</w:t>
                  </w:r>
                </w:p>
              </w:tc>
              <w:tc>
                <w:tcPr>
                  <w:tcW w:w="2011"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企业生产场所依法取得土地使用权并符合土地使用性质</w:t>
                  </w:r>
                </w:p>
              </w:tc>
              <w:tc>
                <w:tcPr>
                  <w:tcW w:w="434" w:type="dxa"/>
                  <w:tcBorders>
                    <w:tl2br w:val="nil"/>
                    <w:tr2bl w:val="nil"/>
                  </w:tcBorders>
                  <w:vAlign w:val="center"/>
                </w:tcPr>
                <w:p>
                  <w:pPr>
                    <w:keepNext w:val="0"/>
                    <w:keepLines w:val="0"/>
                    <w:widowControl/>
                    <w:suppressLineNumbers w:val="0"/>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28" w:hRule="atLeast"/>
                <w:jc w:val="center"/>
              </w:trPr>
              <w:tc>
                <w:tcPr>
                  <w:tcW w:w="512"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w:t>
                  </w:r>
                </w:p>
              </w:tc>
              <w:tc>
                <w:tcPr>
                  <w:tcW w:w="1016" w:type="dxa"/>
                  <w:gridSpan w:val="2"/>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企业规模</w:t>
                  </w:r>
                </w:p>
              </w:tc>
              <w:tc>
                <w:tcPr>
                  <w:tcW w:w="2766"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新建企业生产产量（铜合金）不低于1000t，</w:t>
                  </w:r>
                  <w:r>
                    <w:rPr>
                      <w:rFonts w:hint="eastAsia" w:cs="Times New Roman"/>
                      <w:color w:val="auto"/>
                      <w:kern w:val="0"/>
                      <w:sz w:val="21"/>
                      <w:szCs w:val="21"/>
                      <w:highlight w:val="none"/>
                      <w:lang w:val="en-US" w:eastAsia="zh-CN" w:bidi="ar"/>
                    </w:rPr>
                    <w:t>铝合金不低于3000t，年</w:t>
                  </w:r>
                  <w:r>
                    <w:rPr>
                      <w:rFonts w:hint="default" w:ascii="Times New Roman" w:hAnsi="Times New Roman" w:eastAsia="宋体" w:cs="Times New Roman"/>
                      <w:color w:val="auto"/>
                      <w:kern w:val="0"/>
                      <w:sz w:val="21"/>
                      <w:szCs w:val="21"/>
                      <w:highlight w:val="none"/>
                      <w:lang w:val="en-US" w:eastAsia="zh-CN" w:bidi="ar"/>
                    </w:rPr>
                    <w:t>销售</w:t>
                  </w:r>
                  <w:r>
                    <w:rPr>
                      <w:rFonts w:hint="eastAsia" w:cs="Times New Roman"/>
                      <w:color w:val="auto"/>
                      <w:kern w:val="0"/>
                      <w:sz w:val="21"/>
                      <w:szCs w:val="21"/>
                      <w:highlight w:val="none"/>
                      <w:lang w:val="en-US" w:eastAsia="zh-CN" w:bidi="ar"/>
                    </w:rPr>
                    <w:t>总</w:t>
                  </w:r>
                  <w:r>
                    <w:rPr>
                      <w:rFonts w:hint="default" w:ascii="Times New Roman" w:hAnsi="Times New Roman" w:eastAsia="宋体" w:cs="Times New Roman"/>
                      <w:color w:val="auto"/>
                      <w:kern w:val="0"/>
                      <w:sz w:val="21"/>
                      <w:szCs w:val="21"/>
                      <w:highlight w:val="none"/>
                      <w:lang w:val="en-US" w:eastAsia="zh-CN" w:bidi="ar"/>
                    </w:rPr>
                    <w:t>收入≥7000万元</w:t>
                  </w:r>
                </w:p>
              </w:tc>
              <w:tc>
                <w:tcPr>
                  <w:tcW w:w="2011"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本项目</w:t>
                  </w:r>
                  <w:r>
                    <w:rPr>
                      <w:rFonts w:hint="default" w:ascii="Times New Roman" w:hAnsi="Times New Roman" w:eastAsia="宋体" w:cs="Times New Roman"/>
                      <w:bCs/>
                      <w:color w:val="auto"/>
                      <w:sz w:val="21"/>
                      <w:szCs w:val="21"/>
                      <w:highlight w:val="none"/>
                      <w:lang w:eastAsia="zh-CN"/>
                    </w:rPr>
                    <w:t>年产</w:t>
                  </w:r>
                  <w:r>
                    <w:rPr>
                      <w:rFonts w:hint="eastAsia" w:cs="Times New Roman"/>
                      <w:bCs/>
                      <w:color w:val="auto"/>
                      <w:sz w:val="21"/>
                      <w:szCs w:val="21"/>
                      <w:highlight w:val="none"/>
                      <w:lang w:val="en-US" w:eastAsia="zh-CN"/>
                    </w:rPr>
                    <w:t>铜制品、铝合金制品水龙头产量各3000t，年</w:t>
                  </w:r>
                  <w:r>
                    <w:rPr>
                      <w:rFonts w:hint="default" w:ascii="Times New Roman" w:hAnsi="Times New Roman" w:eastAsia="宋体" w:cs="Times New Roman"/>
                      <w:color w:val="auto"/>
                      <w:kern w:val="0"/>
                      <w:sz w:val="21"/>
                      <w:szCs w:val="21"/>
                      <w:highlight w:val="none"/>
                      <w:lang w:val="en-US" w:eastAsia="zh-CN" w:bidi="ar"/>
                    </w:rPr>
                    <w:t>产值为</w:t>
                  </w:r>
                  <w:r>
                    <w:rPr>
                      <w:rFonts w:hint="eastAsia" w:cs="Times New Roman"/>
                      <w:color w:val="auto"/>
                      <w:kern w:val="0"/>
                      <w:sz w:val="21"/>
                      <w:szCs w:val="21"/>
                      <w:highlight w:val="none"/>
                      <w:lang w:val="en-US" w:eastAsia="zh-CN" w:bidi="ar"/>
                    </w:rPr>
                    <w:t>2</w:t>
                  </w:r>
                  <w:r>
                    <w:rPr>
                      <w:rFonts w:hint="default" w:ascii="Times New Roman" w:hAnsi="Times New Roman" w:eastAsia="宋体" w:cs="Times New Roman"/>
                      <w:color w:val="auto"/>
                      <w:kern w:val="0"/>
                      <w:sz w:val="21"/>
                      <w:szCs w:val="21"/>
                      <w:highlight w:val="none"/>
                      <w:lang w:val="en-US" w:eastAsia="zh-CN" w:bidi="ar"/>
                    </w:rPr>
                    <w:t>亿元</w:t>
                  </w:r>
                </w:p>
              </w:tc>
              <w:tc>
                <w:tcPr>
                  <w:tcW w:w="434" w:type="dxa"/>
                  <w:tcBorders>
                    <w:tl2br w:val="nil"/>
                    <w:tr2bl w:val="nil"/>
                  </w:tcBorders>
                  <w:vAlign w:val="center"/>
                </w:tcPr>
                <w:p>
                  <w:pPr>
                    <w:keepNext w:val="0"/>
                    <w:keepLines w:val="0"/>
                    <w:widowControl/>
                    <w:suppressLineNumbers w:val="0"/>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97" w:hRule="atLeast"/>
                <w:jc w:val="center"/>
              </w:trPr>
              <w:tc>
                <w:tcPr>
                  <w:tcW w:w="512" w:type="dxa"/>
                  <w:vMerge w:val="restart"/>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w:t>
                  </w:r>
                </w:p>
              </w:tc>
              <w:tc>
                <w:tcPr>
                  <w:tcW w:w="1016" w:type="dxa"/>
                  <w:gridSpan w:val="2"/>
                  <w:vMerge w:val="restart"/>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生产工艺</w:t>
                  </w:r>
                </w:p>
              </w:tc>
              <w:tc>
                <w:tcPr>
                  <w:tcW w:w="2766"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企业应根据生产铸件的材质、品种、批量，合理选择低污染、低排放、低能耗、经济高效的铸造工艺</w:t>
                  </w:r>
                </w:p>
              </w:tc>
              <w:tc>
                <w:tcPr>
                  <w:tcW w:w="2011" w:type="dxa"/>
                  <w:vMerge w:val="restart"/>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本项目采用金属型铸造工艺，无使用落后铸造工艺</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434" w:type="dxa"/>
                  <w:vMerge w:val="restart"/>
                  <w:tcBorders>
                    <w:tl2br w:val="nil"/>
                    <w:tr2bl w:val="nil"/>
                  </w:tcBorders>
                  <w:vAlign w:val="center"/>
                </w:tcPr>
                <w:p>
                  <w:pPr>
                    <w:keepNext w:val="0"/>
                    <w:keepLines w:val="0"/>
                    <w:widowControl/>
                    <w:suppressLineNumbers w:val="0"/>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43" w:hRule="atLeast"/>
                <w:jc w:val="center"/>
              </w:trPr>
              <w:tc>
                <w:tcPr>
                  <w:tcW w:w="512"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016" w:type="dxa"/>
                  <w:gridSpan w:val="2"/>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2766"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企业不应使用国家明令淘汰的生产工艺。不应采用粘土砂干型/芯、油砂制芯、七O砂制型/芯等落后铸造工艺；粘土砂工艺批量生产铸件不应采用手工造型；水玻璃熔模精密铸造模壳硬化不应采用氯化硬化工艺；铝合金精炼不应采用六氯乙烷等有毒有害的精炼剂</w:t>
                  </w:r>
                </w:p>
              </w:tc>
              <w:tc>
                <w:tcPr>
                  <w:tcW w:w="2011" w:type="dxa"/>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434" w:type="dxa"/>
                  <w:vMerge w:val="continue"/>
                  <w:tcBorders>
                    <w:tl2br w:val="nil"/>
                    <w:tr2bl w:val="nil"/>
                  </w:tcBorders>
                  <w:vAlign w:val="center"/>
                </w:tcPr>
                <w:p>
                  <w:pPr>
                    <w:keepNext w:val="0"/>
                    <w:keepLines w:val="0"/>
                    <w:widowControl/>
                    <w:suppressLineNumbers w:val="0"/>
                    <w:jc w:val="both"/>
                    <w:rPr>
                      <w:rFonts w:hint="default" w:ascii="Times New Roman" w:hAnsi="Times New Roman" w:eastAsia="宋体" w:cs="Times New Roman"/>
                      <w:color w:val="auto"/>
                      <w:kern w:val="0"/>
                      <w:sz w:val="21"/>
                      <w:szCs w:val="21"/>
                      <w:highlight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97" w:hRule="atLeast"/>
                <w:jc w:val="center"/>
              </w:trPr>
              <w:tc>
                <w:tcPr>
                  <w:tcW w:w="512"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016" w:type="dxa"/>
                  <w:gridSpan w:val="2"/>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2766"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新(改、扩)建粘土砂型铸造项目应采用自动化造型，新（改、扩）建熔模精密铸造项目不应采用水玻璃熔模精密铸造工艺</w:t>
                  </w:r>
                </w:p>
              </w:tc>
              <w:tc>
                <w:tcPr>
                  <w:tcW w:w="2011" w:type="dxa"/>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434" w:type="dxa"/>
                  <w:vMerge w:val="continue"/>
                  <w:tcBorders>
                    <w:tl2br w:val="nil"/>
                    <w:tr2bl w:val="nil"/>
                  </w:tcBorders>
                  <w:vAlign w:val="center"/>
                </w:tcPr>
                <w:p>
                  <w:pPr>
                    <w:keepNext w:val="0"/>
                    <w:keepLines w:val="0"/>
                    <w:widowControl/>
                    <w:suppressLineNumbers w:val="0"/>
                    <w:jc w:val="both"/>
                    <w:rPr>
                      <w:rFonts w:hint="default" w:ascii="Times New Roman" w:hAnsi="Times New Roman" w:eastAsia="宋体" w:cs="Times New Roman"/>
                      <w:color w:val="auto"/>
                      <w:kern w:val="0"/>
                      <w:sz w:val="21"/>
                      <w:szCs w:val="21"/>
                      <w:highlight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05" w:hRule="atLeast"/>
                <w:jc w:val="center"/>
              </w:trPr>
              <w:tc>
                <w:tcPr>
                  <w:tcW w:w="512" w:type="dxa"/>
                  <w:vMerge w:val="restart"/>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w:t>
                  </w:r>
                </w:p>
              </w:tc>
              <w:tc>
                <w:tcPr>
                  <w:tcW w:w="446" w:type="dxa"/>
                  <w:vMerge w:val="restart"/>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生产装备</w:t>
                  </w:r>
                </w:p>
              </w:tc>
              <w:tc>
                <w:tcPr>
                  <w:tcW w:w="570"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总则</w:t>
                  </w:r>
                </w:p>
              </w:tc>
              <w:tc>
                <w:tcPr>
                  <w:tcW w:w="2766"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（1）企业不应使用国家明令淘汰的生产装备，如：无芯工频感应电炉、0.25吨及以上无磁轭的铝壳中频感应电炉等；</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（2）铸件生产企业采用冲天炉熔炼，其设备熔化率宜大于10吨/小时。</w:t>
                  </w:r>
                </w:p>
              </w:tc>
              <w:tc>
                <w:tcPr>
                  <w:tcW w:w="2011"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本项目采用的有芯工频感应电炉规格为2吨，不属于无磁轭的铝壳中频感应电炉</w:t>
                  </w:r>
                </w:p>
              </w:tc>
              <w:tc>
                <w:tcPr>
                  <w:tcW w:w="434"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1" w:hRule="atLeast"/>
                <w:jc w:val="center"/>
              </w:trPr>
              <w:tc>
                <w:tcPr>
                  <w:tcW w:w="512"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46" w:type="dxa"/>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570" w:type="dxa"/>
                  <w:vMerge w:val="restart"/>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熔炼</w:t>
                  </w:r>
                </w:p>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（化）</w:t>
                  </w:r>
                </w:p>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及炉前监测设</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备</w:t>
                  </w:r>
                </w:p>
              </w:tc>
              <w:tc>
                <w:tcPr>
                  <w:tcW w:w="2766"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企业应配备与生产能力相匹配的熔炼（化）设备，如冲天炉、中频感应电炉、电弧炉、精炼炉（AOD、VD、LF等）、电阻炉、燃气炉、保温炉等。</w:t>
                  </w:r>
                </w:p>
              </w:tc>
              <w:tc>
                <w:tcPr>
                  <w:tcW w:w="2011"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本项目</w:t>
                  </w:r>
                  <w:r>
                    <w:rPr>
                      <w:rFonts w:hint="eastAsia" w:cs="Times New Roman"/>
                      <w:color w:val="auto"/>
                      <w:kern w:val="0"/>
                      <w:sz w:val="21"/>
                      <w:szCs w:val="21"/>
                      <w:highlight w:val="none"/>
                      <w:lang w:val="en-US" w:eastAsia="zh-CN" w:bidi="ar"/>
                    </w:rPr>
                    <w:t>设置5套2t/h</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的</w:t>
                  </w:r>
                  <w:r>
                    <w:rPr>
                      <w:rFonts w:hint="default" w:ascii="Times New Roman" w:hAnsi="Times New Roman" w:eastAsia="宋体" w:cs="Times New Roman"/>
                      <w:color w:val="auto"/>
                      <w:kern w:val="0"/>
                      <w:sz w:val="21"/>
                      <w:szCs w:val="21"/>
                      <w:highlight w:val="none"/>
                      <w:lang w:val="en-US" w:eastAsia="zh-CN" w:bidi="ar"/>
                    </w:rPr>
                    <w:t>有芯工频感应电炉</w:t>
                  </w:r>
                  <w:r>
                    <w:rPr>
                      <w:rFonts w:hint="eastAsia" w:cs="Times New Roman"/>
                      <w:color w:val="auto"/>
                      <w:kern w:val="0"/>
                      <w:sz w:val="21"/>
                      <w:szCs w:val="21"/>
                      <w:highlight w:val="none"/>
                      <w:lang w:val="en-US" w:eastAsia="zh-CN" w:bidi="ar"/>
                    </w:rPr>
                    <w:t>，项目工作时间为10h/d，则连续生产的情况下，设备可达生产规模为30000t，项目设计的与熔化工序对应的生产规模为3000t，则</w:t>
                  </w:r>
                  <w:r>
                    <w:rPr>
                      <w:rFonts w:hint="default" w:ascii="Times New Roman" w:hAnsi="Times New Roman" w:eastAsia="宋体" w:cs="Times New Roman"/>
                      <w:color w:val="auto"/>
                      <w:kern w:val="0"/>
                      <w:sz w:val="21"/>
                      <w:szCs w:val="21"/>
                      <w:highlight w:val="none"/>
                      <w:lang w:val="en-US" w:eastAsia="zh-CN" w:bidi="ar"/>
                    </w:rPr>
                    <w:t>配有与生产能力相匹配的有芯工频感应电炉等生产设备</w:t>
                  </w:r>
                </w:p>
              </w:tc>
              <w:tc>
                <w:tcPr>
                  <w:tcW w:w="434"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97" w:hRule="atLeast"/>
                <w:jc w:val="center"/>
              </w:trPr>
              <w:tc>
                <w:tcPr>
                  <w:tcW w:w="512"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46" w:type="dxa"/>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570" w:type="dxa"/>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2766"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企业熔炼（化）设备炉前应配置必要的化学成分分析、金属液温度测量等检测仪器。</w:t>
                  </w:r>
                </w:p>
              </w:tc>
              <w:tc>
                <w:tcPr>
                  <w:tcW w:w="20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项目熔炼前配有必要化学成分分析</w:t>
                  </w:r>
                  <w:r>
                    <w:rPr>
                      <w:rFonts w:hint="eastAsia" w:cs="Times New Roman"/>
                      <w:color w:val="auto"/>
                      <w:kern w:val="0"/>
                      <w:sz w:val="21"/>
                      <w:szCs w:val="21"/>
                      <w:lang w:val="en-US" w:eastAsia="zh-CN" w:bidi="ar"/>
                    </w:rPr>
                    <w:t>仪器（</w:t>
                  </w:r>
                  <w:r>
                    <w:rPr>
                      <w:rFonts w:hint="eastAsia" w:ascii="Times New Roman" w:hAnsi="Times New Roman" w:eastAsia="宋体" w:cs="Times New Roman"/>
                      <w:color w:val="auto"/>
                      <w:kern w:val="0"/>
                      <w:sz w:val="21"/>
                      <w:szCs w:val="21"/>
                      <w:highlight w:val="none"/>
                      <w:lang w:val="en-US" w:eastAsia="zh-CN" w:bidi="ar"/>
                    </w:rPr>
                    <w:t>试样制样成套设备</w:t>
                  </w:r>
                  <w:r>
                    <w:rPr>
                      <w:rFonts w:hint="eastAsia"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直读光谱仪</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、金</w:t>
                  </w:r>
                </w:p>
                <w:p>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属液温度测量等检测仪器</w:t>
                  </w:r>
                  <w:r>
                    <w:rPr>
                      <w:rFonts w:hint="eastAsia" w:cs="Times New Roman"/>
                      <w:color w:val="auto"/>
                      <w:kern w:val="0"/>
                      <w:sz w:val="21"/>
                      <w:szCs w:val="21"/>
                      <w:lang w:val="en-US" w:eastAsia="zh-CN" w:bidi="ar"/>
                    </w:rPr>
                    <w:t>（洛氏</w:t>
                  </w:r>
                  <w:r>
                    <w:rPr>
                      <w:rFonts w:hint="eastAsia" w:ascii="Times New Roman" w:hAnsi="Times New Roman" w:eastAsia="宋体" w:cs="Times New Roman"/>
                      <w:color w:val="auto"/>
                      <w:kern w:val="0"/>
                      <w:sz w:val="21"/>
                      <w:szCs w:val="21"/>
                      <w:lang w:val="en-US" w:eastAsia="zh-CN" w:bidi="ar"/>
                    </w:rPr>
                    <w:t>硬度计</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lang w:val="en-US" w:eastAsia="zh-CN" w:bidi="ar"/>
                    </w:rPr>
                    <w:t>详见表2</w:t>
                  </w:r>
                  <w:r>
                    <w:rPr>
                      <w:rFonts w:hint="eastAsia" w:cs="Times New Roman"/>
                      <w:color w:val="auto"/>
                      <w:kern w:val="0"/>
                      <w:sz w:val="21"/>
                      <w:szCs w:val="21"/>
                      <w:lang w:val="en-US" w:eastAsia="zh-CN" w:bidi="ar"/>
                    </w:rPr>
                    <w:t>.5</w:t>
                  </w:r>
                  <w:r>
                    <w:rPr>
                      <w:rFonts w:hint="default" w:ascii="Times New Roman" w:hAnsi="Times New Roman" w:eastAsia="宋体" w:cs="Times New Roman"/>
                      <w:color w:val="auto"/>
                      <w:kern w:val="0"/>
                      <w:sz w:val="21"/>
                      <w:szCs w:val="21"/>
                      <w:lang w:val="en-US" w:eastAsia="zh-CN" w:bidi="ar"/>
                    </w:rPr>
                    <w:t>-</w:t>
                  </w:r>
                  <w:r>
                    <w:rPr>
                      <w:rFonts w:hint="eastAsia" w:cs="Times New Roman"/>
                      <w:color w:val="auto"/>
                      <w:kern w:val="0"/>
                      <w:sz w:val="21"/>
                      <w:szCs w:val="21"/>
                      <w:lang w:val="en-US" w:eastAsia="zh-CN" w:bidi="ar"/>
                    </w:rPr>
                    <w:t>1</w:t>
                  </w:r>
                </w:p>
              </w:tc>
              <w:tc>
                <w:tcPr>
                  <w:tcW w:w="434" w:type="dxa"/>
                  <w:tcBorders>
                    <w:tl2br w:val="nil"/>
                    <w:tr2bl w:val="nil"/>
                  </w:tcBorders>
                  <w:vAlign w:val="center"/>
                </w:tcPr>
                <w:p>
                  <w:pPr>
                    <w:keepNext w:val="0"/>
                    <w:keepLines w:val="0"/>
                    <w:widowControl/>
                    <w:suppressLineNumbers w:val="0"/>
                    <w:jc w:val="both"/>
                    <w:rPr>
                      <w:rFonts w:hint="default" w:ascii="Times New Roman" w:hAnsi="Times New Roman" w:eastAsia="宋体" w:cs="Times New Roman"/>
                      <w:color w:val="auto"/>
                      <w:kern w:val="0"/>
                      <w:sz w:val="21"/>
                      <w:szCs w:val="21"/>
                      <w:highlight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81" w:hRule="atLeast"/>
                <w:jc w:val="center"/>
              </w:trPr>
              <w:tc>
                <w:tcPr>
                  <w:tcW w:w="512"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46" w:type="dxa"/>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570"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成型设备</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2766"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企业应配备与产品及生产能力相匹配的造型、制芯及其他成型设备（线）， 如粘土砂造型机（线）、树脂砂混砂机、壳型（芯）机、铁模覆砂生产线、水玻璃砂生产线、消失模/V法/实型铸造设备、离心铸造设备、压铸设备、</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低压铸造机、重力铸造设备、挤压铸造设备、差压铸造设备、熔模铸造设备（线）、制芯设备、快速成型设备等。</w:t>
                  </w:r>
                </w:p>
              </w:tc>
              <w:tc>
                <w:tcPr>
                  <w:tcW w:w="2011"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项目配套混砂机</w:t>
                  </w:r>
                  <w:r>
                    <w:rPr>
                      <w:rFonts w:hint="eastAsia" w:cs="Times New Roman"/>
                      <w:color w:val="auto"/>
                      <w:kern w:val="0"/>
                      <w:sz w:val="21"/>
                      <w:szCs w:val="21"/>
                      <w:highlight w:val="none"/>
                      <w:lang w:val="en-US" w:eastAsia="zh-CN" w:bidi="ar"/>
                    </w:rPr>
                    <w:t>10</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台、热芯盒射芯机2</w:t>
                  </w:r>
                  <w:r>
                    <w:rPr>
                      <w:rFonts w:hint="eastAsia" w:ascii="Times New Roman" w:hAnsi="Times New Roman" w:eastAsia="宋体" w:cs="Times New Roman"/>
                      <w:color w:val="auto"/>
                      <w:kern w:val="0"/>
                      <w:sz w:val="21"/>
                      <w:szCs w:val="21"/>
                      <w:highlight w:val="none"/>
                      <w:lang w:val="en-US" w:eastAsia="zh-CN" w:bidi="ar"/>
                    </w:rPr>
                    <w:t>5</w:t>
                  </w:r>
                  <w:r>
                    <w:rPr>
                      <w:rFonts w:hint="default" w:ascii="Times New Roman" w:hAnsi="Times New Roman" w:eastAsia="宋体" w:cs="Times New Roman"/>
                      <w:color w:val="auto"/>
                      <w:kern w:val="0"/>
                      <w:sz w:val="21"/>
                      <w:szCs w:val="21"/>
                      <w:highlight w:val="none"/>
                      <w:lang w:val="en-US" w:eastAsia="zh-CN" w:bidi="ar"/>
                    </w:rPr>
                    <w:t>台等，可与项目产品及生产能力相匹配</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434" w:type="dxa"/>
                  <w:tcBorders>
                    <w:tl2br w:val="nil"/>
                    <w:tr2bl w:val="nil"/>
                  </w:tcBorders>
                  <w:vAlign w:val="center"/>
                </w:tcPr>
                <w:p>
                  <w:pPr>
                    <w:keepNext w:val="0"/>
                    <w:keepLines w:val="0"/>
                    <w:widowControl/>
                    <w:suppressLineNumbers w:val="0"/>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28" w:hRule="atLeast"/>
                <w:jc w:val="center"/>
              </w:trPr>
              <w:tc>
                <w:tcPr>
                  <w:tcW w:w="512"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46" w:type="dxa"/>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570" w:type="dxa"/>
                  <w:vMerge w:val="restart"/>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砂处理及砂再</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生设备</w:t>
                  </w:r>
                </w:p>
              </w:tc>
              <w:tc>
                <w:tcPr>
                  <w:tcW w:w="2766"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采用粘土砂、树脂自硬砂、酯硬化水玻璃砂铸造工艺的企业应配备完善的砂处理及砂再生设备，各种旧砂的回</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用率应达到表2的要求。</w:t>
                  </w:r>
                </w:p>
              </w:tc>
              <w:tc>
                <w:tcPr>
                  <w:tcW w:w="2011"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本项使用的是热芯</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盒树脂砂制芯，不属</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于自硬砂范围，产生</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的旧树脂砂由</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相关单位</w:t>
                  </w:r>
                  <w:r>
                    <w:rPr>
                      <w:rFonts w:hint="default" w:ascii="Times New Roman" w:hAnsi="Times New Roman" w:eastAsia="宋体" w:cs="Times New Roman"/>
                      <w:color w:val="auto"/>
                      <w:kern w:val="0"/>
                      <w:sz w:val="21"/>
                      <w:szCs w:val="21"/>
                      <w:highlight w:val="none"/>
                      <w:lang w:val="en-US" w:eastAsia="zh-CN" w:bidi="ar"/>
                    </w:rPr>
                    <w:t>回</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收重新加工后提供</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给本项目循环使用，</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根据固体废物源</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强分析旧砂产生量</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约为</w:t>
                  </w:r>
                  <w:r>
                    <w:rPr>
                      <w:rFonts w:hint="eastAsia" w:ascii="Times New Roman" w:hAnsi="Times New Roman" w:eastAsia="宋体" w:cs="Times New Roman"/>
                      <w:color w:val="auto"/>
                      <w:kern w:val="0"/>
                      <w:sz w:val="21"/>
                      <w:szCs w:val="21"/>
                      <w:highlight w:val="none"/>
                      <w:lang w:val="en-US" w:eastAsia="zh-CN" w:bidi="ar"/>
                    </w:rPr>
                    <w:t>5</w:t>
                  </w:r>
                  <w:r>
                    <w:rPr>
                      <w:rFonts w:hint="default" w:ascii="Times New Roman" w:hAnsi="Times New Roman" w:eastAsia="宋体" w:cs="Times New Roman"/>
                      <w:color w:val="auto"/>
                      <w:kern w:val="0"/>
                      <w:sz w:val="21"/>
                      <w:szCs w:val="21"/>
                      <w:highlight w:val="none"/>
                      <w:lang w:val="en-US" w:eastAsia="zh-CN" w:bidi="ar"/>
                    </w:rPr>
                    <w:t>0 t，项目旧砂</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回用率为90%</w:t>
                  </w:r>
                </w:p>
              </w:tc>
              <w:tc>
                <w:tcPr>
                  <w:tcW w:w="434" w:type="dxa"/>
                  <w:tcBorders>
                    <w:tl2br w:val="nil"/>
                    <w:tr2bl w:val="nil"/>
                  </w:tcBorders>
                  <w:vAlign w:val="center"/>
                </w:tcPr>
                <w:p>
                  <w:pPr>
                    <w:keepNext w:val="0"/>
                    <w:keepLines w:val="0"/>
                    <w:widowControl/>
                    <w:suppressLineNumbers w:val="0"/>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512"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46" w:type="dxa"/>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570" w:type="dxa"/>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2766"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采用普通水玻璃砂型铸造工艺的企业宜合理配置再生设备</w:t>
                  </w:r>
                </w:p>
              </w:tc>
              <w:tc>
                <w:tcPr>
                  <w:tcW w:w="2011"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本项目不涉及</w:t>
                  </w:r>
                </w:p>
              </w:tc>
              <w:tc>
                <w:tcPr>
                  <w:tcW w:w="434" w:type="dxa"/>
                  <w:tcBorders>
                    <w:tl2br w:val="nil"/>
                    <w:tr2bl w:val="nil"/>
                  </w:tcBorders>
                  <w:vAlign w:val="center"/>
                </w:tcPr>
                <w:p>
                  <w:pPr>
                    <w:keepNext w:val="0"/>
                    <w:keepLines w:val="0"/>
                    <w:widowControl/>
                    <w:suppressLineNumbers w:val="0"/>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28" w:hRule="atLeast"/>
                <w:jc w:val="center"/>
              </w:trPr>
              <w:tc>
                <w:tcPr>
                  <w:tcW w:w="512" w:type="dxa"/>
                  <w:vMerge w:val="restart"/>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w:t>
                  </w:r>
                </w:p>
              </w:tc>
              <w:tc>
                <w:tcPr>
                  <w:tcW w:w="1016" w:type="dxa"/>
                  <w:gridSpan w:val="2"/>
                  <w:vMerge w:val="restart"/>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质量控制</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能源消耗</w:t>
                  </w:r>
                </w:p>
              </w:tc>
              <w:tc>
                <w:tcPr>
                  <w:tcW w:w="2766"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企业应按照相关标准要求建立质量管理体系，通过认证并持续有效运行</w:t>
                  </w:r>
                </w:p>
              </w:tc>
              <w:tc>
                <w:tcPr>
                  <w:tcW w:w="2011"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项目按照相关标准</w:t>
                  </w:r>
                </w:p>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要求建立质量管理</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体系</w:t>
                  </w:r>
                </w:p>
              </w:tc>
              <w:tc>
                <w:tcPr>
                  <w:tcW w:w="434" w:type="dxa"/>
                  <w:tcBorders>
                    <w:tl2br w:val="nil"/>
                    <w:tr2bl w:val="nil"/>
                  </w:tcBorders>
                  <w:vAlign w:val="center"/>
                </w:tcPr>
                <w:p>
                  <w:pPr>
                    <w:keepNext w:val="0"/>
                    <w:keepLines w:val="0"/>
                    <w:widowControl/>
                    <w:suppressLineNumbers w:val="0"/>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73" w:hRule="atLeast"/>
                <w:jc w:val="center"/>
              </w:trPr>
              <w:tc>
                <w:tcPr>
                  <w:tcW w:w="512"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016" w:type="dxa"/>
                  <w:gridSpan w:val="2"/>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2766"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企业应设有质量管理部门，并配备专职质量监测人员，</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应配置与原辅材料、生产过程以及铸件质量相关的理化、计量、无损、型砂检测等检验检测设备</w:t>
                  </w:r>
                </w:p>
              </w:tc>
              <w:tc>
                <w:tcPr>
                  <w:tcW w:w="2011"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项目设置质量管理</w:t>
                  </w:r>
                </w:p>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部门，配备专职质量</w:t>
                  </w:r>
                </w:p>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监测人员，配置与原</w:t>
                  </w:r>
                </w:p>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辅材料、生产过程以</w:t>
                  </w:r>
                </w:p>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及铸件质量相关的</w:t>
                  </w:r>
                </w:p>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理化、计量、无损、</w:t>
                  </w:r>
                </w:p>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型砂检测等检验检</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测设备</w:t>
                  </w:r>
                </w:p>
              </w:tc>
              <w:tc>
                <w:tcPr>
                  <w:tcW w:w="434" w:type="dxa"/>
                  <w:tcBorders>
                    <w:tl2br w:val="nil"/>
                    <w:tr2bl w:val="nil"/>
                  </w:tcBorders>
                  <w:vAlign w:val="center"/>
                </w:tcPr>
                <w:p>
                  <w:pPr>
                    <w:keepNext w:val="0"/>
                    <w:keepLines w:val="0"/>
                    <w:widowControl/>
                    <w:suppressLineNumbers w:val="0"/>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1" w:hRule="atLeast"/>
                <w:jc w:val="center"/>
              </w:trPr>
              <w:tc>
                <w:tcPr>
                  <w:tcW w:w="512"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016" w:type="dxa"/>
                  <w:gridSpan w:val="2"/>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2766"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铸件的外观质量（尺寸精度、表面粗糙度等）、内在质量（化学成分、金相组织等）及力学性能等指标应符合规定的技术要求</w:t>
                  </w:r>
                </w:p>
              </w:tc>
              <w:tc>
                <w:tcPr>
                  <w:tcW w:w="2011"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项目设置检验室按</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现行标准对产品质量进行质量控制</w:t>
                  </w:r>
                </w:p>
              </w:tc>
              <w:tc>
                <w:tcPr>
                  <w:tcW w:w="434" w:type="dxa"/>
                  <w:tcBorders>
                    <w:tl2br w:val="nil"/>
                    <w:tr2bl w:val="nil"/>
                  </w:tcBorders>
                  <w:vAlign w:val="center"/>
                </w:tcPr>
                <w:p>
                  <w:pPr>
                    <w:keepNext w:val="0"/>
                    <w:keepLines w:val="0"/>
                    <w:widowControl/>
                    <w:suppressLineNumbers w:val="0"/>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86" w:hRule="atLeast"/>
                <w:jc w:val="center"/>
              </w:trPr>
              <w:tc>
                <w:tcPr>
                  <w:tcW w:w="512"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016" w:type="dxa"/>
                  <w:gridSpan w:val="2"/>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2766"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企业应建立能源管理制度，建立能源管理体系，通过认证并持续有效运行</w:t>
                  </w:r>
                </w:p>
              </w:tc>
              <w:tc>
                <w:tcPr>
                  <w:tcW w:w="2011"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企业将建立能源管</w:t>
                  </w:r>
                </w:p>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理制度并持续有效</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运行</w:t>
                  </w:r>
                </w:p>
              </w:tc>
              <w:tc>
                <w:tcPr>
                  <w:tcW w:w="434"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符合</w:t>
                  </w:r>
                </w:p>
              </w:tc>
            </w:tr>
          </w:tbl>
          <w:p>
            <w:pPr>
              <w:keepNext w:val="0"/>
              <w:keepLines w:val="0"/>
              <w:pageBreakBefore w:val="0"/>
              <w:widowControl/>
              <w:suppressLineNumbers w:val="0"/>
              <w:kinsoku/>
              <w:wordWrap/>
              <w:overflowPunct/>
              <w:topLinePunct w:val="0"/>
              <w:autoSpaceDE/>
              <w:autoSpaceDN/>
              <w:bidi w:val="0"/>
              <w:adjustRightInd w:val="0"/>
              <w:snapToGrid w:val="0"/>
              <w:spacing w:before="157" w:beforeLines="50" w:line="360" w:lineRule="auto"/>
              <w:jc w:val="both"/>
              <w:textAlignment w:val="auto"/>
              <w:rPr>
                <w:rFonts w:hint="eastAsia" w:ascii="Times New Roman" w:hAnsi="Times New Roman" w:eastAsia="宋体"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1.11、</w:t>
            </w:r>
            <w:r>
              <w:rPr>
                <w:rFonts w:hint="eastAsia" w:ascii="Times New Roman" w:hAnsi="Times New Roman" w:eastAsia="宋体" w:cs="Times New Roman"/>
                <w:b/>
                <w:bCs/>
                <w:color w:val="auto"/>
                <w:kern w:val="2"/>
                <w:sz w:val="24"/>
                <w:szCs w:val="24"/>
                <w:highlight w:val="none"/>
                <w:lang w:val="en-US" w:eastAsia="zh-CN" w:bidi="ar-SA"/>
              </w:rPr>
              <w:t>项目与《工业涂装工序挥发性有机物排放标准》（</w:t>
            </w:r>
            <w:r>
              <w:rPr>
                <w:rFonts w:hint="default" w:ascii="Times New Roman" w:hAnsi="Times New Roman" w:eastAsia="宋体" w:cs="Times New Roman"/>
                <w:b/>
                <w:bCs/>
                <w:color w:val="auto"/>
                <w:kern w:val="2"/>
                <w:sz w:val="24"/>
                <w:szCs w:val="24"/>
                <w:highlight w:val="none"/>
                <w:lang w:val="en-US" w:eastAsia="zh-CN" w:bidi="ar-SA"/>
              </w:rPr>
              <w:t>DB35/1783-2018</w:t>
            </w:r>
            <w:r>
              <w:rPr>
                <w:rFonts w:hint="eastAsia" w:ascii="Times New Roman" w:hAnsi="Times New Roman" w:eastAsia="宋体" w:cs="Times New Roman"/>
                <w:b/>
                <w:bCs/>
                <w:color w:val="auto"/>
                <w:kern w:val="2"/>
                <w:sz w:val="24"/>
                <w:szCs w:val="24"/>
                <w:highlight w:val="none"/>
                <w:lang w:val="en-US" w:eastAsia="zh-CN" w:bidi="ar-SA"/>
              </w:rPr>
              <w:t xml:space="preserve">）附录 </w:t>
            </w:r>
            <w:r>
              <w:rPr>
                <w:rFonts w:hint="default" w:ascii="Times New Roman" w:hAnsi="Times New Roman" w:eastAsia="宋体" w:cs="Times New Roman"/>
                <w:b/>
                <w:bCs/>
                <w:color w:val="auto"/>
                <w:kern w:val="2"/>
                <w:sz w:val="24"/>
                <w:szCs w:val="24"/>
                <w:highlight w:val="none"/>
                <w:lang w:val="en-US" w:eastAsia="zh-CN" w:bidi="ar-SA"/>
              </w:rPr>
              <w:t xml:space="preserve">D </w:t>
            </w:r>
            <w:r>
              <w:rPr>
                <w:rFonts w:hint="eastAsia" w:ascii="Times New Roman" w:hAnsi="Times New Roman" w:eastAsia="宋体" w:cs="Times New Roman"/>
                <w:b/>
                <w:bCs/>
                <w:color w:val="auto"/>
                <w:kern w:val="2"/>
                <w:sz w:val="24"/>
                <w:szCs w:val="24"/>
                <w:highlight w:val="none"/>
                <w:lang w:val="en-US" w:eastAsia="zh-CN" w:bidi="ar-SA"/>
              </w:rPr>
              <w:t>符合性分析</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项目与《工业涂装工序挥发性有机物排放标准（DB35/1783-2018）附录 D 符合性分析详见表1.11-1。</w:t>
            </w:r>
          </w:p>
          <w:p>
            <w:pPr>
              <w:keepNext w:val="0"/>
              <w:keepLines w:val="0"/>
              <w:widowControl/>
              <w:suppressLineNumbers w:val="0"/>
              <w:spacing w:line="240" w:lineRule="auto"/>
              <w:jc w:val="center"/>
              <w:rPr>
                <w:rFonts w:hint="default"/>
                <w:color w:val="auto"/>
                <w:highlight w:val="none"/>
                <w:lang w:val="en-US" w:eastAsia="zh-CN"/>
              </w:rPr>
            </w:pPr>
            <w:r>
              <w:rPr>
                <w:rFonts w:hint="eastAsia" w:ascii="宋体" w:hAnsi="宋体" w:eastAsia="宋体" w:cs="宋体"/>
                <w:b/>
                <w:bCs/>
                <w:color w:val="auto"/>
                <w:kern w:val="0"/>
                <w:sz w:val="24"/>
                <w:szCs w:val="24"/>
                <w:highlight w:val="none"/>
                <w:lang w:val="en-US" w:eastAsia="zh-CN" w:bidi="ar"/>
              </w:rPr>
              <w:t xml:space="preserve">表 </w:t>
            </w:r>
            <w:r>
              <w:rPr>
                <w:rFonts w:hint="default" w:ascii="Times New Roman" w:hAnsi="Times New Roman" w:eastAsia="宋体" w:cs="Times New Roman"/>
                <w:b/>
                <w:bCs/>
                <w:color w:val="auto"/>
                <w:kern w:val="0"/>
                <w:sz w:val="24"/>
                <w:szCs w:val="24"/>
                <w:highlight w:val="none"/>
                <w:lang w:val="en-US" w:eastAsia="zh-CN" w:bidi="ar"/>
              </w:rPr>
              <w:t>1</w:t>
            </w:r>
            <w:r>
              <w:rPr>
                <w:rFonts w:hint="eastAsia" w:ascii="Times New Roman" w:hAnsi="Times New Roman" w:eastAsia="宋体" w:cs="Times New Roman"/>
                <w:b/>
                <w:bCs/>
                <w:color w:val="auto"/>
                <w:kern w:val="0"/>
                <w:sz w:val="24"/>
                <w:szCs w:val="24"/>
                <w:highlight w:val="none"/>
                <w:lang w:val="en-US" w:eastAsia="zh-CN" w:bidi="ar"/>
              </w:rPr>
              <w:t>.11</w:t>
            </w:r>
            <w:r>
              <w:rPr>
                <w:rFonts w:hint="default" w:ascii="Times New Roman" w:hAnsi="Times New Roman" w:eastAsia="宋体" w:cs="Times New Roman"/>
                <w:b/>
                <w:bCs/>
                <w:color w:val="auto"/>
                <w:kern w:val="0"/>
                <w:sz w:val="24"/>
                <w:szCs w:val="24"/>
                <w:highlight w:val="none"/>
                <w:lang w:val="en-US" w:eastAsia="zh-CN" w:bidi="ar"/>
              </w:rPr>
              <w:t>-</w:t>
            </w:r>
            <w:r>
              <w:rPr>
                <w:rFonts w:hint="eastAsia" w:ascii="Times New Roman" w:hAnsi="Times New Roman" w:eastAsia="宋体" w:cs="Times New Roman"/>
                <w:b/>
                <w:bCs/>
                <w:color w:val="auto"/>
                <w:kern w:val="0"/>
                <w:sz w:val="24"/>
                <w:szCs w:val="24"/>
                <w:highlight w:val="none"/>
                <w:lang w:val="en-US" w:eastAsia="zh-CN" w:bidi="ar"/>
              </w:rPr>
              <w:t>1</w:t>
            </w:r>
            <w:r>
              <w:rPr>
                <w:rFonts w:hint="default" w:ascii="Times New Roman" w:hAnsi="Times New Roman" w:eastAsia="宋体" w:cs="Times New Roman"/>
                <w:b/>
                <w:bCs/>
                <w:color w:val="auto"/>
                <w:kern w:val="0"/>
                <w:sz w:val="24"/>
                <w:szCs w:val="24"/>
                <w:highlight w:val="none"/>
                <w:lang w:val="en-US" w:eastAsia="zh-CN" w:bidi="ar"/>
              </w:rPr>
              <w:t xml:space="preserve"> </w:t>
            </w:r>
            <w:r>
              <w:rPr>
                <w:rFonts w:hint="eastAsia" w:ascii="宋体" w:hAnsi="宋体" w:eastAsia="宋体" w:cs="宋体"/>
                <w:b/>
                <w:bCs/>
                <w:color w:val="auto"/>
                <w:kern w:val="0"/>
                <w:sz w:val="24"/>
                <w:szCs w:val="24"/>
                <w:highlight w:val="none"/>
                <w:lang w:val="en-US" w:eastAsia="zh-CN" w:bidi="ar"/>
              </w:rPr>
              <w:t>本项目与附录</w:t>
            </w:r>
            <w:r>
              <w:rPr>
                <w:rFonts w:hint="default" w:ascii="Times New Roman" w:hAnsi="Times New Roman" w:eastAsia="宋体" w:cs="Times New Roman"/>
                <w:b/>
                <w:bCs/>
                <w:color w:val="auto"/>
                <w:kern w:val="0"/>
                <w:sz w:val="24"/>
                <w:szCs w:val="24"/>
                <w:highlight w:val="none"/>
                <w:lang w:val="en-US" w:eastAsia="zh-CN" w:bidi="ar"/>
              </w:rPr>
              <w:t>D</w:t>
            </w:r>
            <w:r>
              <w:rPr>
                <w:rFonts w:hint="eastAsia" w:ascii="宋体" w:hAnsi="宋体" w:eastAsia="宋体" w:cs="宋体"/>
                <w:b/>
                <w:bCs/>
                <w:color w:val="auto"/>
                <w:kern w:val="0"/>
                <w:sz w:val="24"/>
                <w:szCs w:val="24"/>
                <w:highlight w:val="none"/>
                <w:lang w:val="en-US" w:eastAsia="zh-CN" w:bidi="ar"/>
              </w:rPr>
              <w:t>符合性对照一览表</w:t>
            </w:r>
          </w:p>
          <w:tbl>
            <w:tblPr>
              <w:tblStyle w:val="29"/>
              <w:tblW w:w="685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88"/>
              <w:gridCol w:w="3273"/>
              <w:gridCol w:w="8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68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bCs/>
                      <w:color w:val="auto"/>
                      <w:kern w:val="0"/>
                      <w:sz w:val="21"/>
                      <w:szCs w:val="21"/>
                      <w:highlight w:val="none"/>
                      <w:lang w:val="en-US" w:eastAsia="zh-CN" w:bidi="ar"/>
                    </w:rPr>
                    <w:t>要求</w:t>
                  </w:r>
                </w:p>
              </w:tc>
              <w:tc>
                <w:tcPr>
                  <w:tcW w:w="3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rPr>
                  </w:pPr>
                  <w:r>
                    <w:rPr>
                      <w:rFonts w:hint="default" w:ascii="Times New Roman" w:hAnsi="Times New Roman" w:eastAsia="宋体" w:cs="Times New Roman"/>
                      <w:b/>
                      <w:bCs/>
                      <w:color w:val="auto"/>
                      <w:kern w:val="0"/>
                      <w:sz w:val="21"/>
                      <w:szCs w:val="21"/>
                      <w:highlight w:val="none"/>
                      <w:lang w:val="en-US" w:eastAsia="zh-CN" w:bidi="ar"/>
                    </w:rPr>
                    <w:t>本项目情况</w:t>
                  </w:r>
                </w:p>
              </w:tc>
              <w:tc>
                <w:tcPr>
                  <w:tcW w:w="8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2688"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1、工艺措施要求：①采用溶剂型涂料的涂装工序， 各环节及涂装设备清洗应在密闭空间或设备中进行，产生的挥发性有机物经集气系统收集导入挥发性有机物处理设施或排放管道，达标排放②涂料、稀释剂、固化剂、清洗溶剂、脱漆剂等含挥发性有机物的原辅材料在储存和输送过程中应保持密闭，使用过程中随取随开，用后应及时密闭， 以减少挥发③宜采用集中供料系统，无集中供料系统，工作结束后应将剩余的涂料及含挥发性有机物的辅料送回调漆室或储存间。④集气系统和挥发性有机物处理设施应与生产活动及工艺设施同步运行。应保证在生产工艺设备运行波动情况下集气系统和净化设施仍能正常运转，实现达标排放。因集气系统或净化设施故障造成非正常排放，应停止运转对应的生产工艺设备，待检修完毕后共同投入使用。</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2、管理要求：需建立台账制度及废气处理设施相关信息，并至少保存 3年</w:t>
                  </w:r>
                  <w:r>
                    <w:rPr>
                      <w:rFonts w:hint="eastAsia" w:ascii="Times New Roman" w:hAnsi="Times New Roman" w:eastAsia="宋体" w:cs="Times New Roman"/>
                      <w:color w:val="auto"/>
                      <w:kern w:val="0"/>
                      <w:sz w:val="21"/>
                      <w:szCs w:val="21"/>
                      <w:highlight w:val="none"/>
                      <w:lang w:val="en-US" w:eastAsia="zh-CN" w:bidi="ar"/>
                    </w:rPr>
                    <w:t>。</w:t>
                  </w:r>
                </w:p>
              </w:tc>
              <w:tc>
                <w:tcPr>
                  <w:tcW w:w="3273" w:type="dxa"/>
                  <w:tcBorders>
                    <w:tl2br w:val="nil"/>
                    <w:tr2bl w:val="nil"/>
                  </w:tcBorders>
                  <w:vAlign w:val="center"/>
                </w:tcPr>
                <w:p>
                  <w:pPr>
                    <w:keepNext w:val="0"/>
                    <w:keepLines w:val="0"/>
                    <w:widowControl/>
                    <w:suppressLineNumbers w:val="0"/>
                    <w:jc w:val="both"/>
                    <w:rPr>
                      <w:rFonts w:hint="default" w:ascii="Calibri" w:hAnsi="Calibri" w:cs="Calibri"/>
                      <w:color w:val="auto"/>
                      <w:kern w:val="0"/>
                      <w:sz w:val="21"/>
                      <w:szCs w:val="21"/>
                      <w:highlight w:val="none"/>
                      <w:lang w:val="en-US" w:eastAsia="zh-CN" w:bidi="ar"/>
                    </w:rPr>
                  </w:pPr>
                  <w:r>
                    <w:rPr>
                      <w:rFonts w:hint="eastAsia" w:ascii="Calibri" w:hAnsi="Calibri" w:cs="Calibri"/>
                      <w:color w:val="auto"/>
                      <w:kern w:val="0"/>
                      <w:sz w:val="21"/>
                      <w:szCs w:val="21"/>
                      <w:highlight w:val="none"/>
                      <w:lang w:val="en-US" w:eastAsia="zh-CN" w:bidi="ar"/>
                    </w:rPr>
                    <w:t>1、项目工艺措施情况：</w:t>
                  </w:r>
                </w:p>
                <w:p>
                  <w:pPr>
                    <w:keepNext w:val="0"/>
                    <w:keepLines w:val="0"/>
                    <w:widowControl/>
                    <w:suppressLineNumbers w:val="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①、项目喷漆、烘干工序在独立密闭的喷漆、烘干区域内进行，产生的有机废气通过水帘柜+</w:t>
                  </w:r>
                  <w:r>
                    <w:rPr>
                      <w:rFonts w:hint="eastAsia" w:cs="Times New Roman"/>
                      <w:color w:val="auto"/>
                      <w:kern w:val="0"/>
                      <w:sz w:val="21"/>
                      <w:szCs w:val="21"/>
                      <w:highlight w:val="none"/>
                      <w:lang w:val="en-US" w:eastAsia="zh-CN" w:bidi="ar"/>
                    </w:rPr>
                    <w:t>二级</w:t>
                  </w:r>
                  <w:r>
                    <w:rPr>
                      <w:rFonts w:hint="default" w:ascii="Times New Roman" w:hAnsi="Times New Roman" w:eastAsia="宋体" w:cs="Times New Roman"/>
                      <w:color w:val="auto"/>
                      <w:kern w:val="0"/>
                      <w:sz w:val="21"/>
                      <w:szCs w:val="21"/>
                      <w:highlight w:val="none"/>
                      <w:lang w:val="en-US" w:eastAsia="zh-CN" w:bidi="ar"/>
                    </w:rPr>
                    <w:t>活性炭吸附装置处理设施处理后通过排气筒排放，集气系统和废气处理</w:t>
                  </w:r>
                </w:p>
                <w:p>
                  <w:pPr>
                    <w:keepNext w:val="0"/>
                    <w:keepLines w:val="0"/>
                    <w:widowControl/>
                    <w:suppressLineNumbers w:val="0"/>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设施与生产活动及工艺设施同步运行。</w:t>
                  </w:r>
                </w:p>
                <w:p>
                  <w:pPr>
                    <w:keepNext w:val="0"/>
                    <w:keepLines w:val="0"/>
                    <w:widowControl/>
                    <w:suppressLineNumbers w:val="0"/>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②、树脂、水性漆等含挥发性有机物的原辅材料在储存和输送过程中保持密闭，使用过程中随取随开，用后及时密闭，减少挥发，工作结束后将剩余的物料送回储存间。</w:t>
                  </w:r>
                </w:p>
                <w:p>
                  <w:pPr>
                    <w:keepNext w:val="0"/>
                    <w:keepLines w:val="0"/>
                    <w:widowControl/>
                    <w:suppressLineNumbers w:val="0"/>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③、保证在生产工艺设备运行波动情况下集气系统和净化设施仍能正常运转，实现达标排放。因集气系统或净化设施故障造成非正常排放，立即停止运转对应的生产工艺设备，待检修完毕后共同投入使用。</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2、建立台账，记录</w:t>
                  </w:r>
                  <w:r>
                    <w:rPr>
                      <w:rFonts w:hint="eastAsia" w:cs="Times New Roman"/>
                      <w:color w:val="auto"/>
                      <w:kern w:val="0"/>
                      <w:sz w:val="21"/>
                      <w:szCs w:val="21"/>
                      <w:highlight w:val="none"/>
                      <w:lang w:val="en-US" w:eastAsia="zh-CN" w:bidi="ar"/>
                    </w:rPr>
                    <w:t>情况</w:t>
                  </w:r>
                  <w:r>
                    <w:rPr>
                      <w:rFonts w:hint="default" w:ascii="Times New Roman" w:hAnsi="Times New Roman" w:eastAsia="宋体" w:cs="Times New Roman"/>
                      <w:color w:val="auto"/>
                      <w:kern w:val="0"/>
                      <w:sz w:val="21"/>
                      <w:szCs w:val="21"/>
                      <w:highlight w:val="none"/>
                      <w:lang w:val="en-US" w:eastAsia="zh-CN" w:bidi="ar"/>
                    </w:rPr>
                    <w:t>：</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①所有含 VOCs 物料（树脂、固化剂等） 需建立完整的购买、使用记录，记录内容必须包含物料名称、 VOCs 含量、购入量、使用量、回收和处置量、计量单位、作业时间及记录人等；</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② 含有 VOCs物料使用的统计年报应该包括上年库存、本年度购入总量、本年度销售产品总量、本年度库存总量、产品和物料的 VOCs 含量、VOCs 排放量、污染控制设备处理效率、排放监测等数据；</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③ 活性炭用量及更换日期，操作温度；并至少保存 3 年。</w:t>
                  </w:r>
                </w:p>
              </w:tc>
              <w:tc>
                <w:tcPr>
                  <w:tcW w:w="894" w:type="dxa"/>
                  <w:tcBorders>
                    <w:tl2br w:val="nil"/>
                    <w:tr2bl w:val="nil"/>
                  </w:tcBorders>
                  <w:vAlign w:val="center"/>
                </w:tcPr>
                <w:p>
                  <w:pPr>
                    <w:pStyle w:val="34"/>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bl>
          <w:p>
            <w:pPr>
              <w:spacing w:line="360" w:lineRule="auto"/>
              <w:rPr>
                <w:color w:val="auto"/>
                <w:sz w:val="24"/>
                <w:highlight w:val="none"/>
              </w:rPr>
            </w:pPr>
          </w:p>
        </w:tc>
      </w:tr>
    </w:tbl>
    <w:p>
      <w:pPr>
        <w:spacing w:line="360" w:lineRule="auto"/>
        <w:outlineLvl w:val="0"/>
        <w:rPr>
          <w:rFonts w:eastAsia="黑体"/>
          <w:color w:val="auto"/>
          <w:sz w:val="30"/>
          <w:highlight w:val="none"/>
        </w:rPr>
      </w:pPr>
    </w:p>
    <w:p>
      <w:pPr>
        <w:pStyle w:val="24"/>
        <w:rPr>
          <w:color w:val="auto"/>
          <w:highlight w:val="none"/>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58"/>
        <w:rPr>
          <w:color w:val="auto"/>
          <w:highlight w:val="none"/>
        </w:rPr>
      </w:pPr>
      <w:r>
        <w:rPr>
          <w:rFonts w:hint="eastAsia"/>
          <w:color w:val="auto"/>
          <w:highlight w:val="none"/>
        </w:rPr>
        <w:t>二、建设项目工程分析</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10"/>
        <w:gridCol w:w="81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0" w:type="dxa"/>
            <w:vAlign w:val="center"/>
          </w:tcPr>
          <w:p>
            <w:pPr>
              <w:pStyle w:val="24"/>
              <w:adjustRightInd w:val="0"/>
              <w:snapToGrid w:val="0"/>
              <w:spacing w:before="0" w:beforeAutospacing="0" w:after="0" w:afterAutospacing="0"/>
              <w:jc w:val="center"/>
              <w:rPr>
                <w:rFonts w:cs="宋体"/>
                <w:color w:val="auto"/>
                <w:szCs w:val="24"/>
                <w:highlight w:val="none"/>
              </w:rPr>
            </w:pPr>
            <w:r>
              <w:rPr>
                <w:rFonts w:hint="eastAsia" w:cs="宋体"/>
                <w:color w:val="auto"/>
                <w:szCs w:val="24"/>
                <w:highlight w:val="none"/>
              </w:rPr>
              <w:t>建设内容</w:t>
            </w:r>
          </w:p>
        </w:tc>
        <w:tc>
          <w:tcPr>
            <w:tcW w:w="8174" w:type="dxa"/>
          </w:tcPr>
          <w:p>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left"/>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lang w:val="en-US" w:eastAsia="zh-CN"/>
              </w:rPr>
              <w:t>2.1</w:t>
            </w:r>
            <w:r>
              <w:rPr>
                <w:rFonts w:hint="default" w:ascii="Times New Roman" w:hAnsi="Times New Roman" w:cs="Times New Roman"/>
                <w:b/>
                <w:bCs/>
                <w:color w:val="auto"/>
                <w:sz w:val="24"/>
                <w:highlight w:val="none"/>
              </w:rPr>
              <w:t>、项目基本情况</w:t>
            </w:r>
          </w:p>
          <w:p>
            <w:pPr>
              <w:spacing w:line="360" w:lineRule="auto"/>
              <w:ind w:firstLine="360" w:firstLineChars="150"/>
              <w:rPr>
                <w:rFonts w:hint="eastAsia" w:eastAsia="宋体"/>
                <w:color w:val="auto"/>
                <w:sz w:val="24"/>
                <w:highlight w:val="none"/>
                <w:lang w:eastAsia="zh-CN"/>
              </w:rPr>
            </w:pPr>
            <w:r>
              <w:rPr>
                <w:color w:val="auto"/>
                <w:sz w:val="24"/>
                <w:highlight w:val="none"/>
              </w:rPr>
              <w:t>（1）项目名称：</w:t>
            </w:r>
            <w:r>
              <w:rPr>
                <w:rFonts w:hint="eastAsia"/>
                <w:bCs/>
                <w:color w:val="auto"/>
                <w:sz w:val="24"/>
                <w:highlight w:val="none"/>
                <w:lang w:eastAsia="zh-CN"/>
              </w:rPr>
              <w:t>年产金属水暖卫浴配件8000吨、塑料卫浴配件3000吨、浴室柜2000套、进水软管100万米项目</w:t>
            </w:r>
          </w:p>
          <w:p>
            <w:pPr>
              <w:spacing w:line="360" w:lineRule="auto"/>
              <w:ind w:firstLine="360" w:firstLineChars="150"/>
              <w:rPr>
                <w:rFonts w:hint="eastAsia" w:eastAsia="宋体"/>
                <w:color w:val="auto"/>
                <w:sz w:val="24"/>
                <w:highlight w:val="none"/>
                <w:lang w:eastAsia="zh-CN"/>
              </w:rPr>
            </w:pPr>
            <w:r>
              <w:rPr>
                <w:color w:val="auto"/>
                <w:sz w:val="24"/>
                <w:highlight w:val="none"/>
              </w:rPr>
              <w:t>（2）建设单位：</w:t>
            </w:r>
            <w:r>
              <w:rPr>
                <w:rFonts w:hint="eastAsia"/>
                <w:bCs/>
                <w:color w:val="auto"/>
                <w:sz w:val="24"/>
                <w:highlight w:val="none"/>
                <w:lang w:eastAsia="zh-CN"/>
              </w:rPr>
              <w:t>泉州昌益五金有限公司</w:t>
            </w:r>
          </w:p>
          <w:p>
            <w:pPr>
              <w:spacing w:line="360" w:lineRule="auto"/>
              <w:ind w:firstLine="360" w:firstLineChars="150"/>
              <w:rPr>
                <w:rFonts w:hint="default" w:eastAsia="宋体"/>
                <w:color w:val="auto"/>
                <w:sz w:val="24"/>
                <w:highlight w:val="none"/>
                <w:lang w:val="en-US" w:eastAsia="zh-CN"/>
              </w:rPr>
            </w:pPr>
            <w:r>
              <w:rPr>
                <w:color w:val="auto"/>
                <w:sz w:val="24"/>
                <w:highlight w:val="none"/>
              </w:rPr>
              <w:t>（3）法人代表：</w:t>
            </w:r>
            <w:r>
              <w:rPr>
                <w:rFonts w:hint="eastAsia"/>
                <w:color w:val="auto"/>
                <w:sz w:val="24"/>
                <w:highlight w:val="none"/>
                <w:lang w:val="en-US" w:eastAsia="zh-CN"/>
              </w:rPr>
              <w:t>巫明山</w:t>
            </w:r>
          </w:p>
          <w:p>
            <w:pPr>
              <w:spacing w:line="360" w:lineRule="auto"/>
              <w:ind w:firstLine="360" w:firstLineChars="150"/>
              <w:rPr>
                <w:color w:val="auto"/>
                <w:sz w:val="24"/>
                <w:highlight w:val="none"/>
              </w:rPr>
            </w:pPr>
            <w:r>
              <w:rPr>
                <w:color w:val="auto"/>
                <w:sz w:val="24"/>
                <w:highlight w:val="none"/>
              </w:rPr>
              <w:t>（4）建设地点：</w:t>
            </w:r>
            <w:r>
              <w:rPr>
                <w:rFonts w:hint="eastAsia"/>
                <w:bCs/>
                <w:color w:val="auto"/>
                <w:sz w:val="24"/>
                <w:highlight w:val="none"/>
              </w:rPr>
              <w:t>福建省泉州市</w:t>
            </w:r>
            <w:r>
              <w:rPr>
                <w:rFonts w:hint="eastAsia"/>
                <w:bCs/>
                <w:color w:val="auto"/>
                <w:sz w:val="24"/>
                <w:highlight w:val="none"/>
                <w:lang w:eastAsia="zh-CN"/>
              </w:rPr>
              <w:t>福建省南安市美林街道茂盛路1288号</w:t>
            </w:r>
            <w:r>
              <w:rPr>
                <w:rFonts w:hint="eastAsia"/>
                <w:bCs/>
                <w:color w:val="auto"/>
                <w:sz w:val="24"/>
                <w:highlight w:val="none"/>
              </w:rPr>
              <w:t>（</w:t>
            </w:r>
            <w:r>
              <w:rPr>
                <w:rFonts w:hint="eastAsia"/>
                <w:bCs/>
                <w:color w:val="auto"/>
                <w:sz w:val="24"/>
                <w:highlight w:val="none"/>
                <w:lang w:eastAsia="zh-CN"/>
              </w:rPr>
              <w:t>南安经济开发区扶茂工业园中心片区内</w:t>
            </w:r>
            <w:r>
              <w:rPr>
                <w:rFonts w:hint="eastAsia"/>
                <w:bCs/>
                <w:color w:val="auto"/>
                <w:sz w:val="24"/>
                <w:highlight w:val="none"/>
              </w:rPr>
              <w:t>）</w:t>
            </w:r>
          </w:p>
          <w:p>
            <w:pPr>
              <w:spacing w:line="360" w:lineRule="auto"/>
              <w:ind w:firstLine="360" w:firstLineChars="150"/>
              <w:rPr>
                <w:color w:val="auto"/>
                <w:sz w:val="24"/>
                <w:highlight w:val="none"/>
              </w:rPr>
            </w:pPr>
            <w:r>
              <w:rPr>
                <w:color w:val="auto"/>
                <w:sz w:val="24"/>
                <w:highlight w:val="none"/>
              </w:rPr>
              <w:t>（5）建设性质：</w:t>
            </w:r>
            <w:r>
              <w:rPr>
                <w:rFonts w:hint="eastAsia"/>
                <w:color w:val="auto"/>
                <w:sz w:val="24"/>
                <w:highlight w:val="none"/>
              </w:rPr>
              <w:t>新</w:t>
            </w:r>
            <w:r>
              <w:rPr>
                <w:color w:val="auto"/>
                <w:sz w:val="24"/>
                <w:highlight w:val="none"/>
              </w:rPr>
              <w:t>建</w:t>
            </w:r>
          </w:p>
          <w:p>
            <w:pPr>
              <w:spacing w:line="360" w:lineRule="auto"/>
              <w:ind w:firstLine="360" w:firstLineChars="150"/>
              <w:rPr>
                <w:color w:val="auto"/>
                <w:sz w:val="24"/>
                <w:highlight w:val="none"/>
              </w:rPr>
            </w:pPr>
            <w:r>
              <w:rPr>
                <w:color w:val="auto"/>
                <w:sz w:val="24"/>
                <w:highlight w:val="none"/>
              </w:rPr>
              <w:t>（6）</w:t>
            </w:r>
            <w:r>
              <w:rPr>
                <w:rFonts w:hint="eastAsia"/>
                <w:color w:val="auto"/>
                <w:sz w:val="24"/>
                <w:highlight w:val="none"/>
              </w:rPr>
              <w:t>总</w:t>
            </w:r>
            <w:r>
              <w:rPr>
                <w:color w:val="auto"/>
                <w:sz w:val="24"/>
                <w:highlight w:val="none"/>
              </w:rPr>
              <w:t>投资：</w:t>
            </w:r>
            <w:r>
              <w:rPr>
                <w:rFonts w:hint="eastAsia"/>
                <w:color w:val="auto"/>
                <w:sz w:val="24"/>
                <w:highlight w:val="none"/>
                <w:lang w:val="en-US" w:eastAsia="zh-CN"/>
              </w:rPr>
              <w:t>6000</w:t>
            </w:r>
            <w:r>
              <w:rPr>
                <w:color w:val="auto"/>
                <w:sz w:val="24"/>
                <w:highlight w:val="none"/>
              </w:rPr>
              <w:t>万元</w:t>
            </w:r>
          </w:p>
          <w:p>
            <w:pPr>
              <w:spacing w:line="360" w:lineRule="auto"/>
              <w:ind w:firstLine="360" w:firstLineChars="150"/>
              <w:rPr>
                <w:color w:val="auto"/>
                <w:sz w:val="24"/>
                <w:highlight w:val="none"/>
              </w:rPr>
            </w:pPr>
            <w:r>
              <w:rPr>
                <w:color w:val="auto"/>
                <w:sz w:val="24"/>
                <w:highlight w:val="none"/>
              </w:rPr>
              <w:t>（7）生产规模：</w:t>
            </w:r>
            <w:r>
              <w:rPr>
                <w:rFonts w:hint="eastAsia"/>
                <w:bCs/>
                <w:color w:val="auto"/>
                <w:sz w:val="24"/>
                <w:highlight w:val="none"/>
                <w:lang w:eastAsia="zh-CN"/>
              </w:rPr>
              <w:t>年产金属水暖卫浴配件8000吨、塑料卫浴配件3000吨、浴室柜2000套、进水软管100万米</w:t>
            </w:r>
          </w:p>
          <w:p>
            <w:pPr>
              <w:spacing w:line="360" w:lineRule="auto"/>
              <w:ind w:firstLine="360" w:firstLineChars="150"/>
              <w:rPr>
                <w:rFonts w:ascii="Times New Roman" w:hAnsi="Times New Roman" w:eastAsia="宋体" w:cs="Times New Roman"/>
                <w:color w:val="auto"/>
                <w:spacing w:val="-6"/>
                <w:sz w:val="24"/>
                <w:highlight w:val="none"/>
                <w:vertAlign w:val="superscript"/>
              </w:rPr>
            </w:pPr>
            <w:r>
              <w:rPr>
                <w:color w:val="auto"/>
                <w:sz w:val="24"/>
                <w:highlight w:val="none"/>
              </w:rPr>
              <w:t>（8）用地面积：</w:t>
            </w:r>
            <w:r>
              <w:rPr>
                <w:rFonts w:hint="eastAsia" w:ascii="Times New Roman" w:hAnsi="Times New Roman" w:eastAsia="宋体" w:cs="Times New Roman"/>
                <w:color w:val="auto"/>
                <w:spacing w:val="-6"/>
                <w:sz w:val="24"/>
                <w:highlight w:val="none"/>
                <w:lang w:val="en-US" w:eastAsia="zh-CN"/>
              </w:rPr>
              <w:t>占地</w:t>
            </w:r>
            <w:r>
              <w:rPr>
                <w:rFonts w:ascii="Times New Roman" w:hAnsi="Times New Roman" w:eastAsia="宋体" w:cs="Times New Roman"/>
                <w:color w:val="auto"/>
                <w:spacing w:val="-6"/>
                <w:sz w:val="24"/>
                <w:highlight w:val="none"/>
              </w:rPr>
              <w:t>面积为</w:t>
            </w:r>
            <w:r>
              <w:rPr>
                <w:rFonts w:hint="eastAsia" w:cs="Times New Roman"/>
                <w:color w:val="auto"/>
                <w:spacing w:val="-6"/>
                <w:sz w:val="24"/>
                <w:highlight w:val="none"/>
                <w:lang w:val="en-US" w:eastAsia="zh-CN"/>
              </w:rPr>
              <w:t>6929</w:t>
            </w:r>
            <w:r>
              <w:rPr>
                <w:rFonts w:ascii="Times New Roman" w:hAnsi="Times New Roman" w:eastAsia="宋体" w:cs="Times New Roman"/>
                <w:color w:val="auto"/>
                <w:spacing w:val="-6"/>
                <w:sz w:val="24"/>
                <w:highlight w:val="none"/>
              </w:rPr>
              <w:t>m</w:t>
            </w:r>
            <w:r>
              <w:rPr>
                <w:rFonts w:ascii="Times New Roman" w:hAnsi="Times New Roman" w:eastAsia="宋体" w:cs="Times New Roman"/>
                <w:color w:val="auto"/>
                <w:spacing w:val="-6"/>
                <w:sz w:val="24"/>
                <w:highlight w:val="none"/>
                <w:vertAlign w:val="superscript"/>
              </w:rPr>
              <w:t>2</w:t>
            </w:r>
            <w:r>
              <w:rPr>
                <w:rFonts w:hint="eastAsia" w:cs="Times New Roman"/>
                <w:color w:val="auto"/>
                <w:spacing w:val="-6"/>
                <w:sz w:val="24"/>
                <w:highlight w:val="none"/>
                <w:vertAlign w:val="baseline"/>
                <w:lang w:eastAsia="zh-CN"/>
              </w:rPr>
              <w:t>，</w:t>
            </w:r>
            <w:r>
              <w:rPr>
                <w:rFonts w:hint="eastAsia" w:ascii="Times New Roman" w:hAnsi="Times New Roman" w:eastAsia="宋体" w:cs="Times New Roman"/>
                <w:color w:val="auto"/>
                <w:spacing w:val="-6"/>
                <w:sz w:val="24"/>
                <w:highlight w:val="none"/>
                <w:lang w:val="en-US" w:eastAsia="zh-CN"/>
              </w:rPr>
              <w:t>总建筑面积约</w:t>
            </w:r>
            <w:r>
              <w:rPr>
                <w:rFonts w:hint="eastAsia" w:cs="Times New Roman"/>
                <w:color w:val="auto"/>
                <w:spacing w:val="-6"/>
                <w:sz w:val="24"/>
                <w:highlight w:val="none"/>
                <w:lang w:val="en-US" w:eastAsia="zh-CN"/>
              </w:rPr>
              <w:t>21122.49</w:t>
            </w:r>
            <w:r>
              <w:rPr>
                <w:rFonts w:hint="eastAsia" w:ascii="Times New Roman" w:hAnsi="Times New Roman" w:eastAsia="宋体" w:cs="Times New Roman"/>
                <w:color w:val="auto"/>
                <w:spacing w:val="-6"/>
                <w:sz w:val="24"/>
                <w:highlight w:val="none"/>
                <w:lang w:val="en-US" w:eastAsia="zh-CN"/>
              </w:rPr>
              <w:t xml:space="preserve"> </w:t>
            </w:r>
            <w:r>
              <w:rPr>
                <w:rFonts w:ascii="Times New Roman" w:hAnsi="Times New Roman" w:eastAsia="宋体" w:cs="Times New Roman"/>
                <w:color w:val="auto"/>
                <w:spacing w:val="-6"/>
                <w:sz w:val="24"/>
                <w:highlight w:val="none"/>
              </w:rPr>
              <w:t>m</w:t>
            </w:r>
            <w:r>
              <w:rPr>
                <w:rFonts w:ascii="Times New Roman" w:hAnsi="Times New Roman" w:eastAsia="宋体" w:cs="Times New Roman"/>
                <w:color w:val="auto"/>
                <w:spacing w:val="-6"/>
                <w:sz w:val="24"/>
                <w:highlight w:val="none"/>
                <w:vertAlign w:val="superscript"/>
              </w:rPr>
              <w:t>2</w:t>
            </w:r>
          </w:p>
          <w:p>
            <w:pPr>
              <w:spacing w:line="360" w:lineRule="auto"/>
              <w:ind w:firstLine="360" w:firstLineChars="150"/>
              <w:rPr>
                <w:rFonts w:eastAsia="宋体"/>
                <w:color w:val="auto"/>
                <w:sz w:val="24"/>
                <w:highlight w:val="none"/>
              </w:rPr>
            </w:pPr>
            <w:r>
              <w:rPr>
                <w:rFonts w:eastAsia="宋体"/>
                <w:color w:val="auto"/>
                <w:sz w:val="24"/>
                <w:highlight w:val="none"/>
              </w:rPr>
              <w:t>（9）职工人数：</w:t>
            </w:r>
            <w:r>
              <w:rPr>
                <w:rFonts w:hint="eastAsia" w:eastAsia="宋体"/>
                <w:color w:val="auto"/>
                <w:sz w:val="24"/>
                <w:highlight w:val="none"/>
                <w:lang w:val="en-US" w:eastAsia="zh-CN"/>
              </w:rPr>
              <w:t>拟</w:t>
            </w:r>
            <w:r>
              <w:rPr>
                <w:rFonts w:hint="eastAsia" w:eastAsia="宋体"/>
                <w:color w:val="auto"/>
                <w:sz w:val="24"/>
                <w:highlight w:val="none"/>
              </w:rPr>
              <w:t>招聘员工</w:t>
            </w:r>
            <w:r>
              <w:rPr>
                <w:rFonts w:hint="eastAsia" w:eastAsia="宋体"/>
                <w:color w:val="auto"/>
                <w:sz w:val="24"/>
                <w:highlight w:val="none"/>
                <w:lang w:val="en-US" w:eastAsia="zh-CN"/>
              </w:rPr>
              <w:t>70</w:t>
            </w:r>
            <w:r>
              <w:rPr>
                <w:rFonts w:eastAsia="宋体"/>
                <w:color w:val="auto"/>
                <w:sz w:val="24"/>
                <w:highlight w:val="none"/>
              </w:rPr>
              <w:t>人，</w:t>
            </w:r>
            <w:r>
              <w:rPr>
                <w:rFonts w:hint="eastAsia" w:eastAsia="宋体"/>
                <w:color w:val="auto"/>
                <w:sz w:val="24"/>
                <w:highlight w:val="none"/>
                <w:lang w:val="en-US" w:eastAsia="zh-CN"/>
              </w:rPr>
              <w:t>50人</w:t>
            </w:r>
            <w:r>
              <w:rPr>
                <w:rFonts w:eastAsia="宋体"/>
                <w:color w:val="auto"/>
                <w:sz w:val="24"/>
                <w:highlight w:val="none"/>
              </w:rPr>
              <w:t>住</w:t>
            </w:r>
            <w:r>
              <w:rPr>
                <w:rFonts w:hint="eastAsia" w:eastAsia="宋体"/>
                <w:color w:val="auto"/>
                <w:sz w:val="24"/>
                <w:highlight w:val="none"/>
              </w:rPr>
              <w:t>厂</w:t>
            </w:r>
            <w:r>
              <w:rPr>
                <w:rFonts w:hint="eastAsia" w:eastAsia="宋体"/>
                <w:color w:val="auto"/>
                <w:sz w:val="24"/>
                <w:highlight w:val="none"/>
                <w:lang w:eastAsia="zh-CN"/>
              </w:rPr>
              <w:t>，</w:t>
            </w:r>
            <w:r>
              <w:rPr>
                <w:rFonts w:hint="eastAsia" w:eastAsia="宋体"/>
                <w:color w:val="auto"/>
                <w:sz w:val="24"/>
                <w:highlight w:val="none"/>
              </w:rPr>
              <w:t>设</w:t>
            </w:r>
            <w:r>
              <w:rPr>
                <w:rFonts w:eastAsia="宋体"/>
                <w:color w:val="auto"/>
                <w:sz w:val="24"/>
                <w:highlight w:val="none"/>
              </w:rPr>
              <w:t>食堂</w:t>
            </w:r>
          </w:p>
          <w:p>
            <w:pPr>
              <w:spacing w:line="360" w:lineRule="auto"/>
              <w:ind w:firstLine="360" w:firstLineChars="150"/>
              <w:rPr>
                <w:rFonts w:hint="default" w:eastAsia="宋体"/>
                <w:color w:val="auto"/>
                <w:sz w:val="24"/>
                <w:highlight w:val="none"/>
                <w:lang w:val="en-US"/>
              </w:rPr>
            </w:pPr>
            <w:r>
              <w:rPr>
                <w:rFonts w:eastAsia="宋体"/>
                <w:color w:val="auto"/>
                <w:sz w:val="24"/>
                <w:highlight w:val="none"/>
              </w:rPr>
              <w:t>（10）工作制度：</w:t>
            </w:r>
            <w:r>
              <w:rPr>
                <w:rFonts w:hint="eastAsia" w:eastAsia="宋体"/>
                <w:color w:val="auto"/>
                <w:sz w:val="24"/>
                <w:highlight w:val="none"/>
                <w:lang w:val="en-US" w:eastAsia="zh-CN"/>
              </w:rPr>
              <w:t xml:space="preserve">年工作 </w:t>
            </w:r>
            <w:r>
              <w:rPr>
                <w:rFonts w:hint="eastAsia"/>
                <w:color w:val="auto"/>
                <w:sz w:val="24"/>
                <w:highlight w:val="none"/>
                <w:lang w:val="en-US" w:eastAsia="zh-CN"/>
              </w:rPr>
              <w:t>300</w:t>
            </w:r>
            <w:r>
              <w:rPr>
                <w:rFonts w:hint="default" w:eastAsia="宋体"/>
                <w:color w:val="auto"/>
                <w:sz w:val="24"/>
                <w:highlight w:val="none"/>
                <w:lang w:val="en-US" w:eastAsia="zh-CN"/>
              </w:rPr>
              <w:t xml:space="preserve"> </w:t>
            </w:r>
            <w:r>
              <w:rPr>
                <w:rFonts w:hint="eastAsia" w:eastAsia="宋体"/>
                <w:color w:val="auto"/>
                <w:sz w:val="24"/>
                <w:highlight w:val="none"/>
                <w:lang w:val="en-US" w:eastAsia="zh-CN"/>
              </w:rPr>
              <w:t>天</w:t>
            </w:r>
            <w:r>
              <w:rPr>
                <w:rFonts w:hint="eastAsia"/>
                <w:color w:val="auto"/>
                <w:sz w:val="24"/>
                <w:highlight w:val="none"/>
                <w:lang w:val="en-US" w:eastAsia="zh-CN"/>
              </w:rPr>
              <w:t>，每日工作10小时，夜间不生产，生产时间为07:00-12:00；13:30-18:30</w:t>
            </w:r>
          </w:p>
          <w:p>
            <w:pPr>
              <w:spacing w:line="360" w:lineRule="auto"/>
              <w:ind w:firstLine="360" w:firstLineChars="150"/>
              <w:rPr>
                <w:rFonts w:eastAsia="宋体"/>
                <w:color w:val="auto"/>
                <w:sz w:val="24"/>
                <w:highlight w:val="none"/>
              </w:rPr>
            </w:pPr>
            <w:r>
              <w:rPr>
                <w:rFonts w:eastAsia="宋体"/>
                <w:color w:val="auto"/>
                <w:sz w:val="24"/>
                <w:highlight w:val="none"/>
              </w:rPr>
              <w:t>（11</w:t>
            </w:r>
            <w:r>
              <w:rPr>
                <w:rFonts w:hint="eastAsia" w:ascii="Times New Roman" w:hAnsi="Times New Roman" w:eastAsia="宋体" w:cs="Times New Roman"/>
                <w:color w:val="auto"/>
                <w:sz w:val="24"/>
                <w:szCs w:val="24"/>
                <w:highlight w:val="none"/>
                <w:lang w:val="en-US" w:eastAsia="zh-CN"/>
              </w:rPr>
              <w:t>）项目周边情况：</w:t>
            </w:r>
            <w:r>
              <w:rPr>
                <w:rFonts w:hint="default" w:ascii="Times New Roman" w:hAnsi="Times New Roman" w:eastAsia="宋体" w:cs="Times New Roman"/>
                <w:color w:val="auto"/>
                <w:sz w:val="24"/>
                <w:szCs w:val="24"/>
                <w:highlight w:val="none"/>
                <w:lang w:val="en-US" w:eastAsia="zh-CN"/>
              </w:rPr>
              <w:t>项目</w:t>
            </w:r>
            <w:r>
              <w:rPr>
                <w:rFonts w:hint="eastAsia" w:ascii="Times New Roman" w:hAnsi="Times New Roman" w:eastAsia="宋体" w:cs="Times New Roman"/>
                <w:color w:val="auto"/>
                <w:sz w:val="24"/>
                <w:szCs w:val="24"/>
                <w:highlight w:val="none"/>
                <w:lang w:val="en-US" w:eastAsia="zh-CN"/>
              </w:rPr>
              <w:t>北</w:t>
            </w:r>
            <w:r>
              <w:rPr>
                <w:rFonts w:hint="default" w:ascii="Times New Roman" w:hAnsi="Times New Roman" w:eastAsia="宋体" w:cs="Times New Roman"/>
                <w:color w:val="auto"/>
                <w:sz w:val="24"/>
                <w:szCs w:val="24"/>
                <w:highlight w:val="none"/>
                <w:lang w:val="en-US" w:eastAsia="zh-CN"/>
              </w:rPr>
              <w:t>侧为</w:t>
            </w:r>
            <w:r>
              <w:rPr>
                <w:rFonts w:hint="eastAsia" w:ascii="Times New Roman" w:hAnsi="Times New Roman" w:eastAsia="宋体" w:cs="Times New Roman"/>
                <w:color w:val="auto"/>
                <w:sz w:val="24"/>
                <w:szCs w:val="24"/>
                <w:highlight w:val="none"/>
                <w:lang w:val="en-US" w:eastAsia="zh-CN"/>
              </w:rPr>
              <w:t>特一阀门用地</w:t>
            </w:r>
            <w:r>
              <w:rPr>
                <w:rFonts w:hint="default" w:ascii="Times New Roman" w:hAnsi="Times New Roman" w:eastAsia="宋体" w:cs="Times New Roman"/>
                <w:color w:val="auto"/>
                <w:sz w:val="24"/>
                <w:szCs w:val="24"/>
                <w:highlight w:val="none"/>
                <w:lang w:val="en-US" w:eastAsia="zh-CN"/>
              </w:rPr>
              <w:t>，东侧为</w:t>
            </w:r>
            <w:r>
              <w:rPr>
                <w:rFonts w:hint="eastAsia" w:cs="Times New Roman"/>
                <w:color w:val="auto"/>
                <w:sz w:val="24"/>
                <w:szCs w:val="24"/>
                <w:highlight w:val="none"/>
                <w:lang w:val="en-US" w:eastAsia="zh-CN"/>
              </w:rPr>
              <w:t>双利阀门用地</w:t>
            </w:r>
            <w:r>
              <w:rPr>
                <w:rFonts w:hint="eastAsia" w:ascii="Times New Roman" w:hAnsi="Times New Roman" w:eastAsia="宋体" w:cs="Times New Roman"/>
                <w:color w:val="auto"/>
                <w:sz w:val="24"/>
                <w:szCs w:val="24"/>
                <w:highlight w:val="none"/>
                <w:lang w:val="en-US" w:eastAsia="zh-CN"/>
              </w:rPr>
              <w:t>和中轻和成股份有限公司</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南侧隔茂盛中路为科牧卫浴集团</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西</w:t>
            </w:r>
            <w:r>
              <w:rPr>
                <w:rFonts w:hint="default" w:ascii="Times New Roman" w:hAnsi="Times New Roman" w:eastAsia="宋体" w:cs="Times New Roman"/>
                <w:color w:val="auto"/>
                <w:sz w:val="24"/>
                <w:szCs w:val="24"/>
                <w:highlight w:val="none"/>
                <w:lang w:val="en-US" w:eastAsia="zh-CN"/>
              </w:rPr>
              <w:t>侧为</w:t>
            </w:r>
            <w:r>
              <w:rPr>
                <w:rFonts w:hint="eastAsia" w:ascii="Times New Roman" w:hAnsi="Times New Roman" w:eastAsia="宋体" w:cs="Times New Roman"/>
                <w:color w:val="auto"/>
                <w:sz w:val="24"/>
                <w:szCs w:val="24"/>
                <w:highlight w:val="none"/>
                <w:lang w:val="en-US" w:eastAsia="zh-CN"/>
              </w:rPr>
              <w:t>鸿乾五金用地。</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eastAsia="宋体" w:cs="Times New Roman"/>
                <w:b/>
                <w:color w:val="auto"/>
                <w:sz w:val="24"/>
                <w:szCs w:val="24"/>
                <w:highlight w:val="none"/>
              </w:rPr>
            </w:pPr>
            <w:r>
              <w:rPr>
                <w:rFonts w:hint="eastAsia"/>
                <w:b/>
                <w:color w:val="auto"/>
                <w:sz w:val="24"/>
                <w:highlight w:val="none"/>
              </w:rPr>
              <w:t>2</w:t>
            </w:r>
            <w:r>
              <w:rPr>
                <w:rFonts w:hint="eastAsia"/>
                <w:b/>
                <w:color w:val="auto"/>
                <w:sz w:val="24"/>
                <w:highlight w:val="none"/>
                <w:lang w:val="en-US" w:eastAsia="zh-CN"/>
              </w:rPr>
              <w:t>.2</w:t>
            </w:r>
            <w:r>
              <w:rPr>
                <w:rFonts w:hint="eastAsia"/>
                <w:b/>
                <w:color w:val="auto"/>
                <w:sz w:val="24"/>
                <w:highlight w:val="none"/>
              </w:rPr>
              <w:t>、</w:t>
            </w:r>
            <w:r>
              <w:rPr>
                <w:rFonts w:hint="default" w:ascii="Times New Roman" w:hAnsi="Times New Roman" w:eastAsia="宋体" w:cs="Times New Roman"/>
                <w:b/>
                <w:color w:val="auto"/>
                <w:sz w:val="24"/>
                <w:szCs w:val="24"/>
                <w:highlight w:val="none"/>
              </w:rPr>
              <w:t>建设内容</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项目具体建设内容见表</w:t>
            </w:r>
            <w:r>
              <w:rPr>
                <w:rFonts w:hint="eastAsia" w:ascii="Times New Roman" w:hAnsi="Times New Roman" w:eastAsia="宋体" w:cs="Times New Roman"/>
                <w:color w:val="auto"/>
                <w:sz w:val="24"/>
                <w:highlight w:val="none"/>
                <w:lang w:val="en-US" w:eastAsia="zh-CN"/>
              </w:rPr>
              <w:t>2</w:t>
            </w:r>
            <w:r>
              <w:rPr>
                <w:rFonts w:hint="eastAsia" w:cs="Times New Roman"/>
                <w:color w:val="auto"/>
                <w:sz w:val="24"/>
                <w:highlight w:val="none"/>
                <w:lang w:val="en-US" w:eastAsia="zh-CN"/>
              </w:rPr>
              <w:t>.2</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1</w:t>
            </w:r>
            <w:r>
              <w:rPr>
                <w:rFonts w:hint="default" w:ascii="Times New Roman" w:hAnsi="Times New Roman" w:eastAsia="宋体" w:cs="Times New Roman"/>
                <w:color w:val="auto"/>
                <w:sz w:val="24"/>
                <w:highlight w:val="none"/>
              </w:rPr>
              <w:t>。</w:t>
            </w:r>
          </w:p>
          <w:p>
            <w:pPr>
              <w:spacing w:before="120" w:beforeLines="50" w:line="360" w:lineRule="auto"/>
              <w:jc w:val="center"/>
              <w:rPr>
                <w:rFonts w:hint="default" w:ascii="Times New Roman" w:hAnsi="Times New Roman" w:eastAsia="宋体" w:cs="Times New Roman"/>
                <w:b/>
                <w:bCs/>
                <w:color w:val="auto"/>
                <w:sz w:val="24"/>
                <w:highlight w:val="none"/>
              </w:rPr>
            </w:pPr>
          </w:p>
          <w:p>
            <w:pPr>
              <w:spacing w:before="120" w:beforeLines="50" w:line="360" w:lineRule="auto"/>
              <w:jc w:val="center"/>
              <w:rPr>
                <w:rFonts w:hint="default" w:ascii="Times New Roman" w:hAnsi="Times New Roman" w:eastAsia="宋体" w:cs="Times New Roman"/>
                <w:b/>
                <w:bCs/>
                <w:color w:val="auto"/>
                <w:sz w:val="24"/>
                <w:highlight w:val="none"/>
              </w:rPr>
            </w:pPr>
          </w:p>
          <w:p>
            <w:pPr>
              <w:spacing w:before="120" w:beforeLines="50" w:line="360" w:lineRule="auto"/>
              <w:jc w:val="center"/>
              <w:rPr>
                <w:rFonts w:hint="default" w:ascii="Times New Roman" w:hAnsi="Times New Roman" w:eastAsia="宋体" w:cs="Times New Roman"/>
                <w:b/>
                <w:bCs/>
                <w:color w:val="auto"/>
                <w:sz w:val="24"/>
                <w:highlight w:val="none"/>
              </w:rPr>
            </w:pPr>
          </w:p>
          <w:p>
            <w:pPr>
              <w:spacing w:before="120" w:beforeLines="50" w:line="360" w:lineRule="auto"/>
              <w:jc w:val="center"/>
              <w:rPr>
                <w:rFonts w:hint="default" w:ascii="Times New Roman" w:hAnsi="Times New Roman" w:eastAsia="宋体" w:cs="Times New Roman"/>
                <w:b/>
                <w:bCs/>
                <w:color w:val="auto"/>
                <w:sz w:val="24"/>
                <w:highlight w:val="none"/>
              </w:rPr>
            </w:pPr>
          </w:p>
          <w:p>
            <w:pPr>
              <w:spacing w:before="120" w:beforeLines="50" w:line="360" w:lineRule="auto"/>
              <w:jc w:val="center"/>
              <w:rPr>
                <w:rFonts w:hint="default" w:ascii="Times New Roman" w:hAnsi="Times New Roman" w:eastAsia="宋体" w:cs="Times New Roman"/>
                <w:b/>
                <w:bCs/>
                <w:color w:val="auto"/>
                <w:sz w:val="24"/>
                <w:highlight w:val="none"/>
              </w:rPr>
            </w:pPr>
          </w:p>
          <w:p>
            <w:pPr>
              <w:spacing w:before="120" w:beforeLines="50" w:line="360" w:lineRule="auto"/>
              <w:jc w:val="center"/>
              <w:rPr>
                <w:b/>
                <w:bCs/>
                <w:color w:val="auto"/>
                <w:sz w:val="24"/>
                <w:highlight w:val="none"/>
              </w:rPr>
            </w:pPr>
            <w:r>
              <w:rPr>
                <w:rFonts w:hint="default" w:ascii="Times New Roman" w:hAnsi="Times New Roman" w:eastAsia="宋体" w:cs="Times New Roman"/>
                <w:b/>
                <w:bCs/>
                <w:color w:val="auto"/>
                <w:sz w:val="24"/>
                <w:highlight w:val="none"/>
              </w:rPr>
              <w:t>表</w:t>
            </w:r>
            <w:r>
              <w:rPr>
                <w:rFonts w:hint="eastAsia" w:ascii="Times New Roman" w:hAnsi="Times New Roman" w:eastAsia="宋体" w:cs="Times New Roman"/>
                <w:b/>
                <w:bCs/>
                <w:color w:val="auto"/>
                <w:sz w:val="24"/>
                <w:highlight w:val="none"/>
                <w:lang w:val="en-US" w:eastAsia="zh-CN"/>
              </w:rPr>
              <w:t>2</w:t>
            </w:r>
            <w:r>
              <w:rPr>
                <w:rFonts w:hint="eastAsia" w:cs="Times New Roman"/>
                <w:b/>
                <w:bCs/>
                <w:color w:val="auto"/>
                <w:sz w:val="24"/>
                <w:highlight w:val="none"/>
                <w:lang w:val="en-US" w:eastAsia="zh-CN"/>
              </w:rPr>
              <w:t>.2</w:t>
            </w:r>
            <w:r>
              <w:rPr>
                <w:rFonts w:hint="eastAsia" w:ascii="Times New Roman" w:hAnsi="Times New Roman" w:eastAsia="宋体" w:cs="Times New Roman"/>
                <w:b/>
                <w:bCs/>
                <w:color w:val="auto"/>
                <w:sz w:val="24"/>
                <w:highlight w:val="none"/>
                <w:lang w:val="en-US" w:eastAsia="zh-CN"/>
              </w:rPr>
              <w:t>-</w:t>
            </w:r>
            <w:r>
              <w:rPr>
                <w:rFonts w:hint="eastAsia" w:cs="Times New Roman"/>
                <w:b/>
                <w:bCs/>
                <w:color w:val="auto"/>
                <w:sz w:val="24"/>
                <w:highlight w:val="none"/>
                <w:lang w:val="en-US" w:eastAsia="zh-CN"/>
              </w:rPr>
              <w:t xml:space="preserve">1 </w:t>
            </w:r>
            <w:r>
              <w:rPr>
                <w:rFonts w:hint="default" w:ascii="Times New Roman" w:hAnsi="Times New Roman" w:eastAsia="宋体" w:cs="Times New Roman"/>
                <w:b/>
                <w:bCs/>
                <w:color w:val="auto"/>
                <w:sz w:val="24"/>
                <w:highlight w:val="none"/>
              </w:rPr>
              <w:t xml:space="preserve"> 项目主要建设内容一览表</w:t>
            </w:r>
          </w:p>
          <w:tbl>
            <w:tblPr>
              <w:tblStyle w:val="28"/>
              <w:tblW w:w="4962"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4"/>
              <w:gridCol w:w="1158"/>
              <w:gridCol w:w="456"/>
              <w:gridCol w:w="688"/>
              <w:gridCol w:w="1149"/>
              <w:gridCol w:w="396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tblHeader/>
                <w:jc w:val="center"/>
              </w:trPr>
              <w:tc>
                <w:tcPr>
                  <w:tcW w:w="306" w:type="pc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b/>
                      <w:color w:val="auto"/>
                      <w:szCs w:val="21"/>
                      <w:highlight w:val="none"/>
                    </w:rPr>
                  </w:pPr>
                  <w:r>
                    <w:rPr>
                      <w:b/>
                      <w:color w:val="auto"/>
                      <w:szCs w:val="21"/>
                      <w:highlight w:val="none"/>
                    </w:rPr>
                    <w:t>序号</w:t>
                  </w:r>
                </w:p>
              </w:tc>
              <w:tc>
                <w:tcPr>
                  <w:tcW w:w="1457" w:type="pct"/>
                  <w:gridSpan w:val="3"/>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b/>
                      <w:color w:val="auto"/>
                      <w:szCs w:val="21"/>
                      <w:highlight w:val="none"/>
                    </w:rPr>
                  </w:pPr>
                  <w:r>
                    <w:rPr>
                      <w:b/>
                      <w:color w:val="auto"/>
                      <w:szCs w:val="21"/>
                      <w:highlight w:val="none"/>
                    </w:rPr>
                    <w:t>工程名称</w:t>
                  </w:r>
                </w:p>
              </w:tc>
              <w:tc>
                <w:tcPr>
                  <w:tcW w:w="3236" w:type="pct"/>
                  <w:gridSpan w:val="2"/>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b/>
                      <w:color w:val="auto"/>
                      <w:szCs w:val="21"/>
                      <w:highlight w:val="none"/>
                    </w:rPr>
                  </w:pPr>
                  <w:r>
                    <w:rPr>
                      <w:b/>
                      <w:color w:val="auto"/>
                      <w:szCs w:val="21"/>
                      <w:highlight w:val="none"/>
                    </w:rPr>
                    <w:t>建设内容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03" w:hRule="atLeast"/>
                <w:jc w:val="center"/>
              </w:trPr>
              <w:tc>
                <w:tcPr>
                  <w:tcW w:w="306"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r>
                    <w:rPr>
                      <w:color w:val="auto"/>
                      <w:szCs w:val="21"/>
                      <w:highlight w:val="none"/>
                    </w:rPr>
                    <w:t>1</w:t>
                  </w:r>
                </w:p>
              </w:tc>
              <w:tc>
                <w:tcPr>
                  <w:tcW w:w="733"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r>
                    <w:rPr>
                      <w:color w:val="auto"/>
                      <w:szCs w:val="21"/>
                      <w:highlight w:val="none"/>
                    </w:rPr>
                    <w:t>主体</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r>
                    <w:rPr>
                      <w:color w:val="auto"/>
                      <w:szCs w:val="21"/>
                      <w:highlight w:val="none"/>
                    </w:rPr>
                    <w:t>工程</w:t>
                  </w:r>
                </w:p>
              </w:tc>
              <w:tc>
                <w:tcPr>
                  <w:tcW w:w="724"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eastAsia="宋体"/>
                      <w:color w:val="auto"/>
                      <w:szCs w:val="21"/>
                      <w:highlight w:val="none"/>
                      <w:lang w:val="en-US" w:eastAsia="zh-CN"/>
                    </w:rPr>
                  </w:pPr>
                  <w:r>
                    <w:rPr>
                      <w:rFonts w:hint="eastAsia" w:cs="Times New Roman"/>
                      <w:color w:val="auto"/>
                      <w:kern w:val="0"/>
                      <w:sz w:val="21"/>
                      <w:szCs w:val="21"/>
                      <w:highlight w:val="none"/>
                      <w:lang w:val="en-US" w:eastAsia="zh-CN" w:bidi="ar"/>
                    </w:rPr>
                    <w:t>9</w:t>
                  </w:r>
                  <w:r>
                    <w:rPr>
                      <w:rFonts w:hint="default" w:ascii="Times New Roman" w:hAnsi="Times New Roman" w:eastAsia="宋体" w:cs="Times New Roman"/>
                      <w:color w:val="auto"/>
                      <w:kern w:val="0"/>
                      <w:sz w:val="21"/>
                      <w:szCs w:val="21"/>
                      <w:highlight w:val="none"/>
                      <w:lang w:val="en-US" w:eastAsia="zh-CN" w:bidi="ar"/>
                    </w:rPr>
                    <w:t>层混凝土结构生产厂房</w:t>
                  </w:r>
                </w:p>
              </w:tc>
              <w:tc>
                <w:tcPr>
                  <w:tcW w:w="3236" w:type="pct"/>
                  <w:gridSpan w:val="2"/>
                  <w:vAlign w:val="center"/>
                </w:tcPr>
                <w:p>
                  <w:pPr>
                    <w:keepNext w:val="0"/>
                    <w:keepLines w:val="0"/>
                    <w:widowControl/>
                    <w:suppressLineNumbers w:val="0"/>
                    <w:jc w:val="center"/>
                    <w:rPr>
                      <w:rFonts w:hint="default" w:eastAsia="宋体"/>
                      <w:color w:val="auto"/>
                      <w:szCs w:val="21"/>
                      <w:highlight w:val="none"/>
                      <w:lang w:val="en-US" w:eastAsia="zh-CN"/>
                    </w:rPr>
                  </w:pPr>
                  <w:r>
                    <w:rPr>
                      <w:rFonts w:hint="eastAsia"/>
                      <w:color w:val="auto"/>
                      <w:szCs w:val="21"/>
                      <w:highlight w:val="none"/>
                      <w:lang w:val="en-US" w:eastAsia="zh-CN"/>
                    </w:rPr>
                    <w:t>总建筑面积约16630 m</w:t>
                  </w:r>
                  <w:r>
                    <w:rPr>
                      <w:rFonts w:hint="eastAsia"/>
                      <w:color w:val="auto"/>
                      <w:szCs w:val="21"/>
                      <w:highlight w:val="none"/>
                      <w:vertAlign w:val="superscript"/>
                      <w:lang w:val="en-US" w:eastAsia="zh-CN"/>
                    </w:rPr>
                    <w:t>2</w:t>
                  </w:r>
                  <w:r>
                    <w:rPr>
                      <w:rFonts w:hint="eastAsia"/>
                      <w:color w:val="auto"/>
                      <w:szCs w:val="21"/>
                      <w:highlight w:val="none"/>
                      <w:lang w:val="en-US" w:eastAsia="zh-CN"/>
                    </w:rPr>
                    <w:t>，共9层，1F主要为压力铸造、锻造（红冲）区，生产水龙头、角阀、淋浴柱、卫浴挂件、水槽、地漏等金属水暖卫浴配件；2F主要为管类卫浴配件下料、切管、弯管、缩管等机加工区；3F主要为注塑和进水软管合股、编织区；4F-5F主要为抛光处理和数控加工区；6F主要为浴室柜木制品加工、喷漆与组装区；7F为卫浴配件组装区和试压区；8F为机加工车间；9F为铣削、钻等机械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41" w:hRule="atLeast"/>
                <w:jc w:val="center"/>
              </w:trPr>
              <w:tc>
                <w:tcPr>
                  <w:tcW w:w="306"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3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24" w:type="pct"/>
                  <w:gridSpan w:val="2"/>
                  <w:vAlign w:val="center"/>
                </w:tcPr>
                <w:p>
                  <w:pPr>
                    <w:keepNext w:val="0"/>
                    <w:keepLines w:val="0"/>
                    <w:widowControl/>
                    <w:suppressLineNumbers w:val="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铜制品水龙头熔化浇注一层钢结构</w:t>
                  </w:r>
                </w:p>
                <w:p>
                  <w:pPr>
                    <w:keepNext w:val="0"/>
                    <w:keepLines w:val="0"/>
                    <w:widowControl/>
                    <w:suppressLineNumbers w:val="0"/>
                    <w:jc w:val="center"/>
                    <w:rPr>
                      <w:rFonts w:hint="eastAsia"/>
                      <w:color w:val="auto"/>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生产厂房</w:t>
                  </w:r>
                </w:p>
              </w:tc>
              <w:tc>
                <w:tcPr>
                  <w:tcW w:w="3236" w:type="pct"/>
                  <w:gridSpan w:val="2"/>
                  <w:vAlign w:val="center"/>
                </w:tcPr>
                <w:p>
                  <w:pPr>
                    <w:keepNext w:val="0"/>
                    <w:keepLines w:val="0"/>
                    <w:widowControl/>
                    <w:suppressLineNumbers w:val="0"/>
                    <w:jc w:val="center"/>
                    <w:rPr>
                      <w:rFonts w:hint="eastAsia"/>
                      <w:color w:val="auto"/>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占地面积约为300m</w:t>
                  </w:r>
                  <w:r>
                    <w:rPr>
                      <w:rFonts w:hint="default" w:ascii="Times New Roman" w:hAnsi="Times New Roman" w:eastAsia="宋体" w:cs="Times New Roman"/>
                      <w:color w:val="auto"/>
                      <w:kern w:val="0"/>
                      <w:sz w:val="21"/>
                      <w:szCs w:val="21"/>
                      <w:highlight w:val="none"/>
                      <w:vertAlign w:val="superscript"/>
                      <w:lang w:val="en-US" w:eastAsia="zh-CN" w:bidi="ar"/>
                    </w:rPr>
                    <w:t>2</w:t>
                  </w:r>
                  <w:r>
                    <w:rPr>
                      <w:rFonts w:hint="default" w:ascii="Times New Roman" w:hAnsi="Times New Roman" w:eastAsia="宋体" w:cs="Times New Roman"/>
                      <w:color w:val="auto"/>
                      <w:kern w:val="0"/>
                      <w:sz w:val="21"/>
                      <w:szCs w:val="21"/>
                      <w:highlight w:val="none"/>
                      <w:lang w:val="en-US" w:eastAsia="zh-CN" w:bidi="ar"/>
                    </w:rPr>
                    <w:t>，位于</w:t>
                  </w:r>
                  <w:r>
                    <w:rPr>
                      <w:rFonts w:hint="eastAsia" w:cs="Times New Roman"/>
                      <w:color w:val="auto"/>
                      <w:kern w:val="0"/>
                      <w:sz w:val="21"/>
                      <w:szCs w:val="21"/>
                      <w:highlight w:val="none"/>
                      <w:lang w:val="en-US" w:eastAsia="zh-CN" w:bidi="ar"/>
                    </w:rPr>
                    <w:t>9</w:t>
                  </w:r>
                  <w:r>
                    <w:rPr>
                      <w:rFonts w:hint="default" w:ascii="Times New Roman" w:hAnsi="Times New Roman" w:eastAsia="宋体" w:cs="Times New Roman"/>
                      <w:color w:val="auto"/>
                      <w:kern w:val="0"/>
                      <w:sz w:val="21"/>
                      <w:szCs w:val="21"/>
                      <w:highlight w:val="none"/>
                      <w:lang w:val="en-US" w:eastAsia="zh-CN" w:bidi="ar"/>
                    </w:rPr>
                    <w:t>层混凝土结构生产厂房</w:t>
                  </w:r>
                  <w:r>
                    <w:rPr>
                      <w:rFonts w:hint="eastAsia" w:cs="Times New Roman"/>
                      <w:color w:val="auto"/>
                      <w:kern w:val="0"/>
                      <w:sz w:val="21"/>
                      <w:szCs w:val="21"/>
                      <w:highlight w:val="none"/>
                      <w:lang w:val="en-US" w:eastAsia="zh-CN" w:bidi="ar"/>
                    </w:rPr>
                    <w:t>北</w:t>
                  </w:r>
                  <w:r>
                    <w:rPr>
                      <w:rFonts w:hint="default" w:ascii="Times New Roman" w:hAnsi="Times New Roman" w:eastAsia="宋体" w:cs="Times New Roman"/>
                      <w:color w:val="auto"/>
                      <w:kern w:val="0"/>
                      <w:sz w:val="21"/>
                      <w:szCs w:val="21"/>
                      <w:highlight w:val="none"/>
                      <w:lang w:val="en-US" w:eastAsia="zh-CN" w:bidi="ar"/>
                    </w:rPr>
                    <w:t>侧，与</w:t>
                  </w:r>
                  <w:r>
                    <w:rPr>
                      <w:rFonts w:hint="eastAsia" w:cs="Times New Roman"/>
                      <w:color w:val="auto"/>
                      <w:kern w:val="0"/>
                      <w:sz w:val="21"/>
                      <w:szCs w:val="21"/>
                      <w:highlight w:val="none"/>
                      <w:lang w:val="en-US" w:eastAsia="zh-CN" w:bidi="ar"/>
                    </w:rPr>
                    <w:t>9</w:t>
                  </w:r>
                  <w:r>
                    <w:rPr>
                      <w:rFonts w:hint="default" w:ascii="Times New Roman" w:hAnsi="Times New Roman" w:eastAsia="宋体" w:cs="Times New Roman"/>
                      <w:color w:val="auto"/>
                      <w:kern w:val="0"/>
                      <w:sz w:val="21"/>
                      <w:szCs w:val="21"/>
                      <w:highlight w:val="none"/>
                      <w:lang w:val="en-US" w:eastAsia="zh-CN" w:bidi="ar"/>
                    </w:rPr>
                    <w:t>层混凝土结构生产厂房相连，主要为铜制水龙头熔化浇注区域，一层钢结构车间，占地面积约为300m</w:t>
                  </w:r>
                  <w:r>
                    <w:rPr>
                      <w:rFonts w:hint="default" w:ascii="Times New Roman" w:hAnsi="Times New Roman" w:eastAsia="宋体" w:cs="Times New Roman"/>
                      <w:color w:val="auto"/>
                      <w:kern w:val="0"/>
                      <w:sz w:val="21"/>
                      <w:szCs w:val="21"/>
                      <w:highlight w:val="none"/>
                      <w:vertAlign w:val="superscript"/>
                      <w:lang w:val="en-US" w:eastAsia="zh-CN" w:bidi="ar"/>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06"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r>
                    <w:rPr>
                      <w:color w:val="auto"/>
                      <w:szCs w:val="21"/>
                      <w:highlight w:val="none"/>
                    </w:rPr>
                    <w:t>2</w:t>
                  </w:r>
                </w:p>
              </w:tc>
              <w:tc>
                <w:tcPr>
                  <w:tcW w:w="733"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宋体"/>
                      <w:color w:val="auto"/>
                      <w:szCs w:val="21"/>
                      <w:highlight w:val="none"/>
                      <w:lang w:eastAsia="zh-CN"/>
                    </w:rPr>
                  </w:pPr>
                  <w:r>
                    <w:rPr>
                      <w:rFonts w:hint="eastAsia"/>
                      <w:color w:val="auto"/>
                      <w:szCs w:val="21"/>
                      <w:highlight w:val="none"/>
                      <w:lang w:val="en-US" w:eastAsia="zh-CN"/>
                    </w:rPr>
                    <w:t>储运工程</w:t>
                  </w:r>
                </w:p>
              </w:tc>
              <w:tc>
                <w:tcPr>
                  <w:tcW w:w="724"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r>
                    <w:rPr>
                      <w:rFonts w:hint="eastAsia"/>
                      <w:color w:val="auto"/>
                      <w:szCs w:val="21"/>
                      <w:highlight w:val="none"/>
                    </w:rPr>
                    <w:t>原料</w:t>
                  </w:r>
                  <w:r>
                    <w:rPr>
                      <w:rFonts w:hint="eastAsia"/>
                      <w:color w:val="auto"/>
                      <w:szCs w:val="21"/>
                      <w:highlight w:val="none"/>
                      <w:lang w:val="en-US" w:eastAsia="zh-CN"/>
                    </w:rPr>
                    <w:t>区</w:t>
                  </w:r>
                </w:p>
              </w:tc>
              <w:tc>
                <w:tcPr>
                  <w:tcW w:w="3236"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color w:val="auto"/>
                      <w:szCs w:val="21"/>
                      <w:highlight w:val="none"/>
                      <w:lang w:val="en-US" w:eastAsia="zh-CN"/>
                    </w:rPr>
                  </w:pPr>
                  <w:r>
                    <w:rPr>
                      <w:rFonts w:hint="eastAsia"/>
                      <w:color w:val="auto"/>
                      <w:szCs w:val="21"/>
                      <w:highlight w:val="none"/>
                      <w:lang w:val="en-US" w:eastAsia="zh-CN"/>
                    </w:rPr>
                    <w:t>总建筑面积约4157 m</w:t>
                  </w:r>
                  <w:r>
                    <w:rPr>
                      <w:rFonts w:hint="eastAsia"/>
                      <w:color w:val="auto"/>
                      <w:szCs w:val="21"/>
                      <w:highlight w:val="none"/>
                      <w:vertAlign w:val="superscript"/>
                      <w:lang w:val="en-US" w:eastAsia="zh-CN"/>
                    </w:rPr>
                    <w:t>2</w:t>
                  </w:r>
                  <w:r>
                    <w:rPr>
                      <w:rFonts w:hint="eastAsia"/>
                      <w:color w:val="auto"/>
                      <w:szCs w:val="21"/>
                      <w:highlight w:val="none"/>
                      <w:lang w:val="en-US" w:eastAsia="zh-CN"/>
                    </w:rPr>
                    <w:t>，利用1F剩余空间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06"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3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24"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宋体"/>
                      <w:color w:val="auto"/>
                      <w:szCs w:val="21"/>
                      <w:highlight w:val="none"/>
                      <w:lang w:val="en-US" w:eastAsia="zh-CN"/>
                    </w:rPr>
                  </w:pPr>
                  <w:r>
                    <w:rPr>
                      <w:rFonts w:hint="eastAsia"/>
                      <w:color w:val="auto"/>
                      <w:szCs w:val="21"/>
                      <w:highlight w:val="none"/>
                      <w:lang w:eastAsia="zh-CN"/>
                    </w:rPr>
                    <w:t>成品</w:t>
                  </w:r>
                  <w:r>
                    <w:rPr>
                      <w:rFonts w:hint="eastAsia"/>
                      <w:color w:val="auto"/>
                      <w:szCs w:val="21"/>
                      <w:highlight w:val="none"/>
                      <w:lang w:val="en-US" w:eastAsia="zh-CN"/>
                    </w:rPr>
                    <w:t>区</w:t>
                  </w:r>
                </w:p>
              </w:tc>
              <w:tc>
                <w:tcPr>
                  <w:tcW w:w="3236"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color w:val="auto"/>
                      <w:szCs w:val="21"/>
                      <w:highlight w:val="none"/>
                      <w:lang w:val="en-US" w:eastAsia="zh-CN"/>
                    </w:rPr>
                  </w:pPr>
                  <w:r>
                    <w:rPr>
                      <w:rFonts w:hint="eastAsia"/>
                      <w:color w:val="auto"/>
                      <w:szCs w:val="21"/>
                      <w:highlight w:val="none"/>
                      <w:lang w:val="en-US" w:eastAsia="zh-CN"/>
                    </w:rPr>
                    <w:t>位于综合楼1F-2F展厅</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30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宋体"/>
                      <w:color w:val="auto"/>
                      <w:szCs w:val="21"/>
                      <w:highlight w:val="none"/>
                      <w:lang w:val="en-US" w:eastAsia="zh-CN"/>
                    </w:rPr>
                  </w:pPr>
                  <w:r>
                    <w:rPr>
                      <w:rFonts w:hint="eastAsia"/>
                      <w:color w:val="auto"/>
                      <w:szCs w:val="21"/>
                      <w:highlight w:val="none"/>
                      <w:lang w:val="en-US" w:eastAsia="zh-CN"/>
                    </w:rPr>
                    <w:t>3</w:t>
                  </w:r>
                </w:p>
              </w:tc>
              <w:tc>
                <w:tcPr>
                  <w:tcW w:w="73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color w:val="auto"/>
                      <w:szCs w:val="21"/>
                      <w:highlight w:val="none"/>
                      <w:lang w:val="en-US" w:eastAsia="zh-CN"/>
                    </w:rPr>
                  </w:pPr>
                  <w:r>
                    <w:rPr>
                      <w:rFonts w:hint="eastAsia"/>
                      <w:color w:val="auto"/>
                      <w:szCs w:val="21"/>
                      <w:highlight w:val="none"/>
                      <w:lang w:val="en-US" w:eastAsia="zh-CN"/>
                    </w:rPr>
                    <w:t>辅助</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宋体"/>
                      <w:color w:val="auto"/>
                      <w:szCs w:val="21"/>
                      <w:highlight w:val="none"/>
                      <w:lang w:val="en-US" w:eastAsia="zh-CN"/>
                    </w:rPr>
                  </w:pPr>
                  <w:r>
                    <w:rPr>
                      <w:rFonts w:hint="eastAsia"/>
                      <w:color w:val="auto"/>
                      <w:szCs w:val="21"/>
                      <w:highlight w:val="none"/>
                      <w:lang w:val="en-US" w:eastAsia="zh-CN"/>
                    </w:rPr>
                    <w:t>工程</w:t>
                  </w:r>
                </w:p>
              </w:tc>
              <w:tc>
                <w:tcPr>
                  <w:tcW w:w="724"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color w:val="auto"/>
                      <w:szCs w:val="21"/>
                      <w:highlight w:val="none"/>
                      <w:lang w:val="en-US" w:eastAsia="zh-CN"/>
                    </w:rPr>
                  </w:pPr>
                  <w:r>
                    <w:rPr>
                      <w:rFonts w:hint="eastAsia"/>
                      <w:color w:val="auto"/>
                      <w:szCs w:val="21"/>
                      <w:highlight w:val="none"/>
                      <w:lang w:val="en-US" w:eastAsia="zh-CN"/>
                    </w:rPr>
                    <w:t>综合楼</w:t>
                  </w:r>
                </w:p>
              </w:tc>
              <w:tc>
                <w:tcPr>
                  <w:tcW w:w="3236"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color w:val="auto"/>
                      <w:szCs w:val="21"/>
                      <w:highlight w:val="none"/>
                      <w:lang w:val="en-US" w:eastAsia="zh-CN"/>
                    </w:rPr>
                  </w:pPr>
                  <w:r>
                    <w:rPr>
                      <w:rFonts w:hint="eastAsia"/>
                      <w:color w:val="auto"/>
                      <w:szCs w:val="21"/>
                      <w:highlight w:val="none"/>
                      <w:lang w:val="en-US" w:eastAsia="zh-CN"/>
                    </w:rPr>
                    <w:t>9F，1F-2F为展厅，3F-4F为展厅，5F-9F为宿舍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306"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宋体"/>
                      <w:color w:val="auto"/>
                      <w:szCs w:val="21"/>
                      <w:highlight w:val="none"/>
                      <w:lang w:eastAsia="zh-CN"/>
                    </w:rPr>
                  </w:pPr>
                  <w:r>
                    <w:rPr>
                      <w:rFonts w:hint="eastAsia"/>
                      <w:color w:val="auto"/>
                      <w:szCs w:val="21"/>
                      <w:highlight w:val="none"/>
                      <w:lang w:val="en-US" w:eastAsia="zh-CN"/>
                    </w:rPr>
                    <w:t>4</w:t>
                  </w:r>
                </w:p>
              </w:tc>
              <w:tc>
                <w:tcPr>
                  <w:tcW w:w="733"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r>
                    <w:rPr>
                      <w:color w:val="auto"/>
                      <w:szCs w:val="21"/>
                      <w:highlight w:val="none"/>
                    </w:rPr>
                    <w:t>公用</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r>
                    <w:rPr>
                      <w:color w:val="auto"/>
                      <w:szCs w:val="21"/>
                      <w:highlight w:val="none"/>
                    </w:rPr>
                    <w:t>工程</w:t>
                  </w:r>
                </w:p>
              </w:tc>
              <w:tc>
                <w:tcPr>
                  <w:tcW w:w="724"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r>
                    <w:rPr>
                      <w:color w:val="auto"/>
                      <w:szCs w:val="21"/>
                      <w:highlight w:val="none"/>
                    </w:rPr>
                    <w:t>供水</w:t>
                  </w:r>
                </w:p>
              </w:tc>
              <w:tc>
                <w:tcPr>
                  <w:tcW w:w="3236"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r>
                    <w:rPr>
                      <w:color w:val="auto"/>
                      <w:szCs w:val="21"/>
                      <w:highlight w:val="none"/>
                    </w:rPr>
                    <w:t>厂区用水由自来水厂管网提供</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06"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3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24"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r>
                    <w:rPr>
                      <w:color w:val="auto"/>
                      <w:szCs w:val="21"/>
                      <w:highlight w:val="none"/>
                    </w:rPr>
                    <w:t>供电</w:t>
                  </w:r>
                </w:p>
              </w:tc>
              <w:tc>
                <w:tcPr>
                  <w:tcW w:w="3236"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r>
                    <w:rPr>
                      <w:color w:val="auto"/>
                      <w:szCs w:val="21"/>
                      <w:highlight w:val="none"/>
                    </w:rPr>
                    <w:t>厂区用电由电力局供电管网统一供给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306"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3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24"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r>
                    <w:rPr>
                      <w:color w:val="auto"/>
                      <w:szCs w:val="21"/>
                      <w:highlight w:val="none"/>
                    </w:rPr>
                    <w:t>雨水</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r>
                    <w:rPr>
                      <w:color w:val="auto"/>
                      <w:szCs w:val="21"/>
                      <w:highlight w:val="none"/>
                    </w:rPr>
                    <w:t>管网</w:t>
                  </w:r>
                </w:p>
              </w:tc>
              <w:tc>
                <w:tcPr>
                  <w:tcW w:w="3236"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r>
                    <w:rPr>
                      <w:color w:val="auto"/>
                      <w:szCs w:val="21"/>
                      <w:highlight w:val="none"/>
                    </w:rPr>
                    <w:t>雨污分流，分设雨水管道及污水管道</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306" w:type="pct"/>
                  <w:vMerge w:val="restar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宋体"/>
                      <w:color w:val="auto"/>
                      <w:szCs w:val="21"/>
                      <w:highlight w:val="none"/>
                      <w:lang w:eastAsia="zh-CN"/>
                    </w:rPr>
                  </w:pPr>
                  <w:r>
                    <w:rPr>
                      <w:rFonts w:hint="eastAsia"/>
                      <w:color w:val="auto"/>
                      <w:szCs w:val="21"/>
                      <w:highlight w:val="none"/>
                      <w:lang w:val="en-US" w:eastAsia="zh-CN"/>
                    </w:rPr>
                    <w:t>5</w:t>
                  </w:r>
                </w:p>
              </w:tc>
              <w:tc>
                <w:tcPr>
                  <w:tcW w:w="733" w:type="pct"/>
                  <w:vMerge w:val="restar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r>
                    <w:rPr>
                      <w:color w:val="auto"/>
                      <w:szCs w:val="21"/>
                      <w:highlight w:val="none"/>
                    </w:rPr>
                    <w:t>环保</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r>
                    <w:rPr>
                      <w:color w:val="auto"/>
                      <w:szCs w:val="21"/>
                      <w:highlight w:val="none"/>
                    </w:rPr>
                    <w:t>工程</w:t>
                  </w:r>
                </w:p>
              </w:tc>
              <w:tc>
                <w:tcPr>
                  <w:tcW w:w="724" w:type="pct"/>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color w:val="auto"/>
                      <w:szCs w:val="21"/>
                      <w:highlight w:val="none"/>
                      <w:lang w:val="en-US" w:eastAsia="zh-CN"/>
                    </w:rPr>
                  </w:pPr>
                  <w:r>
                    <w:rPr>
                      <w:rFonts w:hint="eastAsia"/>
                      <w:color w:val="auto"/>
                      <w:szCs w:val="21"/>
                      <w:highlight w:val="none"/>
                      <w:lang w:val="en-US" w:eastAsia="zh-CN"/>
                    </w:rPr>
                    <w:t>废水</w:t>
                  </w:r>
                </w:p>
              </w:tc>
              <w:tc>
                <w:tcPr>
                  <w:tcW w:w="72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color w:val="auto"/>
                      <w:szCs w:val="21"/>
                      <w:highlight w:val="none"/>
                      <w:lang w:val="en-US" w:eastAsia="zh-CN"/>
                    </w:rPr>
                  </w:pPr>
                  <w:r>
                    <w:rPr>
                      <w:rFonts w:hint="eastAsia"/>
                      <w:color w:val="auto"/>
                      <w:szCs w:val="21"/>
                      <w:highlight w:val="none"/>
                      <w:lang w:val="en-US" w:eastAsia="zh-CN"/>
                    </w:rPr>
                    <w:t>生活</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color w:val="auto"/>
                      <w:szCs w:val="21"/>
                      <w:highlight w:val="none"/>
                      <w:lang w:val="en-US" w:eastAsia="zh-CN"/>
                    </w:rPr>
                  </w:pPr>
                  <w:r>
                    <w:rPr>
                      <w:rFonts w:hint="eastAsia"/>
                      <w:color w:val="auto"/>
                      <w:szCs w:val="21"/>
                      <w:highlight w:val="none"/>
                      <w:lang w:val="en-US" w:eastAsia="zh-CN"/>
                    </w:rPr>
                    <w:t>污水</w:t>
                  </w:r>
                </w:p>
              </w:tc>
              <w:tc>
                <w:tcPr>
                  <w:tcW w:w="250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color w:val="auto"/>
                      <w:szCs w:val="21"/>
                      <w:highlight w:val="none"/>
                      <w:lang w:val="en-US" w:eastAsia="zh-CN"/>
                    </w:rPr>
                  </w:pPr>
                  <w:r>
                    <w:rPr>
                      <w:rFonts w:hint="eastAsia"/>
                      <w:color w:val="auto"/>
                      <w:szCs w:val="21"/>
                      <w:highlight w:val="none"/>
                      <w:lang w:val="en-US" w:eastAsia="zh-CN"/>
                    </w:rPr>
                    <w:t>食堂废水经隔油池处理后与生活污水经化粪池预处理后经市政污水管网排入南安市污水处理厂处理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306"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3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24" w:type="pct"/>
                  <w:gridSpan w:val="2"/>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r>
                    <w:rPr>
                      <w:color w:val="auto"/>
                      <w:szCs w:val="21"/>
                      <w:highlight w:val="none"/>
                    </w:rPr>
                    <w:t>废气</w:t>
                  </w:r>
                </w:p>
              </w:tc>
              <w:tc>
                <w:tcPr>
                  <w:tcW w:w="727" w:type="pct"/>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Cs w:val="21"/>
                      <w:highlight w:val="none"/>
                    </w:rPr>
                  </w:pPr>
                  <w:r>
                    <w:rPr>
                      <w:rFonts w:hint="eastAsia"/>
                      <w:color w:val="auto"/>
                      <w:sz w:val="21"/>
                      <w:szCs w:val="21"/>
                      <w:highlight w:val="none"/>
                      <w:lang w:val="en-US" w:eastAsia="zh-CN"/>
                    </w:rPr>
                    <w:t>熔化、浇注废气</w:t>
                  </w:r>
                </w:p>
              </w:tc>
              <w:tc>
                <w:tcPr>
                  <w:tcW w:w="2508" w:type="pct"/>
                  <w:vAlign w:val="center"/>
                </w:tcPr>
                <w:p>
                  <w:pPr>
                    <w:keepNext w:val="0"/>
                    <w:keepLines w:val="0"/>
                    <w:widowControl/>
                    <w:suppressLineNumbers w:val="0"/>
                    <w:jc w:val="center"/>
                    <w:rPr>
                      <w:rFonts w:hint="default" w:eastAsia="宋体"/>
                      <w:color w:val="auto"/>
                      <w:szCs w:val="21"/>
                      <w:highlight w:val="none"/>
                      <w:lang w:val="en-US" w:eastAsia="zh-CN"/>
                    </w:rPr>
                  </w:pPr>
                  <w:r>
                    <w:rPr>
                      <w:rFonts w:hint="eastAsia" w:ascii="Times New Roman" w:hAnsi="Times New Roman" w:eastAsia="宋体" w:cs="Times New Roman"/>
                      <w:bCs/>
                      <w:color w:val="auto"/>
                      <w:kern w:val="2"/>
                      <w:sz w:val="21"/>
                      <w:szCs w:val="21"/>
                      <w:highlight w:val="none"/>
                      <w:lang w:val="en-US" w:eastAsia="zh-CN" w:bidi="ar-SA"/>
                    </w:rPr>
                    <w:t>熔化废气经布袋除尘器处理、浇注废气经</w:t>
                  </w:r>
                  <w:r>
                    <w:rPr>
                      <w:rFonts w:hint="default" w:ascii="Times New Roman" w:hAnsi="Times New Roman" w:eastAsia="宋体" w:cs="Times New Roman"/>
                      <w:bCs/>
                      <w:color w:val="auto"/>
                      <w:kern w:val="2"/>
                      <w:sz w:val="21"/>
                      <w:szCs w:val="21"/>
                      <w:highlight w:val="none"/>
                      <w:lang w:val="en-US" w:eastAsia="zh-CN" w:bidi="ar-SA"/>
                    </w:rPr>
                    <w:t>布袋除尘器</w:t>
                  </w:r>
                  <w:r>
                    <w:rPr>
                      <w:rFonts w:hint="eastAsia" w:ascii="Times New Roman" w:hAnsi="Times New Roman" w:eastAsia="宋体" w:cs="Times New Roman"/>
                      <w:bCs/>
                      <w:color w:val="auto"/>
                      <w:kern w:val="2"/>
                      <w:sz w:val="21"/>
                      <w:szCs w:val="21"/>
                      <w:highlight w:val="none"/>
                      <w:lang w:val="en-US" w:eastAsia="zh-CN" w:bidi="ar-SA"/>
                    </w:rPr>
                    <w:t>、</w:t>
                  </w:r>
                  <w:r>
                    <w:rPr>
                      <w:rFonts w:hint="eastAsia" w:cs="Times New Roman"/>
                      <w:bCs/>
                      <w:color w:val="auto"/>
                      <w:kern w:val="2"/>
                      <w:sz w:val="21"/>
                      <w:szCs w:val="21"/>
                      <w:highlight w:val="none"/>
                      <w:lang w:val="en-US" w:eastAsia="zh-CN" w:bidi="ar-SA"/>
                    </w:rPr>
                    <w:t>二级</w:t>
                  </w:r>
                  <w:r>
                    <w:rPr>
                      <w:rFonts w:hint="default" w:ascii="Times New Roman" w:hAnsi="Times New Roman" w:eastAsia="宋体" w:cs="Times New Roman"/>
                      <w:bCs/>
                      <w:color w:val="auto"/>
                      <w:kern w:val="2"/>
                      <w:sz w:val="21"/>
                      <w:szCs w:val="21"/>
                      <w:highlight w:val="none"/>
                      <w:lang w:val="en-US" w:eastAsia="zh-CN" w:bidi="ar-SA"/>
                    </w:rPr>
                    <w:t>活性炭吸附装</w:t>
                  </w:r>
                  <w:r>
                    <w:rPr>
                      <w:rFonts w:hint="eastAsia" w:cs="Times New Roman"/>
                      <w:bCs/>
                      <w:color w:val="auto"/>
                      <w:kern w:val="2"/>
                      <w:sz w:val="21"/>
                      <w:szCs w:val="21"/>
                      <w:highlight w:val="none"/>
                      <w:lang w:val="en-US" w:eastAsia="zh-CN" w:bidi="ar-SA"/>
                    </w:rPr>
                    <w:t>置</w:t>
                  </w:r>
                  <w:r>
                    <w:rPr>
                      <w:rFonts w:hint="eastAsia" w:ascii="Times New Roman" w:hAnsi="Times New Roman" w:eastAsia="宋体" w:cs="Times New Roman"/>
                      <w:bCs/>
                      <w:color w:val="auto"/>
                      <w:kern w:val="2"/>
                      <w:sz w:val="21"/>
                      <w:szCs w:val="21"/>
                      <w:highlight w:val="none"/>
                      <w:lang w:val="en-US" w:eastAsia="zh-CN" w:bidi="ar-SA"/>
                    </w:rPr>
                    <w:t>处理后一起汇入排气筒</w:t>
                  </w:r>
                  <w:r>
                    <w:rPr>
                      <w:rFonts w:hint="default" w:ascii="Times New Roman" w:hAnsi="Times New Roman" w:eastAsia="宋体" w:cs="Times New Roman"/>
                      <w:bCs/>
                      <w:color w:val="auto"/>
                      <w:kern w:val="2"/>
                      <w:sz w:val="21"/>
                      <w:szCs w:val="21"/>
                      <w:highlight w:val="none"/>
                      <w:lang w:val="en-US" w:eastAsia="zh-CN" w:bidi="ar-SA"/>
                    </w:rPr>
                    <w:t>DA00</w:t>
                  </w:r>
                  <w:r>
                    <w:rPr>
                      <w:rFonts w:hint="eastAsia" w:ascii="Times New Roman" w:hAnsi="Times New Roman" w:eastAsia="宋体" w:cs="Times New Roman"/>
                      <w:bCs/>
                      <w:color w:val="auto"/>
                      <w:kern w:val="2"/>
                      <w:sz w:val="21"/>
                      <w:szCs w:val="21"/>
                      <w:highlight w:val="none"/>
                      <w:lang w:val="en-US" w:eastAsia="zh-CN" w:bidi="ar-SA"/>
                    </w:rPr>
                    <w:t>1排放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06"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3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24" w:type="pct"/>
                  <w:gridSpan w:val="2"/>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27" w:type="pct"/>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olor w:val="auto"/>
                      <w:sz w:val="21"/>
                      <w:szCs w:val="21"/>
                      <w:highlight w:val="none"/>
                      <w:lang w:val="en-US" w:eastAsia="zh-CN"/>
                    </w:rPr>
                  </w:pPr>
                  <w:r>
                    <w:rPr>
                      <w:rFonts w:hint="default"/>
                      <w:color w:val="auto"/>
                      <w:sz w:val="21"/>
                      <w:szCs w:val="21"/>
                      <w:highlight w:val="none"/>
                      <w:lang w:val="en-US" w:eastAsia="zh-CN"/>
                    </w:rPr>
                    <w:t>搅砂及制芯</w:t>
                  </w:r>
                  <w:r>
                    <w:rPr>
                      <w:rFonts w:hint="eastAsia"/>
                      <w:color w:val="auto"/>
                      <w:sz w:val="21"/>
                      <w:szCs w:val="21"/>
                      <w:highlight w:val="none"/>
                      <w:lang w:val="en-US" w:eastAsia="zh-CN"/>
                    </w:rPr>
                    <w:t>废气</w:t>
                  </w:r>
                </w:p>
              </w:tc>
              <w:tc>
                <w:tcPr>
                  <w:tcW w:w="2508" w:type="pct"/>
                  <w:vAlign w:val="center"/>
                </w:tcPr>
                <w:p>
                  <w:pPr>
                    <w:keepNext w:val="0"/>
                    <w:keepLines w:val="0"/>
                    <w:widowControl/>
                    <w:suppressLineNumbers w:val="0"/>
                    <w:jc w:val="center"/>
                    <w:rPr>
                      <w:rFonts w:hint="eastAsia" w:ascii="宋体" w:hAnsi="宋体" w:eastAsia="宋体" w:cs="宋体"/>
                      <w:color w:val="auto"/>
                      <w:kern w:val="0"/>
                      <w:sz w:val="20"/>
                      <w:szCs w:val="20"/>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喷淋塔+</w:t>
                  </w:r>
                  <w:r>
                    <w:rPr>
                      <w:rFonts w:hint="eastAsia" w:cs="Times New Roman"/>
                      <w:bCs/>
                      <w:color w:val="auto"/>
                      <w:kern w:val="2"/>
                      <w:sz w:val="21"/>
                      <w:szCs w:val="21"/>
                      <w:highlight w:val="none"/>
                      <w:lang w:val="en-US" w:eastAsia="zh-CN" w:bidi="ar-SA"/>
                    </w:rPr>
                    <w:t>二级</w:t>
                  </w:r>
                  <w:r>
                    <w:rPr>
                      <w:rFonts w:hint="default" w:ascii="Times New Roman" w:hAnsi="Times New Roman" w:eastAsia="宋体" w:cs="Times New Roman"/>
                      <w:bCs/>
                      <w:color w:val="auto"/>
                      <w:kern w:val="2"/>
                      <w:sz w:val="21"/>
                      <w:szCs w:val="21"/>
                      <w:highlight w:val="none"/>
                      <w:lang w:val="en-US" w:eastAsia="zh-CN" w:bidi="ar-SA"/>
                    </w:rPr>
                    <w:t>活性炭吸附装</w:t>
                  </w:r>
                  <w:r>
                    <w:rPr>
                      <w:rFonts w:hint="eastAsia" w:cs="Times New Roman"/>
                      <w:bCs/>
                      <w:color w:val="auto"/>
                      <w:kern w:val="2"/>
                      <w:sz w:val="21"/>
                      <w:szCs w:val="21"/>
                      <w:highlight w:val="none"/>
                      <w:lang w:val="en-US" w:eastAsia="zh-CN" w:bidi="ar-SA"/>
                    </w:rPr>
                    <w:t>置</w:t>
                  </w:r>
                  <w:r>
                    <w:rPr>
                      <w:rFonts w:hint="default" w:ascii="Times New Roman" w:hAnsi="Times New Roman" w:eastAsia="宋体" w:cs="Times New Roman"/>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排气筒</w:t>
                  </w:r>
                  <w:r>
                    <w:rPr>
                      <w:rFonts w:hint="default" w:ascii="Times New Roman" w:hAnsi="Times New Roman" w:eastAsia="宋体" w:cs="Times New Roman"/>
                      <w:color w:val="auto"/>
                      <w:kern w:val="0"/>
                      <w:sz w:val="21"/>
                      <w:szCs w:val="21"/>
                      <w:highlight w:val="none"/>
                      <w:lang w:val="en-US" w:eastAsia="zh-CN" w:bidi="ar"/>
                    </w:rPr>
                    <w:t>DA00</w:t>
                  </w:r>
                  <w:r>
                    <w:rPr>
                      <w:rFonts w:hint="eastAsia" w:cs="Times New Roman"/>
                      <w:color w:val="auto"/>
                      <w:kern w:val="0"/>
                      <w:sz w:val="21"/>
                      <w:szCs w:val="21"/>
                      <w:highlight w:val="none"/>
                      <w:lang w:val="en-US" w:eastAsia="zh-CN" w:bidi="ar"/>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06"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3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24" w:type="pct"/>
                  <w:gridSpan w:val="2"/>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27" w:type="pct"/>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落砂</w:t>
                  </w:r>
                  <w:r>
                    <w:rPr>
                      <w:rFonts w:hint="eastAsia" w:cs="Times New Roman"/>
                      <w:color w:val="auto"/>
                      <w:kern w:val="0"/>
                      <w:sz w:val="21"/>
                      <w:szCs w:val="21"/>
                      <w:highlight w:val="none"/>
                      <w:lang w:val="en-US" w:eastAsia="zh-CN" w:bidi="ar"/>
                    </w:rPr>
                    <w:t>、压铸、锻造废气</w:t>
                  </w:r>
                </w:p>
              </w:tc>
              <w:tc>
                <w:tcPr>
                  <w:tcW w:w="2508" w:type="pct"/>
                  <w:vAlign w:val="center"/>
                </w:tcPr>
                <w:p>
                  <w:pPr>
                    <w:keepNext w:val="0"/>
                    <w:keepLines w:val="0"/>
                    <w:widowControl/>
                    <w:suppressLineNumbers w:val="0"/>
                    <w:jc w:val="center"/>
                    <w:rPr>
                      <w:rFonts w:hint="default" w:ascii="宋体" w:hAnsi="宋体" w:eastAsia="宋体" w:cs="宋体"/>
                      <w:color w:val="auto"/>
                      <w:kern w:val="0"/>
                      <w:sz w:val="20"/>
                      <w:szCs w:val="20"/>
                      <w:highlight w:val="none"/>
                      <w:lang w:val="en-US" w:eastAsia="zh-CN" w:bidi="ar"/>
                    </w:rPr>
                  </w:pPr>
                  <w:r>
                    <w:rPr>
                      <w:rFonts w:hint="eastAsia" w:ascii="宋体" w:hAnsi="宋体" w:cs="宋体"/>
                      <w:color w:val="auto"/>
                      <w:kern w:val="0"/>
                      <w:sz w:val="21"/>
                      <w:szCs w:val="21"/>
                      <w:highlight w:val="none"/>
                      <w:lang w:val="en-US" w:eastAsia="zh-CN" w:bidi="ar"/>
                    </w:rPr>
                    <w:t>各废气经布袋除尘器处理后汇入</w:t>
                  </w:r>
                  <w:r>
                    <w:rPr>
                      <w:rFonts w:hint="eastAsia" w:ascii="宋体" w:hAnsi="宋体" w:eastAsia="宋体" w:cs="宋体"/>
                      <w:color w:val="auto"/>
                      <w:kern w:val="0"/>
                      <w:sz w:val="21"/>
                      <w:szCs w:val="21"/>
                      <w:highlight w:val="none"/>
                      <w:lang w:val="en-US" w:eastAsia="zh-CN" w:bidi="ar"/>
                    </w:rPr>
                    <w:t>排气筒</w:t>
                  </w:r>
                  <w:r>
                    <w:rPr>
                      <w:rFonts w:hint="default" w:ascii="Times New Roman" w:hAnsi="Times New Roman" w:eastAsia="宋体" w:cs="Times New Roman"/>
                      <w:color w:val="auto"/>
                      <w:kern w:val="0"/>
                      <w:sz w:val="21"/>
                      <w:szCs w:val="21"/>
                      <w:highlight w:val="none"/>
                      <w:lang w:val="en-US" w:eastAsia="zh-CN" w:bidi="ar"/>
                    </w:rPr>
                    <w:t>DA00</w:t>
                  </w:r>
                  <w:r>
                    <w:rPr>
                      <w:rFonts w:hint="eastAsia" w:cs="Times New Roman"/>
                      <w:color w:val="auto"/>
                      <w:kern w:val="0"/>
                      <w:sz w:val="21"/>
                      <w:szCs w:val="21"/>
                      <w:highlight w:val="none"/>
                      <w:lang w:val="en-US" w:eastAsia="zh-CN" w:bidi="ar"/>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06"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3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24" w:type="pct"/>
                  <w:gridSpan w:val="2"/>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2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抛光</w:t>
                  </w:r>
                  <w:r>
                    <w:rPr>
                      <w:rFonts w:hint="eastAsia" w:cs="Times New Roman"/>
                      <w:color w:val="auto"/>
                      <w:kern w:val="0"/>
                      <w:sz w:val="21"/>
                      <w:szCs w:val="21"/>
                      <w:highlight w:val="none"/>
                      <w:lang w:val="en-US" w:eastAsia="zh-CN" w:bidi="ar"/>
                    </w:rPr>
                    <w:t>、抛丸废气</w:t>
                  </w:r>
                </w:p>
              </w:tc>
              <w:tc>
                <w:tcPr>
                  <w:tcW w:w="2508" w:type="pct"/>
                  <w:vAlign w:val="center"/>
                </w:tcPr>
                <w:p>
                  <w:pPr>
                    <w:keepNext w:val="0"/>
                    <w:keepLines w:val="0"/>
                    <w:widowControl/>
                    <w:suppressLineNumbers w:val="0"/>
                    <w:jc w:val="center"/>
                    <w:rPr>
                      <w:rFonts w:hint="eastAsia" w:ascii="宋体" w:hAnsi="宋体" w:eastAsia="宋体" w:cs="宋体"/>
                      <w:color w:val="auto"/>
                      <w:kern w:val="0"/>
                      <w:sz w:val="20"/>
                      <w:szCs w:val="20"/>
                      <w:highlight w:val="none"/>
                      <w:lang w:val="en-US" w:eastAsia="zh-CN" w:bidi="ar"/>
                    </w:rPr>
                  </w:pPr>
                  <w:r>
                    <w:rPr>
                      <w:rFonts w:hint="eastAsia" w:ascii="宋体" w:hAnsi="宋体" w:cs="宋体"/>
                      <w:color w:val="auto"/>
                      <w:kern w:val="0"/>
                      <w:sz w:val="21"/>
                      <w:szCs w:val="21"/>
                      <w:highlight w:val="none"/>
                      <w:lang w:val="en-US" w:eastAsia="zh-CN" w:bidi="ar"/>
                    </w:rPr>
                    <w:t>各废气经布袋除尘器处理后汇入</w:t>
                  </w:r>
                  <w:r>
                    <w:rPr>
                      <w:rFonts w:hint="eastAsia" w:ascii="宋体" w:hAnsi="宋体" w:eastAsia="宋体" w:cs="宋体"/>
                      <w:color w:val="auto"/>
                      <w:kern w:val="0"/>
                      <w:sz w:val="21"/>
                      <w:szCs w:val="21"/>
                      <w:highlight w:val="none"/>
                      <w:lang w:val="en-US" w:eastAsia="zh-CN" w:bidi="ar"/>
                    </w:rPr>
                    <w:t>排气筒</w:t>
                  </w:r>
                  <w:r>
                    <w:rPr>
                      <w:rFonts w:hint="default" w:ascii="Times New Roman" w:hAnsi="Times New Roman" w:eastAsia="宋体" w:cs="Times New Roman"/>
                      <w:color w:val="auto"/>
                      <w:kern w:val="0"/>
                      <w:sz w:val="21"/>
                      <w:szCs w:val="21"/>
                      <w:highlight w:val="none"/>
                      <w:lang w:val="en-US" w:eastAsia="zh-CN" w:bidi="ar"/>
                    </w:rPr>
                    <w:t>DA00</w:t>
                  </w:r>
                  <w:r>
                    <w:rPr>
                      <w:rFonts w:hint="eastAsia" w:cs="Times New Roman"/>
                      <w:color w:val="auto"/>
                      <w:kern w:val="0"/>
                      <w:sz w:val="21"/>
                      <w:szCs w:val="21"/>
                      <w:highlight w:val="none"/>
                      <w:lang w:val="en-US" w:eastAsia="zh-CN" w:bidi="ar"/>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06"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3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24" w:type="pct"/>
                  <w:gridSpan w:val="2"/>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2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olor w:val="auto"/>
                      <w:sz w:val="21"/>
                      <w:szCs w:val="21"/>
                      <w:highlight w:val="none"/>
                      <w:lang w:val="en-US" w:eastAsia="zh-CN"/>
                    </w:rPr>
                  </w:pPr>
                  <w:r>
                    <w:rPr>
                      <w:rFonts w:hint="eastAsia"/>
                      <w:color w:val="auto"/>
                      <w:sz w:val="21"/>
                      <w:szCs w:val="21"/>
                      <w:highlight w:val="none"/>
                      <w:lang w:val="en-US" w:eastAsia="zh-CN"/>
                    </w:rPr>
                    <w:t>注塑废气</w:t>
                  </w:r>
                </w:p>
              </w:tc>
              <w:tc>
                <w:tcPr>
                  <w:tcW w:w="2508" w:type="pct"/>
                  <w:vAlign w:val="center"/>
                </w:tcPr>
                <w:p>
                  <w:pPr>
                    <w:keepNext w:val="0"/>
                    <w:keepLines w:val="0"/>
                    <w:widowControl/>
                    <w:suppressLineNumbers w:val="0"/>
                    <w:jc w:val="center"/>
                    <w:rPr>
                      <w:rFonts w:hint="eastAsia" w:ascii="宋体" w:hAnsi="宋体" w:eastAsia="宋体" w:cs="宋体"/>
                      <w:color w:val="auto"/>
                      <w:kern w:val="0"/>
                      <w:sz w:val="20"/>
                      <w:szCs w:val="20"/>
                      <w:highlight w:val="none"/>
                      <w:lang w:val="en-US" w:eastAsia="zh-CN" w:bidi="ar"/>
                    </w:rPr>
                  </w:pPr>
                  <w:r>
                    <w:rPr>
                      <w:rFonts w:hint="eastAsia" w:cs="Times New Roman"/>
                      <w:bCs/>
                      <w:color w:val="auto"/>
                      <w:kern w:val="2"/>
                      <w:sz w:val="21"/>
                      <w:szCs w:val="21"/>
                      <w:highlight w:val="none"/>
                      <w:lang w:val="en-US" w:eastAsia="zh-CN" w:bidi="ar-SA"/>
                    </w:rPr>
                    <w:t>二级</w:t>
                  </w:r>
                  <w:r>
                    <w:rPr>
                      <w:rFonts w:hint="default" w:ascii="Times New Roman" w:hAnsi="Times New Roman" w:eastAsia="宋体" w:cs="Times New Roman"/>
                      <w:bCs/>
                      <w:color w:val="auto"/>
                      <w:kern w:val="2"/>
                      <w:sz w:val="21"/>
                      <w:szCs w:val="21"/>
                      <w:highlight w:val="none"/>
                      <w:lang w:val="en-US" w:eastAsia="zh-CN" w:bidi="ar-SA"/>
                    </w:rPr>
                    <w:t>活性炭吸附装</w:t>
                  </w:r>
                  <w:r>
                    <w:rPr>
                      <w:rFonts w:hint="eastAsia" w:cs="Times New Roman"/>
                      <w:bCs/>
                      <w:color w:val="auto"/>
                      <w:kern w:val="2"/>
                      <w:sz w:val="21"/>
                      <w:szCs w:val="21"/>
                      <w:highlight w:val="none"/>
                      <w:lang w:val="en-US" w:eastAsia="zh-CN" w:bidi="ar-SA"/>
                    </w:rPr>
                    <w:t>置</w:t>
                  </w:r>
                  <w:r>
                    <w:rPr>
                      <w:rFonts w:hint="default" w:ascii="Times New Roman" w:hAnsi="Times New Roman" w:eastAsia="宋体" w:cs="Times New Roman"/>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排气筒</w:t>
                  </w:r>
                  <w:r>
                    <w:rPr>
                      <w:rFonts w:hint="default" w:ascii="Times New Roman" w:hAnsi="Times New Roman" w:eastAsia="宋体" w:cs="Times New Roman"/>
                      <w:color w:val="auto"/>
                      <w:kern w:val="0"/>
                      <w:sz w:val="21"/>
                      <w:szCs w:val="21"/>
                      <w:highlight w:val="none"/>
                      <w:lang w:val="en-US" w:eastAsia="zh-CN" w:bidi="ar"/>
                    </w:rPr>
                    <w:t>DA00</w:t>
                  </w:r>
                  <w:r>
                    <w:rPr>
                      <w:rFonts w:hint="eastAsia" w:cs="Times New Roman"/>
                      <w:color w:val="auto"/>
                      <w:kern w:val="0"/>
                      <w:sz w:val="21"/>
                      <w:szCs w:val="21"/>
                      <w:highlight w:val="none"/>
                      <w:lang w:val="en-US" w:eastAsia="zh-CN" w:bidi="ar"/>
                    </w:rPr>
                    <w:t>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06"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3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24" w:type="pct"/>
                  <w:gridSpan w:val="2"/>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2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olor w:val="auto"/>
                      <w:sz w:val="21"/>
                      <w:szCs w:val="21"/>
                      <w:highlight w:val="none"/>
                      <w:lang w:val="en-US" w:eastAsia="zh-CN"/>
                    </w:rPr>
                  </w:pPr>
                  <w:r>
                    <w:rPr>
                      <w:rFonts w:hint="eastAsia" w:ascii="Times New Roman" w:eastAsia="宋体" w:cs="Times New Roman"/>
                      <w:color w:val="auto"/>
                      <w:kern w:val="2"/>
                      <w:sz w:val="21"/>
                      <w:szCs w:val="21"/>
                      <w:highlight w:val="none"/>
                      <w:lang w:val="en-US" w:eastAsia="zh-CN" w:bidi="ar-SA"/>
                    </w:rPr>
                    <w:t>喷漆烘干、压合封边、</w:t>
                  </w:r>
                  <w:r>
                    <w:rPr>
                      <w:rFonts w:hint="default" w:ascii="Times New Roman" w:hAnsi="Times New Roman" w:eastAsia="宋体" w:cs="Times New Roman"/>
                      <w:color w:val="auto"/>
                      <w:kern w:val="0"/>
                      <w:sz w:val="21"/>
                      <w:szCs w:val="21"/>
                      <w:highlight w:val="none"/>
                      <w:lang w:val="en-US" w:eastAsia="zh-CN" w:bidi="ar"/>
                    </w:rPr>
                    <w:t>开料</w:t>
                  </w:r>
                  <w:r>
                    <w:rPr>
                      <w:rFonts w:hint="eastAsia" w:asci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磨光</w:t>
                  </w:r>
                  <w:r>
                    <w:rPr>
                      <w:rFonts w:hint="eastAsia" w:asci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机加工废气</w:t>
                  </w:r>
                </w:p>
              </w:tc>
              <w:tc>
                <w:tcPr>
                  <w:tcW w:w="2508" w:type="pct"/>
                  <w:vAlign w:val="center"/>
                </w:tcPr>
                <w:p>
                  <w:pPr>
                    <w:keepNext w:val="0"/>
                    <w:keepLines w:val="0"/>
                    <w:widowControl/>
                    <w:suppressLineNumbers w:val="0"/>
                    <w:jc w:val="center"/>
                    <w:rPr>
                      <w:rFonts w:hint="default" w:ascii="宋体" w:hAnsi="宋体" w:eastAsia="宋体" w:cs="宋体"/>
                      <w:color w:val="auto"/>
                      <w:kern w:val="0"/>
                      <w:sz w:val="20"/>
                      <w:szCs w:val="20"/>
                      <w:highlight w:val="none"/>
                      <w:lang w:val="en-US" w:eastAsia="zh-CN" w:bidi="ar"/>
                    </w:rPr>
                  </w:pPr>
                  <w:r>
                    <w:rPr>
                      <w:rFonts w:hint="eastAsia" w:cs="Times New Roman"/>
                      <w:color w:val="auto"/>
                      <w:kern w:val="0"/>
                      <w:sz w:val="21"/>
                      <w:szCs w:val="21"/>
                      <w:highlight w:val="none"/>
                      <w:lang w:val="en-US" w:eastAsia="zh-CN" w:bidi="ar"/>
                    </w:rPr>
                    <w:t>喷漆烘干废气经水帘除漆雾、</w:t>
                  </w:r>
                  <w:r>
                    <w:rPr>
                      <w:rFonts w:hint="eastAsia" w:cs="Times New Roman"/>
                      <w:bCs/>
                      <w:color w:val="auto"/>
                      <w:kern w:val="2"/>
                      <w:sz w:val="21"/>
                      <w:szCs w:val="21"/>
                      <w:highlight w:val="none"/>
                      <w:lang w:val="en-US" w:eastAsia="zh-CN" w:bidi="ar-SA"/>
                    </w:rPr>
                    <w:t>二级</w:t>
                  </w:r>
                  <w:r>
                    <w:rPr>
                      <w:rFonts w:hint="default" w:ascii="Times New Roman" w:hAnsi="Times New Roman" w:eastAsia="宋体" w:cs="Times New Roman"/>
                      <w:bCs/>
                      <w:color w:val="auto"/>
                      <w:kern w:val="2"/>
                      <w:sz w:val="21"/>
                      <w:szCs w:val="21"/>
                      <w:highlight w:val="none"/>
                      <w:lang w:val="en-US" w:eastAsia="zh-CN" w:bidi="ar-SA"/>
                    </w:rPr>
                    <w:t>活性炭吸附装</w:t>
                  </w:r>
                  <w:r>
                    <w:rPr>
                      <w:rFonts w:hint="eastAsia" w:cs="Times New Roman"/>
                      <w:bCs/>
                      <w:color w:val="auto"/>
                      <w:kern w:val="2"/>
                      <w:sz w:val="21"/>
                      <w:szCs w:val="21"/>
                      <w:highlight w:val="none"/>
                      <w:lang w:val="en-US" w:eastAsia="zh-CN" w:bidi="ar-SA"/>
                    </w:rPr>
                    <w:t>置</w:t>
                  </w:r>
                  <w:r>
                    <w:rPr>
                      <w:rFonts w:hint="eastAsia" w:cs="Times New Roman"/>
                      <w:color w:val="auto"/>
                      <w:kern w:val="0"/>
                      <w:sz w:val="21"/>
                      <w:szCs w:val="21"/>
                      <w:highlight w:val="none"/>
                      <w:lang w:val="en-US" w:eastAsia="zh-CN" w:bidi="ar"/>
                    </w:rPr>
                    <w:t>处理；压合、封边废气经</w:t>
                  </w:r>
                  <w:r>
                    <w:rPr>
                      <w:rFonts w:hint="eastAsia" w:cs="Times New Roman"/>
                      <w:bCs/>
                      <w:color w:val="auto"/>
                      <w:kern w:val="2"/>
                      <w:sz w:val="21"/>
                      <w:szCs w:val="21"/>
                      <w:highlight w:val="none"/>
                      <w:lang w:val="en-US" w:eastAsia="zh-CN" w:bidi="ar-SA"/>
                    </w:rPr>
                    <w:t>二级</w:t>
                  </w:r>
                  <w:r>
                    <w:rPr>
                      <w:rFonts w:hint="default" w:ascii="Times New Roman" w:hAnsi="Times New Roman" w:eastAsia="宋体" w:cs="Times New Roman"/>
                      <w:bCs/>
                      <w:color w:val="auto"/>
                      <w:kern w:val="2"/>
                      <w:sz w:val="21"/>
                      <w:szCs w:val="21"/>
                      <w:highlight w:val="none"/>
                      <w:lang w:val="en-US" w:eastAsia="zh-CN" w:bidi="ar-SA"/>
                    </w:rPr>
                    <w:t>活性炭吸附装</w:t>
                  </w:r>
                  <w:r>
                    <w:rPr>
                      <w:rFonts w:hint="eastAsia" w:cs="Times New Roman"/>
                      <w:bCs/>
                      <w:color w:val="auto"/>
                      <w:kern w:val="2"/>
                      <w:sz w:val="21"/>
                      <w:szCs w:val="21"/>
                      <w:highlight w:val="none"/>
                      <w:lang w:val="en-US" w:eastAsia="zh-CN" w:bidi="ar-SA"/>
                    </w:rPr>
                    <w:t>置</w:t>
                  </w:r>
                  <w:r>
                    <w:rPr>
                      <w:rFonts w:hint="eastAsia" w:cs="Times New Roman"/>
                      <w:color w:val="auto"/>
                      <w:kern w:val="0"/>
                      <w:sz w:val="21"/>
                      <w:szCs w:val="21"/>
                      <w:highlight w:val="none"/>
                      <w:lang w:val="en-US" w:eastAsia="zh-CN" w:bidi="ar"/>
                    </w:rPr>
                    <w:t>处理；</w:t>
                  </w:r>
                  <w:r>
                    <w:rPr>
                      <w:rFonts w:hint="default" w:ascii="Times New Roman" w:hAnsi="Times New Roman" w:eastAsia="宋体" w:cs="Times New Roman"/>
                      <w:color w:val="auto"/>
                      <w:kern w:val="0"/>
                      <w:sz w:val="21"/>
                      <w:szCs w:val="21"/>
                      <w:highlight w:val="none"/>
                      <w:lang w:val="en-US" w:eastAsia="zh-CN" w:bidi="ar"/>
                    </w:rPr>
                    <w:t>开料</w:t>
                  </w:r>
                  <w:r>
                    <w:rPr>
                      <w:rFonts w:hint="eastAsia" w:asci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磨光</w:t>
                  </w:r>
                  <w:r>
                    <w:rPr>
                      <w:rFonts w:hint="eastAsia" w:asci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机加工废气</w:t>
                  </w:r>
                  <w:r>
                    <w:rPr>
                      <w:rFonts w:hint="eastAsia" w:cs="Times New Roman"/>
                      <w:color w:val="auto"/>
                      <w:kern w:val="0"/>
                      <w:sz w:val="21"/>
                      <w:szCs w:val="21"/>
                      <w:highlight w:val="none"/>
                      <w:lang w:val="en-US" w:eastAsia="zh-CN" w:bidi="ar"/>
                    </w:rPr>
                    <w:t>经布袋除尘器处理，各废气经处理后</w:t>
                  </w:r>
                  <w:r>
                    <w:rPr>
                      <w:rFonts w:hint="eastAsia" w:ascii="宋体" w:hAnsi="宋体" w:cs="宋体"/>
                      <w:color w:val="auto"/>
                      <w:kern w:val="0"/>
                      <w:sz w:val="21"/>
                      <w:szCs w:val="21"/>
                      <w:highlight w:val="none"/>
                      <w:lang w:val="en-US" w:eastAsia="zh-CN" w:bidi="ar"/>
                    </w:rPr>
                    <w:t>汇入</w:t>
                  </w:r>
                  <w:r>
                    <w:rPr>
                      <w:rFonts w:hint="eastAsia" w:ascii="宋体" w:hAnsi="宋体" w:eastAsia="宋体" w:cs="宋体"/>
                      <w:color w:val="auto"/>
                      <w:kern w:val="0"/>
                      <w:sz w:val="21"/>
                      <w:szCs w:val="21"/>
                      <w:highlight w:val="none"/>
                      <w:lang w:val="en-US" w:eastAsia="zh-CN" w:bidi="ar"/>
                    </w:rPr>
                    <w:t>排气筒</w:t>
                  </w:r>
                  <w:r>
                    <w:rPr>
                      <w:rFonts w:hint="default" w:ascii="Times New Roman" w:hAnsi="Times New Roman" w:eastAsia="宋体" w:cs="Times New Roman"/>
                      <w:color w:val="auto"/>
                      <w:kern w:val="0"/>
                      <w:sz w:val="21"/>
                      <w:szCs w:val="21"/>
                      <w:highlight w:val="none"/>
                      <w:lang w:val="en-US" w:eastAsia="zh-CN" w:bidi="ar"/>
                    </w:rPr>
                    <w:t>DA00</w:t>
                  </w:r>
                  <w:r>
                    <w:rPr>
                      <w:rFonts w:hint="eastAsia" w:cs="Times New Roman"/>
                      <w:color w:val="auto"/>
                      <w:kern w:val="0"/>
                      <w:sz w:val="21"/>
                      <w:szCs w:val="21"/>
                      <w:highlight w:val="none"/>
                      <w:lang w:val="en-US" w:eastAsia="zh-CN" w:bidi="ar"/>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306"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3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24" w:type="pct"/>
                  <w:gridSpan w:val="2"/>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2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宋体"/>
                      <w:color w:val="auto"/>
                      <w:szCs w:val="21"/>
                      <w:highlight w:val="none"/>
                      <w:lang w:val="en-US" w:eastAsia="zh-CN"/>
                    </w:rPr>
                  </w:pPr>
                  <w:r>
                    <w:rPr>
                      <w:rFonts w:hint="eastAsia"/>
                      <w:color w:val="auto"/>
                      <w:szCs w:val="21"/>
                      <w:highlight w:val="none"/>
                      <w:lang w:val="en-US" w:eastAsia="zh-CN"/>
                    </w:rPr>
                    <w:t>食堂废气</w:t>
                  </w:r>
                </w:p>
              </w:tc>
              <w:tc>
                <w:tcPr>
                  <w:tcW w:w="2508" w:type="pct"/>
                  <w:vAlign w:val="center"/>
                </w:tcPr>
                <w:p>
                  <w:pPr>
                    <w:keepNext w:val="0"/>
                    <w:keepLines w:val="0"/>
                    <w:widowControl/>
                    <w:suppressLineNumbers w:val="0"/>
                    <w:jc w:val="center"/>
                    <w:rPr>
                      <w:color w:val="auto"/>
                      <w:szCs w:val="21"/>
                      <w:highlight w:val="none"/>
                    </w:rPr>
                  </w:pPr>
                  <w:r>
                    <w:rPr>
                      <w:rFonts w:hint="eastAsia" w:ascii="宋体" w:hAnsi="宋体" w:eastAsia="宋体" w:cs="宋体"/>
                      <w:color w:val="auto"/>
                      <w:kern w:val="0"/>
                      <w:sz w:val="20"/>
                      <w:szCs w:val="20"/>
                      <w:highlight w:val="none"/>
                      <w:lang w:val="en-US" w:eastAsia="zh-CN" w:bidi="ar"/>
                    </w:rPr>
                    <w:t>油烟净化器</w:t>
                  </w:r>
                  <w:r>
                    <w:rPr>
                      <w:rFonts w:hint="default" w:ascii="Times New Roman" w:hAnsi="Times New Roman" w:eastAsia="宋体" w:cs="Times New Roman"/>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排气筒</w:t>
                  </w:r>
                  <w:r>
                    <w:rPr>
                      <w:rFonts w:hint="default" w:ascii="Times New Roman" w:hAnsi="Times New Roman" w:eastAsia="宋体" w:cs="Times New Roman"/>
                      <w:color w:val="auto"/>
                      <w:kern w:val="0"/>
                      <w:sz w:val="21"/>
                      <w:szCs w:val="21"/>
                      <w:highlight w:val="none"/>
                      <w:lang w:val="en-US" w:eastAsia="zh-CN" w:bidi="ar"/>
                    </w:rPr>
                    <w:t>DA00</w:t>
                  </w:r>
                  <w:r>
                    <w:rPr>
                      <w:rFonts w:hint="eastAsia" w:cs="Times New Roman"/>
                      <w:color w:val="auto"/>
                      <w:kern w:val="0"/>
                      <w:sz w:val="21"/>
                      <w:szCs w:val="21"/>
                      <w:highlight w:val="none"/>
                      <w:lang w:val="en-US" w:eastAsia="zh-CN" w:bidi="ar"/>
                    </w:rPr>
                    <w:t>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306"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3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24"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r>
                    <w:rPr>
                      <w:color w:val="auto"/>
                      <w:szCs w:val="21"/>
                      <w:highlight w:val="none"/>
                    </w:rPr>
                    <w:t>噪声</w:t>
                  </w:r>
                </w:p>
              </w:tc>
              <w:tc>
                <w:tcPr>
                  <w:tcW w:w="3236"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r>
                    <w:rPr>
                      <w:color w:val="auto"/>
                      <w:szCs w:val="21"/>
                      <w:highlight w:val="none"/>
                    </w:rPr>
                    <w:t>设备基础减震、厂房隔声等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306"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3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288"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宋体"/>
                      <w:color w:val="auto"/>
                      <w:szCs w:val="21"/>
                      <w:highlight w:val="none"/>
                      <w:lang w:val="en-US" w:eastAsia="zh-CN"/>
                    </w:rPr>
                  </w:pPr>
                  <w:r>
                    <w:rPr>
                      <w:rFonts w:hint="eastAsia"/>
                      <w:color w:val="auto"/>
                      <w:szCs w:val="21"/>
                      <w:highlight w:val="none"/>
                      <w:lang w:val="en-US" w:eastAsia="zh-CN"/>
                    </w:rPr>
                    <w:t>固废</w:t>
                  </w:r>
                </w:p>
              </w:tc>
              <w:tc>
                <w:tcPr>
                  <w:tcW w:w="43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color w:val="auto"/>
                      <w:szCs w:val="21"/>
                      <w:highlight w:val="none"/>
                    </w:rPr>
                  </w:pPr>
                  <w:r>
                    <w:rPr>
                      <w:rFonts w:hint="eastAsia"/>
                      <w:color w:val="auto"/>
                      <w:szCs w:val="21"/>
                      <w:highlight w:val="none"/>
                    </w:rPr>
                    <w:t>一般</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宋体"/>
                      <w:color w:val="auto"/>
                      <w:szCs w:val="21"/>
                      <w:highlight w:val="none"/>
                      <w:lang w:val="en-US" w:eastAsia="zh-CN"/>
                    </w:rPr>
                  </w:pPr>
                  <w:r>
                    <w:rPr>
                      <w:rFonts w:hint="eastAsia"/>
                      <w:color w:val="auto"/>
                      <w:szCs w:val="21"/>
                      <w:highlight w:val="none"/>
                      <w:lang w:val="en-US" w:eastAsia="zh-CN"/>
                    </w:rPr>
                    <w:t>固废</w:t>
                  </w:r>
                </w:p>
              </w:tc>
              <w:tc>
                <w:tcPr>
                  <w:tcW w:w="3236"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color w:val="auto"/>
                      <w:szCs w:val="21"/>
                      <w:highlight w:val="none"/>
                      <w:lang w:val="en-US"/>
                    </w:rPr>
                  </w:pPr>
                  <w:r>
                    <w:rPr>
                      <w:rFonts w:hint="eastAsia"/>
                      <w:color w:val="auto"/>
                      <w:szCs w:val="21"/>
                      <w:highlight w:val="none"/>
                      <w:lang w:val="en-US" w:eastAsia="zh-CN"/>
                    </w:rPr>
                    <w:t xml:space="preserve">一般固废暂存区位于厂房内部，面积约 </w:t>
                  </w:r>
                  <w:r>
                    <w:rPr>
                      <w:rFonts w:hint="default"/>
                      <w:color w:val="auto"/>
                      <w:szCs w:val="21"/>
                      <w:highlight w:val="none"/>
                      <w:lang w:val="en-US" w:eastAsia="zh-CN"/>
                    </w:rPr>
                    <w:t>80</w:t>
                  </w:r>
                  <w:r>
                    <w:rPr>
                      <w:rFonts w:hint="eastAsia"/>
                      <w:color w:val="auto"/>
                      <w:szCs w:val="21"/>
                      <w:highlight w:val="none"/>
                      <w:lang w:val="en-US" w:eastAsia="zh-CN"/>
                    </w:rPr>
                    <w:t>m</w:t>
                  </w:r>
                  <w:r>
                    <w:rPr>
                      <w:rFonts w:hint="eastAsia"/>
                      <w:color w:val="auto"/>
                      <w:szCs w:val="21"/>
                      <w:highlight w:val="none"/>
                      <w:vertAlign w:val="superscript"/>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306"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3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288"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43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color w:val="auto"/>
                      <w:szCs w:val="21"/>
                      <w:highlight w:val="none"/>
                    </w:rPr>
                  </w:pPr>
                  <w:r>
                    <w:rPr>
                      <w:rFonts w:hint="eastAsia"/>
                      <w:color w:val="auto"/>
                      <w:szCs w:val="21"/>
                      <w:highlight w:val="none"/>
                    </w:rPr>
                    <w:t>危险</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r>
                    <w:rPr>
                      <w:rFonts w:hint="eastAsia"/>
                      <w:color w:val="auto"/>
                      <w:szCs w:val="21"/>
                      <w:highlight w:val="none"/>
                    </w:rPr>
                    <w:t>废物</w:t>
                  </w:r>
                </w:p>
              </w:tc>
              <w:tc>
                <w:tcPr>
                  <w:tcW w:w="3236" w:type="pct"/>
                  <w:gridSpan w:val="2"/>
                  <w:vAlign w:val="center"/>
                </w:tcPr>
                <w:p>
                  <w:pPr>
                    <w:keepNext w:val="0"/>
                    <w:keepLines w:val="0"/>
                    <w:widowControl/>
                    <w:suppressLineNumbers w:val="0"/>
                    <w:jc w:val="center"/>
                    <w:rPr>
                      <w:color w:val="auto"/>
                      <w:sz w:val="21"/>
                      <w:szCs w:val="21"/>
                      <w:highlight w:val="none"/>
                    </w:rPr>
                  </w:pPr>
                  <w:r>
                    <w:rPr>
                      <w:rFonts w:hint="eastAsia" w:ascii="宋体" w:hAnsi="宋体" w:eastAsia="宋体" w:cs="宋体"/>
                      <w:color w:val="auto"/>
                      <w:kern w:val="0"/>
                      <w:sz w:val="21"/>
                      <w:szCs w:val="21"/>
                      <w:highlight w:val="none"/>
                      <w:lang w:val="en-US" w:eastAsia="zh-CN" w:bidi="ar"/>
                    </w:rPr>
                    <w:t>危废暂存间位于厂房内部，</w:t>
                  </w:r>
                  <w:r>
                    <w:rPr>
                      <w:color w:val="auto"/>
                      <w:sz w:val="21"/>
                      <w:szCs w:val="21"/>
                      <w:highlight w:val="none"/>
                    </w:rPr>
                    <w:t>参照</w:t>
                  </w:r>
                  <w:r>
                    <w:rPr>
                      <w:rFonts w:hint="default" w:ascii="Times New Roman" w:hAnsi="Times New Roman" w:eastAsia="宋体" w:cs="Times New Roman"/>
                      <w:color w:val="auto"/>
                      <w:sz w:val="21"/>
                      <w:szCs w:val="21"/>
                      <w:highlight w:val="none"/>
                    </w:rPr>
                    <w:t>《危险废物贮存污染控制标准》(GB18597-2023)</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公告2023年 第6号</w:t>
                  </w:r>
                  <w:r>
                    <w:rPr>
                      <w:rFonts w:hint="eastAsia" w:ascii="Times New Roman" w:hAnsi="Times New Roman" w:eastAsia="宋体" w:cs="Times New Roman"/>
                      <w:color w:val="auto"/>
                      <w:sz w:val="21"/>
                      <w:szCs w:val="21"/>
                      <w:highlight w:val="none"/>
                      <w:lang w:eastAsia="zh-CN"/>
                    </w:rPr>
                    <w:t>）</w:t>
                  </w:r>
                  <w:r>
                    <w:rPr>
                      <w:color w:val="auto"/>
                      <w:sz w:val="21"/>
                      <w:szCs w:val="21"/>
                      <w:highlight w:val="none"/>
                    </w:rPr>
                    <w:t>中相关要求</w:t>
                  </w:r>
                  <w:r>
                    <w:rPr>
                      <w:rFonts w:hint="eastAsia"/>
                      <w:color w:val="auto"/>
                      <w:sz w:val="21"/>
                      <w:szCs w:val="21"/>
                      <w:highlight w:val="none"/>
                    </w:rPr>
                    <w:t>规范化</w:t>
                  </w:r>
                  <w:r>
                    <w:rPr>
                      <w:color w:val="auto"/>
                      <w:sz w:val="21"/>
                      <w:szCs w:val="21"/>
                      <w:highlight w:val="none"/>
                    </w:rPr>
                    <w:t>设置危废暂存间</w:t>
                  </w:r>
                </w:p>
              </w:tc>
            </w:tr>
          </w:tbl>
          <w:p>
            <w:pPr>
              <w:spacing w:before="120" w:beforeLines="50" w:line="360" w:lineRule="auto"/>
              <w:rPr>
                <w:rFonts w:hint="default" w:ascii="Times New Roman" w:hAnsi="Times New Roman" w:eastAsia="宋体" w:cs="Times New Roman"/>
                <w:b/>
                <w:color w:val="auto"/>
                <w:sz w:val="24"/>
                <w:szCs w:val="24"/>
                <w:highlight w:val="none"/>
                <w:lang w:eastAsia="zh-CN"/>
              </w:rPr>
            </w:pPr>
            <w:r>
              <w:rPr>
                <w:rFonts w:hint="eastAsia" w:cs="Times New Roman"/>
                <w:b/>
                <w:color w:val="auto"/>
                <w:sz w:val="24"/>
                <w:szCs w:val="24"/>
                <w:highlight w:val="none"/>
                <w:lang w:val="en-US" w:eastAsia="zh-CN"/>
              </w:rPr>
              <w:t>2.3</w:t>
            </w:r>
            <w:r>
              <w:rPr>
                <w:rFonts w:hint="eastAsia" w:ascii="Times New Roman" w:hAnsi="Times New Roman" w:eastAsia="宋体" w:cs="Times New Roman"/>
                <w:b/>
                <w:color w:val="auto"/>
                <w:sz w:val="24"/>
                <w:szCs w:val="24"/>
                <w:highlight w:val="none"/>
                <w:lang w:val="en-US" w:eastAsia="zh-CN"/>
              </w:rPr>
              <w:t>、</w:t>
            </w:r>
            <w:r>
              <w:rPr>
                <w:rFonts w:hint="default" w:ascii="Times New Roman" w:hAnsi="Times New Roman" w:eastAsia="宋体" w:cs="Times New Roman"/>
                <w:b/>
                <w:color w:val="auto"/>
                <w:sz w:val="24"/>
                <w:szCs w:val="24"/>
                <w:highlight w:val="none"/>
                <w:lang w:val="en-US" w:eastAsia="zh-CN"/>
              </w:rPr>
              <w:t>项目</w:t>
            </w:r>
            <w:r>
              <w:rPr>
                <w:rFonts w:hint="default" w:ascii="Times New Roman" w:hAnsi="Times New Roman" w:eastAsia="宋体" w:cs="Times New Roman"/>
                <w:b/>
                <w:color w:val="auto"/>
                <w:sz w:val="24"/>
                <w:szCs w:val="24"/>
                <w:highlight w:val="none"/>
                <w:lang w:eastAsia="zh-CN"/>
              </w:rPr>
              <w:t>产品方案</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本项目依据产品市场定位，目标市场调查、分析有关资料，项目产品方案，项目主要产品方案见下表</w:t>
            </w:r>
            <w:r>
              <w:rPr>
                <w:rFonts w:hint="eastAsia" w:ascii="Times New Roman" w:hAnsi="Times New Roman" w:eastAsia="宋体" w:cs="Times New Roman"/>
                <w:color w:val="auto"/>
                <w:kern w:val="0"/>
                <w:sz w:val="24"/>
                <w:szCs w:val="24"/>
                <w:highlight w:val="none"/>
                <w:lang w:val="en-US" w:eastAsia="zh-CN" w:bidi="ar"/>
              </w:rPr>
              <w:t>2</w:t>
            </w:r>
            <w:r>
              <w:rPr>
                <w:rFonts w:hint="eastAsia" w:cs="Times New Roman"/>
                <w:color w:val="auto"/>
                <w:kern w:val="0"/>
                <w:sz w:val="24"/>
                <w:szCs w:val="24"/>
                <w:highlight w:val="none"/>
                <w:lang w:val="en-US" w:eastAsia="zh-CN" w:bidi="ar"/>
              </w:rPr>
              <w:t>.3</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1</w:t>
            </w:r>
            <w:r>
              <w:rPr>
                <w:rFonts w:hint="default" w:ascii="Times New Roman" w:hAnsi="Times New Roman" w:eastAsia="宋体" w:cs="Times New Roman"/>
                <w:color w:val="auto"/>
                <w:kern w:val="0"/>
                <w:sz w:val="24"/>
                <w:szCs w:val="24"/>
                <w:highlight w:val="none"/>
                <w:lang w:val="en-US" w:eastAsia="zh-CN" w:bidi="ar"/>
              </w:rPr>
              <w:t>。</w:t>
            </w:r>
          </w:p>
          <w:p>
            <w:pPr>
              <w:spacing w:before="120" w:beforeLines="50" w:line="360" w:lineRule="auto"/>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w:t>
            </w:r>
            <w:r>
              <w:rPr>
                <w:rFonts w:hint="eastAsia" w:ascii="Times New Roman" w:hAnsi="Times New Roman" w:eastAsia="宋体" w:cs="Times New Roman"/>
                <w:b/>
                <w:bCs/>
                <w:color w:val="auto"/>
                <w:sz w:val="24"/>
                <w:highlight w:val="none"/>
                <w:lang w:val="en-US" w:eastAsia="zh-CN"/>
              </w:rPr>
              <w:t>2</w:t>
            </w:r>
            <w:r>
              <w:rPr>
                <w:rFonts w:hint="eastAsia" w:cs="Times New Roman"/>
                <w:b/>
                <w:bCs/>
                <w:color w:val="auto"/>
                <w:sz w:val="24"/>
                <w:highlight w:val="none"/>
                <w:lang w:val="en-US" w:eastAsia="zh-CN"/>
              </w:rPr>
              <w:t>.3</w:t>
            </w:r>
            <w:r>
              <w:rPr>
                <w:rFonts w:hint="eastAsia" w:ascii="Times New Roman" w:hAnsi="Times New Roman" w:eastAsia="宋体" w:cs="Times New Roman"/>
                <w:b/>
                <w:bCs/>
                <w:color w:val="auto"/>
                <w:sz w:val="24"/>
                <w:highlight w:val="none"/>
                <w:lang w:val="en-US" w:eastAsia="zh-CN"/>
              </w:rPr>
              <w:t>-</w:t>
            </w:r>
            <w:r>
              <w:rPr>
                <w:rFonts w:hint="eastAsia"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rPr>
              <w:t xml:space="preserve"> 主要产品</w:t>
            </w:r>
            <w:r>
              <w:rPr>
                <w:rFonts w:hint="default" w:ascii="Times New Roman" w:hAnsi="Times New Roman" w:eastAsia="宋体" w:cs="Times New Roman"/>
                <w:b/>
                <w:bCs/>
                <w:color w:val="auto"/>
                <w:sz w:val="24"/>
                <w:highlight w:val="none"/>
                <w:lang w:eastAsia="zh-CN"/>
              </w:rPr>
              <w:t>方案</w:t>
            </w:r>
            <w:r>
              <w:rPr>
                <w:rFonts w:hint="default" w:ascii="Times New Roman" w:hAnsi="Times New Roman" w:eastAsia="宋体" w:cs="Times New Roman"/>
                <w:b/>
                <w:bCs/>
                <w:color w:val="auto"/>
                <w:sz w:val="24"/>
                <w:highlight w:val="none"/>
              </w:rPr>
              <w:t>一览表</w:t>
            </w:r>
          </w:p>
          <w:tbl>
            <w:tblPr>
              <w:tblStyle w:val="28"/>
              <w:tblW w:w="777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93"/>
              <w:gridCol w:w="1327"/>
              <w:gridCol w:w="1173"/>
              <w:gridCol w:w="1964"/>
              <w:gridCol w:w="26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5" w:hRule="atLeast"/>
                <w:tblHeader/>
              </w:trPr>
              <w:tc>
                <w:tcPr>
                  <w:tcW w:w="693"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327"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产品名称</w:t>
                  </w:r>
                </w:p>
              </w:tc>
              <w:tc>
                <w:tcPr>
                  <w:tcW w:w="3137" w:type="dxa"/>
                  <w:gridSpan w:val="2"/>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设计能力</w:t>
                  </w:r>
                </w:p>
              </w:tc>
              <w:tc>
                <w:tcPr>
                  <w:tcW w:w="2621"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材质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8" w:hRule="atLeast"/>
                <w:tblHeader/>
              </w:trPr>
              <w:tc>
                <w:tcPr>
                  <w:tcW w:w="693"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p>
              </w:tc>
              <w:tc>
                <w:tcPr>
                  <w:tcW w:w="1327" w:type="dxa"/>
                  <w:vMerge w:val="restart"/>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73" w:type="dxa"/>
                  <w:vMerge w:val="restart"/>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964"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2621"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8" w:hRule="atLeast"/>
                <w:tblHeader/>
              </w:trPr>
              <w:tc>
                <w:tcPr>
                  <w:tcW w:w="693"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w:t>
                  </w:r>
                </w:p>
              </w:tc>
              <w:tc>
                <w:tcPr>
                  <w:tcW w:w="1327" w:type="dxa"/>
                  <w:vMerge w:val="continue"/>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eastAsia="zh-CN"/>
                    </w:rPr>
                  </w:pPr>
                </w:p>
              </w:tc>
              <w:tc>
                <w:tcPr>
                  <w:tcW w:w="1173" w:type="dxa"/>
                  <w:vMerge w:val="continue"/>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p>
              </w:tc>
              <w:tc>
                <w:tcPr>
                  <w:tcW w:w="1964"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2621" w:type="dxa"/>
                  <w:vMerge w:val="restart"/>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8" w:hRule="atLeast"/>
                <w:tblHeader/>
              </w:trPr>
              <w:tc>
                <w:tcPr>
                  <w:tcW w:w="693"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w:t>
                  </w:r>
                </w:p>
              </w:tc>
              <w:tc>
                <w:tcPr>
                  <w:tcW w:w="1327" w:type="dxa"/>
                  <w:vMerge w:val="continue"/>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eastAsia="zh-CN"/>
                    </w:rPr>
                  </w:pPr>
                </w:p>
              </w:tc>
              <w:tc>
                <w:tcPr>
                  <w:tcW w:w="1173" w:type="dxa"/>
                  <w:vMerge w:val="continue"/>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p>
              </w:tc>
              <w:tc>
                <w:tcPr>
                  <w:tcW w:w="1964"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2621" w:type="dxa"/>
                  <w:vMerge w:val="continue"/>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8" w:hRule="atLeast"/>
                <w:tblHeader/>
              </w:trPr>
              <w:tc>
                <w:tcPr>
                  <w:tcW w:w="693"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w:t>
                  </w:r>
                </w:p>
              </w:tc>
              <w:tc>
                <w:tcPr>
                  <w:tcW w:w="1327" w:type="dxa"/>
                  <w:vMerge w:val="continue"/>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eastAsia="zh-CN"/>
                    </w:rPr>
                  </w:pPr>
                </w:p>
              </w:tc>
              <w:tc>
                <w:tcPr>
                  <w:tcW w:w="1173" w:type="dxa"/>
                  <w:vMerge w:val="continue"/>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p>
              </w:tc>
              <w:tc>
                <w:tcPr>
                  <w:tcW w:w="1964"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2621" w:type="dxa"/>
                  <w:vMerge w:val="continue"/>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8" w:hRule="atLeast"/>
                <w:tblHeader/>
              </w:trPr>
              <w:tc>
                <w:tcPr>
                  <w:tcW w:w="693"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w:t>
                  </w:r>
                </w:p>
              </w:tc>
              <w:tc>
                <w:tcPr>
                  <w:tcW w:w="1327" w:type="dxa"/>
                  <w:vMerge w:val="continue"/>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eastAsia="zh-CN"/>
                    </w:rPr>
                  </w:pPr>
                </w:p>
              </w:tc>
              <w:tc>
                <w:tcPr>
                  <w:tcW w:w="1173" w:type="dxa"/>
                  <w:vMerge w:val="continue"/>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p>
              </w:tc>
              <w:tc>
                <w:tcPr>
                  <w:tcW w:w="1964"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2621" w:type="dxa"/>
                  <w:vMerge w:val="continue"/>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8" w:hRule="atLeast"/>
                <w:tblHeader/>
              </w:trPr>
              <w:tc>
                <w:tcPr>
                  <w:tcW w:w="693"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w:t>
                  </w:r>
                </w:p>
              </w:tc>
              <w:tc>
                <w:tcPr>
                  <w:tcW w:w="1327" w:type="dxa"/>
                  <w:vMerge w:val="continue"/>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eastAsia="zh-CN"/>
                    </w:rPr>
                  </w:pPr>
                </w:p>
              </w:tc>
              <w:tc>
                <w:tcPr>
                  <w:tcW w:w="1173" w:type="dxa"/>
                  <w:vMerge w:val="continue"/>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p>
              </w:tc>
              <w:tc>
                <w:tcPr>
                  <w:tcW w:w="1964"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2621" w:type="dxa"/>
                  <w:vMerge w:val="continue"/>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8" w:hRule="atLeast"/>
                <w:tblHeader/>
              </w:trPr>
              <w:tc>
                <w:tcPr>
                  <w:tcW w:w="693"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w:t>
                  </w:r>
                </w:p>
              </w:tc>
              <w:tc>
                <w:tcPr>
                  <w:tcW w:w="1327"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eastAsia="zh-CN"/>
                    </w:rPr>
                  </w:pPr>
                </w:p>
              </w:tc>
              <w:tc>
                <w:tcPr>
                  <w:tcW w:w="117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p>
              </w:tc>
              <w:tc>
                <w:tcPr>
                  <w:tcW w:w="1964"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2621"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5" w:hRule="atLeast"/>
                <w:tblHeader/>
              </w:trPr>
              <w:tc>
                <w:tcPr>
                  <w:tcW w:w="693"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8</w:t>
                  </w:r>
                </w:p>
              </w:tc>
              <w:tc>
                <w:tcPr>
                  <w:tcW w:w="1327" w:type="dxa"/>
                  <w:noWrap/>
                  <w:tcMar>
                    <w:top w:w="15" w:type="dxa"/>
                    <w:left w:w="15" w:type="dxa"/>
                    <w:right w:w="15" w:type="dxa"/>
                  </w:tcMar>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eastAsia="zh-CN"/>
                    </w:rPr>
                  </w:pPr>
                </w:p>
              </w:tc>
              <w:tc>
                <w:tcPr>
                  <w:tcW w:w="3137" w:type="dxa"/>
                  <w:gridSpan w:val="2"/>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2621"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9" w:hRule="atLeast"/>
                <w:tblHeader/>
              </w:trPr>
              <w:tc>
                <w:tcPr>
                  <w:tcW w:w="693"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9</w:t>
                  </w:r>
                </w:p>
              </w:tc>
              <w:tc>
                <w:tcPr>
                  <w:tcW w:w="1327" w:type="dxa"/>
                  <w:noWrap/>
                  <w:tcMar>
                    <w:top w:w="15" w:type="dxa"/>
                    <w:left w:w="15" w:type="dxa"/>
                    <w:right w:w="15" w:type="dxa"/>
                  </w:tcMar>
                  <w:vAlign w:val="center"/>
                </w:tcPr>
                <w:p>
                  <w:pPr>
                    <w:keepNext w:val="0"/>
                    <w:keepLines w:val="0"/>
                    <w:widowControl/>
                    <w:suppressLineNumbers w:val="0"/>
                    <w:jc w:val="center"/>
                    <w:rPr>
                      <w:rFonts w:hint="default" w:ascii="Times New Roman" w:hAnsi="Times New Roman" w:eastAsia="宋体" w:cs="Times New Roman"/>
                      <w:b w:val="0"/>
                      <w:bCs w:val="0"/>
                      <w:color w:val="auto"/>
                      <w:kern w:val="0"/>
                      <w:sz w:val="21"/>
                      <w:szCs w:val="21"/>
                      <w:highlight w:val="none"/>
                      <w:lang w:val="en-US" w:eastAsia="zh-CN" w:bidi="ar"/>
                    </w:rPr>
                  </w:pPr>
                </w:p>
              </w:tc>
              <w:tc>
                <w:tcPr>
                  <w:tcW w:w="3137" w:type="dxa"/>
                  <w:gridSpan w:val="2"/>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2621"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p>
              </w:tc>
            </w:tr>
          </w:tbl>
          <w:p>
            <w:pPr>
              <w:numPr>
                <w:ilvl w:val="0"/>
                <w:numId w:val="0"/>
              </w:numPr>
              <w:spacing w:before="120" w:beforeLines="50" w:line="360" w:lineRule="auto"/>
              <w:rPr>
                <w:rFonts w:hint="default" w:ascii="Times New Roman" w:hAnsi="Times New Roman" w:eastAsia="宋体" w:cs="Times New Roman"/>
                <w:b/>
                <w:color w:val="auto"/>
                <w:sz w:val="24"/>
                <w:szCs w:val="24"/>
                <w:highlight w:val="none"/>
                <w:lang w:eastAsia="zh-CN"/>
              </w:rPr>
            </w:pPr>
            <w:r>
              <w:rPr>
                <w:rFonts w:hint="eastAsia" w:cs="Times New Roman"/>
                <w:b/>
                <w:color w:val="auto"/>
                <w:sz w:val="24"/>
                <w:szCs w:val="24"/>
                <w:highlight w:val="none"/>
                <w:lang w:val="en-US" w:eastAsia="zh-CN"/>
              </w:rPr>
              <w:t>2.4</w:t>
            </w:r>
            <w:r>
              <w:rPr>
                <w:rFonts w:hint="default" w:ascii="Times New Roman" w:hAnsi="Times New Roman" w:eastAsia="宋体" w:cs="Times New Roman"/>
                <w:b/>
                <w:color w:val="auto"/>
                <w:sz w:val="24"/>
                <w:szCs w:val="24"/>
                <w:highlight w:val="none"/>
                <w:lang w:eastAsia="zh-CN"/>
              </w:rPr>
              <w:t>主要原辅材料年用量</w:t>
            </w:r>
          </w:p>
          <w:p>
            <w:pPr>
              <w:pStyle w:val="34"/>
              <w:keepNext w:val="0"/>
              <w:keepLines w:val="0"/>
              <w:pageBreakBefore w:val="0"/>
              <w:widowControl w:val="0"/>
              <w:numPr>
                <w:ilvl w:val="0"/>
                <w:numId w:val="0"/>
              </w:numPr>
              <w:kinsoku/>
              <w:wordWrap/>
              <w:overflowPunct/>
              <w:topLinePunct w:val="0"/>
              <w:autoSpaceDE/>
              <w:autoSpaceDN/>
              <w:bidi w:val="0"/>
              <w:adjustRightInd/>
              <w:snapToGrid/>
              <w:spacing w:after="0"/>
              <w:ind w:firstLine="480" w:firstLineChars="200"/>
              <w:textAlignment w:val="auto"/>
              <w:rPr>
                <w:rFonts w:hint="eastAsia" w:ascii="Times New Roman" w:hAnsi="Times New Roman"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w:t>
            </w:r>
            <w:r>
              <w:rPr>
                <w:rFonts w:hint="eastAsia" w:ascii="Times New Roman" w:hAnsi="Times New Roman" w:cs="Times New Roman"/>
                <w:color w:val="auto"/>
                <w:kern w:val="0"/>
                <w:sz w:val="24"/>
                <w:szCs w:val="24"/>
                <w:highlight w:val="none"/>
                <w:lang w:val="en-US" w:eastAsia="zh-CN" w:bidi="ar"/>
              </w:rPr>
              <w:t>主要原辅材料年用量一览表详见下表2.4-1。</w:t>
            </w:r>
          </w:p>
          <w:p>
            <w:pPr>
              <w:spacing w:before="120" w:beforeLines="50" w:line="360" w:lineRule="auto"/>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w:t>
            </w:r>
            <w:r>
              <w:rPr>
                <w:rFonts w:hint="eastAsia" w:ascii="Times New Roman" w:hAnsi="Times New Roman" w:eastAsia="宋体" w:cs="Times New Roman"/>
                <w:b/>
                <w:bCs/>
                <w:color w:val="auto"/>
                <w:sz w:val="24"/>
                <w:highlight w:val="none"/>
                <w:lang w:val="en-US" w:eastAsia="zh-CN"/>
              </w:rPr>
              <w:t>2</w:t>
            </w:r>
            <w:r>
              <w:rPr>
                <w:rFonts w:hint="eastAsia" w:cs="Times New Roman"/>
                <w:b/>
                <w:bCs/>
                <w:color w:val="auto"/>
                <w:sz w:val="24"/>
                <w:highlight w:val="none"/>
                <w:lang w:val="en-US" w:eastAsia="zh-CN"/>
              </w:rPr>
              <w:t>.4</w:t>
            </w:r>
            <w:r>
              <w:rPr>
                <w:rFonts w:hint="eastAsia" w:ascii="Times New Roman" w:hAnsi="Times New Roman" w:eastAsia="宋体" w:cs="Times New Roman"/>
                <w:b/>
                <w:bCs/>
                <w:color w:val="auto"/>
                <w:sz w:val="24"/>
                <w:highlight w:val="none"/>
                <w:lang w:val="en-US" w:eastAsia="zh-CN"/>
              </w:rPr>
              <w:t>-</w:t>
            </w:r>
            <w:r>
              <w:rPr>
                <w:rFonts w:hint="eastAsia"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rPr>
              <w:t xml:space="preserve">  主要原辅材料、燃料用量一览表</w:t>
            </w:r>
          </w:p>
          <w:tbl>
            <w:tblPr>
              <w:tblStyle w:val="28"/>
              <w:tblW w:w="495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6"/>
              <w:gridCol w:w="1521"/>
              <w:gridCol w:w="1474"/>
              <w:gridCol w:w="765"/>
              <w:gridCol w:w="1643"/>
              <w:gridCol w:w="14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68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主要产品名称</w:t>
                  </w:r>
                </w:p>
              </w:tc>
              <w:tc>
                <w:tcPr>
                  <w:tcW w:w="963"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93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年耗量（t/a）</w:t>
                  </w:r>
                </w:p>
              </w:tc>
              <w:tc>
                <w:tcPr>
                  <w:tcW w:w="4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形态</w:t>
                  </w:r>
                </w:p>
              </w:tc>
              <w:tc>
                <w:tcPr>
                  <w:tcW w:w="10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最大储存量(t/a)</w:t>
                  </w:r>
                </w:p>
              </w:tc>
              <w:tc>
                <w:tcPr>
                  <w:tcW w:w="8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681"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b w:val="0"/>
                      <w:bCs w:val="0"/>
                      <w:color w:val="auto"/>
                      <w:sz w:val="21"/>
                      <w:szCs w:val="21"/>
                      <w:highlight w:val="none"/>
                      <w:lang w:eastAsia="zh-CN"/>
                    </w:rPr>
                    <w:t>金属水暖卫浴配件</w:t>
                  </w:r>
                </w:p>
              </w:tc>
              <w:tc>
                <w:tcPr>
                  <w:tcW w:w="963" w:type="pct"/>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93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0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681"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963" w:type="pct"/>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93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0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8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1521" w:type="dxa"/>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147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rPr>
                  </w:pPr>
                </w:p>
              </w:tc>
              <w:tc>
                <w:tcPr>
                  <w:tcW w:w="4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0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8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1521" w:type="dxa"/>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147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0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8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963" w:type="pct"/>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93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0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8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963" w:type="pct"/>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93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0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8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963" w:type="pct"/>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93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0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8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963" w:type="pct"/>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93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0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8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963" w:type="pct"/>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934" w:type="pct"/>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p>
              </w:tc>
              <w:tc>
                <w:tcPr>
                  <w:tcW w:w="4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0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8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963" w:type="pct"/>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93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0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8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963" w:type="pct"/>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93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0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8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963" w:type="pct"/>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93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0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8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963" w:type="pct"/>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93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0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8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963" w:type="pct"/>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93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0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8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eastAsia="zh-CN"/>
                    </w:rPr>
                    <w:t>塑料卫浴配件</w:t>
                  </w:r>
                </w:p>
              </w:tc>
              <w:tc>
                <w:tcPr>
                  <w:tcW w:w="963" w:type="pct"/>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93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0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1"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0"/>
                      <w:sz w:val="21"/>
                      <w:szCs w:val="21"/>
                      <w:highlight w:val="none"/>
                      <w:lang w:val="en-US" w:eastAsia="zh-CN" w:bidi="ar"/>
                    </w:rPr>
                    <w:t>进水软管</w:t>
                  </w:r>
                </w:p>
              </w:tc>
              <w:tc>
                <w:tcPr>
                  <w:tcW w:w="963" w:type="pct"/>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93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0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8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963" w:type="pct"/>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93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0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8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963" w:type="pct"/>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93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0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81"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0"/>
                      <w:sz w:val="21"/>
                      <w:szCs w:val="21"/>
                      <w:highlight w:val="none"/>
                      <w:lang w:val="en-US" w:eastAsia="zh-CN" w:bidi="ar"/>
                    </w:rPr>
                    <w:t>浴室柜</w:t>
                  </w:r>
                </w:p>
              </w:tc>
              <w:tc>
                <w:tcPr>
                  <w:tcW w:w="963" w:type="pct"/>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93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0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8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963" w:type="pct"/>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93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0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8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963" w:type="pct"/>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93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0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8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963" w:type="pct"/>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93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0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8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963" w:type="pct"/>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93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0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681"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能源</w:t>
                  </w:r>
                </w:p>
              </w:tc>
              <w:tc>
                <w:tcPr>
                  <w:tcW w:w="963"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93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0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9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8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963"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93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0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9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left"/>
              <w:textAlignment w:val="auto"/>
              <w:rPr>
                <w:rFonts w:hint="eastAsia" w:cs="Times New Roman"/>
                <w:b w:val="0"/>
                <w:bCs/>
                <w:color w:val="auto"/>
                <w:sz w:val="24"/>
                <w:highlight w:val="none"/>
                <w:lang w:val="en-US" w:eastAsia="zh-CN"/>
              </w:rPr>
            </w:pPr>
            <w:r>
              <w:rPr>
                <w:rFonts w:hint="eastAsia" w:cs="Times New Roman"/>
                <w:b w:val="0"/>
                <w:bCs/>
                <w:color w:val="auto"/>
                <w:sz w:val="24"/>
                <w:highlight w:val="none"/>
                <w:lang w:eastAsia="zh-CN"/>
              </w:rPr>
              <w:t>（</w:t>
            </w:r>
            <w:r>
              <w:rPr>
                <w:rFonts w:hint="eastAsia" w:cs="Times New Roman"/>
                <w:b w:val="0"/>
                <w:bCs/>
                <w:color w:val="auto"/>
                <w:sz w:val="24"/>
                <w:highlight w:val="none"/>
                <w:lang w:val="en-US" w:eastAsia="zh-CN"/>
              </w:rPr>
              <w:t>2</w:t>
            </w:r>
            <w:r>
              <w:rPr>
                <w:rFonts w:hint="eastAsia" w:cs="Times New Roman"/>
                <w:b w:val="0"/>
                <w:bCs/>
                <w:color w:val="auto"/>
                <w:sz w:val="24"/>
                <w:highlight w:val="none"/>
                <w:lang w:eastAsia="zh-CN"/>
              </w:rPr>
              <w:t>）</w:t>
            </w:r>
            <w:r>
              <w:rPr>
                <w:rFonts w:hint="default" w:ascii="Times New Roman" w:hAnsi="Times New Roman" w:cs="Times New Roman"/>
                <w:b w:val="0"/>
                <w:bCs/>
                <w:color w:val="auto"/>
                <w:sz w:val="24"/>
                <w:highlight w:val="none"/>
              </w:rPr>
              <w:t>主要原辅材料物化性质</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b w:val="0"/>
                <w:bCs/>
                <w:color w:val="auto"/>
                <w:sz w:val="24"/>
                <w:szCs w:val="24"/>
                <w:lang w:val="en-US" w:eastAsia="zh-CN"/>
              </w:rPr>
              <w:t>①</w:t>
            </w:r>
            <w:r>
              <w:rPr>
                <w:rFonts w:hint="default" w:ascii="Times New Roman" w:hAnsi="Times New Roman" w:eastAsia="宋体" w:cs="Times New Roman"/>
                <w:color w:val="auto"/>
                <w:kern w:val="0"/>
                <w:sz w:val="24"/>
                <w:szCs w:val="24"/>
                <w:lang w:val="en-US" w:eastAsia="zh-CN" w:bidi="ar"/>
              </w:rPr>
              <w:t>原砂</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原砂是铸造生产中造型（芯）用最基本的材料，其中应用最广泛的是石英砂俗称硅砂。硅砂是以石英为主要矿物成分、粒径在0.020mm-3.350mm的耐火颗粒物，根据开采和加工方法的不同分为人工硅砂及水洗砂、擦洗砂、精选(浮选)砂等天然硅砂。硅砂是一种坚硬、耐磨、化学性能稳定的硅酸盐矿物，其主要矿物成分是SiO</w:t>
            </w:r>
            <w:r>
              <w:rPr>
                <w:rFonts w:hint="default" w:ascii="Times New Roman" w:hAnsi="Times New Roman" w:eastAsia="宋体" w:cs="Times New Roman"/>
                <w:color w:val="auto"/>
                <w:kern w:val="0"/>
                <w:sz w:val="24"/>
                <w:szCs w:val="24"/>
                <w:vertAlign w:val="subscript"/>
                <w:lang w:val="en-US" w:eastAsia="zh-CN" w:bidi="ar"/>
              </w:rPr>
              <w:t>2</w:t>
            </w:r>
            <w:r>
              <w:rPr>
                <w:rFonts w:hint="default" w:ascii="Times New Roman" w:hAnsi="Times New Roman" w:eastAsia="宋体" w:cs="Times New Roman"/>
                <w:color w:val="auto"/>
                <w:kern w:val="0"/>
                <w:sz w:val="24"/>
                <w:szCs w:val="24"/>
                <w:lang w:val="en-US" w:eastAsia="zh-CN" w:bidi="ar"/>
              </w:rPr>
              <w:t>，硅砂的颜色为乳白色或无色半透明状，硬度7，性脆无解理，贝壳状断口，油脂光泽，相对密度为265，其化学、热学和机械性能具有明显的异向性，不溶于酸，微溶于KOH溶液，熔点1750℃。颜色呈乳白色、淡黄、褐色及灰色，有较高的耐火性能。在砂型铸造中，原砂是混合料中的骨料和主要成分，所占的质量分数依所用黏结剂的不同，在80%~99%之间。原砂和黏结剂一起形成砂型或砂芯的强度，同时抵抗液态金属对砂型或砂芯的侵蚀，所以原砂一般也是耐火材料。颗粒细小的原砂还可以作为除料的耐火材料。砂型铸造中所用的原砂种类很多，但以硅砂使用最多。</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②</w:t>
            </w:r>
            <w:r>
              <w:rPr>
                <w:rFonts w:hint="eastAsia" w:ascii="Times New Roman" w:hAnsi="Times New Roman" w:eastAsia="宋体" w:cs="Times New Roman"/>
                <w:color w:val="auto"/>
                <w:kern w:val="0"/>
                <w:sz w:val="24"/>
                <w:szCs w:val="24"/>
                <w:lang w:val="en-US" w:eastAsia="zh-CN" w:bidi="ar"/>
              </w:rPr>
              <w:t>热芯盒</w:t>
            </w:r>
            <w:r>
              <w:rPr>
                <w:rFonts w:hint="default" w:ascii="Times New Roman" w:hAnsi="Times New Roman" w:eastAsia="宋体" w:cs="Times New Roman"/>
                <w:color w:val="auto"/>
                <w:kern w:val="0"/>
                <w:sz w:val="24"/>
                <w:szCs w:val="24"/>
                <w:lang w:val="en-US" w:eastAsia="zh-CN" w:bidi="ar"/>
              </w:rPr>
              <w:t>树脂</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lang w:val="en-US" w:eastAsia="zh-CN" w:bidi="ar"/>
              </w:rPr>
              <w:t>热芯盒树脂是一种综合性能优良的热芯盒粘结剂，呈淡黄色，</w:t>
            </w:r>
            <w:r>
              <w:rPr>
                <w:rFonts w:hint="eastAsia" w:cs="Times New Roman"/>
                <w:color w:val="auto"/>
                <w:kern w:val="0"/>
                <w:sz w:val="24"/>
                <w:szCs w:val="24"/>
                <w:lang w:val="en-US" w:eastAsia="zh-CN" w:bidi="ar"/>
              </w:rPr>
              <w:t>主要成分为</w:t>
            </w:r>
            <w:r>
              <w:rPr>
                <w:rFonts w:hint="default" w:ascii="Times New Roman" w:hAnsi="Times New Roman" w:eastAsia="宋体" w:cs="Times New Roman"/>
                <w:color w:val="auto"/>
                <w:kern w:val="0"/>
                <w:sz w:val="24"/>
                <w:szCs w:val="24"/>
                <w:lang w:val="en-US" w:eastAsia="zh-CN" w:bidi="ar"/>
              </w:rPr>
              <w:t>糠醇（0～20%）、脲醛树脂（40～60%）、水（20～40%），粘度（20℃）mpa.s≤500，密度1.23-1.27g/cm³，化学稳定度高，耐热性好，其吸湿性好，砂芯（型）存放期间抗拉强度不下降，脱模性能好，生产效率高，厚大型芯（型）脱模时间短，芯（型）表面光洁度高。热强度高，抗粘砂，抗脉纹，抗热变形，浇铸后砂芯（型）溃散性好，易于清砂。主要适用铸铁、铸钢和有色金属制芯造型，特别适用于大批量生产铁模覆砂的制芯、造型，其理化性质见附</w:t>
            </w:r>
            <w:r>
              <w:rPr>
                <w:rFonts w:hint="default" w:ascii="Times New Roman" w:hAnsi="Times New Roman" w:eastAsia="宋体" w:cs="Times New Roman"/>
                <w:color w:val="auto"/>
                <w:kern w:val="0"/>
                <w:sz w:val="24"/>
                <w:szCs w:val="24"/>
                <w:highlight w:val="none"/>
                <w:lang w:val="en-US" w:eastAsia="zh-CN" w:bidi="ar"/>
              </w:rPr>
              <w:t>件</w:t>
            </w:r>
            <w:r>
              <w:rPr>
                <w:rFonts w:hint="eastAsia" w:cs="Times New Roman"/>
                <w:color w:val="auto"/>
                <w:kern w:val="0"/>
                <w:sz w:val="24"/>
                <w:szCs w:val="24"/>
                <w:highlight w:val="none"/>
                <w:lang w:val="en-US" w:eastAsia="zh-CN" w:bidi="ar"/>
              </w:rPr>
              <w:t>8</w:t>
            </w:r>
            <w:r>
              <w:rPr>
                <w:rFonts w:hint="default" w:ascii="Times New Roman" w:hAnsi="Times New Roman" w:eastAsia="宋体" w:cs="Times New Roman"/>
                <w:color w:val="auto"/>
                <w:kern w:val="0"/>
                <w:sz w:val="24"/>
                <w:szCs w:val="24"/>
                <w:highlight w:val="none"/>
                <w:lang w:val="en-US" w:eastAsia="zh-CN" w:bidi="ar"/>
              </w:rPr>
              <w:t>：MSDS 理化性质。</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 xml:space="preserve">③固化剂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铸造树脂固化剂系芳香族磺酸衍生物产品，为无色、无味液体，</w:t>
            </w:r>
            <w:r>
              <w:rPr>
                <w:rFonts w:hint="eastAsia" w:cs="Times New Roman"/>
                <w:color w:val="auto"/>
                <w:kern w:val="0"/>
                <w:sz w:val="24"/>
                <w:szCs w:val="24"/>
                <w:highlight w:val="none"/>
                <w:lang w:val="en-US" w:eastAsia="zh-CN" w:bidi="ar"/>
              </w:rPr>
              <w:t>主要成分为</w:t>
            </w:r>
            <w:r>
              <w:rPr>
                <w:rFonts w:hint="default" w:ascii="Times New Roman" w:hAnsi="Times New Roman" w:eastAsia="宋体" w:cs="Times New Roman"/>
                <w:color w:val="auto"/>
                <w:kern w:val="0"/>
                <w:sz w:val="24"/>
                <w:szCs w:val="24"/>
                <w:highlight w:val="none"/>
                <w:lang w:val="en-US" w:eastAsia="zh-CN" w:bidi="ar"/>
              </w:rPr>
              <w:t>氯化铵（25%）、水（5%）、尿素（70%），在-15℃以上不应有结晶现象出现。具有固化速度快、造型工艺简单、砂型溃散性好等特点，能满足各种造型工艺的要求。 广泛用于不同温度、湿度条件下呋喃树脂和酚醛树脂等的固化造型，其理化性质见附件</w:t>
            </w:r>
            <w:r>
              <w:rPr>
                <w:rFonts w:hint="eastAsia" w:cs="Times New Roman"/>
                <w:color w:val="auto"/>
                <w:kern w:val="0"/>
                <w:sz w:val="24"/>
                <w:szCs w:val="24"/>
                <w:highlight w:val="none"/>
                <w:lang w:val="en-US" w:eastAsia="zh-CN" w:bidi="ar"/>
              </w:rPr>
              <w:t>9</w:t>
            </w:r>
            <w:r>
              <w:rPr>
                <w:rFonts w:hint="default" w:ascii="Times New Roman" w:hAnsi="Times New Roman" w:eastAsia="宋体" w:cs="Times New Roman"/>
                <w:color w:val="auto"/>
                <w:kern w:val="0"/>
                <w:sz w:val="24"/>
                <w:szCs w:val="24"/>
                <w:highlight w:val="none"/>
                <w:lang w:val="en-US" w:eastAsia="zh-CN" w:bidi="ar"/>
              </w:rPr>
              <w:t xml:space="preserve">：MSDS理化性质。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highlight w:val="none"/>
                <w:lang w:val="en-US" w:eastAsia="zh-CN" w:bidi="ar"/>
              </w:rPr>
              <w:t>氯化铵简称“氯铵”，又称卤砂。是无色晶体或白色</w:t>
            </w:r>
            <w:r>
              <w:rPr>
                <w:rFonts w:hint="default" w:ascii="Times New Roman" w:hAnsi="Times New Roman" w:eastAsia="宋体" w:cs="Times New Roman"/>
                <w:color w:val="auto"/>
                <w:kern w:val="0"/>
                <w:sz w:val="24"/>
                <w:szCs w:val="24"/>
                <w:lang w:val="en-US" w:eastAsia="zh-CN" w:bidi="ar"/>
              </w:rPr>
              <w:t>结晶性粉末；无臭，味咸、凉；有引湿性。易溶于水，微溶于乙醇。主要用于制造干电池、蓄电池、铵盐、以及鞣革、电镀、精密铸造、医药、照相、电极、粘合剂。有时还用作酵母菌的养料和面团改进剂等。它适用于小麦、水稻、玉米、油菜等作物。</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fldChar w:fldCharType="begin"/>
            </w:r>
            <w:r>
              <w:rPr>
                <w:rFonts w:hint="default" w:ascii="Times New Roman" w:hAnsi="Times New Roman" w:eastAsia="宋体" w:cs="Times New Roman"/>
                <w:color w:val="auto"/>
                <w:kern w:val="0"/>
                <w:sz w:val="24"/>
                <w:szCs w:val="24"/>
                <w:lang w:val="en-US" w:eastAsia="zh-CN" w:bidi="ar"/>
              </w:rPr>
              <w:instrText xml:space="preserve"> = 4 \* GB3 \* MERGEFORMAT </w:instrText>
            </w:r>
            <w:r>
              <w:rPr>
                <w:rFonts w:hint="default" w:ascii="Times New Roman" w:hAnsi="Times New Roman" w:eastAsia="宋体" w:cs="Times New Roman"/>
                <w:color w:val="auto"/>
                <w:kern w:val="0"/>
                <w:sz w:val="24"/>
                <w:szCs w:val="24"/>
                <w:lang w:val="en-US" w:eastAsia="zh-CN" w:bidi="ar"/>
              </w:rPr>
              <w:fldChar w:fldCharType="separate"/>
            </w:r>
            <w:r>
              <w:rPr>
                <w:rFonts w:hint="default" w:ascii="Times New Roman" w:hAnsi="Times New Roman" w:eastAsia="宋体" w:cs="Times New Roman"/>
                <w:color w:val="auto"/>
                <w:kern w:val="0"/>
                <w:sz w:val="24"/>
                <w:szCs w:val="24"/>
                <w:lang w:val="en-US" w:eastAsia="zh-CN" w:bidi="ar"/>
              </w:rPr>
              <w:t>④</w:t>
            </w:r>
            <w:r>
              <w:rPr>
                <w:rFonts w:hint="default" w:ascii="Times New Roman" w:hAnsi="Times New Roman" w:eastAsia="宋体" w:cs="Times New Roman"/>
                <w:color w:val="auto"/>
                <w:kern w:val="0"/>
                <w:sz w:val="24"/>
                <w:szCs w:val="24"/>
                <w:lang w:val="en-US" w:eastAsia="zh-CN" w:bidi="ar"/>
              </w:rPr>
              <w:fldChar w:fldCharType="end"/>
            </w:r>
            <w:r>
              <w:rPr>
                <w:rFonts w:hint="eastAsia" w:ascii="Times New Roman" w:hAnsi="Times New Roman" w:eastAsia="宋体" w:cs="Times New Roman"/>
                <w:color w:val="auto"/>
                <w:kern w:val="0"/>
                <w:sz w:val="24"/>
                <w:szCs w:val="24"/>
                <w:lang w:val="en-US" w:eastAsia="zh-CN" w:bidi="ar"/>
              </w:rPr>
              <w:t>黄铜</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项目外购的铜锭主要为黄铜锭，不涉及铅基和铅青铜合金等重金属，主要成分为：铜</w:t>
            </w:r>
            <w:r>
              <w:rPr>
                <w:rFonts w:hint="default" w:ascii="Times New Roman" w:hAnsi="Times New Roman" w:eastAsia="宋体" w:cs="Times New Roman"/>
                <w:color w:val="auto"/>
                <w:kern w:val="0"/>
                <w:sz w:val="24"/>
                <w:szCs w:val="24"/>
                <w:lang w:val="en-US" w:eastAsia="zh-CN" w:bidi="ar"/>
              </w:rPr>
              <w:t>57%~60%</w:t>
            </w:r>
            <w:r>
              <w:rPr>
                <w:rFonts w:hint="eastAsia" w:ascii="Times New Roman" w:hAnsi="Times New Roman" w:eastAsia="宋体" w:cs="Times New Roman"/>
                <w:color w:val="auto"/>
                <w:kern w:val="0"/>
                <w:sz w:val="24"/>
                <w:szCs w:val="24"/>
                <w:lang w:val="en-US" w:eastAsia="zh-CN" w:bidi="ar"/>
              </w:rPr>
              <w:t xml:space="preserve">、锌 </w:t>
            </w:r>
            <w:r>
              <w:rPr>
                <w:rFonts w:hint="default" w:ascii="Times New Roman" w:hAnsi="Times New Roman" w:eastAsia="宋体" w:cs="Times New Roman"/>
                <w:color w:val="auto"/>
                <w:kern w:val="0"/>
                <w:sz w:val="24"/>
                <w:szCs w:val="24"/>
                <w:lang w:val="en-US" w:eastAsia="zh-CN" w:bidi="ar"/>
              </w:rPr>
              <w:t>35%~38%</w:t>
            </w:r>
            <w:r>
              <w:rPr>
                <w:rFonts w:hint="eastAsia" w:ascii="Times New Roman" w:hAnsi="Times New Roman" w:eastAsia="宋体" w:cs="Times New Roman"/>
                <w:color w:val="auto"/>
                <w:kern w:val="0"/>
                <w:sz w:val="24"/>
                <w:szCs w:val="24"/>
                <w:lang w:val="en-US" w:eastAsia="zh-CN" w:bidi="ar"/>
              </w:rPr>
              <w:t>、铝</w:t>
            </w:r>
            <w:r>
              <w:rPr>
                <w:rFonts w:hint="default" w:ascii="Times New Roman" w:hAnsi="Times New Roman" w:eastAsia="宋体" w:cs="Times New Roman"/>
                <w:color w:val="auto"/>
                <w:kern w:val="0"/>
                <w:sz w:val="24"/>
                <w:szCs w:val="24"/>
                <w:lang w:val="en-US" w:eastAsia="zh-CN" w:bidi="ar"/>
              </w:rPr>
              <w:t>0.5%-1.5%</w:t>
            </w:r>
            <w:r>
              <w:rPr>
                <w:rFonts w:hint="eastAsia" w:ascii="Times New Roman" w:hAnsi="Times New Roman" w:eastAsia="宋体" w:cs="Times New Roman"/>
                <w:color w:val="auto"/>
                <w:kern w:val="0"/>
                <w:sz w:val="24"/>
                <w:szCs w:val="24"/>
                <w:lang w:val="en-US" w:eastAsia="zh-CN" w:bidi="ar"/>
              </w:rPr>
              <w:t>、铁</w:t>
            </w:r>
            <w:r>
              <w:rPr>
                <w:rFonts w:hint="default" w:ascii="Times New Roman" w:hAnsi="Times New Roman" w:eastAsia="宋体" w:cs="Times New Roman"/>
                <w:color w:val="auto"/>
                <w:kern w:val="0"/>
                <w:sz w:val="24"/>
                <w:szCs w:val="24"/>
                <w:lang w:val="en-US" w:eastAsia="zh-CN" w:bidi="ar"/>
              </w:rPr>
              <w:t>0.2%~0.8%</w:t>
            </w:r>
            <w:r>
              <w:rPr>
                <w:rFonts w:hint="eastAsia" w:ascii="Times New Roman" w:hAnsi="Times New Roman" w:eastAsia="宋体" w:cs="Times New Roman"/>
                <w:color w:val="auto"/>
                <w:kern w:val="0"/>
                <w:sz w:val="24"/>
                <w:szCs w:val="24"/>
                <w:lang w:val="en-US" w:eastAsia="zh-CN" w:bidi="ar"/>
              </w:rPr>
              <w:t>等，其结晶温度间隔较小，铸造性能较好，机械性能较高。项目外购的铜锭各元素含量应符合《加工铜及铜合金牌号和化学成分》（</w:t>
            </w:r>
            <w:r>
              <w:rPr>
                <w:rFonts w:hint="default" w:ascii="Times New Roman" w:hAnsi="Times New Roman" w:eastAsia="宋体" w:cs="Times New Roman"/>
                <w:color w:val="auto"/>
                <w:kern w:val="0"/>
                <w:sz w:val="24"/>
                <w:szCs w:val="24"/>
                <w:lang w:val="en-US" w:eastAsia="zh-CN" w:bidi="ar"/>
              </w:rPr>
              <w:t>GB/T5231-2022</w:t>
            </w:r>
            <w:r>
              <w:rPr>
                <w:rFonts w:hint="eastAsia" w:ascii="Times New Roman" w:hAnsi="Times New Roman" w:eastAsia="宋体" w:cs="Times New Roman"/>
                <w:color w:val="auto"/>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color w:val="auto"/>
                <w:kern w:val="0"/>
                <w:sz w:val="24"/>
                <w:szCs w:val="24"/>
                <w:highlight w:val="none"/>
                <w:lang w:val="en-US" w:eastAsia="zh-CN" w:bidi="ar"/>
              </w:rPr>
              <w:instrText xml:space="preserve"> = 5 \* GB3 \* MERGEFORMAT </w:instrText>
            </w:r>
            <w:r>
              <w:rPr>
                <w:rFonts w:hint="default" w:ascii="Times New Roman" w:hAnsi="Times New Roman" w:eastAsia="宋体" w:cs="Times New Roman"/>
                <w:color w:val="auto"/>
                <w:kern w:val="0"/>
                <w:sz w:val="24"/>
                <w:szCs w:val="24"/>
                <w:highlight w:val="none"/>
                <w:lang w:val="en-US" w:eastAsia="zh-CN" w:bidi="ar"/>
              </w:rPr>
              <w:fldChar w:fldCharType="separate"/>
            </w:r>
            <w:r>
              <w:rPr>
                <w:rFonts w:hint="default" w:ascii="Times New Roman" w:hAnsi="Times New Roman" w:eastAsia="宋体" w:cs="Times New Roman"/>
                <w:color w:val="auto"/>
                <w:sz w:val="24"/>
                <w:szCs w:val="24"/>
                <w:highlight w:val="none"/>
              </w:rPr>
              <w:t>⑤</w:t>
            </w:r>
            <w:r>
              <w:rPr>
                <w:rFonts w:hint="default" w:ascii="Times New Roman" w:hAnsi="Times New Roman" w:eastAsia="宋体" w:cs="Times New Roman"/>
                <w:color w:val="auto"/>
                <w:kern w:val="0"/>
                <w:sz w:val="24"/>
                <w:szCs w:val="24"/>
                <w:highlight w:val="none"/>
                <w:lang w:val="en-US" w:eastAsia="zh-CN" w:bidi="ar"/>
              </w:rPr>
              <w:fldChar w:fldCharType="end"/>
            </w:r>
            <w:r>
              <w:rPr>
                <w:rFonts w:hint="default" w:ascii="Times New Roman" w:hAnsi="Times New Roman" w:eastAsia="宋体" w:cs="Times New Roman"/>
                <w:color w:val="auto"/>
                <w:kern w:val="0"/>
                <w:sz w:val="24"/>
                <w:szCs w:val="24"/>
                <w:highlight w:val="none"/>
                <w:lang w:val="en-US" w:eastAsia="zh-CN" w:bidi="ar"/>
              </w:rPr>
              <w:t>水性漆</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所使用水性底漆和水性面漆均为水性钢构漆。水性钢构漆主要由水性丙烯酸乳液、钛白粉等水性助剂组成，适用于炼金、电力、食品、纺织等行业中钢结构的涂装，本产品以水为介质。漆膜坚韧、机械强度高、不闪锈、防腐防锈性能优异，水性钢构漆无毒、无味、无污染，对人体健康没有任何危害，真正做到了绿色环保，其主要成分为丙烯酸树脂乳液43%、颜料10%、填料7%、水40%，物资安全资料表详见附件</w:t>
            </w:r>
            <w:r>
              <w:rPr>
                <w:rFonts w:hint="eastAsia" w:cs="Times New Roman"/>
                <w:color w:val="auto"/>
                <w:kern w:val="0"/>
                <w:sz w:val="24"/>
                <w:szCs w:val="24"/>
                <w:highlight w:val="none"/>
                <w:lang w:val="en-US" w:eastAsia="zh-CN" w:bidi="ar"/>
              </w:rPr>
              <w:t>7</w:t>
            </w:r>
            <w:r>
              <w:rPr>
                <w:rFonts w:hint="default" w:ascii="Times New Roman" w:hAnsi="Times New Roman" w:eastAsia="宋体" w:cs="Times New Roman"/>
                <w:color w:val="auto"/>
                <w:kern w:val="0"/>
                <w:sz w:val="24"/>
                <w:szCs w:val="24"/>
                <w:highlight w:val="none"/>
                <w:lang w:val="en-US" w:eastAsia="zh-CN" w:bidi="ar"/>
              </w:rPr>
              <w:t>。</w:t>
            </w:r>
          </w:p>
          <w:p>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 6 \* GB3 \* MERGEFORMAT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olor w:val="auto"/>
                <w:sz w:val="24"/>
                <w:szCs w:val="24"/>
                <w:highlight w:val="none"/>
              </w:rPr>
              <w:t>⑥</w:t>
            </w:r>
            <w:r>
              <w:rPr>
                <w:rFonts w:hint="default" w:ascii="Times New Roman" w:hAnsi="Times New Roman" w:eastAsia="宋体" w:cs="Times New Roman"/>
                <w:color w:val="auto"/>
                <w:sz w:val="24"/>
                <w:szCs w:val="24"/>
                <w:highlight w:val="none"/>
                <w:lang w:val="en-US" w:eastAsia="zh-CN"/>
              </w:rPr>
              <w:fldChar w:fldCharType="end"/>
            </w:r>
            <w:r>
              <w:rPr>
                <w:rFonts w:hint="default" w:ascii="Times New Roman" w:hAnsi="Times New Roman" w:eastAsia="宋体" w:cs="Times New Roman"/>
                <w:b w:val="0"/>
                <w:bCs/>
                <w:color w:val="auto"/>
                <w:sz w:val="24"/>
                <w:szCs w:val="24"/>
                <w:highlight w:val="none"/>
                <w:lang w:eastAsia="zh-CN"/>
              </w:rPr>
              <w:t>ABS塑料</w:t>
            </w:r>
            <w:r>
              <w:rPr>
                <w:rFonts w:hint="default" w:ascii="Times New Roman" w:hAnsi="Times New Roman" w:eastAsia="宋体" w:cs="Times New Roman"/>
                <w:b w:val="0"/>
                <w:bCs/>
                <w:color w:val="auto"/>
                <w:sz w:val="24"/>
                <w:szCs w:val="24"/>
                <w:highlight w:val="none"/>
                <w:lang w:val="en-US" w:eastAsia="zh-CN"/>
              </w:rPr>
              <w:t>米</w:t>
            </w:r>
          </w:p>
          <w:p>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eastAsia="宋体" w:cs="Times New Roman"/>
                <w:b w:val="0"/>
                <w:bCs/>
                <w:color w:val="auto"/>
                <w:sz w:val="24"/>
                <w:szCs w:val="24"/>
                <w:highlight w:val="none"/>
                <w:lang w:eastAsia="zh-CN"/>
              </w:rPr>
              <w:t>ABS塑料是目前产量最大，应用最广泛的聚合物，它将PB、PAN、PS的各种性能有机地统一起来，兼具韧、硬、刚相均衡的优良力学性能。ABS是丙烯腈、丁二烯和苯乙烯的三元共聚物，A代表丙烯腈，B代表丁二烯，S代表苯乙烯。该塑料米无毒、无味且质轻，密度为900~910kg/m</w:t>
            </w:r>
            <w:r>
              <w:rPr>
                <w:rFonts w:hint="default" w:ascii="Times New Roman" w:hAnsi="Times New Roman" w:eastAsia="宋体" w:cs="Times New Roman"/>
                <w:b w:val="0"/>
                <w:bCs/>
                <w:color w:val="auto"/>
                <w:sz w:val="24"/>
                <w:szCs w:val="24"/>
                <w:highlight w:val="none"/>
                <w:vertAlign w:val="superscript"/>
                <w:lang w:eastAsia="zh-CN"/>
              </w:rPr>
              <w:t>3</w:t>
            </w:r>
            <w:r>
              <w:rPr>
                <w:rFonts w:hint="default" w:ascii="Times New Roman" w:hAnsi="Times New Roman" w:eastAsia="宋体" w:cs="Times New Roman"/>
                <w:b w:val="0"/>
                <w:bCs/>
                <w:color w:val="auto"/>
                <w:sz w:val="24"/>
                <w:szCs w:val="24"/>
                <w:highlight w:val="none"/>
                <w:lang w:eastAsia="zh-CN"/>
              </w:rPr>
              <w:t>，是通用塑料中最轻的。根据实际应用及相关研究资料，该类塑料米热变形温度约114℃，熔化温度为217~317℃，热分解温度大于250℃。</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（3）</w:t>
            </w:r>
            <w:r>
              <w:rPr>
                <w:rFonts w:hint="eastAsia" w:cs="Times New Roman"/>
                <w:color w:val="auto"/>
                <w:kern w:val="0"/>
                <w:sz w:val="24"/>
                <w:szCs w:val="24"/>
                <w:highlight w:val="none"/>
                <w:lang w:val="en-US" w:eastAsia="zh-CN" w:bidi="ar"/>
              </w:rPr>
              <w:t>项目金属</w:t>
            </w:r>
            <w:r>
              <w:rPr>
                <w:rFonts w:hint="default" w:ascii="Times New Roman" w:hAnsi="Times New Roman" w:eastAsia="宋体" w:cs="Times New Roman"/>
                <w:color w:val="auto"/>
                <w:kern w:val="0"/>
                <w:sz w:val="24"/>
                <w:szCs w:val="24"/>
                <w:highlight w:val="none"/>
                <w:lang w:val="en-US" w:eastAsia="zh-CN" w:bidi="ar"/>
              </w:rPr>
              <w:t>物料平衡</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center"/>
              <w:textAlignment w:val="auto"/>
              <w:rPr>
                <w:rFonts w:hint="eastAsia" w:ascii="Times New Roman" w:hAnsi="Times New Roman" w:cs="Times New Roman"/>
                <w:b/>
                <w:bCs w:val="0"/>
                <w:color w:val="auto"/>
                <w:kern w:val="0"/>
                <w:sz w:val="24"/>
                <w:szCs w:val="22"/>
                <w:highlight w:val="none"/>
                <w:lang w:val="en-US" w:eastAsia="zh-CN" w:bidi="ar-SA"/>
              </w:rPr>
            </w:pPr>
            <w:r>
              <w:rPr>
                <w:rFonts w:hint="eastAsia" w:ascii="Times New Roman" w:hAnsi="Times New Roman" w:cs="Times New Roman"/>
                <w:b/>
                <w:bCs w:val="0"/>
                <w:color w:val="auto"/>
                <w:kern w:val="0"/>
                <w:sz w:val="24"/>
                <w:szCs w:val="22"/>
                <w:lang w:val="en-US" w:eastAsia="zh-CN" w:bidi="ar-SA"/>
              </w:rPr>
              <w:object>
                <v:shape id="_x0000_i1025" o:spt="75" type="#_x0000_t75" style="height:129.75pt;width:336pt;" o:ole="t" filled="f" o:preferrelative="t" stroked="f" coordsize="21600,21600">
                  <v:path/>
                  <v:fill on="f" focussize="0,0"/>
                  <v:stroke on="f"/>
                  <v:imagedata r:id="rId10" o:title=""/>
                  <o:lock v:ext="edit" aspectratio="f"/>
                  <w10:wrap type="none"/>
                  <w10:anchorlock/>
                </v:shape>
                <o:OLEObject Type="Embed" ProgID="Visio.Drawing.11" ShapeID="_x0000_i1025" DrawAspect="Content" ObjectID="_1468075725" r:id="rId9">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center"/>
              <w:textAlignment w:val="auto"/>
              <w:rPr>
                <w:rFonts w:hint="eastAsia" w:ascii="Times New Roman" w:hAnsi="Times New Roman" w:cs="Times New Roman"/>
                <w:b/>
                <w:bCs w:val="0"/>
                <w:color w:val="auto"/>
                <w:kern w:val="0"/>
                <w:sz w:val="24"/>
                <w:szCs w:val="22"/>
                <w:highlight w:val="none"/>
                <w:lang w:val="en-US" w:eastAsia="zh-CN" w:bidi="ar-SA"/>
              </w:rPr>
            </w:pPr>
            <w:r>
              <w:rPr>
                <w:rFonts w:hint="eastAsia" w:ascii="Times New Roman" w:hAnsi="Times New Roman" w:cs="Times New Roman"/>
                <w:b/>
                <w:bCs w:val="0"/>
                <w:color w:val="auto"/>
                <w:kern w:val="0"/>
                <w:sz w:val="24"/>
                <w:szCs w:val="22"/>
                <w:lang w:val="en-US" w:eastAsia="zh-CN" w:bidi="ar-SA"/>
              </w:rPr>
              <w:object>
                <v:shape id="_x0000_i1026" o:spt="75" type="#_x0000_t75" style="height:129pt;width:336pt;" o:ole="t" filled="f" o:preferrelative="t" stroked="f" coordsize="21600,21600">
                  <v:path/>
                  <v:fill on="f" focussize="0,0"/>
                  <v:stroke on="f"/>
                  <v:imagedata r:id="rId12" o:title=""/>
                  <o:lock v:ext="edit" aspectratio="f"/>
                  <w10:wrap type="none"/>
                  <w10:anchorlock/>
                </v:shape>
                <o:OLEObject Type="Embed" ProgID="Visio.Drawing.11" ShapeID="_x0000_i1026" DrawAspect="Content" ObjectID="_1468075726" r:id="rId11">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center"/>
              <w:textAlignment w:val="auto"/>
              <w:rPr>
                <w:rFonts w:hint="eastAsia" w:ascii="Times New Roman" w:hAnsi="Times New Roman" w:cs="Times New Roman"/>
                <w:b/>
                <w:bCs w:val="0"/>
                <w:color w:val="auto"/>
                <w:kern w:val="0"/>
                <w:sz w:val="24"/>
                <w:szCs w:val="22"/>
                <w:highlight w:val="none"/>
                <w:lang w:val="en-US" w:eastAsia="zh-CN" w:bidi="ar-SA"/>
              </w:rPr>
            </w:pPr>
            <w:r>
              <w:rPr>
                <w:rFonts w:hint="eastAsia" w:ascii="Times New Roman" w:hAnsi="Times New Roman" w:cs="Times New Roman"/>
                <w:b/>
                <w:bCs w:val="0"/>
                <w:color w:val="auto"/>
                <w:kern w:val="0"/>
                <w:sz w:val="24"/>
                <w:szCs w:val="22"/>
                <w:lang w:val="en-US" w:eastAsia="zh-CN" w:bidi="ar-SA"/>
              </w:rPr>
              <w:object>
                <v:shape id="_x0000_i1027" o:spt="75" type="#_x0000_t75" style="height:149.25pt;width:339.75pt;" o:ole="t" filled="f" o:preferrelative="t" stroked="f" coordsize="21600,21600">
                  <v:path/>
                  <v:fill on="f" focussize="0,0"/>
                  <v:stroke on="f"/>
                  <v:imagedata r:id="rId14" o:title=""/>
                  <o:lock v:ext="edit" aspectratio="f"/>
                  <w10:wrap type="none"/>
                  <w10:anchorlock/>
                </v:shape>
                <o:OLEObject Type="Embed" ProgID="Visio.Drawing.11" ShapeID="_x0000_i1027" DrawAspect="Content" ObjectID="_1468075727" r:id="rId13">
                  <o:LockedField>false</o:LockedField>
                </o:OLEObject>
              </w:object>
            </w:r>
          </w:p>
          <w:p>
            <w:pPr>
              <w:pStyle w:val="34"/>
              <w:ind w:left="0" w:leftChars="0" w:firstLine="0" w:firstLineChars="0"/>
              <w:jc w:val="center"/>
              <w:rPr>
                <w:rFonts w:hint="default"/>
                <w:color w:val="auto"/>
                <w:highlight w:val="none"/>
                <w:lang w:val="en-US" w:eastAsia="zh-CN"/>
              </w:rPr>
            </w:pPr>
            <w:r>
              <w:rPr>
                <w:rFonts w:hint="eastAsia" w:ascii="Times New Roman" w:hAnsi="Times New Roman" w:cs="Times New Roman"/>
                <w:b/>
                <w:bCs w:val="0"/>
                <w:color w:val="auto"/>
                <w:kern w:val="0"/>
                <w:sz w:val="24"/>
                <w:szCs w:val="22"/>
                <w:lang w:val="en-US" w:eastAsia="zh-CN" w:bidi="ar-SA"/>
              </w:rPr>
              <w:object>
                <v:shape id="_x0000_i1028" o:spt="75" type="#_x0000_t75" style="height:149.25pt;width:360.75pt;" o:ole="t" filled="f" o:preferrelative="t" stroked="f" coordsize="21600,21600">
                  <v:path/>
                  <v:fill on="f" focussize="0,0"/>
                  <v:stroke on="f"/>
                  <v:imagedata r:id="rId16" o:title=""/>
                  <o:lock v:ext="edit" aspectratio="f"/>
                  <w10:wrap type="none"/>
                  <w10:anchorlock/>
                </v:shape>
                <o:OLEObject Type="Embed" ProgID="Visio.Drawing.11" ShapeID="_x0000_i1028" DrawAspect="Content" ObjectID="_1468075728" r:id="rId15">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left"/>
              <w:textAlignment w:val="auto"/>
              <w:rPr>
                <w:rFonts w:hint="default" w:ascii="Times New Roman" w:hAnsi="Times New Roman" w:eastAsia="宋体" w:cs="Times New Roman"/>
                <w:b/>
                <w:bCs w:val="0"/>
                <w:color w:val="auto"/>
                <w:kern w:val="0"/>
                <w:sz w:val="24"/>
                <w:szCs w:val="22"/>
                <w:highlight w:val="none"/>
                <w:lang w:val="en-US" w:eastAsia="zh-CN" w:bidi="ar-SA"/>
              </w:rPr>
            </w:pPr>
            <w:r>
              <w:rPr>
                <w:rFonts w:hint="eastAsia" w:ascii="Times New Roman" w:hAnsi="Times New Roman" w:cs="Times New Roman"/>
                <w:b/>
                <w:bCs w:val="0"/>
                <w:color w:val="auto"/>
                <w:kern w:val="0"/>
                <w:sz w:val="24"/>
                <w:szCs w:val="22"/>
                <w:highlight w:val="none"/>
                <w:lang w:val="en-US" w:eastAsia="zh-CN" w:bidi="ar-SA"/>
              </w:rPr>
              <w:t>2.</w:t>
            </w:r>
            <w:r>
              <w:rPr>
                <w:rFonts w:hint="default" w:ascii="Times New Roman" w:hAnsi="Times New Roman" w:eastAsia="宋体" w:cs="Times New Roman"/>
                <w:b/>
                <w:bCs w:val="0"/>
                <w:color w:val="auto"/>
                <w:kern w:val="0"/>
                <w:sz w:val="24"/>
                <w:szCs w:val="22"/>
                <w:highlight w:val="none"/>
                <w:lang w:val="en-US" w:eastAsia="zh-CN" w:bidi="ar-SA"/>
              </w:rPr>
              <w:t>5、主要生产设备</w:t>
            </w:r>
          </w:p>
          <w:p>
            <w:pPr>
              <w:adjustRightInd w:val="0"/>
              <w:snapToGrid w:val="0"/>
              <w:spacing w:line="360" w:lineRule="auto"/>
              <w:ind w:firstLine="480" w:firstLineChars="200"/>
              <w:jc w:val="left"/>
              <w:rPr>
                <w:rFonts w:hint="default" w:ascii="Times New Roman" w:hAnsi="Times New Roman" w:eastAsia="宋体" w:cs="Times New Roman"/>
                <w:color w:val="auto"/>
                <w:kern w:val="2"/>
                <w:sz w:val="24"/>
                <w:szCs w:val="24"/>
                <w:highlight w:val="none"/>
                <w:lang w:eastAsia="zh-CN"/>
              </w:rPr>
            </w:pPr>
            <w:r>
              <w:rPr>
                <w:rFonts w:hint="default" w:ascii="Times New Roman" w:hAnsi="Times New Roman" w:eastAsia="宋体" w:cs="Times New Roman"/>
                <w:color w:val="auto"/>
                <w:kern w:val="2"/>
                <w:sz w:val="24"/>
                <w:szCs w:val="24"/>
                <w:highlight w:val="none"/>
                <w:lang w:eastAsia="zh-CN"/>
              </w:rPr>
              <w:t>项目主要生产设备见表</w:t>
            </w:r>
            <w:r>
              <w:rPr>
                <w:rFonts w:hint="eastAsia" w:ascii="Times New Roman" w:hAnsi="Times New Roman" w:eastAsia="宋体" w:cs="Times New Roman"/>
                <w:color w:val="auto"/>
                <w:kern w:val="2"/>
                <w:sz w:val="24"/>
                <w:szCs w:val="24"/>
                <w:highlight w:val="none"/>
                <w:lang w:val="en-US" w:eastAsia="zh-CN"/>
              </w:rPr>
              <w:t>2</w:t>
            </w:r>
            <w:r>
              <w:rPr>
                <w:rFonts w:hint="eastAsia" w:cs="Times New Roman"/>
                <w:color w:val="auto"/>
                <w:kern w:val="2"/>
                <w:sz w:val="24"/>
                <w:szCs w:val="24"/>
                <w:highlight w:val="none"/>
                <w:lang w:val="en-US" w:eastAsia="zh-CN"/>
              </w:rPr>
              <w:t>.5</w:t>
            </w:r>
            <w:r>
              <w:rPr>
                <w:rFonts w:hint="eastAsia" w:ascii="Times New Roman" w:hAnsi="Times New Roman" w:eastAsia="宋体" w:cs="Times New Roman"/>
                <w:color w:val="auto"/>
                <w:kern w:val="2"/>
                <w:sz w:val="24"/>
                <w:szCs w:val="24"/>
                <w:highlight w:val="none"/>
                <w:lang w:val="en-US" w:eastAsia="zh-CN"/>
              </w:rPr>
              <w:t>-</w:t>
            </w:r>
            <w:r>
              <w:rPr>
                <w:rFonts w:hint="eastAsia" w:cs="Times New Roman"/>
                <w:color w:val="auto"/>
                <w:kern w:val="2"/>
                <w:sz w:val="24"/>
                <w:szCs w:val="24"/>
                <w:highlight w:val="none"/>
                <w:lang w:val="en-US" w:eastAsia="zh-CN"/>
              </w:rPr>
              <w:t>1</w:t>
            </w:r>
            <w:r>
              <w:rPr>
                <w:rFonts w:hint="default" w:ascii="Times New Roman" w:hAnsi="Times New Roman" w:eastAsia="宋体" w:cs="Times New Roman"/>
                <w:color w:val="auto"/>
                <w:kern w:val="2"/>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jc w:val="center"/>
              <w:textAlignment w:val="auto"/>
              <w:rPr>
                <w:b/>
                <w:color w:val="auto"/>
                <w:sz w:val="24"/>
                <w:highlight w:val="none"/>
              </w:rPr>
            </w:pPr>
            <w:r>
              <w:rPr>
                <w:b/>
                <w:color w:val="auto"/>
                <w:sz w:val="24"/>
                <w:highlight w:val="none"/>
              </w:rPr>
              <w:t>表</w:t>
            </w:r>
            <w:r>
              <w:rPr>
                <w:rFonts w:hint="eastAsia"/>
                <w:b/>
                <w:color w:val="auto"/>
                <w:sz w:val="24"/>
                <w:highlight w:val="none"/>
              </w:rPr>
              <w:t>2</w:t>
            </w:r>
            <w:r>
              <w:rPr>
                <w:rFonts w:hint="eastAsia"/>
                <w:b/>
                <w:color w:val="auto"/>
                <w:sz w:val="24"/>
                <w:highlight w:val="none"/>
                <w:lang w:val="en-US" w:eastAsia="zh-CN"/>
              </w:rPr>
              <w:t>.5-1</w:t>
            </w:r>
            <w:r>
              <w:rPr>
                <w:b/>
                <w:color w:val="auto"/>
                <w:sz w:val="24"/>
                <w:highlight w:val="none"/>
              </w:rPr>
              <w:t>主要生产设备一览表</w:t>
            </w:r>
          </w:p>
          <w:tbl>
            <w:tblPr>
              <w:tblStyle w:val="29"/>
              <w:tblW w:w="811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9"/>
              <w:gridCol w:w="749"/>
              <w:gridCol w:w="1095"/>
              <w:gridCol w:w="1061"/>
              <w:gridCol w:w="841"/>
              <w:gridCol w:w="1365"/>
              <w:gridCol w:w="663"/>
              <w:gridCol w:w="980"/>
              <w:gridCol w:w="8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序号</w:t>
                  </w:r>
                </w:p>
              </w:tc>
              <w:tc>
                <w:tcPr>
                  <w:tcW w:w="74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生产单元</w:t>
                  </w:r>
                </w:p>
              </w:tc>
              <w:tc>
                <w:tcPr>
                  <w:tcW w:w="10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生产</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工序</w:t>
                  </w: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设备名称</w:t>
                  </w:r>
                </w:p>
              </w:tc>
              <w:tc>
                <w:tcPr>
                  <w:tcW w:w="13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型号</w:t>
                  </w:r>
                </w:p>
              </w:tc>
              <w:tc>
                <w:tcPr>
                  <w:tcW w:w="6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数量</w:t>
                  </w:r>
                </w:p>
              </w:tc>
              <w:tc>
                <w:tcPr>
                  <w:tcW w:w="1797" w:type="dxa"/>
                  <w:gridSpan w:val="2"/>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设施参数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w:t>
                  </w:r>
                </w:p>
              </w:tc>
              <w:tc>
                <w:tcPr>
                  <w:tcW w:w="749"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浇注生产单元</w:t>
                  </w:r>
                </w:p>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13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02" w:type="dxa"/>
                  <w:gridSpan w:val="2"/>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p>
              </w:tc>
              <w:tc>
                <w:tcPr>
                  <w:tcW w:w="13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3</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1365"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1365"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9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136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9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6</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1365"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9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7</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8</w:t>
                  </w:r>
                </w:p>
              </w:tc>
              <w:tc>
                <w:tcPr>
                  <w:tcW w:w="749"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压铸生产单元</w:t>
                  </w:r>
                </w:p>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13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9</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02" w:type="dxa"/>
                  <w:gridSpan w:val="2"/>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36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10</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36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11</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6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12</w:t>
                  </w:r>
                </w:p>
              </w:tc>
              <w:tc>
                <w:tcPr>
                  <w:tcW w:w="749" w:type="dxa"/>
                  <w:vMerge w:val="restart"/>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锻造（红冲）生产单元</w:t>
                  </w: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136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13</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136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14</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136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15</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136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16</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136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17</w:t>
                  </w:r>
                </w:p>
              </w:tc>
              <w:tc>
                <w:tcPr>
                  <w:tcW w:w="749" w:type="dxa"/>
                  <w:vMerge w:val="restart"/>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机加工生产单元</w:t>
                  </w: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902" w:type="dxa"/>
                  <w:gridSpan w:val="2"/>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36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18</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19</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20</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21</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22</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23</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24</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25</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26</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27</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28</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29</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30</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31</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32</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33</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34</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35</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36</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37</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38</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39</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40</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41</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42</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43</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44</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45</w:t>
                  </w:r>
                </w:p>
              </w:tc>
              <w:tc>
                <w:tcPr>
                  <w:tcW w:w="749" w:type="dxa"/>
                  <w:vMerge w:val="restart"/>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注塑生产单元</w:t>
                  </w: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46</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47</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48</w:t>
                  </w:r>
                </w:p>
              </w:tc>
              <w:tc>
                <w:tcPr>
                  <w:tcW w:w="749" w:type="dxa"/>
                  <w:vMerge w:val="restart"/>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进水软管生产单元</w:t>
                  </w: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49</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50</w:t>
                  </w:r>
                </w:p>
              </w:tc>
              <w:tc>
                <w:tcPr>
                  <w:tcW w:w="749" w:type="dxa"/>
                  <w:vMerge w:val="restart"/>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木质家具生产单元</w:t>
                  </w: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51</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52</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53</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54</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55</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5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56</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5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57</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5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58</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59</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60</w:t>
                  </w:r>
                </w:p>
              </w:tc>
              <w:tc>
                <w:tcPr>
                  <w:tcW w:w="749" w:type="dxa"/>
                  <w:vMerge w:val="restart"/>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组装单元</w:t>
                  </w: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61</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62</w:t>
                  </w:r>
                </w:p>
              </w:tc>
              <w:tc>
                <w:tcPr>
                  <w:tcW w:w="1844" w:type="dxa"/>
                  <w:gridSpan w:val="2"/>
                  <w:vMerge w:val="restart"/>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检测</w:t>
                  </w:r>
                </w:p>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设备</w:t>
                  </w:r>
                </w:p>
              </w:tc>
              <w:tc>
                <w:tcPr>
                  <w:tcW w:w="106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84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36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643"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bidi="ar"/>
                    </w:rPr>
                  </w:pPr>
                </w:p>
              </w:tc>
              <w:tc>
                <w:tcPr>
                  <w:tcW w:w="8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63</w:t>
                  </w:r>
                </w:p>
              </w:tc>
              <w:tc>
                <w:tcPr>
                  <w:tcW w:w="1844" w:type="dxa"/>
                  <w:gridSpan w:val="2"/>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cs="Times New Roman"/>
                      <w:color w:val="auto"/>
                      <w:sz w:val="21"/>
                      <w:szCs w:val="21"/>
                      <w:highlight w:val="none"/>
                      <w:vertAlign w:val="baseline"/>
                      <w:lang w:val="en-US" w:eastAsia="zh-CN"/>
                    </w:rPr>
                  </w:pPr>
                </w:p>
              </w:tc>
              <w:tc>
                <w:tcPr>
                  <w:tcW w:w="106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84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36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643"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bidi="ar"/>
                    </w:rPr>
                  </w:pPr>
                </w:p>
              </w:tc>
              <w:tc>
                <w:tcPr>
                  <w:tcW w:w="8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64</w:t>
                  </w:r>
                </w:p>
              </w:tc>
              <w:tc>
                <w:tcPr>
                  <w:tcW w:w="1844" w:type="dxa"/>
                  <w:gridSpan w:val="2"/>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cs="Times New Roman"/>
                      <w:color w:val="auto"/>
                      <w:sz w:val="21"/>
                      <w:szCs w:val="21"/>
                      <w:highlight w:val="none"/>
                      <w:vertAlign w:val="baseline"/>
                      <w:lang w:val="en-US" w:eastAsia="zh-CN"/>
                    </w:rPr>
                  </w:pPr>
                </w:p>
              </w:tc>
              <w:tc>
                <w:tcPr>
                  <w:tcW w:w="106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84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36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643"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bidi="ar"/>
                    </w:rPr>
                  </w:pPr>
                </w:p>
              </w:tc>
              <w:tc>
                <w:tcPr>
                  <w:tcW w:w="8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65</w:t>
                  </w:r>
                </w:p>
              </w:tc>
              <w:tc>
                <w:tcPr>
                  <w:tcW w:w="1844" w:type="dxa"/>
                  <w:gridSpan w:val="2"/>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cs="Times New Roman"/>
                      <w:color w:val="auto"/>
                      <w:sz w:val="21"/>
                      <w:szCs w:val="21"/>
                      <w:highlight w:val="none"/>
                      <w:vertAlign w:val="baseline"/>
                      <w:lang w:val="en-US" w:eastAsia="zh-CN"/>
                    </w:rPr>
                  </w:pPr>
                </w:p>
              </w:tc>
              <w:tc>
                <w:tcPr>
                  <w:tcW w:w="106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84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36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643"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bidi="ar"/>
                    </w:rPr>
                  </w:pPr>
                </w:p>
              </w:tc>
              <w:tc>
                <w:tcPr>
                  <w:tcW w:w="8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vertAlign w:val="baseline"/>
                      <w:lang w:val="en-US" w:eastAsia="zh-CN"/>
                    </w:rPr>
                  </w:pPr>
                </w:p>
              </w:tc>
            </w:tr>
          </w:tbl>
          <w:p>
            <w:pPr>
              <w:numPr>
                <w:ilvl w:val="0"/>
                <w:numId w:val="0"/>
              </w:numPr>
              <w:spacing w:before="120" w:beforeLines="50" w:line="360" w:lineRule="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2.</w:t>
            </w:r>
            <w:r>
              <w:rPr>
                <w:rFonts w:hint="eastAsia" w:ascii="Times New Roman" w:hAnsi="Times New Roman" w:eastAsia="宋体" w:cs="Times New Roman"/>
                <w:b/>
                <w:color w:val="auto"/>
                <w:sz w:val="24"/>
                <w:szCs w:val="24"/>
                <w:lang w:val="en-US" w:eastAsia="zh-CN"/>
              </w:rPr>
              <w:t>6</w:t>
            </w:r>
            <w:r>
              <w:rPr>
                <w:rFonts w:hint="default" w:ascii="Times New Roman" w:hAnsi="Times New Roman" w:eastAsia="宋体" w:cs="Times New Roman"/>
                <w:b/>
                <w:color w:val="auto"/>
                <w:sz w:val="24"/>
                <w:szCs w:val="24"/>
                <w:lang w:val="en-US" w:eastAsia="zh-CN"/>
              </w:rPr>
              <w:t xml:space="preserve"> </w:t>
            </w:r>
            <w:r>
              <w:rPr>
                <w:rFonts w:hint="eastAsia" w:ascii="Times New Roman" w:hAnsi="Times New Roman" w:eastAsia="宋体" w:cs="Times New Roman"/>
                <w:b/>
                <w:color w:val="auto"/>
                <w:sz w:val="24"/>
                <w:szCs w:val="24"/>
                <w:lang w:val="en-US" w:eastAsia="zh-CN"/>
              </w:rPr>
              <w:t>项目</w:t>
            </w:r>
            <w:r>
              <w:rPr>
                <w:rFonts w:hint="eastAsia" w:cs="Times New Roman"/>
                <w:b/>
                <w:color w:val="auto"/>
                <w:sz w:val="24"/>
                <w:szCs w:val="24"/>
                <w:lang w:val="en-US" w:eastAsia="zh-CN"/>
              </w:rPr>
              <w:t>生产能力</w:t>
            </w:r>
            <w:r>
              <w:rPr>
                <w:rFonts w:hint="eastAsia" w:ascii="Times New Roman" w:hAnsi="Times New Roman" w:eastAsia="宋体" w:cs="Times New Roman"/>
                <w:b/>
                <w:color w:val="auto"/>
                <w:sz w:val="24"/>
                <w:szCs w:val="24"/>
                <w:lang w:val="en-US" w:eastAsia="zh-CN"/>
              </w:rPr>
              <w:t xml:space="preserve">分析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 xml:space="preserve">（1）重力铸造设备与铸造车间面积匹配性分析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根据建设单位提供资料可知，项目重力铸造工序配备的1套有芯工频感应电炉和配套的重力浇注机及相应的操作台占地面积约30m</w:t>
            </w:r>
            <w:r>
              <w:rPr>
                <w:rFonts w:hint="default"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16"/>
                <w:szCs w:val="16"/>
                <w:lang w:val="en-US" w:eastAsia="zh-CN" w:bidi="ar"/>
              </w:rPr>
              <w:t xml:space="preserve"> </w:t>
            </w:r>
            <w:r>
              <w:rPr>
                <w:rFonts w:hint="default" w:ascii="Times New Roman" w:hAnsi="Times New Roman" w:eastAsia="宋体" w:cs="Times New Roman"/>
                <w:color w:val="auto"/>
                <w:kern w:val="0"/>
                <w:sz w:val="24"/>
                <w:szCs w:val="24"/>
                <w:lang w:val="en-US" w:eastAsia="zh-CN" w:bidi="ar"/>
              </w:rPr>
              <w:t>，项目拟配备5套有芯工频感应电炉、5组重力浇注机及相应操作台，则总占地面积约150m</w:t>
            </w:r>
            <w:r>
              <w:rPr>
                <w:rFonts w:hint="default"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16"/>
                <w:szCs w:val="16"/>
                <w:lang w:val="en-US" w:eastAsia="zh-CN" w:bidi="ar"/>
              </w:rPr>
              <w:t xml:space="preserve"> </w:t>
            </w:r>
            <w:r>
              <w:rPr>
                <w:rFonts w:hint="default" w:ascii="Times New Roman" w:hAnsi="Times New Roman" w:eastAsia="宋体" w:cs="Times New Roman"/>
                <w:color w:val="auto"/>
                <w:kern w:val="0"/>
                <w:sz w:val="24"/>
                <w:szCs w:val="24"/>
                <w:lang w:val="en-US" w:eastAsia="zh-CN" w:bidi="ar"/>
              </w:rPr>
              <w:t>，项目铸造车间占地面积约300m</w:t>
            </w:r>
            <w:r>
              <w:rPr>
                <w:rFonts w:hint="default"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val="en-US" w:eastAsia="zh-CN" w:bidi="ar"/>
              </w:rPr>
              <w:t xml:space="preserve">，因此项目铸造车间面积可满足重力铸造工序生产需求。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 xml:space="preserve">（2）重力铸造设备产能匹配性分析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项目拟购置的主体熔铸设备产能与本项目预计生产规模匹配性见表 2.6</w:t>
            </w:r>
            <w:r>
              <w:rPr>
                <w:rFonts w:hint="eastAsia" w:ascii="Times New Roman" w:hAnsi="Times New Roman" w:cs="Times New Roman"/>
                <w:color w:val="auto"/>
                <w:kern w:val="0"/>
                <w:sz w:val="24"/>
                <w:szCs w:val="24"/>
                <w:lang w:val="en-US" w:eastAsia="zh-CN" w:bidi="ar"/>
              </w:rPr>
              <w:t>-1</w:t>
            </w:r>
            <w:r>
              <w:rPr>
                <w:rFonts w:hint="default" w:ascii="Times New Roman" w:hAnsi="Times New Roman" w:eastAsia="宋体" w:cs="Times New Roman"/>
                <w:color w:val="auto"/>
                <w:kern w:val="0"/>
                <w:sz w:val="24"/>
                <w:szCs w:val="24"/>
                <w:lang w:val="en-US" w:eastAsia="zh-CN" w:bidi="ar"/>
              </w:rPr>
              <w:t xml:space="preserve"> 所示。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从表</w:t>
            </w:r>
            <w:r>
              <w:rPr>
                <w:rFonts w:hint="eastAsia" w:cs="Times New Roman"/>
                <w:color w:val="auto"/>
                <w:kern w:val="0"/>
                <w:sz w:val="24"/>
                <w:szCs w:val="24"/>
                <w:lang w:val="en-US" w:eastAsia="zh-CN" w:bidi="ar"/>
              </w:rPr>
              <w:t>2.6-1</w:t>
            </w:r>
            <w:r>
              <w:rPr>
                <w:rFonts w:hint="default" w:ascii="Times New Roman" w:hAnsi="Times New Roman" w:eastAsia="宋体" w:cs="Times New Roman"/>
                <w:color w:val="auto"/>
                <w:kern w:val="0"/>
                <w:sz w:val="24"/>
                <w:szCs w:val="24"/>
                <w:lang w:val="en-US" w:eastAsia="zh-CN" w:bidi="ar"/>
              </w:rPr>
              <w:t>中可以看到，</w:t>
            </w:r>
            <w:r>
              <w:rPr>
                <w:rFonts w:hint="eastAsia" w:ascii="Times New Roman" w:hAnsi="Times New Roman" w:eastAsia="宋体" w:cs="Times New Roman"/>
                <w:color w:val="auto"/>
                <w:kern w:val="0"/>
                <w:sz w:val="24"/>
                <w:szCs w:val="24"/>
                <w:lang w:val="en-US" w:eastAsia="zh-CN" w:bidi="ar"/>
              </w:rPr>
              <w:t>本项目设计生产能力为年产30000吨，因此，项目熔化炉数量、规格符合本项目生产要求。</w:t>
            </w: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b/>
                <w:color w:val="auto"/>
                <w:sz w:val="24"/>
              </w:rPr>
            </w:pP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b/>
                <w:color w:val="auto"/>
                <w:sz w:val="24"/>
              </w:rPr>
            </w:pP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b/>
                <w:color w:val="auto"/>
                <w:sz w:val="24"/>
              </w:rPr>
            </w:pPr>
            <w:r>
              <w:rPr>
                <w:rFonts w:hint="eastAsia"/>
                <w:b/>
                <w:color w:val="auto"/>
                <w:sz w:val="24"/>
              </w:rPr>
              <w:t xml:space="preserve">表2.6-1 </w:t>
            </w:r>
            <w:r>
              <w:rPr>
                <w:rFonts w:hint="eastAsia"/>
                <w:b/>
                <w:color w:val="auto"/>
                <w:sz w:val="24"/>
                <w:lang w:val="en-US" w:eastAsia="zh-CN"/>
              </w:rPr>
              <w:t>重力铸造产能匹配</w:t>
            </w:r>
            <w:r>
              <w:rPr>
                <w:rFonts w:hint="eastAsia"/>
                <w:b/>
                <w:color w:val="auto"/>
                <w:sz w:val="24"/>
              </w:rPr>
              <w:t>分析表</w:t>
            </w:r>
          </w:p>
          <w:tbl>
            <w:tblPr>
              <w:tblStyle w:val="29"/>
              <w:tblW w:w="795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5"/>
              <w:gridCol w:w="1139"/>
              <w:gridCol w:w="1512"/>
              <w:gridCol w:w="1328"/>
              <w:gridCol w:w="1485"/>
              <w:gridCol w:w="116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325" w:type="dxa"/>
                  <w:vMerge w:val="restart"/>
                  <w:tcBorders>
                    <w:tl2br w:val="nil"/>
                    <w:tr2bl w:val="nil"/>
                  </w:tcBorders>
                  <w:vAlign w:val="center"/>
                </w:tcPr>
                <w:p>
                  <w:pPr>
                    <w:keepNext w:val="0"/>
                    <w:keepLines w:val="0"/>
                    <w:widowControl/>
                    <w:suppressLineNumbers w:val="0"/>
                    <w:jc w:val="center"/>
                    <w:rPr>
                      <w:rFonts w:hint="default" w:ascii="宋体" w:hAnsi="宋体" w:eastAsia="宋体" w:cs="宋体"/>
                      <w:b/>
                      <w:bCs/>
                      <w:color w:val="auto"/>
                      <w:kern w:val="0"/>
                      <w:sz w:val="21"/>
                      <w:szCs w:val="21"/>
                      <w:lang w:val="en-US" w:eastAsia="zh-CN" w:bidi="ar"/>
                    </w:rPr>
                  </w:pPr>
                  <w:r>
                    <w:rPr>
                      <w:rFonts w:hint="eastAsia" w:ascii="宋体" w:hAnsi="宋体" w:eastAsia="宋体" w:cs="宋体"/>
                      <w:b/>
                      <w:bCs/>
                      <w:color w:val="auto"/>
                      <w:kern w:val="0"/>
                      <w:sz w:val="21"/>
                      <w:szCs w:val="21"/>
                      <w:lang w:val="en-US" w:eastAsia="zh-CN" w:bidi="ar"/>
                    </w:rPr>
                    <w:t>主要设备</w:t>
                  </w:r>
                </w:p>
              </w:tc>
              <w:tc>
                <w:tcPr>
                  <w:tcW w:w="3979" w:type="dxa"/>
                  <w:gridSpan w:val="3"/>
                  <w:tcBorders>
                    <w:tl2br w:val="nil"/>
                    <w:tr2bl w:val="nil"/>
                  </w:tcBorders>
                  <w:vAlign w:val="center"/>
                </w:tcPr>
                <w:p>
                  <w:pPr>
                    <w:keepNext w:val="0"/>
                    <w:keepLines w:val="0"/>
                    <w:widowControl/>
                    <w:suppressLineNumbers w:val="0"/>
                    <w:jc w:val="center"/>
                    <w:rPr>
                      <w:rFonts w:hint="eastAsia" w:ascii="宋体" w:hAnsi="宋体" w:eastAsia="宋体" w:cs="宋体"/>
                      <w:b/>
                      <w:bCs/>
                      <w:color w:val="auto"/>
                      <w:kern w:val="0"/>
                      <w:sz w:val="21"/>
                      <w:szCs w:val="21"/>
                      <w:lang w:val="en-US" w:eastAsia="zh-CN" w:bidi="ar"/>
                    </w:rPr>
                  </w:pPr>
                  <w:r>
                    <w:rPr>
                      <w:rFonts w:hint="eastAsia" w:ascii="宋体" w:hAnsi="宋体" w:eastAsia="宋体" w:cs="宋体"/>
                      <w:b/>
                      <w:bCs/>
                      <w:color w:val="auto"/>
                      <w:kern w:val="0"/>
                      <w:sz w:val="21"/>
                      <w:szCs w:val="21"/>
                      <w:lang w:val="en-US" w:eastAsia="zh-CN" w:bidi="ar"/>
                    </w:rPr>
                    <w:t>设计参数规模</w:t>
                  </w:r>
                </w:p>
              </w:tc>
              <w:tc>
                <w:tcPr>
                  <w:tcW w:w="1485" w:type="dxa"/>
                  <w:vMerge w:val="restart"/>
                  <w:tcBorders>
                    <w:tl2br w:val="nil"/>
                    <w:tr2bl w:val="nil"/>
                  </w:tcBorders>
                  <w:vAlign w:val="center"/>
                </w:tcPr>
                <w:p>
                  <w:pPr>
                    <w:keepNext w:val="0"/>
                    <w:keepLines w:val="0"/>
                    <w:widowControl/>
                    <w:suppressLineNumbers w:val="0"/>
                    <w:jc w:val="center"/>
                    <w:rPr>
                      <w:rFonts w:hint="default" w:ascii="宋体" w:hAnsi="宋体" w:eastAsia="宋体" w:cs="宋体"/>
                      <w:b/>
                      <w:bCs/>
                      <w:color w:val="auto"/>
                      <w:kern w:val="0"/>
                      <w:sz w:val="21"/>
                      <w:szCs w:val="21"/>
                      <w:lang w:val="en-US" w:eastAsia="zh-CN" w:bidi="ar"/>
                    </w:rPr>
                  </w:pPr>
                  <w:r>
                    <w:rPr>
                      <w:rFonts w:hint="eastAsia" w:ascii="宋体" w:hAnsi="宋体" w:cs="宋体"/>
                      <w:b/>
                      <w:bCs/>
                      <w:color w:val="auto"/>
                      <w:kern w:val="0"/>
                      <w:sz w:val="21"/>
                      <w:szCs w:val="21"/>
                      <w:lang w:val="en-US" w:eastAsia="zh-CN" w:bidi="ar"/>
                    </w:rPr>
                    <w:t>设计生产规模</w:t>
                  </w:r>
                </w:p>
              </w:tc>
              <w:tc>
                <w:tcPr>
                  <w:tcW w:w="1169" w:type="dxa"/>
                  <w:vMerge w:val="restart"/>
                  <w:tcBorders>
                    <w:tl2br w:val="nil"/>
                    <w:tr2bl w:val="nil"/>
                  </w:tcBorders>
                  <w:vAlign w:val="center"/>
                </w:tcPr>
                <w:p>
                  <w:pPr>
                    <w:keepNext w:val="0"/>
                    <w:keepLines w:val="0"/>
                    <w:widowControl/>
                    <w:suppressLineNumbers w:val="0"/>
                    <w:jc w:val="center"/>
                    <w:rPr>
                      <w:rFonts w:hint="default" w:ascii="宋体" w:hAnsi="宋体" w:eastAsia="宋体" w:cs="宋体"/>
                      <w:b/>
                      <w:bCs/>
                      <w:color w:val="auto"/>
                      <w:kern w:val="0"/>
                      <w:sz w:val="21"/>
                      <w:szCs w:val="21"/>
                      <w:lang w:val="en-US" w:eastAsia="zh-CN" w:bidi="ar"/>
                    </w:rPr>
                  </w:pPr>
                  <w:r>
                    <w:rPr>
                      <w:rFonts w:hint="eastAsia" w:ascii="宋体" w:hAnsi="宋体" w:cs="宋体"/>
                      <w:b/>
                      <w:bCs/>
                      <w:color w:val="auto"/>
                      <w:kern w:val="0"/>
                      <w:sz w:val="21"/>
                      <w:szCs w:val="21"/>
                      <w:lang w:val="en-US" w:eastAsia="zh-CN" w:bidi="ar"/>
                    </w:rPr>
                    <w:t>设备可达规模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325" w:type="dxa"/>
                  <w:vMerge w:val="continue"/>
                  <w:tcBorders>
                    <w:tl2br w:val="nil"/>
                    <w:tr2bl w:val="nil"/>
                  </w:tcBorders>
                  <w:vAlign w:val="center"/>
                </w:tcPr>
                <w:p>
                  <w:pPr>
                    <w:keepNext w:val="0"/>
                    <w:keepLines w:val="0"/>
                    <w:widowControl/>
                    <w:suppressLineNumbers w:val="0"/>
                    <w:jc w:val="center"/>
                    <w:rPr>
                      <w:rFonts w:hint="eastAsia" w:ascii="宋体" w:hAnsi="宋体" w:eastAsia="宋体" w:cs="宋体"/>
                      <w:b/>
                      <w:bCs/>
                      <w:color w:val="auto"/>
                      <w:kern w:val="0"/>
                      <w:sz w:val="21"/>
                      <w:szCs w:val="21"/>
                      <w:lang w:val="en-US" w:eastAsia="zh-CN" w:bidi="ar"/>
                    </w:rPr>
                  </w:pPr>
                </w:p>
              </w:tc>
              <w:tc>
                <w:tcPr>
                  <w:tcW w:w="1139" w:type="dxa"/>
                  <w:tcBorders>
                    <w:tl2br w:val="nil"/>
                    <w:tr2bl w:val="nil"/>
                  </w:tcBorders>
                  <w:vAlign w:val="center"/>
                </w:tcPr>
                <w:p>
                  <w:pPr>
                    <w:keepNext w:val="0"/>
                    <w:keepLines w:val="0"/>
                    <w:widowControl/>
                    <w:suppressLineNumbers w:val="0"/>
                    <w:jc w:val="center"/>
                    <w:rPr>
                      <w:rFonts w:hint="default" w:ascii="宋体" w:hAnsi="宋体" w:eastAsia="宋体" w:cs="宋体"/>
                      <w:b/>
                      <w:bCs/>
                      <w:color w:val="auto"/>
                      <w:kern w:val="0"/>
                      <w:sz w:val="21"/>
                      <w:szCs w:val="21"/>
                      <w:lang w:val="en-US" w:eastAsia="zh-CN" w:bidi="ar"/>
                    </w:rPr>
                  </w:pPr>
                  <w:r>
                    <w:rPr>
                      <w:rFonts w:hint="eastAsia" w:ascii="宋体" w:hAnsi="宋体" w:eastAsia="宋体" w:cs="宋体"/>
                      <w:b/>
                      <w:bCs/>
                      <w:color w:val="auto"/>
                      <w:kern w:val="0"/>
                      <w:sz w:val="21"/>
                      <w:szCs w:val="21"/>
                      <w:lang w:val="en-US" w:eastAsia="zh-CN" w:bidi="ar"/>
                    </w:rPr>
                    <w:t>数量</w:t>
                  </w:r>
                </w:p>
              </w:tc>
              <w:tc>
                <w:tcPr>
                  <w:tcW w:w="1512" w:type="dxa"/>
                  <w:tcBorders>
                    <w:tl2br w:val="nil"/>
                    <w:tr2bl w:val="nil"/>
                  </w:tcBorders>
                  <w:vAlign w:val="center"/>
                </w:tcPr>
                <w:p>
                  <w:pPr>
                    <w:keepNext w:val="0"/>
                    <w:keepLines w:val="0"/>
                    <w:widowControl/>
                    <w:suppressLineNumbers w:val="0"/>
                    <w:jc w:val="center"/>
                    <w:rPr>
                      <w:rFonts w:hint="eastAsia" w:ascii="宋体" w:hAnsi="宋体" w:eastAsia="宋体" w:cs="宋体"/>
                      <w:b/>
                      <w:bCs/>
                      <w:color w:val="auto"/>
                      <w:kern w:val="0"/>
                      <w:sz w:val="21"/>
                      <w:szCs w:val="21"/>
                      <w:lang w:val="en-US" w:eastAsia="zh-CN" w:bidi="ar"/>
                    </w:rPr>
                  </w:pPr>
                  <w:r>
                    <w:rPr>
                      <w:rFonts w:hint="eastAsia" w:ascii="宋体" w:hAnsi="宋体" w:eastAsia="宋体" w:cs="宋体"/>
                      <w:b/>
                      <w:bCs/>
                      <w:color w:val="auto"/>
                      <w:kern w:val="0"/>
                      <w:sz w:val="21"/>
                      <w:szCs w:val="21"/>
                      <w:lang w:val="en-US" w:eastAsia="zh-CN" w:bidi="ar"/>
                    </w:rPr>
                    <w:t>设计生产能力</w:t>
                  </w:r>
                </w:p>
              </w:tc>
              <w:tc>
                <w:tcPr>
                  <w:tcW w:w="1328" w:type="dxa"/>
                  <w:tcBorders>
                    <w:tl2br w:val="nil"/>
                    <w:tr2bl w:val="nil"/>
                  </w:tcBorders>
                  <w:vAlign w:val="center"/>
                </w:tcPr>
                <w:p>
                  <w:pPr>
                    <w:keepNext w:val="0"/>
                    <w:keepLines w:val="0"/>
                    <w:widowControl/>
                    <w:suppressLineNumbers w:val="0"/>
                    <w:jc w:val="center"/>
                    <w:rPr>
                      <w:rFonts w:hint="default" w:ascii="宋体" w:hAnsi="宋体" w:eastAsia="宋体" w:cs="宋体"/>
                      <w:b/>
                      <w:bCs/>
                      <w:color w:val="auto"/>
                      <w:kern w:val="0"/>
                      <w:sz w:val="21"/>
                      <w:szCs w:val="21"/>
                      <w:lang w:val="en-US" w:eastAsia="zh-CN" w:bidi="ar"/>
                    </w:rPr>
                  </w:pPr>
                  <w:r>
                    <w:rPr>
                      <w:rFonts w:hint="eastAsia" w:ascii="宋体" w:hAnsi="宋体" w:eastAsia="宋体" w:cs="宋体"/>
                      <w:b/>
                      <w:bCs/>
                      <w:color w:val="auto"/>
                      <w:kern w:val="0"/>
                      <w:sz w:val="21"/>
                      <w:szCs w:val="21"/>
                      <w:lang w:val="en-US" w:eastAsia="zh-CN" w:bidi="ar"/>
                    </w:rPr>
                    <w:t>工作时间</w:t>
                  </w:r>
                </w:p>
              </w:tc>
              <w:tc>
                <w:tcPr>
                  <w:tcW w:w="1485" w:type="dxa"/>
                  <w:vMerge w:val="continue"/>
                  <w:tcBorders>
                    <w:tl2br w:val="nil"/>
                    <w:tr2bl w:val="nil"/>
                  </w:tcBorders>
                  <w:vAlign w:val="center"/>
                </w:tcPr>
                <w:p>
                  <w:pPr>
                    <w:keepNext w:val="0"/>
                    <w:keepLines w:val="0"/>
                    <w:widowControl/>
                    <w:suppressLineNumbers w:val="0"/>
                    <w:jc w:val="center"/>
                    <w:rPr>
                      <w:rFonts w:hint="eastAsia" w:ascii="宋体" w:hAnsi="宋体" w:eastAsia="宋体" w:cs="宋体"/>
                      <w:b/>
                      <w:bCs/>
                      <w:color w:val="auto"/>
                      <w:kern w:val="0"/>
                      <w:sz w:val="21"/>
                      <w:szCs w:val="21"/>
                      <w:lang w:val="en-US" w:eastAsia="zh-CN" w:bidi="ar"/>
                    </w:rPr>
                  </w:pPr>
                </w:p>
              </w:tc>
              <w:tc>
                <w:tcPr>
                  <w:tcW w:w="1169" w:type="dxa"/>
                  <w:vMerge w:val="continue"/>
                  <w:tcBorders>
                    <w:tl2br w:val="nil"/>
                    <w:tr2bl w:val="nil"/>
                  </w:tcBorders>
                  <w:vAlign w:val="center"/>
                </w:tcPr>
                <w:p>
                  <w:pPr>
                    <w:keepNext w:val="0"/>
                    <w:keepLines w:val="0"/>
                    <w:widowControl/>
                    <w:suppressLineNumbers w:val="0"/>
                    <w:jc w:val="center"/>
                    <w:rPr>
                      <w:rFonts w:hint="eastAsia" w:ascii="宋体" w:hAnsi="宋体" w:eastAsia="宋体" w:cs="宋体"/>
                      <w:b/>
                      <w:bCs/>
                      <w:color w:val="auto"/>
                      <w:kern w:val="0"/>
                      <w:sz w:val="21"/>
                      <w:szCs w:val="21"/>
                      <w:lang w:val="en-US" w:eastAsia="zh-CN"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1325"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有芯工频感应电炉</w:t>
                  </w:r>
                </w:p>
              </w:tc>
              <w:tc>
                <w:tcPr>
                  <w:tcW w:w="1139"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5套</w:t>
                  </w:r>
                </w:p>
              </w:tc>
              <w:tc>
                <w:tcPr>
                  <w:tcW w:w="1512"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2t/h，连续生产</w:t>
                  </w:r>
                </w:p>
              </w:tc>
              <w:tc>
                <w:tcPr>
                  <w:tcW w:w="1328"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3000h/a</w:t>
                  </w:r>
                </w:p>
              </w:tc>
              <w:tc>
                <w:tcPr>
                  <w:tcW w:w="1485"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3</w:t>
                  </w:r>
                  <w:r>
                    <w:rPr>
                      <w:rFonts w:hint="default" w:ascii="Times New Roman" w:hAnsi="Times New Roman" w:eastAsia="宋体" w:cs="Times New Roman"/>
                      <w:color w:val="auto"/>
                      <w:kern w:val="0"/>
                      <w:sz w:val="21"/>
                      <w:szCs w:val="21"/>
                      <w:lang w:val="en-US" w:eastAsia="zh-CN" w:bidi="ar"/>
                    </w:rPr>
                    <w:t>000t/a</w:t>
                  </w:r>
                </w:p>
              </w:tc>
              <w:tc>
                <w:tcPr>
                  <w:tcW w:w="1169"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30000t/a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7958" w:type="dxa"/>
                  <w:gridSpan w:val="6"/>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eastAsia" w:ascii="宋体" w:hAnsi="宋体" w:eastAsia="宋体" w:cs="宋体"/>
                      <w:color w:val="auto"/>
                      <w:kern w:val="0"/>
                      <w:sz w:val="20"/>
                      <w:szCs w:val="20"/>
                      <w:lang w:val="en-US" w:eastAsia="zh-CN" w:bidi="ar"/>
                    </w:rPr>
                    <w:t>注：①设备可达规模</w:t>
                  </w:r>
                  <w:r>
                    <w:rPr>
                      <w:rFonts w:hint="default" w:ascii="Times New Roman" w:hAnsi="Times New Roman" w:eastAsia="宋体" w:cs="Times New Roman"/>
                      <w:color w:val="auto"/>
                      <w:kern w:val="0"/>
                      <w:sz w:val="20"/>
                      <w:szCs w:val="20"/>
                      <w:lang w:val="en-US" w:eastAsia="zh-CN" w:bidi="ar"/>
                    </w:rPr>
                    <w:t>=</w:t>
                  </w:r>
                  <w:r>
                    <w:rPr>
                      <w:rFonts w:hint="eastAsia" w:ascii="宋体" w:hAnsi="宋体" w:eastAsia="宋体" w:cs="宋体"/>
                      <w:color w:val="auto"/>
                      <w:kern w:val="0"/>
                      <w:sz w:val="20"/>
                      <w:szCs w:val="20"/>
                      <w:lang w:val="en-US" w:eastAsia="zh-CN" w:bidi="ar"/>
                    </w:rPr>
                    <w:t>数量</w:t>
                  </w:r>
                  <w:r>
                    <w:rPr>
                      <w:rFonts w:hint="default" w:ascii="Arial" w:hAnsi="Arial" w:eastAsia="宋体" w:cs="Arial"/>
                      <w:color w:val="auto"/>
                      <w:kern w:val="0"/>
                      <w:sz w:val="20"/>
                      <w:szCs w:val="20"/>
                      <w:lang w:val="en-US" w:eastAsia="zh-CN" w:bidi="ar"/>
                    </w:rPr>
                    <w:t>×</w:t>
                  </w:r>
                  <w:r>
                    <w:rPr>
                      <w:rFonts w:hint="eastAsia" w:ascii="宋体" w:hAnsi="宋体" w:eastAsia="宋体" w:cs="宋体"/>
                      <w:color w:val="auto"/>
                      <w:kern w:val="0"/>
                      <w:sz w:val="20"/>
                      <w:szCs w:val="20"/>
                      <w:lang w:val="en-US" w:eastAsia="zh-CN" w:bidi="ar"/>
                    </w:rPr>
                    <w:t>设计生产能力</w:t>
                  </w:r>
                  <w:r>
                    <w:rPr>
                      <w:rFonts w:hint="default" w:ascii="Arial" w:hAnsi="Arial" w:eastAsia="宋体" w:cs="Arial"/>
                      <w:color w:val="auto"/>
                      <w:kern w:val="0"/>
                      <w:sz w:val="20"/>
                      <w:szCs w:val="20"/>
                      <w:lang w:val="en-US" w:eastAsia="zh-CN" w:bidi="ar"/>
                    </w:rPr>
                    <w:t>×</w:t>
                  </w:r>
                  <w:r>
                    <w:rPr>
                      <w:rFonts w:hint="eastAsia" w:ascii="宋体" w:hAnsi="宋体" w:eastAsia="宋体" w:cs="宋体"/>
                      <w:color w:val="auto"/>
                      <w:kern w:val="0"/>
                      <w:sz w:val="20"/>
                      <w:szCs w:val="20"/>
                      <w:lang w:val="en-US" w:eastAsia="zh-CN" w:bidi="ar"/>
                    </w:rPr>
                    <w:t>工作时间</w:t>
                  </w:r>
                </w:p>
              </w:tc>
            </w:tr>
          </w:tbl>
          <w:p>
            <w:pPr>
              <w:keepNext w:val="0"/>
              <w:keepLines w:val="0"/>
              <w:pageBreakBefore w:val="0"/>
              <w:widowControl/>
              <w:suppressLineNumbers w:val="0"/>
              <w:kinsoku/>
              <w:wordWrap/>
              <w:overflowPunct/>
              <w:topLinePunct w:val="0"/>
              <w:autoSpaceDE/>
              <w:autoSpaceDN/>
              <w:bidi w:val="0"/>
              <w:adjustRightInd w:val="0"/>
              <w:snapToGrid w:val="0"/>
              <w:spacing w:before="157" w:beforeLines="50" w:line="360" w:lineRule="auto"/>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 xml:space="preserve">（3）压铸机产能分析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项目压铸机产能匹配分析详见表2.6-2。</w:t>
            </w:r>
          </w:p>
          <w:p>
            <w:pPr>
              <w:keepNext w:val="0"/>
              <w:keepLines w:val="0"/>
              <w:widowControl/>
              <w:suppressLineNumbers w:val="0"/>
              <w:spacing w:line="360" w:lineRule="auto"/>
              <w:jc w:val="center"/>
              <w:rPr>
                <w:rFonts w:hint="default" w:ascii="Times New Roman" w:hAnsi="Times New Roman" w:cs="Times New Roman"/>
                <w:color w:val="auto"/>
              </w:rPr>
            </w:pPr>
            <w:r>
              <w:rPr>
                <w:rFonts w:hint="default" w:ascii="Times New Roman" w:hAnsi="Times New Roman" w:eastAsia="宋体" w:cs="Times New Roman"/>
                <w:b/>
                <w:bCs/>
                <w:color w:val="auto"/>
                <w:kern w:val="0"/>
                <w:sz w:val="24"/>
                <w:szCs w:val="24"/>
                <w:lang w:val="en-US" w:eastAsia="zh-CN" w:bidi="ar"/>
              </w:rPr>
              <w:t>表2.6-2 设备产能匹配性分析表</w:t>
            </w:r>
          </w:p>
          <w:tbl>
            <w:tblPr>
              <w:tblStyle w:val="29"/>
              <w:tblW w:w="809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41"/>
              <w:gridCol w:w="1132"/>
              <w:gridCol w:w="722"/>
              <w:gridCol w:w="2091"/>
              <w:gridCol w:w="1591"/>
              <w:gridCol w:w="6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vertAlign w:val="baseline"/>
                      <w:lang w:val="en-US" w:eastAsia="zh-CN"/>
                    </w:rPr>
                  </w:pPr>
                  <w:r>
                    <w:rPr>
                      <w:rFonts w:hint="default" w:ascii="Times New Roman" w:hAnsi="Times New Roman" w:eastAsia="宋体" w:cs="Times New Roman"/>
                      <w:b/>
                      <w:color w:val="auto"/>
                      <w:sz w:val="21"/>
                      <w:szCs w:val="21"/>
                      <w:highlight w:val="none"/>
                      <w:vertAlign w:val="baseline"/>
                      <w:lang w:val="en-US" w:eastAsia="zh-CN"/>
                    </w:rPr>
                    <w:t>工序</w:t>
                  </w:r>
                </w:p>
              </w:tc>
              <w:tc>
                <w:tcPr>
                  <w:tcW w:w="124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vertAlign w:val="baseline"/>
                      <w:lang w:val="en-US" w:eastAsia="zh-CN"/>
                    </w:rPr>
                  </w:pPr>
                  <w:r>
                    <w:rPr>
                      <w:rFonts w:hint="default" w:ascii="Times New Roman" w:hAnsi="Times New Roman" w:eastAsia="宋体" w:cs="Times New Roman"/>
                      <w:b/>
                      <w:color w:val="auto"/>
                      <w:sz w:val="21"/>
                      <w:szCs w:val="21"/>
                      <w:highlight w:val="none"/>
                      <w:vertAlign w:val="baseline"/>
                      <w:lang w:val="en-US" w:eastAsia="zh-CN"/>
                    </w:rPr>
                    <w:t>设备名称</w:t>
                  </w:r>
                </w:p>
              </w:tc>
              <w:tc>
                <w:tcPr>
                  <w:tcW w:w="113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vertAlign w:val="baseline"/>
                      <w:lang w:val="en-US" w:eastAsia="zh-CN"/>
                    </w:rPr>
                  </w:pPr>
                  <w:r>
                    <w:rPr>
                      <w:rFonts w:hint="default" w:ascii="Times New Roman" w:hAnsi="Times New Roman" w:eastAsia="宋体" w:cs="Times New Roman"/>
                      <w:b/>
                      <w:color w:val="auto"/>
                      <w:sz w:val="21"/>
                      <w:szCs w:val="21"/>
                      <w:highlight w:val="none"/>
                      <w:vertAlign w:val="baseline"/>
                      <w:lang w:val="en-US" w:eastAsia="zh-CN"/>
                    </w:rPr>
                    <w:t>设备型号</w:t>
                  </w:r>
                </w:p>
              </w:tc>
              <w:tc>
                <w:tcPr>
                  <w:tcW w:w="72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vertAlign w:val="baseline"/>
                      <w:lang w:val="en-US" w:eastAsia="zh-CN"/>
                    </w:rPr>
                  </w:pPr>
                  <w:r>
                    <w:rPr>
                      <w:rFonts w:hint="default" w:ascii="Times New Roman" w:hAnsi="Times New Roman" w:eastAsia="宋体" w:cs="Times New Roman"/>
                      <w:b/>
                      <w:color w:val="auto"/>
                      <w:sz w:val="21"/>
                      <w:szCs w:val="21"/>
                      <w:highlight w:val="none"/>
                      <w:vertAlign w:val="baseline"/>
                      <w:lang w:val="en-US" w:eastAsia="zh-CN"/>
                    </w:rPr>
                    <w:t>数量</w:t>
                  </w:r>
                </w:p>
              </w:tc>
              <w:tc>
                <w:tcPr>
                  <w:tcW w:w="209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vertAlign w:val="baseline"/>
                      <w:lang w:val="en-US" w:eastAsia="zh-CN"/>
                    </w:rPr>
                  </w:pPr>
                  <w:r>
                    <w:rPr>
                      <w:rFonts w:hint="default" w:ascii="Times New Roman" w:hAnsi="Times New Roman" w:eastAsia="宋体" w:cs="Times New Roman"/>
                      <w:b/>
                      <w:color w:val="auto"/>
                      <w:sz w:val="21"/>
                      <w:szCs w:val="21"/>
                      <w:highlight w:val="none"/>
                      <w:vertAlign w:val="baseline"/>
                      <w:lang w:val="en-US" w:eastAsia="zh-CN"/>
                    </w:rPr>
                    <w:t>运行时间</w:t>
                  </w:r>
                </w:p>
              </w:tc>
              <w:tc>
                <w:tcPr>
                  <w:tcW w:w="159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vertAlign w:val="baseline"/>
                      <w:lang w:val="en-US" w:eastAsia="zh-CN"/>
                    </w:rPr>
                  </w:pPr>
                  <w:r>
                    <w:rPr>
                      <w:rFonts w:hint="default" w:ascii="Times New Roman" w:hAnsi="Times New Roman" w:eastAsia="宋体" w:cs="Times New Roman"/>
                      <w:b/>
                      <w:color w:val="auto"/>
                      <w:sz w:val="21"/>
                      <w:szCs w:val="21"/>
                      <w:highlight w:val="none"/>
                      <w:vertAlign w:val="baseline"/>
                      <w:lang w:val="en-US" w:eastAsia="zh-CN"/>
                    </w:rPr>
                    <w:t>理论最大产能</w:t>
                  </w:r>
                </w:p>
              </w:tc>
              <w:tc>
                <w:tcPr>
                  <w:tcW w:w="655"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vertAlign w:val="baseline"/>
                      <w:lang w:val="en-US" w:eastAsia="zh-CN"/>
                    </w:rPr>
                  </w:pPr>
                  <w:r>
                    <w:rPr>
                      <w:rFonts w:hint="default" w:ascii="Times New Roman" w:hAnsi="Times New Roman" w:eastAsia="宋体" w:cs="Times New Roman"/>
                      <w:b/>
                      <w:color w:val="auto"/>
                      <w:sz w:val="21"/>
                      <w:szCs w:val="21"/>
                      <w:highlight w:val="none"/>
                      <w:vertAlign w:val="baseline"/>
                      <w:lang w:val="en-US" w:eastAsia="zh-CN"/>
                    </w:rPr>
                    <w:t>合计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压铸</w:t>
                  </w:r>
                </w:p>
              </w:tc>
              <w:tc>
                <w:tcPr>
                  <w:tcW w:w="1241"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b w:val="0"/>
                      <w:bCs/>
                      <w:color w:val="auto"/>
                      <w:kern w:val="0"/>
                      <w:sz w:val="21"/>
                      <w:szCs w:val="21"/>
                      <w:highlight w:val="none"/>
                      <w:lang w:val="en-US" w:eastAsia="zh-CN" w:bidi="ar"/>
                    </w:rPr>
                    <w:t>卧式热室压铸机</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kern w:val="0"/>
                      <w:sz w:val="21"/>
                      <w:szCs w:val="21"/>
                      <w:highlight w:val="none"/>
                      <w:lang w:val="en-US" w:eastAsia="zh-CN" w:bidi="ar"/>
                    </w:rPr>
                    <w:t>（自带熔化设备）</w:t>
                  </w:r>
                </w:p>
              </w:tc>
              <w:tc>
                <w:tcPr>
                  <w:tcW w:w="113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kern w:val="0"/>
                      <w:sz w:val="21"/>
                      <w:szCs w:val="21"/>
                      <w:highlight w:val="none"/>
                      <w:lang w:val="en-US" w:eastAsia="zh-CN" w:bidi="ar"/>
                    </w:rPr>
                    <w:t>DC-200</w:t>
                  </w:r>
                </w:p>
              </w:tc>
              <w:tc>
                <w:tcPr>
                  <w:tcW w:w="72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5台</w:t>
                  </w:r>
                </w:p>
              </w:tc>
              <w:tc>
                <w:tcPr>
                  <w:tcW w:w="209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3000h/a</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（生产能120kg/h）</w:t>
                  </w:r>
                </w:p>
              </w:tc>
              <w:tc>
                <w:tcPr>
                  <w:tcW w:w="15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val="en-US" w:eastAsia="zh-CN" w:bidi="ar"/>
                    </w:rPr>
                    <w:t>3000h×120kg/h</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kern w:val="0"/>
                      <w:sz w:val="21"/>
                      <w:szCs w:val="21"/>
                      <w:lang w:val="en-US" w:eastAsia="zh-CN" w:bidi="ar"/>
                    </w:rPr>
                    <w:t>×5台=1800t</w:t>
                  </w:r>
                </w:p>
              </w:tc>
              <w:tc>
                <w:tcPr>
                  <w:tcW w:w="655"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6615</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1241"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color w:val="auto"/>
                      <w:kern w:val="0"/>
                      <w:sz w:val="21"/>
                      <w:szCs w:val="21"/>
                      <w:highlight w:val="none"/>
                      <w:lang w:val="en-US" w:eastAsia="zh-CN" w:bidi="ar"/>
                    </w:rPr>
                  </w:pPr>
                </w:p>
              </w:tc>
              <w:tc>
                <w:tcPr>
                  <w:tcW w:w="113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b w:val="0"/>
                      <w:bCs/>
                      <w:color w:val="auto"/>
                      <w:kern w:val="0"/>
                      <w:sz w:val="21"/>
                      <w:szCs w:val="21"/>
                      <w:highlight w:val="none"/>
                      <w:lang w:val="en-US" w:eastAsia="zh-CN" w:bidi="ar"/>
                    </w:rPr>
                    <w:t>DC-160</w:t>
                  </w:r>
                </w:p>
              </w:tc>
              <w:tc>
                <w:tcPr>
                  <w:tcW w:w="72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10台</w:t>
                  </w:r>
                </w:p>
              </w:tc>
              <w:tc>
                <w:tcPr>
                  <w:tcW w:w="209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3000h/a</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（生产能</w:t>
                  </w:r>
                  <w:r>
                    <w:rPr>
                      <w:rFonts w:hint="eastAsia" w:ascii="Times New Roman" w:hAnsi="Times New Roman" w:eastAsia="宋体" w:cs="Times New Roman"/>
                      <w:b w:val="0"/>
                      <w:bCs/>
                      <w:color w:val="auto"/>
                      <w:sz w:val="21"/>
                      <w:szCs w:val="21"/>
                      <w:highlight w:val="none"/>
                      <w:vertAlign w:val="baseline"/>
                      <w:lang w:val="en-US" w:eastAsia="zh-CN"/>
                    </w:rPr>
                    <w:t>力</w:t>
                  </w:r>
                  <w:r>
                    <w:rPr>
                      <w:rFonts w:hint="default" w:ascii="Times New Roman" w:hAnsi="Times New Roman" w:eastAsia="宋体" w:cs="Times New Roman"/>
                      <w:b w:val="0"/>
                      <w:bCs/>
                      <w:color w:val="auto"/>
                      <w:sz w:val="21"/>
                      <w:szCs w:val="21"/>
                      <w:highlight w:val="none"/>
                      <w:vertAlign w:val="baseline"/>
                      <w:lang w:val="en-US" w:eastAsia="zh-CN"/>
                    </w:rPr>
                    <w:t>107kg/h）</w:t>
                  </w:r>
                </w:p>
              </w:tc>
              <w:tc>
                <w:tcPr>
                  <w:tcW w:w="15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val="en-US" w:eastAsia="zh-CN" w:bidi="ar"/>
                    </w:rPr>
                    <w:t>3000h×107kg/h</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kern w:val="0"/>
                      <w:sz w:val="21"/>
                      <w:szCs w:val="21"/>
                      <w:lang w:val="en-US" w:eastAsia="zh-CN" w:bidi="ar"/>
                    </w:rPr>
                    <w:t>×10台=3210t</w:t>
                  </w:r>
                </w:p>
              </w:tc>
              <w:tc>
                <w:tcPr>
                  <w:tcW w:w="655"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color w:val="auto"/>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1241"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color w:val="auto"/>
                      <w:kern w:val="0"/>
                      <w:sz w:val="21"/>
                      <w:szCs w:val="21"/>
                      <w:highlight w:val="none"/>
                      <w:lang w:val="en-US" w:eastAsia="zh-CN" w:bidi="ar"/>
                    </w:rPr>
                  </w:pPr>
                </w:p>
              </w:tc>
              <w:tc>
                <w:tcPr>
                  <w:tcW w:w="113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b w:val="0"/>
                      <w:bCs/>
                      <w:color w:val="auto"/>
                      <w:kern w:val="0"/>
                      <w:sz w:val="21"/>
                      <w:szCs w:val="21"/>
                      <w:highlight w:val="none"/>
                      <w:lang w:val="en-US" w:eastAsia="zh-CN" w:bidi="ar"/>
                    </w:rPr>
                    <w:t>DC-288</w:t>
                  </w:r>
                </w:p>
              </w:tc>
              <w:tc>
                <w:tcPr>
                  <w:tcW w:w="72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5台</w:t>
                  </w:r>
                </w:p>
              </w:tc>
              <w:tc>
                <w:tcPr>
                  <w:tcW w:w="209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3000h/a</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（生产能力50kg/h）</w:t>
                  </w:r>
                </w:p>
              </w:tc>
              <w:tc>
                <w:tcPr>
                  <w:tcW w:w="15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val="en-US" w:eastAsia="zh-CN" w:bidi="ar"/>
                    </w:rPr>
                    <w:t>3000h×107kg/h</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kern w:val="0"/>
                      <w:sz w:val="21"/>
                      <w:szCs w:val="21"/>
                      <w:lang w:val="en-US" w:eastAsia="zh-CN" w:bidi="ar"/>
                    </w:rPr>
                    <w:t>×5台=1605t</w:t>
                  </w:r>
                </w:p>
              </w:tc>
              <w:tc>
                <w:tcPr>
                  <w:tcW w:w="655"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color w:val="auto"/>
                      <w:sz w:val="21"/>
                      <w:szCs w:val="21"/>
                      <w:highlight w:val="none"/>
                      <w:vertAlign w:val="baseline"/>
                      <w:lang w:val="en-US" w:eastAsia="zh-CN"/>
                    </w:rPr>
                  </w:pPr>
                </w:p>
              </w:tc>
            </w:tr>
          </w:tbl>
          <w:p>
            <w:pPr>
              <w:keepNext w:val="0"/>
              <w:keepLines w:val="0"/>
              <w:pageBreakBefore w:val="0"/>
              <w:widowControl/>
              <w:suppressLineNumbers w:val="0"/>
              <w:kinsoku/>
              <w:wordWrap/>
              <w:overflowPunct/>
              <w:topLinePunct w:val="0"/>
              <w:autoSpaceDE/>
              <w:autoSpaceDN/>
              <w:bidi w:val="0"/>
              <w:adjustRightInd w:val="0"/>
              <w:snapToGrid w:val="0"/>
              <w:spacing w:before="157" w:beforeLines="50" w:line="360" w:lineRule="auto"/>
              <w:ind w:firstLine="480" w:firstLineChars="200"/>
              <w:jc w:val="left"/>
              <w:textAlignment w:val="auto"/>
              <w:rPr>
                <w:rFonts w:hint="eastAsia" w:ascii="宋体" w:hAnsi="宋体" w:eastAsia="宋体" w:cs="宋体"/>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项目铝合金铸件设计年产量为3000t/a，项目所选用的压铸机最大生产能力为6615/a，可满足项目压铸生产要求。</w:t>
            </w:r>
          </w:p>
          <w:p>
            <w:pPr>
              <w:numPr>
                <w:ilvl w:val="0"/>
                <w:numId w:val="0"/>
              </w:numPr>
              <w:spacing w:before="120" w:beforeLines="50" w:line="360" w:lineRule="auto"/>
              <w:rPr>
                <w:rFonts w:hint="default" w:ascii="Times New Roman" w:hAnsi="Times New Roman" w:eastAsia="宋体" w:cs="Times New Roman"/>
                <w:b/>
                <w:color w:val="auto"/>
                <w:sz w:val="24"/>
                <w:szCs w:val="24"/>
                <w:highlight w:val="none"/>
                <w:lang w:val="en-US" w:eastAsia="zh-CN"/>
              </w:rPr>
            </w:pPr>
            <w:r>
              <w:rPr>
                <w:rFonts w:hint="eastAsia" w:cs="Times New Roman"/>
                <w:b/>
                <w:color w:val="auto"/>
                <w:sz w:val="24"/>
                <w:szCs w:val="24"/>
                <w:highlight w:val="none"/>
                <w:lang w:val="en-US" w:eastAsia="zh-CN"/>
              </w:rPr>
              <w:t>2.7、</w:t>
            </w:r>
            <w:r>
              <w:rPr>
                <w:rFonts w:hint="default" w:ascii="Times New Roman" w:hAnsi="Times New Roman" w:eastAsia="宋体" w:cs="Times New Roman"/>
                <w:b/>
                <w:color w:val="auto"/>
                <w:sz w:val="24"/>
                <w:szCs w:val="24"/>
                <w:highlight w:val="none"/>
                <w:lang w:val="en-US" w:eastAsia="zh-CN"/>
              </w:rPr>
              <w:t>劳动定员及工作制度</w:t>
            </w:r>
          </w:p>
          <w:p>
            <w:pPr>
              <w:pStyle w:val="34"/>
              <w:keepNext w:val="0"/>
              <w:keepLines w:val="0"/>
              <w:pageBreakBefore w:val="0"/>
              <w:widowControl w:val="0"/>
              <w:kinsoku/>
              <w:wordWrap/>
              <w:overflowPunct/>
              <w:topLinePunct w:val="0"/>
              <w:autoSpaceDE/>
              <w:autoSpaceDN/>
              <w:bidi w:val="0"/>
              <w:adjustRightInd w:val="0"/>
              <w:snapToGrid w:val="0"/>
              <w:spacing w:after="0"/>
              <w:ind w:left="0" w:leftChars="0"/>
              <w:textAlignment w:val="auto"/>
              <w:rPr>
                <w:rFonts w:hint="default" w:ascii="Times New Roman" w:hAnsi="Times New Roman" w:eastAsia="宋体" w:cs="Times New Roman"/>
                <w:i w:val="0"/>
                <w:iCs w:val="0"/>
                <w:caps w:val="0"/>
                <w:color w:val="auto"/>
                <w:spacing w:val="0"/>
                <w:sz w:val="24"/>
                <w:szCs w:val="24"/>
                <w:highlight w:val="none"/>
                <w:shd w:val="clear" w:fill="FFFFFF"/>
                <w:lang w:val="en-US" w:eastAsia="zh-CN"/>
              </w:rPr>
            </w:pP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项目劳动定员及工作制度详见表2</w:t>
            </w:r>
            <w:r>
              <w:rPr>
                <w:rFonts w:hint="eastAsia" w:ascii="Times New Roman" w:hAnsi="Times New Roman" w:cs="Times New Roman"/>
                <w:i w:val="0"/>
                <w:iCs w:val="0"/>
                <w:caps w:val="0"/>
                <w:color w:val="auto"/>
                <w:spacing w:val="0"/>
                <w:sz w:val="24"/>
                <w:szCs w:val="24"/>
                <w:highlight w:val="none"/>
                <w:shd w:val="clear" w:fill="FFFFFF"/>
                <w:lang w:val="en-US" w:eastAsia="zh-CN"/>
              </w:rPr>
              <w:t>.6</w:t>
            </w: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w:t>
            </w:r>
            <w:r>
              <w:rPr>
                <w:rFonts w:hint="eastAsia" w:ascii="Times New Roman" w:hAnsi="Times New Roman" w:cs="Times New Roman"/>
                <w:i w:val="0"/>
                <w:iCs w:val="0"/>
                <w:caps w:val="0"/>
                <w:color w:val="auto"/>
                <w:spacing w:val="0"/>
                <w:sz w:val="24"/>
                <w:szCs w:val="24"/>
                <w:highlight w:val="none"/>
                <w:shd w:val="clear" w:fill="FFFFFF"/>
                <w:lang w:val="en-US" w:eastAsia="zh-CN"/>
              </w:rPr>
              <w:t>1</w:t>
            </w: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w:t>
            </w:r>
          </w:p>
          <w:p>
            <w:pPr>
              <w:spacing w:before="120" w:beforeLines="50" w:line="360" w:lineRule="auto"/>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w:t>
            </w:r>
            <w:r>
              <w:rPr>
                <w:rFonts w:hint="eastAsia" w:ascii="Times New Roman" w:hAnsi="Times New Roman" w:eastAsia="宋体" w:cs="Times New Roman"/>
                <w:b/>
                <w:bCs/>
                <w:color w:val="auto"/>
                <w:sz w:val="24"/>
                <w:highlight w:val="none"/>
                <w:lang w:val="en-US" w:eastAsia="zh-CN"/>
              </w:rPr>
              <w:t>2</w:t>
            </w:r>
            <w:r>
              <w:rPr>
                <w:rFonts w:hint="eastAsia" w:cs="Times New Roman"/>
                <w:b/>
                <w:bCs/>
                <w:color w:val="auto"/>
                <w:sz w:val="24"/>
                <w:highlight w:val="none"/>
                <w:lang w:val="en-US" w:eastAsia="zh-CN"/>
              </w:rPr>
              <w:t>.6</w:t>
            </w:r>
            <w:r>
              <w:rPr>
                <w:rFonts w:hint="eastAsia" w:ascii="Times New Roman" w:hAnsi="Times New Roman" w:eastAsia="宋体" w:cs="Times New Roman"/>
                <w:b/>
                <w:bCs/>
                <w:color w:val="auto"/>
                <w:sz w:val="24"/>
                <w:highlight w:val="none"/>
                <w:lang w:val="en-US" w:eastAsia="zh-CN"/>
              </w:rPr>
              <w:t>-</w:t>
            </w:r>
            <w:r>
              <w:rPr>
                <w:rFonts w:hint="eastAsia"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rPr>
              <w:t xml:space="preserve">  劳动定员及工作制度一览表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671"/>
              <w:gridCol w:w="52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1614" w:type="dxa"/>
                  <w:noWrap/>
                  <w:tcMar>
                    <w:top w:w="15" w:type="dxa"/>
                    <w:left w:w="15" w:type="dxa"/>
                    <w:right w:w="15" w:type="dxa"/>
                  </w:tcMar>
                  <w:vAlign w:val="center"/>
                </w:tcPr>
                <w:p>
                  <w:pPr>
                    <w:jc w:val="center"/>
                    <w:rPr>
                      <w:rFonts w:hint="default" w:ascii="Times New Roman" w:hAnsi="Times New Roman" w:eastAsia="宋体" w:cs="Times New Roman"/>
                      <w:b/>
                      <w:bCs/>
                      <w:color w:val="auto"/>
                      <w:sz w:val="21"/>
                      <w:szCs w:val="21"/>
                      <w:highlight w:val="none"/>
                      <w:u w:val="none"/>
                      <w:lang w:eastAsia="zh-CN"/>
                    </w:rPr>
                  </w:pPr>
                  <w:r>
                    <w:rPr>
                      <w:rFonts w:hint="default" w:ascii="Times New Roman" w:hAnsi="Times New Roman" w:eastAsia="宋体" w:cs="Times New Roman"/>
                      <w:b/>
                      <w:bCs/>
                      <w:color w:val="auto"/>
                      <w:sz w:val="21"/>
                      <w:szCs w:val="21"/>
                      <w:highlight w:val="none"/>
                      <w:u w:val="none"/>
                      <w:lang w:eastAsia="zh-CN"/>
                    </w:rPr>
                    <w:t>主要指标</w:t>
                  </w:r>
                </w:p>
              </w:tc>
              <w:tc>
                <w:tcPr>
                  <w:tcW w:w="3195" w:type="dxa"/>
                  <w:noWrap/>
                  <w:tcMar>
                    <w:top w:w="15" w:type="dxa"/>
                    <w:left w:w="15" w:type="dxa"/>
                    <w:right w:w="15" w:type="dxa"/>
                  </w:tcMar>
                  <w:vAlign w:val="center"/>
                </w:tcPr>
                <w:p>
                  <w:pPr>
                    <w:jc w:val="center"/>
                    <w:rPr>
                      <w:rFonts w:hint="default" w:ascii="Times New Roman" w:hAnsi="Times New Roman" w:eastAsia="宋体" w:cs="Times New Roman"/>
                      <w:b/>
                      <w:bCs/>
                      <w:color w:val="auto"/>
                      <w:sz w:val="21"/>
                      <w:szCs w:val="21"/>
                      <w:highlight w:val="none"/>
                      <w:u w:val="none"/>
                      <w:lang w:eastAsia="zh-CN"/>
                    </w:rPr>
                  </w:pPr>
                  <w:r>
                    <w:rPr>
                      <w:rFonts w:hint="default" w:ascii="Times New Roman" w:hAnsi="Times New Roman" w:eastAsia="宋体" w:cs="Times New Roman"/>
                      <w:b/>
                      <w:bCs/>
                      <w:color w:val="auto"/>
                      <w:sz w:val="21"/>
                      <w:szCs w:val="21"/>
                      <w:highlight w:val="none"/>
                      <w:u w:val="none"/>
                      <w:lang w:eastAsia="zh-CN"/>
                    </w:rPr>
                    <w:t>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1614" w:type="dxa"/>
                  <w:noWrap/>
                  <w:tcMar>
                    <w:top w:w="15" w:type="dxa"/>
                    <w:left w:w="15" w:type="dxa"/>
                    <w:right w:w="15"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劳动定员</w:t>
                  </w:r>
                </w:p>
              </w:tc>
              <w:tc>
                <w:tcPr>
                  <w:tcW w:w="3195" w:type="dxa"/>
                  <w:noWrap/>
                  <w:tcMar>
                    <w:top w:w="15" w:type="dxa"/>
                    <w:left w:w="15" w:type="dxa"/>
                    <w:right w:w="15"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职工人数</w:t>
                  </w:r>
                  <w:r>
                    <w:rPr>
                      <w:rFonts w:hint="eastAsia" w:cs="Times New Roman"/>
                      <w:color w:val="auto"/>
                      <w:sz w:val="21"/>
                      <w:szCs w:val="21"/>
                      <w:highlight w:val="none"/>
                      <w:lang w:val="en-US" w:eastAsia="zh-CN"/>
                    </w:rPr>
                    <w:t>70</w:t>
                  </w:r>
                  <w:r>
                    <w:rPr>
                      <w:rFonts w:hint="default" w:ascii="Times New Roman" w:hAnsi="Times New Roman" w:eastAsia="宋体" w:cs="Times New Roman"/>
                      <w:color w:val="auto"/>
                      <w:sz w:val="21"/>
                      <w:szCs w:val="21"/>
                      <w:highlight w:val="none"/>
                      <w:lang w:eastAsia="zh-CN"/>
                    </w:rPr>
                    <w:t>人，</w:t>
                  </w:r>
                  <w:r>
                    <w:rPr>
                      <w:rFonts w:hint="eastAsia" w:cs="Times New Roman"/>
                      <w:color w:val="auto"/>
                      <w:sz w:val="21"/>
                      <w:szCs w:val="21"/>
                      <w:highlight w:val="none"/>
                      <w:lang w:val="en-US" w:eastAsia="zh-CN"/>
                    </w:rPr>
                    <w:t>50人</w:t>
                  </w:r>
                  <w:r>
                    <w:rPr>
                      <w:rFonts w:hint="default" w:ascii="Times New Roman" w:hAnsi="Times New Roman" w:eastAsia="宋体" w:cs="Times New Roman"/>
                      <w:color w:val="auto"/>
                      <w:sz w:val="21"/>
                      <w:szCs w:val="21"/>
                      <w:highlight w:val="none"/>
                      <w:lang w:eastAsia="zh-CN"/>
                    </w:rPr>
                    <w:t>住厂，</w:t>
                  </w:r>
                  <w:r>
                    <w:rPr>
                      <w:rFonts w:hint="default" w:ascii="Times New Roman" w:hAnsi="Times New Roman" w:eastAsia="宋体" w:cs="Times New Roman"/>
                      <w:color w:val="auto"/>
                      <w:sz w:val="21"/>
                      <w:szCs w:val="21"/>
                      <w:highlight w:val="none"/>
                      <w:lang w:val="en-US" w:eastAsia="zh-CN"/>
                    </w:rPr>
                    <w:t>厂区内设置食堂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1614" w:type="dxa"/>
                  <w:noWrap/>
                  <w:tcMar>
                    <w:top w:w="15" w:type="dxa"/>
                    <w:left w:w="15" w:type="dxa"/>
                    <w:right w:w="15"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工作制度</w:t>
                  </w:r>
                </w:p>
              </w:tc>
              <w:tc>
                <w:tcPr>
                  <w:tcW w:w="3195" w:type="dxa"/>
                  <w:noWrap/>
                  <w:tcMar>
                    <w:top w:w="15" w:type="dxa"/>
                    <w:left w:w="15" w:type="dxa"/>
                    <w:right w:w="15" w:type="dxa"/>
                  </w:tcMar>
                  <w:vAlign w:val="center"/>
                </w:tcPr>
                <w:p>
                  <w:pPr>
                    <w:pStyle w:val="24"/>
                    <w:spacing w:before="0" w:beforeAutospacing="0" w:after="0" w:afterAutospacing="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年工作 300</w:t>
                  </w:r>
                  <w:r>
                    <w:rPr>
                      <w:rFonts w:hint="default" w:ascii="Times New Roman" w:hAnsi="Times New Roman" w:eastAsia="宋体" w:cs="Times New Roman"/>
                      <w:color w:val="auto"/>
                      <w:kern w:val="2"/>
                      <w:sz w:val="21"/>
                      <w:szCs w:val="21"/>
                      <w:highlight w:val="none"/>
                      <w:lang w:val="en-US" w:eastAsia="zh-CN" w:bidi="ar-SA"/>
                    </w:rPr>
                    <w:t xml:space="preserve"> </w:t>
                  </w:r>
                  <w:r>
                    <w:rPr>
                      <w:rFonts w:hint="eastAsia" w:ascii="Times New Roman" w:hAnsi="Times New Roman" w:eastAsia="宋体" w:cs="Times New Roman"/>
                      <w:color w:val="auto"/>
                      <w:kern w:val="2"/>
                      <w:sz w:val="21"/>
                      <w:szCs w:val="21"/>
                      <w:highlight w:val="none"/>
                      <w:lang w:val="en-US" w:eastAsia="zh-CN" w:bidi="ar-SA"/>
                    </w:rPr>
                    <w:t>天，每日工作10小时</w:t>
                  </w:r>
                </w:p>
              </w:tc>
            </w:tr>
          </w:tbl>
          <w:p>
            <w:pPr>
              <w:numPr>
                <w:ilvl w:val="0"/>
                <w:numId w:val="0"/>
              </w:numPr>
              <w:spacing w:before="120" w:beforeLines="50" w:line="360" w:lineRule="auto"/>
              <w:rPr>
                <w:rFonts w:hint="default" w:ascii="Times New Roman" w:hAnsi="Times New Roman" w:eastAsia="宋体" w:cs="Times New Roman"/>
                <w:b/>
                <w:color w:val="auto"/>
                <w:sz w:val="24"/>
                <w:szCs w:val="24"/>
                <w:highlight w:val="none"/>
                <w:lang w:val="en-US" w:eastAsia="zh-CN"/>
              </w:rPr>
            </w:pPr>
            <w:r>
              <w:rPr>
                <w:rFonts w:hint="eastAsia" w:cs="Times New Roman"/>
                <w:b/>
                <w:color w:val="auto"/>
                <w:sz w:val="24"/>
                <w:szCs w:val="24"/>
                <w:highlight w:val="none"/>
                <w:lang w:val="en-US" w:eastAsia="zh-CN"/>
              </w:rPr>
              <w:t>2.8用水分析</w:t>
            </w:r>
          </w:p>
          <w:p>
            <w:pPr>
              <w:pStyle w:val="2"/>
              <w:keepNext w:val="0"/>
              <w:keepLines w:val="0"/>
              <w:pageBreakBefore w:val="0"/>
              <w:widowControl w:val="0"/>
              <w:kinsoku/>
              <w:wordWrap/>
              <w:overflowPunct/>
              <w:topLinePunct w:val="0"/>
              <w:autoSpaceDE w:val="0"/>
              <w:autoSpaceDN w:val="0"/>
              <w:bidi w:val="0"/>
              <w:adjustRightInd w:val="0"/>
              <w:snapToGrid/>
              <w:ind w:firstLine="480" w:firstLineChars="200"/>
              <w:textAlignment w:val="auto"/>
              <w:rPr>
                <w:rFonts w:hint="default"/>
                <w:color w:val="auto"/>
                <w:highlight w:val="none"/>
                <w:lang w:val="en-US"/>
              </w:rPr>
            </w:pP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w:t>
            </w:r>
            <w:r>
              <w:rPr>
                <w:rFonts w:hint="eastAsia" w:ascii="Times New Roman" w:eastAsia="宋体" w:cs="Times New Roman"/>
                <w:color w:val="auto"/>
                <w:kern w:val="0"/>
                <w:sz w:val="24"/>
                <w:szCs w:val="24"/>
                <w:highlight w:val="none"/>
                <w:lang w:val="en-US" w:eastAsia="zh-CN" w:bidi="ar"/>
              </w:rPr>
              <w:t>水性漆调漆用水、水帘柜喷淋用水</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项目共有</w:t>
            </w:r>
            <w:r>
              <w:rPr>
                <w:rFonts w:hint="eastAsia" w:cs="Times New Roman"/>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台喷漆柜（含水帘柜），每个水帘柜水池容积为</w:t>
            </w:r>
            <w:r>
              <w:rPr>
                <w:rFonts w:hint="default" w:ascii="Times New Roman" w:hAnsi="Times New Roman" w:eastAsia="宋体" w:cs="Times New Roman"/>
                <w:color w:val="auto"/>
                <w:kern w:val="0"/>
                <w:sz w:val="24"/>
                <w:szCs w:val="24"/>
                <w:highlight w:val="none"/>
                <w:lang w:val="en-US" w:eastAsia="zh-CN" w:bidi="ar"/>
              </w:rPr>
              <w:t>1</w:t>
            </w:r>
            <w:r>
              <w:rPr>
                <w:rFonts w:hint="eastAsia" w:ascii="Times New Roman" w:hAnsi="Times New Roman" w:eastAsia="宋体" w:cs="Times New Roman"/>
                <w:color w:val="auto"/>
                <w:kern w:val="0"/>
                <w:sz w:val="24"/>
                <w:szCs w:val="24"/>
                <w:highlight w:val="none"/>
                <w:lang w:val="en-US" w:eastAsia="zh-CN" w:bidi="ar"/>
              </w:rPr>
              <w:t>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eastAsia" w:ascii="宋体" w:hAnsi="宋体" w:eastAsia="宋体" w:cs="宋体"/>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水帘柜</w:t>
            </w:r>
            <w:r>
              <w:rPr>
                <w:rFonts w:hint="eastAsia" w:ascii="宋体" w:hAnsi="宋体" w:eastAsia="宋体" w:cs="宋体"/>
                <w:color w:val="auto"/>
                <w:kern w:val="0"/>
                <w:sz w:val="24"/>
                <w:szCs w:val="24"/>
                <w:highlight w:val="none"/>
                <w:lang w:val="en-US" w:eastAsia="zh-CN" w:bidi="ar"/>
              </w:rPr>
              <w:t>用水循环用不外排，因蒸发需进行补充水量，</w:t>
            </w:r>
            <w:r>
              <w:rPr>
                <w:rFonts w:hint="eastAsia" w:ascii="宋体" w:hAnsi="宋体" w:cs="宋体"/>
                <w:color w:val="auto"/>
                <w:kern w:val="0"/>
                <w:sz w:val="24"/>
                <w:szCs w:val="24"/>
                <w:highlight w:val="none"/>
                <w:lang w:val="en-US" w:eastAsia="zh-CN" w:bidi="ar"/>
              </w:rPr>
              <w:t>水帘柜水量</w:t>
            </w:r>
            <w:r>
              <w:rPr>
                <w:rFonts w:hint="eastAsia" w:ascii="宋体" w:hAnsi="宋体" w:eastAsia="宋体" w:cs="宋体"/>
                <w:color w:val="auto"/>
                <w:kern w:val="0"/>
                <w:sz w:val="24"/>
                <w:szCs w:val="24"/>
                <w:highlight w:val="none"/>
                <w:lang w:val="en-US" w:eastAsia="zh-CN" w:bidi="ar"/>
              </w:rPr>
              <w:t>损耗量按</w:t>
            </w:r>
            <w:r>
              <w:rPr>
                <w:rFonts w:hint="default" w:ascii="Times New Roman" w:hAnsi="Times New Roman" w:eastAsia="宋体" w:cs="Times New Roman"/>
                <w:color w:val="auto"/>
                <w:kern w:val="0"/>
                <w:sz w:val="24"/>
                <w:szCs w:val="24"/>
                <w:highlight w:val="none"/>
                <w:lang w:val="en-US" w:eastAsia="zh-CN" w:bidi="ar"/>
              </w:rPr>
              <w:t>10%</w:t>
            </w:r>
            <w:r>
              <w:rPr>
                <w:rFonts w:hint="eastAsia" w:ascii="宋体" w:hAnsi="宋体" w:eastAsia="宋体" w:cs="宋体"/>
                <w:color w:val="auto"/>
                <w:kern w:val="0"/>
                <w:sz w:val="24"/>
                <w:szCs w:val="24"/>
                <w:highlight w:val="none"/>
                <w:lang w:val="en-US" w:eastAsia="zh-CN" w:bidi="ar"/>
              </w:rPr>
              <w:t>计算，则需补充水量约</w:t>
            </w:r>
            <w:r>
              <w:rPr>
                <w:rFonts w:hint="default" w:ascii="Times New Roman" w:hAnsi="Times New Roman" w:eastAsia="宋体" w:cs="Times New Roman"/>
                <w:color w:val="auto"/>
                <w:kern w:val="0"/>
                <w:sz w:val="24"/>
                <w:szCs w:val="24"/>
                <w:highlight w:val="none"/>
                <w:lang w:val="en-US" w:eastAsia="zh-CN" w:bidi="ar"/>
              </w:rPr>
              <w:t>0.</w:t>
            </w:r>
            <w:r>
              <w:rPr>
                <w:rFonts w:hint="eastAsia" w:cs="Times New Roman"/>
                <w:color w:val="auto"/>
                <w:kern w:val="0"/>
                <w:sz w:val="24"/>
                <w:szCs w:val="24"/>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t/d</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6</w:t>
            </w:r>
            <w:r>
              <w:rPr>
                <w:rFonts w:hint="eastAsia" w:ascii="Times New Roman" w:hAnsi="Times New Roman" w:eastAsia="宋体" w:cs="Times New Roman"/>
                <w:color w:val="auto"/>
                <w:kern w:val="0"/>
                <w:sz w:val="24"/>
                <w:szCs w:val="24"/>
                <w:highlight w:val="none"/>
                <w:lang w:val="en-US" w:eastAsia="zh-CN" w:bidi="ar"/>
              </w:rPr>
              <w:t>0t/a）</w:t>
            </w:r>
            <w:r>
              <w:rPr>
                <w:rFonts w:hint="eastAsia" w:ascii="宋体"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水性漆调漆用水按水性漆用量的</w:t>
            </w:r>
            <w:r>
              <w:rPr>
                <w:rFonts w:hint="default" w:ascii="Times New Roman" w:hAnsi="Times New Roman" w:eastAsia="宋体" w:cs="Times New Roman"/>
                <w:color w:val="auto"/>
                <w:kern w:val="0"/>
                <w:sz w:val="24"/>
                <w:szCs w:val="24"/>
                <w:highlight w:val="none"/>
                <w:lang w:val="en-US" w:eastAsia="zh-CN" w:bidi="ar"/>
              </w:rPr>
              <w:t>20%</w:t>
            </w:r>
            <w:r>
              <w:rPr>
                <w:rFonts w:hint="eastAsia" w:ascii="宋体" w:hAnsi="宋体" w:eastAsia="宋体" w:cs="宋体"/>
                <w:color w:val="auto"/>
                <w:kern w:val="0"/>
                <w:sz w:val="24"/>
                <w:szCs w:val="24"/>
                <w:highlight w:val="none"/>
                <w:lang w:val="en-US" w:eastAsia="zh-CN" w:bidi="ar"/>
              </w:rPr>
              <w:t>计算，则需用水量为</w:t>
            </w:r>
            <w:r>
              <w:rPr>
                <w:rFonts w:hint="default" w:ascii="Times New Roman" w:hAnsi="Times New Roman" w:eastAsia="宋体" w:cs="Times New Roman"/>
                <w:color w:val="auto"/>
                <w:kern w:val="0"/>
                <w:sz w:val="24"/>
                <w:szCs w:val="24"/>
                <w:highlight w:val="none"/>
                <w:lang w:val="en-US" w:eastAsia="zh-CN" w:bidi="ar"/>
              </w:rPr>
              <w:t>0.</w:t>
            </w:r>
            <w:r>
              <w:rPr>
                <w:rFonts w:hint="eastAsia" w:ascii="Times New Roman" w:hAnsi="Times New Roman" w:eastAsia="宋体" w:cs="Times New Roman"/>
                <w:color w:val="auto"/>
                <w:kern w:val="0"/>
                <w:sz w:val="24"/>
                <w:szCs w:val="24"/>
                <w:highlight w:val="none"/>
                <w:lang w:val="en-US" w:eastAsia="zh-CN" w:bidi="ar"/>
              </w:rPr>
              <w:t>4</w:t>
            </w:r>
            <w:r>
              <w:rPr>
                <w:rFonts w:hint="default" w:ascii="Times New Roman" w:hAnsi="Times New Roman" w:eastAsia="宋体" w:cs="Times New Roman"/>
                <w:color w:val="auto"/>
                <w:kern w:val="0"/>
                <w:sz w:val="24"/>
                <w:szCs w:val="24"/>
                <w:highlight w:val="none"/>
                <w:lang w:val="en-US" w:eastAsia="zh-CN" w:bidi="ar"/>
              </w:rPr>
              <w:t>t/a</w:t>
            </w:r>
            <w:r>
              <w:rPr>
                <w:rFonts w:hint="eastAsia" w:ascii="Times New Roman" w:hAnsi="Times New Roman" w:cs="Times New Roman"/>
                <w:color w:val="auto"/>
                <w:kern w:val="0"/>
                <w:sz w:val="24"/>
                <w:szCs w:val="24"/>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冷却</w:t>
            </w:r>
            <w:r>
              <w:rPr>
                <w:rFonts w:hint="eastAsia" w:ascii="宋体" w:hAnsi="宋体" w:eastAsia="宋体" w:cs="宋体"/>
                <w:color w:val="auto"/>
                <w:kern w:val="0"/>
                <w:sz w:val="24"/>
                <w:szCs w:val="24"/>
                <w:highlight w:val="none"/>
                <w:lang w:val="en-US" w:eastAsia="zh-CN" w:bidi="ar"/>
              </w:rPr>
              <w:t xml:space="preserve">用水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项目生产过程中熔化</w:t>
            </w:r>
            <w:r>
              <w:rPr>
                <w:rFonts w:hint="eastAsia" w:cs="Times New Roman"/>
                <w:color w:val="auto"/>
                <w:kern w:val="0"/>
                <w:sz w:val="24"/>
                <w:szCs w:val="24"/>
                <w:highlight w:val="none"/>
                <w:lang w:val="en-US" w:eastAsia="zh-CN" w:bidi="ar"/>
              </w:rPr>
              <w:t>、制芯、锻造等工序</w:t>
            </w:r>
            <w:r>
              <w:rPr>
                <w:rFonts w:hint="default" w:ascii="Times New Roman" w:hAnsi="Times New Roman" w:eastAsia="宋体" w:cs="Times New Roman"/>
                <w:color w:val="auto"/>
                <w:kern w:val="0"/>
                <w:sz w:val="24"/>
                <w:szCs w:val="24"/>
                <w:highlight w:val="none"/>
                <w:lang w:val="en-US" w:eastAsia="zh-CN" w:bidi="ar"/>
              </w:rPr>
              <w:t>需采用水进行冷却，配套5套10T的冷却塔，冷却水经收集冷却后循环使用，不外排，只需定期补充新鲜水。根据业主提供及相关资料，项目熔化炉每日循环水用量约180m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16"/>
                <w:szCs w:val="16"/>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，项目冷却塔因蒸发等损耗，每天需补充的新鲜水量约为水量的10%，补充新鲜水量约18m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16"/>
                <w:szCs w:val="16"/>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/d，年工作时间约为300天，则每年需补充新鲜水量约为5400m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 xml:space="preserve">/a；冷却用水循环使用，不外排。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color w:val="auto"/>
                <w:highlight w:val="none"/>
              </w:rPr>
            </w:pP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Times New Roman" w:eastAsia="宋体" w:cs="Times New Roman"/>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val="en-US" w:eastAsia="zh-CN" w:bidi="ar"/>
              </w:rPr>
              <w:t xml:space="preserve">试压用水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 xml:space="preserve">项目生产过程试压用水循环回用，不外排。根据业主提供及相关资料，试压用水总循环水量为150t，循环试压过程中试压水的蒸发损失率约为1%，则试压补充水量约为1.5t/d（450t/a），不外排。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 xml:space="preserve">（4）喷淋塔用水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项目制芯废气拟配套喷淋塔进行处理。喷淋塔的水循环使用，根据建设单位提供的资料，喷淋塔循环水箱容积约为1m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16"/>
                <w:szCs w:val="16"/>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。循环使用过程，因蒸发损耗，需补充水量，损耗率约为10%，项目建成后拟配5套喷淋塔，则每天喷淋塔需补充水量约为0.5 t/d（150 t/a），此部分水循环使用不外排。</w:t>
            </w:r>
          </w:p>
          <w:p>
            <w:pPr>
              <w:pStyle w:val="34"/>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w:t>
            </w:r>
            <w:r>
              <w:rPr>
                <w:rFonts w:hint="eastAsia" w:ascii="Times New Roman" w:hAnsi="Times New Roman" w:cs="Times New Roman"/>
                <w:color w:val="auto"/>
                <w:kern w:val="0"/>
                <w:sz w:val="24"/>
                <w:szCs w:val="24"/>
                <w:highlight w:val="none"/>
                <w:lang w:val="en-US" w:eastAsia="zh-CN" w:bidi="ar-SA"/>
              </w:rPr>
              <w:t>5</w:t>
            </w:r>
            <w:r>
              <w:rPr>
                <w:rFonts w:hint="default" w:ascii="Times New Roman" w:hAnsi="Times New Roman" w:eastAsia="宋体" w:cs="Times New Roman"/>
                <w:color w:val="auto"/>
                <w:kern w:val="0"/>
                <w:sz w:val="24"/>
                <w:szCs w:val="24"/>
                <w:highlight w:val="none"/>
                <w:lang w:val="en-US" w:eastAsia="zh-CN" w:bidi="ar-SA"/>
              </w:rPr>
              <w:t>）生活</w:t>
            </w:r>
            <w:r>
              <w:rPr>
                <w:rFonts w:hint="default" w:ascii="Times New Roman" w:hAnsi="Times New Roman" w:cs="Times New Roman"/>
                <w:color w:val="auto"/>
                <w:kern w:val="0"/>
                <w:sz w:val="24"/>
                <w:szCs w:val="24"/>
                <w:highlight w:val="none"/>
                <w:lang w:val="en-US" w:eastAsia="zh-CN" w:bidi="ar-SA"/>
              </w:rPr>
              <w:t>用水</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SA"/>
              </w:rPr>
              <w:t>项目拟聘职工人数</w:t>
            </w:r>
            <w:r>
              <w:rPr>
                <w:rFonts w:hint="default" w:ascii="Times New Roman" w:hAnsi="Times New Roman" w:cs="Times New Roman"/>
                <w:color w:val="auto"/>
                <w:kern w:val="0"/>
                <w:sz w:val="24"/>
                <w:szCs w:val="24"/>
                <w:highlight w:val="none"/>
                <w:lang w:val="en-US" w:eastAsia="zh-CN" w:bidi="ar-SA"/>
              </w:rPr>
              <w:t>70</w:t>
            </w:r>
            <w:r>
              <w:rPr>
                <w:rFonts w:hint="default" w:ascii="Times New Roman" w:hAnsi="Times New Roman" w:eastAsia="宋体" w:cs="Times New Roman"/>
                <w:color w:val="auto"/>
                <w:kern w:val="0"/>
                <w:sz w:val="24"/>
                <w:szCs w:val="24"/>
                <w:highlight w:val="none"/>
                <w:lang w:val="en-US" w:eastAsia="zh-CN" w:bidi="ar-SA"/>
              </w:rPr>
              <w:t>人</w:t>
            </w:r>
            <w:r>
              <w:rPr>
                <w:rFonts w:hint="default" w:ascii="Times New Roman" w:hAnsi="Times New Roman" w:cs="Times New Roman"/>
                <w:color w:val="auto"/>
                <w:kern w:val="0"/>
                <w:sz w:val="24"/>
                <w:szCs w:val="24"/>
                <w:highlight w:val="none"/>
                <w:lang w:val="en-US" w:eastAsia="zh-CN" w:bidi="ar-SA"/>
              </w:rPr>
              <w:t>，其中50人住宿，设置食堂</w:t>
            </w:r>
            <w:r>
              <w:rPr>
                <w:rFonts w:hint="default" w:ascii="Times New Roman" w:hAnsi="Times New Roman" w:eastAsia="宋体" w:cs="Times New Roman"/>
                <w:color w:val="auto"/>
                <w:kern w:val="0"/>
                <w:sz w:val="24"/>
                <w:szCs w:val="24"/>
                <w:highlight w:val="none"/>
                <w:lang w:val="en-US" w:eastAsia="zh-CN" w:bidi="ar-SA"/>
              </w:rPr>
              <w:t>，</w:t>
            </w:r>
            <w:r>
              <w:rPr>
                <w:rFonts w:hint="default" w:ascii="Times New Roman" w:hAnsi="Times New Roman" w:cs="Times New Roman"/>
                <w:b w:val="0"/>
                <w:bCs w:val="0"/>
                <w:color w:val="auto"/>
                <w:sz w:val="24"/>
                <w:szCs w:val="24"/>
                <w:highlight w:val="none"/>
                <w:lang w:val="en-US" w:eastAsia="zh-CN"/>
              </w:rPr>
              <w:t>根据《福建省行业用水定额》（DB35/T772-2018），结合泉州市实际情况，住厂职工用水额为150L/（p·d）</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不住厂职工用水额为50L/（p·d）</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项目</w:t>
            </w:r>
            <w:r>
              <w:rPr>
                <w:rFonts w:hint="default" w:ascii="Times New Roman" w:hAnsi="Times New Roman" w:cs="Times New Roman"/>
                <w:color w:val="auto"/>
                <w:sz w:val="24"/>
                <w:szCs w:val="24"/>
                <w:highlight w:val="none"/>
              </w:rPr>
              <w:t>年工作日300天，则</w:t>
            </w:r>
            <w:r>
              <w:rPr>
                <w:rFonts w:hint="default" w:ascii="Times New Roman" w:hAnsi="Times New Roman" w:cs="Times New Roman"/>
                <w:color w:val="auto"/>
                <w:sz w:val="24"/>
                <w:szCs w:val="24"/>
                <w:highlight w:val="none"/>
                <w:lang w:val="en-US" w:eastAsia="zh-CN"/>
              </w:rPr>
              <w:t>项目</w:t>
            </w:r>
            <w:r>
              <w:rPr>
                <w:rFonts w:hint="default" w:ascii="Times New Roman" w:hAnsi="Times New Roman" w:cs="Times New Roman"/>
                <w:color w:val="auto"/>
                <w:sz w:val="24"/>
                <w:szCs w:val="24"/>
                <w:highlight w:val="none"/>
              </w:rPr>
              <w:t>职工生活用水量为</w:t>
            </w:r>
            <w:r>
              <w:rPr>
                <w:rFonts w:hint="default" w:ascii="Times New Roman" w:hAnsi="Times New Roman" w:cs="Times New Roman"/>
                <w:color w:val="auto"/>
                <w:sz w:val="24"/>
                <w:szCs w:val="24"/>
                <w:highlight w:val="none"/>
                <w:lang w:val="en-US" w:eastAsia="zh-CN"/>
              </w:rPr>
              <w:t>2550</w:t>
            </w:r>
            <w:r>
              <w:rPr>
                <w:rFonts w:hint="default" w:ascii="Times New Roman" w:hAnsi="Times New Roman" w:cs="Times New Roman"/>
                <w:color w:val="auto"/>
                <w:sz w:val="24"/>
                <w:szCs w:val="24"/>
                <w:highlight w:val="none"/>
              </w:rPr>
              <w:t>t/a（</w:t>
            </w:r>
            <w:r>
              <w:rPr>
                <w:rFonts w:hint="default" w:ascii="Times New Roman" w:hAnsi="Times New Roman" w:cs="Times New Roman"/>
                <w:color w:val="auto"/>
                <w:sz w:val="24"/>
                <w:szCs w:val="24"/>
                <w:highlight w:val="none"/>
                <w:lang w:val="en-US" w:eastAsia="zh-CN"/>
              </w:rPr>
              <w:t>8.5</w:t>
            </w:r>
            <w:r>
              <w:rPr>
                <w:rFonts w:hint="default" w:ascii="Times New Roman" w:hAnsi="Times New Roman" w:cs="Times New Roman"/>
                <w:color w:val="auto"/>
                <w:sz w:val="24"/>
                <w:szCs w:val="24"/>
                <w:highlight w:val="none"/>
              </w:rPr>
              <w:t>t/d），污水产生系数按</w:t>
            </w:r>
            <w:r>
              <w:rPr>
                <w:rFonts w:hint="default" w:ascii="Times New Roman" w:hAnsi="Times New Roman" w:cs="Times New Roman"/>
                <w:color w:val="auto"/>
                <w:sz w:val="24"/>
                <w:szCs w:val="24"/>
                <w:highlight w:val="none"/>
                <w:lang w:val="en-US" w:eastAsia="zh-CN"/>
              </w:rPr>
              <w:t>8</w:t>
            </w:r>
            <w:r>
              <w:rPr>
                <w:rFonts w:hint="default" w:ascii="Times New Roman" w:hAnsi="Times New Roman" w:cs="Times New Roman"/>
                <w:color w:val="auto"/>
                <w:sz w:val="24"/>
                <w:szCs w:val="24"/>
                <w:highlight w:val="none"/>
              </w:rPr>
              <w:t>0%计算，则项目生活污水排放量为</w:t>
            </w:r>
            <w:r>
              <w:rPr>
                <w:rFonts w:hint="default" w:ascii="Times New Roman" w:hAnsi="Times New Roman" w:cs="Times New Roman"/>
                <w:color w:val="auto"/>
                <w:sz w:val="24"/>
                <w:szCs w:val="24"/>
                <w:highlight w:val="none"/>
                <w:lang w:val="en-US" w:eastAsia="zh-CN"/>
              </w:rPr>
              <w:t>2040</w:t>
            </w:r>
            <w:r>
              <w:rPr>
                <w:rFonts w:hint="default" w:ascii="Times New Roman" w:hAnsi="Times New Roman" w:cs="Times New Roman"/>
                <w:color w:val="auto"/>
                <w:sz w:val="24"/>
                <w:szCs w:val="24"/>
                <w:highlight w:val="none"/>
              </w:rPr>
              <w:t>t/a（</w:t>
            </w:r>
            <w:r>
              <w:rPr>
                <w:rFonts w:hint="default" w:ascii="Times New Roman" w:hAnsi="Times New Roman" w:cs="Times New Roman"/>
                <w:color w:val="auto"/>
                <w:sz w:val="24"/>
                <w:szCs w:val="24"/>
                <w:highlight w:val="none"/>
                <w:lang w:val="en-US" w:eastAsia="zh-CN"/>
              </w:rPr>
              <w:t>6.8</w:t>
            </w:r>
            <w:r>
              <w:rPr>
                <w:rFonts w:hint="default" w:ascii="Times New Roman" w:hAnsi="Times New Roman" w:cs="Times New Roman"/>
                <w:color w:val="auto"/>
                <w:sz w:val="24"/>
                <w:szCs w:val="24"/>
                <w:highlight w:val="none"/>
              </w:rPr>
              <w:t>t/d）。</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项目食堂供员工的</w:t>
            </w:r>
            <w:r>
              <w:rPr>
                <w:rFonts w:hint="default" w:ascii="Times New Roman" w:hAnsi="Times New Roman" w:cs="Times New Roman"/>
                <w:color w:val="auto"/>
                <w:sz w:val="24"/>
                <w:highlight w:val="none"/>
                <w:lang w:eastAsia="zh-CN"/>
              </w:rPr>
              <w:t>三餐</w:t>
            </w:r>
            <w:r>
              <w:rPr>
                <w:rFonts w:hint="default" w:ascii="Times New Roman" w:hAnsi="Times New Roman" w:cs="Times New Roman"/>
                <w:color w:val="auto"/>
                <w:sz w:val="24"/>
                <w:highlight w:val="none"/>
                <w:lang w:val="en-US" w:eastAsia="zh-CN"/>
              </w:rPr>
              <w:t>用餐服务</w:t>
            </w:r>
            <w:r>
              <w:rPr>
                <w:rFonts w:hint="default" w:ascii="Times New Roman" w:hAnsi="Times New Roman" w:eastAsia="宋体" w:cs="Times New Roman"/>
                <w:color w:val="auto"/>
                <w:kern w:val="0"/>
                <w:sz w:val="24"/>
                <w:szCs w:val="24"/>
                <w:highlight w:val="none"/>
                <w:lang w:val="en-US" w:eastAsia="zh-CN" w:bidi="ar"/>
              </w:rPr>
              <w:t>，根据建设单位提供资料，本项目员工基本在食堂用餐，食堂运营制度为年运营300天，根据《建筑给水排水设计规范》（GB50015-2019）职工食堂最高日用水定额为20~25L/（人·天），取25L/（人*天），即食堂用水量为1.75t/d（525t/a），排污系数取0.</w:t>
            </w:r>
            <w:r>
              <w:rPr>
                <w:rFonts w:hint="eastAsia" w:ascii="Times New Roman" w:hAnsi="Times New Roman" w:eastAsia="宋体" w:cs="Times New Roman"/>
                <w:color w:val="auto"/>
                <w:kern w:val="0"/>
                <w:sz w:val="24"/>
                <w:szCs w:val="24"/>
                <w:highlight w:val="none"/>
                <w:lang w:val="en-US" w:eastAsia="zh-CN" w:bidi="ar"/>
              </w:rPr>
              <w:t>8</w:t>
            </w:r>
            <w:r>
              <w:rPr>
                <w:rFonts w:hint="default" w:ascii="Times New Roman" w:hAnsi="Times New Roman" w:eastAsia="宋体" w:cs="Times New Roman"/>
                <w:color w:val="auto"/>
                <w:kern w:val="0"/>
                <w:sz w:val="24"/>
                <w:szCs w:val="24"/>
                <w:highlight w:val="none"/>
                <w:lang w:val="en-US" w:eastAsia="zh-CN" w:bidi="ar"/>
              </w:rPr>
              <w:t>，即食堂废水排放量为</w:t>
            </w:r>
            <w:r>
              <w:rPr>
                <w:rFonts w:hint="eastAsia" w:cs="Times New Roman"/>
                <w:color w:val="auto"/>
                <w:kern w:val="0"/>
                <w:sz w:val="24"/>
                <w:szCs w:val="24"/>
                <w:highlight w:val="none"/>
                <w:lang w:val="en-US" w:eastAsia="zh-CN" w:bidi="ar"/>
              </w:rPr>
              <w:t>1.4</w:t>
            </w:r>
            <w:r>
              <w:rPr>
                <w:rFonts w:hint="default" w:ascii="Times New Roman" w:hAnsi="Times New Roman" w:eastAsia="宋体" w:cs="Times New Roman"/>
                <w:color w:val="auto"/>
                <w:kern w:val="0"/>
                <w:sz w:val="24"/>
                <w:szCs w:val="24"/>
                <w:highlight w:val="none"/>
                <w:lang w:val="en-US" w:eastAsia="zh-CN" w:bidi="ar"/>
              </w:rPr>
              <w:t>t/d（</w:t>
            </w:r>
            <w:r>
              <w:rPr>
                <w:rFonts w:hint="eastAsia" w:cs="Times New Roman"/>
                <w:color w:val="auto"/>
                <w:kern w:val="0"/>
                <w:sz w:val="24"/>
                <w:szCs w:val="24"/>
                <w:highlight w:val="none"/>
                <w:lang w:val="en-US" w:eastAsia="zh-CN" w:bidi="ar"/>
              </w:rPr>
              <w:t>420t</w:t>
            </w:r>
            <w:r>
              <w:rPr>
                <w:rFonts w:hint="default" w:ascii="Times New Roman" w:hAnsi="Times New Roman" w:eastAsia="宋体" w:cs="Times New Roman"/>
                <w:color w:val="auto"/>
                <w:kern w:val="0"/>
                <w:sz w:val="24"/>
                <w:szCs w:val="24"/>
                <w:highlight w:val="none"/>
                <w:lang w:val="en-US" w:eastAsia="zh-CN" w:bidi="ar"/>
              </w:rPr>
              <w:t>/a）。</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项目给排水平衡图见图</w:t>
            </w:r>
            <w:r>
              <w:rPr>
                <w:rFonts w:hint="eastAsia" w:ascii="Times New Roman" w:hAnsi="Times New Roman" w:eastAsia="宋体" w:cs="Times New Roman"/>
                <w:color w:val="auto"/>
                <w:sz w:val="24"/>
                <w:szCs w:val="24"/>
                <w:highlight w:val="none"/>
                <w:lang w:val="en-US" w:eastAsia="zh-CN"/>
              </w:rPr>
              <w:t>2</w:t>
            </w:r>
            <w:r>
              <w:rPr>
                <w:rFonts w:hint="eastAsia"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en-US" w:eastAsia="zh-CN"/>
              </w:rPr>
              <w:t>-1。</w:t>
            </w:r>
          </w:p>
          <w:p>
            <w:pPr>
              <w:pStyle w:val="34"/>
              <w:ind w:left="0" w:leftChars="0" w:firstLine="0" w:firstLineChar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object>
                <v:shape id="_x0000_i1029" o:spt="75" type="#_x0000_t75" style="height:330pt;width:301.5pt;" o:ole="t" filled="f" o:preferrelative="t" stroked="f" coordsize="21600,21600">
                  <v:path/>
                  <v:fill on="f" focussize="0,0"/>
                  <v:stroke on="f"/>
                  <v:imagedata r:id="rId18" o:title=""/>
                  <o:lock v:ext="edit" aspectratio="f"/>
                  <w10:wrap type="none"/>
                  <w10:anchorlock/>
                </v:shape>
                <o:OLEObject Type="Embed" ProgID="Visio.Drawing.11" ShapeID="_x0000_i1029" DrawAspect="Content" ObjectID="_1468075729" r:id="rId17">
                  <o:LockedField>false</o:LockedField>
                </o:OLEObject>
              </w:object>
            </w:r>
          </w:p>
          <w:p>
            <w:pPr>
              <w:keepNext w:val="0"/>
              <w:keepLines w:val="0"/>
              <w:widowControl/>
              <w:suppressLineNumbers w:val="0"/>
              <w:jc w:val="center"/>
              <w:rPr>
                <w:color w:val="auto"/>
                <w:highlight w:val="none"/>
              </w:rPr>
            </w:pPr>
            <w:r>
              <w:rPr>
                <w:rFonts w:hint="eastAsia" w:ascii="宋体" w:hAnsi="宋体" w:eastAsia="宋体" w:cs="宋体"/>
                <w:b/>
                <w:bCs/>
                <w:color w:val="auto"/>
                <w:kern w:val="0"/>
                <w:sz w:val="24"/>
                <w:szCs w:val="24"/>
                <w:highlight w:val="none"/>
                <w:lang w:val="en-US" w:eastAsia="zh-CN" w:bidi="ar"/>
              </w:rPr>
              <w:t xml:space="preserve">图 </w:t>
            </w:r>
            <w:r>
              <w:rPr>
                <w:rFonts w:hint="default" w:ascii="Times New Roman" w:hAnsi="Times New Roman" w:eastAsia="宋体" w:cs="Times New Roman"/>
                <w:b/>
                <w:bCs/>
                <w:color w:val="auto"/>
                <w:kern w:val="0"/>
                <w:sz w:val="24"/>
                <w:szCs w:val="24"/>
                <w:highlight w:val="none"/>
                <w:lang w:val="en-US" w:eastAsia="zh-CN" w:bidi="ar"/>
              </w:rPr>
              <w:t>2.</w:t>
            </w:r>
            <w:r>
              <w:rPr>
                <w:rFonts w:hint="eastAsia" w:cs="Times New Roman"/>
                <w:b/>
                <w:bCs/>
                <w:color w:val="auto"/>
                <w:kern w:val="0"/>
                <w:sz w:val="24"/>
                <w:szCs w:val="24"/>
                <w:highlight w:val="none"/>
                <w:lang w:val="en-US" w:eastAsia="zh-CN" w:bidi="ar"/>
              </w:rPr>
              <w:t>8</w:t>
            </w:r>
            <w:r>
              <w:rPr>
                <w:rFonts w:hint="default" w:ascii="Times New Roman" w:hAnsi="Times New Roman" w:eastAsia="宋体" w:cs="Times New Roman"/>
                <w:b/>
                <w:bCs/>
                <w:color w:val="auto"/>
                <w:kern w:val="0"/>
                <w:sz w:val="24"/>
                <w:szCs w:val="24"/>
                <w:highlight w:val="none"/>
                <w:lang w:val="en-US" w:eastAsia="zh-CN" w:bidi="ar"/>
              </w:rPr>
              <w:t xml:space="preserve">-1 </w:t>
            </w:r>
            <w:r>
              <w:rPr>
                <w:rFonts w:hint="eastAsia" w:ascii="宋体" w:hAnsi="宋体" w:eastAsia="宋体" w:cs="宋体"/>
                <w:b/>
                <w:bCs/>
                <w:color w:val="auto"/>
                <w:kern w:val="0"/>
                <w:sz w:val="24"/>
                <w:szCs w:val="24"/>
                <w:highlight w:val="none"/>
                <w:lang w:val="en-US" w:eastAsia="zh-CN" w:bidi="ar"/>
              </w:rPr>
              <w:t>项目水平衡图 单位：</w:t>
            </w:r>
            <w:r>
              <w:rPr>
                <w:rFonts w:hint="default" w:ascii="Times New Roman" w:hAnsi="Times New Roman" w:eastAsia="宋体" w:cs="Times New Roman"/>
                <w:b/>
                <w:bCs/>
                <w:color w:val="auto"/>
                <w:kern w:val="0"/>
                <w:sz w:val="24"/>
                <w:szCs w:val="24"/>
                <w:highlight w:val="none"/>
                <w:lang w:val="en-US" w:eastAsia="zh-CN" w:bidi="ar"/>
              </w:rPr>
              <w:t>t/a</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left"/>
              <w:textAlignment w:val="auto"/>
              <w:rPr>
                <w:rFonts w:hint="default" w:ascii="Times New Roman" w:hAnsi="Times New Roman" w:cs="Times New Roman"/>
                <w:b/>
                <w:bCs/>
                <w:color w:val="auto"/>
                <w:sz w:val="24"/>
                <w:highlight w:val="none"/>
              </w:rPr>
            </w:pPr>
            <w:r>
              <w:rPr>
                <w:rFonts w:hint="eastAsia" w:cs="Times New Roman"/>
                <w:b/>
                <w:bCs/>
                <w:color w:val="auto"/>
                <w:sz w:val="24"/>
                <w:highlight w:val="none"/>
                <w:lang w:val="en-US" w:eastAsia="zh-CN"/>
              </w:rPr>
              <w:t>2.9</w:t>
            </w:r>
            <w:r>
              <w:rPr>
                <w:rFonts w:hint="default" w:ascii="Times New Roman" w:hAnsi="Times New Roman" w:cs="Times New Roman"/>
                <w:b/>
                <w:bCs/>
                <w:color w:val="auto"/>
                <w:sz w:val="24"/>
                <w:highlight w:val="none"/>
              </w:rPr>
              <w:t>、平面布局合理性分析</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w:t>
            </w:r>
            <w:r>
              <w:rPr>
                <w:rFonts w:hint="default" w:ascii="Times New Roman" w:hAnsi="Times New Roman" w:eastAsia="宋体" w:cs="Times New Roman"/>
                <w:color w:val="auto"/>
                <w:kern w:val="0"/>
                <w:sz w:val="24"/>
                <w:szCs w:val="24"/>
                <w:highlight w:val="none"/>
                <w:lang w:val="en-US" w:eastAsia="zh-CN" w:bidi="ar-SA"/>
              </w:rPr>
              <w:t>项目位于</w:t>
            </w:r>
            <w:r>
              <w:rPr>
                <w:rFonts w:hint="eastAsia" w:ascii="Times New Roman" w:hAnsi="Times New Roman" w:eastAsia="宋体" w:cs="Times New Roman"/>
                <w:bCs/>
                <w:color w:val="auto"/>
                <w:sz w:val="24"/>
                <w:highlight w:val="none"/>
              </w:rPr>
              <w:t>福建省南安市美林街道茂盛路1288号</w:t>
            </w:r>
            <w:r>
              <w:rPr>
                <w:rFonts w:hint="eastAsia"/>
                <w:bCs/>
                <w:color w:val="auto"/>
                <w:sz w:val="24"/>
              </w:rPr>
              <w:t>（</w:t>
            </w:r>
            <w:r>
              <w:rPr>
                <w:rFonts w:hint="eastAsia" w:ascii="Times New Roman" w:hAnsi="Times New Roman" w:eastAsia="宋体" w:cs="Times New Roman"/>
                <w:bCs/>
                <w:color w:val="auto"/>
                <w:sz w:val="24"/>
                <w:highlight w:val="none"/>
                <w:lang w:eastAsia="zh-CN"/>
              </w:rPr>
              <w:t>南安经济开发区扶茂工业园中心片区内</w:t>
            </w:r>
            <w:r>
              <w:rPr>
                <w:rFonts w:hint="eastAsia"/>
                <w:bCs/>
                <w:color w:val="auto"/>
                <w:sz w:val="24"/>
              </w:rPr>
              <w:t>）</w:t>
            </w:r>
            <w:r>
              <w:rPr>
                <w:rFonts w:hint="default" w:ascii="Times New Roman" w:hAnsi="Times New Roman" w:eastAsia="宋体" w:cs="Times New Roman"/>
                <w:color w:val="auto"/>
                <w:sz w:val="24"/>
                <w:szCs w:val="24"/>
                <w:highlight w:val="none"/>
              </w:rPr>
              <w:t>，项目厂区及车间平面布置见附图</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。根据项目总平面布置图，对项目布局合理性分析如下：</w:t>
            </w:r>
          </w:p>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总平面布置遵循国家有关规范要求</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项目</w:t>
            </w:r>
            <w:r>
              <w:rPr>
                <w:rFonts w:hint="eastAsia" w:cs="Times New Roman"/>
                <w:color w:val="auto"/>
                <w:sz w:val="24"/>
                <w:szCs w:val="24"/>
                <w:highlight w:val="none"/>
                <w:lang w:val="en-US" w:eastAsia="zh-CN"/>
              </w:rPr>
              <w:t>厂区</w:t>
            </w:r>
            <w:r>
              <w:rPr>
                <w:rFonts w:hint="default" w:ascii="Times New Roman" w:hAnsi="Times New Roman" w:cs="Times New Roman"/>
                <w:color w:val="auto"/>
                <w:sz w:val="24"/>
                <w:szCs w:val="24"/>
                <w:highlight w:val="none"/>
              </w:rPr>
              <w:t>平面布局分为生产区</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办公区</w:t>
            </w:r>
            <w:r>
              <w:rPr>
                <w:rFonts w:hint="eastAsia" w:cs="Times New Roman"/>
                <w:color w:val="auto"/>
                <w:sz w:val="24"/>
                <w:szCs w:val="24"/>
                <w:highlight w:val="none"/>
                <w:lang w:val="en-US" w:eastAsia="zh-CN"/>
              </w:rPr>
              <w:t>等</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kern w:val="2"/>
                <w:sz w:val="24"/>
                <w:szCs w:val="24"/>
                <w:highlight w:val="none"/>
                <w:lang w:eastAsia="zh-CN"/>
              </w:rPr>
              <w:t>平面布局合理，</w:t>
            </w:r>
            <w:r>
              <w:rPr>
                <w:rFonts w:hint="default" w:ascii="Times New Roman" w:hAnsi="Times New Roman" w:eastAsia="宋体" w:cs="Times New Roman"/>
                <w:color w:val="auto"/>
                <w:sz w:val="24"/>
                <w:szCs w:val="24"/>
                <w:highlight w:val="none"/>
              </w:rPr>
              <w:t>总平面布置</w:t>
            </w:r>
            <w:r>
              <w:rPr>
                <w:rFonts w:hint="default" w:ascii="Times New Roman" w:hAnsi="Times New Roman" w:eastAsia="宋体" w:cs="Times New Roman"/>
                <w:color w:val="auto"/>
                <w:sz w:val="24"/>
                <w:szCs w:val="24"/>
                <w:highlight w:val="none"/>
                <w:lang w:eastAsia="zh-CN"/>
              </w:rPr>
              <w:t>能做到</w:t>
            </w:r>
            <w:r>
              <w:rPr>
                <w:rFonts w:hint="default" w:ascii="Times New Roman" w:hAnsi="Times New Roman" w:eastAsia="宋体" w:cs="Times New Roman"/>
                <w:color w:val="auto"/>
                <w:sz w:val="24"/>
                <w:szCs w:val="24"/>
                <w:highlight w:val="none"/>
              </w:rPr>
              <w:t>功能分区明确</w:t>
            </w:r>
            <w:r>
              <w:rPr>
                <w:rFonts w:hint="eastAsia" w:cs="Times New Roman"/>
                <w:color w:val="auto"/>
                <w:sz w:val="24"/>
                <w:szCs w:val="24"/>
                <w:highlight w:val="none"/>
                <w:lang w:eastAsia="zh-CN"/>
              </w:rPr>
              <w:t>；</w:t>
            </w:r>
          </w:p>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生产区内机台设备按照工艺流程顺序布置，物料流程短，有利于生产操作和管理，以及有效提高生产效率</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机台于车间内部</w:t>
            </w:r>
            <w:r>
              <w:rPr>
                <w:rFonts w:hint="default" w:ascii="Times New Roman" w:hAnsi="Times New Roman" w:eastAsia="宋体" w:cs="Times New Roman"/>
                <w:color w:val="auto"/>
                <w:sz w:val="24"/>
                <w:szCs w:val="24"/>
                <w:highlight w:val="none"/>
                <w:lang w:eastAsia="zh-CN"/>
              </w:rPr>
              <w:t>合理分布，可减少对周围声环境的影响，布局合理；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）项目厂房</w:t>
            </w:r>
            <w:r>
              <w:rPr>
                <w:rFonts w:hint="eastAsia" w:cs="Times New Roman"/>
                <w:color w:val="auto"/>
                <w:sz w:val="24"/>
                <w:szCs w:val="24"/>
                <w:highlight w:val="none"/>
                <w:lang w:val="en-US" w:eastAsia="zh-CN"/>
              </w:rPr>
              <w:t>车间</w:t>
            </w:r>
            <w:r>
              <w:rPr>
                <w:rFonts w:hint="default" w:ascii="Times New Roman" w:hAnsi="Times New Roman" w:eastAsia="宋体" w:cs="Times New Roman"/>
                <w:color w:val="auto"/>
                <w:sz w:val="24"/>
                <w:szCs w:val="24"/>
                <w:highlight w:val="none"/>
              </w:rPr>
              <w:t>出入口</w:t>
            </w:r>
            <w:r>
              <w:rPr>
                <w:rFonts w:hint="eastAsia" w:ascii="Times New Roman" w:hAnsi="Times New Roman" w:eastAsia="宋体" w:cs="Times New Roman"/>
                <w:color w:val="auto"/>
                <w:sz w:val="24"/>
                <w:szCs w:val="24"/>
                <w:highlight w:val="none"/>
                <w:lang w:val="en-US" w:eastAsia="zh-CN"/>
              </w:rPr>
              <w:t>均</w:t>
            </w:r>
            <w:r>
              <w:rPr>
                <w:rFonts w:hint="default" w:ascii="Times New Roman" w:hAnsi="Times New Roman" w:eastAsia="宋体" w:cs="Times New Roman"/>
                <w:color w:val="auto"/>
                <w:sz w:val="24"/>
                <w:szCs w:val="24"/>
                <w:highlight w:val="none"/>
              </w:rPr>
              <w:t>靠近道路，方便车辆运输</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有利于产品及原料的进出；</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项目对</w:t>
            </w:r>
            <w:r>
              <w:rPr>
                <w:rFonts w:hint="default" w:ascii="Times New Roman" w:hAnsi="Times New Roman" w:eastAsia="宋体" w:cs="Times New Roman"/>
                <w:color w:val="auto"/>
                <w:sz w:val="24"/>
                <w:szCs w:val="24"/>
                <w:highlight w:val="none"/>
              </w:rPr>
              <w:t>生产设备均采取基础</w:t>
            </w:r>
            <w:r>
              <w:rPr>
                <w:rFonts w:hint="eastAsia" w:cs="Times New Roman"/>
                <w:color w:val="auto"/>
                <w:sz w:val="24"/>
                <w:szCs w:val="24"/>
                <w:highlight w:val="none"/>
                <w:lang w:eastAsia="zh-CN"/>
              </w:rPr>
              <w:t>减振，</w:t>
            </w:r>
            <w:r>
              <w:rPr>
                <w:rFonts w:hint="default" w:ascii="Times New Roman" w:hAnsi="Times New Roman" w:eastAsia="宋体" w:cs="Times New Roman"/>
                <w:color w:val="auto"/>
                <w:sz w:val="24"/>
                <w:szCs w:val="24"/>
                <w:highlight w:val="none"/>
              </w:rPr>
              <w:t>机械设备均</w:t>
            </w:r>
            <w:r>
              <w:rPr>
                <w:rFonts w:hint="eastAsia" w:cs="Times New Roman"/>
                <w:color w:val="auto"/>
                <w:sz w:val="24"/>
                <w:szCs w:val="24"/>
                <w:highlight w:val="none"/>
                <w:lang w:eastAsia="zh-CN"/>
              </w:rPr>
              <w:t>位于</w:t>
            </w:r>
            <w:r>
              <w:rPr>
                <w:rFonts w:hint="default" w:ascii="Times New Roman" w:hAnsi="Times New Roman" w:eastAsia="宋体" w:cs="Times New Roman"/>
                <w:color w:val="auto"/>
                <w:sz w:val="24"/>
                <w:szCs w:val="24"/>
                <w:highlight w:val="none"/>
              </w:rPr>
              <w:t>生产厂房内，</w:t>
            </w:r>
            <w:r>
              <w:rPr>
                <w:rFonts w:hint="eastAsia" w:cs="Times New Roman"/>
                <w:color w:val="auto"/>
                <w:sz w:val="24"/>
                <w:szCs w:val="24"/>
                <w:highlight w:val="none"/>
                <w:lang w:val="en-US" w:eastAsia="zh-CN"/>
              </w:rPr>
              <w:t>厂房</w:t>
            </w:r>
            <w:r>
              <w:rPr>
                <w:rFonts w:hint="default" w:ascii="Times New Roman" w:hAnsi="Times New Roman" w:eastAsia="宋体" w:cs="Times New Roman"/>
                <w:color w:val="auto"/>
                <w:sz w:val="24"/>
                <w:szCs w:val="24"/>
                <w:highlight w:val="none"/>
              </w:rPr>
              <w:t>墙体隔声，</w:t>
            </w:r>
            <w:r>
              <w:rPr>
                <w:rFonts w:hint="eastAsia" w:cs="Times New Roman"/>
                <w:color w:val="auto"/>
                <w:sz w:val="24"/>
                <w:szCs w:val="24"/>
                <w:highlight w:val="none"/>
                <w:lang w:eastAsia="zh-CN"/>
              </w:rPr>
              <w:t>在落实机台设备消音减震、厂房隔音的措施下</w:t>
            </w:r>
            <w:r>
              <w:rPr>
                <w:rFonts w:hint="default" w:ascii="Times New Roman" w:hAnsi="Times New Roman" w:eastAsia="宋体" w:cs="Times New Roman"/>
                <w:color w:val="auto"/>
                <w:sz w:val="24"/>
                <w:szCs w:val="24"/>
                <w:highlight w:val="none"/>
              </w:rPr>
              <w:t>可以有效降低噪声对外环境</w:t>
            </w:r>
            <w:r>
              <w:rPr>
                <w:rFonts w:hint="eastAsia" w:cs="Times New Roman"/>
                <w:color w:val="auto"/>
                <w:sz w:val="24"/>
                <w:szCs w:val="24"/>
                <w:highlight w:val="none"/>
                <w:lang w:val="en-US" w:eastAsia="zh-CN"/>
              </w:rPr>
              <w:t>和周边环境保护目标</w:t>
            </w:r>
            <w:r>
              <w:rPr>
                <w:rFonts w:hint="default" w:ascii="Times New Roman" w:hAnsi="Times New Roman" w:eastAsia="宋体" w:cs="Times New Roman"/>
                <w:color w:val="auto"/>
                <w:sz w:val="24"/>
                <w:szCs w:val="24"/>
                <w:highlight w:val="none"/>
              </w:rPr>
              <w:t>的影响</w:t>
            </w:r>
            <w:r>
              <w:rPr>
                <w:rFonts w:hint="eastAsia" w:cs="Times New Roman"/>
                <w:color w:val="auto"/>
                <w:sz w:val="24"/>
                <w:szCs w:val="24"/>
                <w:highlight w:val="none"/>
                <w:lang w:eastAsia="zh-CN"/>
              </w:rPr>
              <w:t>；</w:t>
            </w:r>
          </w:p>
          <w:p>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项目建筑的防火设计依据《建筑设计防火规范》(GB50016-2014)设计，厂房防火设计按丁类厂房设计，耐火等级设计为二级，综合楼为戊类建筑物，耐火等级设计为二级，项目铸造车间厂房与生产车间之间道路间距、综合楼与生产车间之间间距均为6m，间距满足消防通道要求（不小于4m），建筑周围设环状消防道路，厂房拟设置防火门、防火墙和电气防火设施，拟在相关区域设置了较为完整的区域型火灾自动报警及联动控制系统，在建筑物内墙壁处内配置钢管敷设，在室外采用阻燃屏蔽控制电缆和阻燃热敏控制电缆等敷设，项目高温设备置于厂房靠中间区域，</w:t>
            </w:r>
            <w:r>
              <w:rPr>
                <w:rFonts w:hint="default" w:ascii="Times New Roman" w:hAnsi="Times New Roman" w:cs="Times New Roman"/>
                <w:color w:val="auto"/>
                <w:sz w:val="24"/>
                <w:szCs w:val="24"/>
                <w:highlight w:val="none"/>
                <w:lang w:val="en-US" w:eastAsia="zh-CN"/>
              </w:rPr>
              <w:t>与混凝土结构尽量保持</w:t>
            </w:r>
            <w:r>
              <w:rPr>
                <w:rFonts w:hint="eastAsia" w:ascii="Times New Roman" w:hAnsi="Times New Roman" w:cs="Times New Roman"/>
                <w:color w:val="auto"/>
                <w:sz w:val="24"/>
                <w:szCs w:val="24"/>
                <w:highlight w:val="none"/>
                <w:lang w:val="en-US" w:eastAsia="zh-CN"/>
              </w:rPr>
              <w:t>至少1m的</w:t>
            </w:r>
            <w:r>
              <w:rPr>
                <w:rFonts w:hint="default" w:ascii="Times New Roman" w:hAnsi="Times New Roman" w:cs="Times New Roman"/>
                <w:color w:val="auto"/>
                <w:sz w:val="24"/>
                <w:szCs w:val="24"/>
                <w:highlight w:val="none"/>
                <w:lang w:val="en-US" w:eastAsia="zh-CN"/>
              </w:rPr>
              <w:t>安全距离</w:t>
            </w:r>
            <w:r>
              <w:rPr>
                <w:rFonts w:hint="eastAsia" w:ascii="Times New Roman" w:hAnsi="Times New Roman" w:cs="Times New Roman"/>
                <w:color w:val="auto"/>
                <w:sz w:val="24"/>
                <w:szCs w:val="24"/>
                <w:highlight w:val="none"/>
                <w:lang w:val="en-US" w:eastAsia="zh-CN"/>
              </w:rPr>
              <w:t>，通过以上措施和布设可有效的保护墙体破坏和防止厂区着火情形。</w:t>
            </w:r>
          </w:p>
          <w:p>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480" w:firstLineChars="200"/>
              <w:textAlignment w:val="auto"/>
              <w:rPr>
                <w:bCs/>
                <w:color w:val="auto"/>
                <w:sz w:val="24"/>
                <w:highlight w:val="none"/>
              </w:rPr>
            </w:pPr>
            <w:r>
              <w:rPr>
                <w:rFonts w:hint="default" w:ascii="Times New Roman" w:hAnsi="Times New Roman" w:cs="Times New Roman"/>
                <w:color w:val="auto"/>
                <w:kern w:val="2"/>
                <w:sz w:val="24"/>
                <w:szCs w:val="24"/>
                <w:highlight w:val="none"/>
                <w:lang w:eastAsia="zh-CN"/>
              </w:rPr>
              <w:t>综上所述，项目总平面布置</w:t>
            </w:r>
            <w:r>
              <w:rPr>
                <w:rFonts w:hint="eastAsia" w:ascii="Times New Roman" w:hAnsi="Times New Roman" w:cs="Times New Roman"/>
                <w:color w:val="auto"/>
                <w:kern w:val="2"/>
                <w:sz w:val="24"/>
                <w:szCs w:val="24"/>
                <w:highlight w:val="none"/>
                <w:lang w:val="en-US" w:eastAsia="zh-CN"/>
              </w:rPr>
              <w:t>能</w:t>
            </w:r>
            <w:r>
              <w:rPr>
                <w:rFonts w:hint="default" w:ascii="Times New Roman" w:hAnsi="Times New Roman" w:cs="Times New Roman"/>
                <w:color w:val="auto"/>
                <w:kern w:val="2"/>
                <w:sz w:val="24"/>
                <w:szCs w:val="24"/>
                <w:highlight w:val="none"/>
                <w:lang w:eastAsia="zh-CN"/>
              </w:rPr>
              <w:t>根据车间地理位置、交通运输等进行布局，本着有利于生产、方便管理，确保安全目的</w:t>
            </w:r>
            <w:r>
              <w:rPr>
                <w:rFonts w:hint="eastAsia" w:ascii="Times New Roman" w:hAnsi="Times New Roman" w:cs="Times New Roman"/>
                <w:color w:val="auto"/>
                <w:kern w:val="2"/>
                <w:sz w:val="24"/>
                <w:szCs w:val="24"/>
                <w:highlight w:val="none"/>
                <w:lang w:val="en-US" w:eastAsia="zh-CN"/>
              </w:rPr>
              <w:t>进行布局</w:t>
            </w:r>
            <w:r>
              <w:rPr>
                <w:rFonts w:hint="default" w:ascii="Times New Roman" w:hAnsi="Times New Roman" w:cs="Times New Roman"/>
                <w:color w:val="auto"/>
                <w:kern w:val="2"/>
                <w:sz w:val="24"/>
                <w:szCs w:val="24"/>
                <w:highlight w:val="none"/>
                <w:lang w:eastAsia="zh-CN"/>
              </w:rPr>
              <w:t>。</w:t>
            </w:r>
            <w:r>
              <w:rPr>
                <w:rFonts w:hint="eastAsia" w:ascii="Times New Roman" w:hAnsi="Times New Roman" w:cs="Times New Roman"/>
                <w:b w:val="0"/>
                <w:bCs w:val="0"/>
                <w:color w:val="auto"/>
                <w:kern w:val="2"/>
                <w:sz w:val="24"/>
                <w:szCs w:val="24"/>
                <w:highlight w:val="none"/>
                <w:lang w:val="en-US" w:eastAsia="zh-CN"/>
              </w:rPr>
              <w:t>因此</w:t>
            </w:r>
            <w:r>
              <w:rPr>
                <w:rFonts w:hint="eastAsia"/>
                <w:b w:val="0"/>
                <w:bCs w:val="0"/>
                <w:color w:val="auto"/>
                <w:sz w:val="24"/>
                <w:highlight w:val="none"/>
                <w:lang w:val="en-US" w:eastAsia="zh-CN"/>
              </w:rPr>
              <w:t>项目厂区平面布置合理</w:t>
            </w:r>
            <w:r>
              <w:rPr>
                <w:rFonts w:hint="eastAsia" w:ascii="Times New Roman" w:hAnsi="Times New Roman" w:cs="Times New Roman"/>
                <w:color w:val="auto"/>
                <w:kern w:val="2"/>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59" w:hRule="atLeast"/>
          <w:jc w:val="center"/>
        </w:trPr>
        <w:tc>
          <w:tcPr>
            <w:tcW w:w="810" w:type="dxa"/>
            <w:vAlign w:val="center"/>
          </w:tcPr>
          <w:p>
            <w:pPr>
              <w:pStyle w:val="24"/>
              <w:adjustRightInd w:val="0"/>
              <w:snapToGrid w:val="0"/>
              <w:spacing w:before="0" w:beforeAutospacing="0" w:after="0" w:afterAutospacing="0"/>
              <w:jc w:val="center"/>
              <w:rPr>
                <w:rFonts w:hint="eastAsia" w:cs="宋体"/>
                <w:color w:val="auto"/>
                <w:szCs w:val="24"/>
                <w:highlight w:val="none"/>
              </w:rPr>
            </w:pPr>
          </w:p>
          <w:p>
            <w:pPr>
              <w:pStyle w:val="24"/>
              <w:adjustRightInd w:val="0"/>
              <w:snapToGrid w:val="0"/>
              <w:spacing w:before="0" w:beforeAutospacing="0" w:after="0" w:afterAutospacing="0"/>
              <w:jc w:val="center"/>
              <w:rPr>
                <w:rFonts w:hint="eastAsia" w:cs="宋体"/>
                <w:color w:val="auto"/>
                <w:szCs w:val="24"/>
                <w:highlight w:val="none"/>
              </w:rPr>
            </w:pPr>
          </w:p>
          <w:p>
            <w:pPr>
              <w:pStyle w:val="24"/>
              <w:adjustRightInd w:val="0"/>
              <w:snapToGrid w:val="0"/>
              <w:spacing w:before="0" w:beforeAutospacing="0" w:after="0" w:afterAutospacing="0"/>
              <w:jc w:val="center"/>
              <w:rPr>
                <w:rFonts w:hint="eastAsia" w:cs="宋体"/>
                <w:color w:val="auto"/>
                <w:szCs w:val="24"/>
                <w:highlight w:val="none"/>
              </w:rPr>
            </w:pPr>
          </w:p>
          <w:p>
            <w:pPr>
              <w:pStyle w:val="24"/>
              <w:adjustRightInd w:val="0"/>
              <w:snapToGrid w:val="0"/>
              <w:spacing w:before="0" w:beforeAutospacing="0" w:after="0" w:afterAutospacing="0"/>
              <w:jc w:val="center"/>
              <w:rPr>
                <w:rFonts w:hint="eastAsia" w:cs="宋体"/>
                <w:color w:val="auto"/>
                <w:szCs w:val="24"/>
                <w:highlight w:val="none"/>
              </w:rPr>
            </w:pPr>
          </w:p>
          <w:p>
            <w:pPr>
              <w:pStyle w:val="24"/>
              <w:adjustRightInd w:val="0"/>
              <w:snapToGrid w:val="0"/>
              <w:spacing w:before="0" w:beforeAutospacing="0" w:after="0" w:afterAutospacing="0"/>
              <w:jc w:val="center"/>
              <w:rPr>
                <w:rFonts w:hint="eastAsia" w:cs="宋体"/>
                <w:color w:val="auto"/>
                <w:szCs w:val="24"/>
                <w:highlight w:val="none"/>
              </w:rPr>
            </w:pPr>
          </w:p>
          <w:p>
            <w:pPr>
              <w:pStyle w:val="24"/>
              <w:adjustRightInd w:val="0"/>
              <w:snapToGrid w:val="0"/>
              <w:spacing w:before="0" w:beforeAutospacing="0" w:after="0" w:afterAutospacing="0"/>
              <w:jc w:val="center"/>
              <w:rPr>
                <w:rFonts w:hint="eastAsia" w:cs="宋体"/>
                <w:color w:val="auto"/>
                <w:szCs w:val="24"/>
                <w:highlight w:val="none"/>
              </w:rPr>
            </w:pPr>
          </w:p>
          <w:p>
            <w:pPr>
              <w:pStyle w:val="24"/>
              <w:adjustRightInd w:val="0"/>
              <w:snapToGrid w:val="0"/>
              <w:spacing w:before="0" w:beforeAutospacing="0" w:after="0" w:afterAutospacing="0"/>
              <w:jc w:val="center"/>
              <w:rPr>
                <w:rFonts w:hint="eastAsia" w:cs="宋体"/>
                <w:color w:val="auto"/>
                <w:szCs w:val="24"/>
                <w:highlight w:val="none"/>
              </w:rPr>
            </w:pPr>
            <w:r>
              <w:rPr>
                <w:rFonts w:hint="eastAsia" w:cs="宋体"/>
                <w:color w:val="auto"/>
                <w:szCs w:val="24"/>
                <w:highlight w:val="none"/>
              </w:rPr>
              <w:t>工艺流程和产排污环节</w:t>
            </w:r>
          </w:p>
        </w:tc>
        <w:tc>
          <w:tcPr>
            <w:tcW w:w="8174" w:type="dxa"/>
            <w:vAlign w:val="top"/>
          </w:tcPr>
          <w:p>
            <w:pPr>
              <w:keepNext w:val="0"/>
              <w:keepLines w:val="0"/>
              <w:widowControl/>
              <w:suppressLineNumbers w:val="0"/>
              <w:spacing w:line="360" w:lineRule="auto"/>
              <w:jc w:val="left"/>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2.</w:t>
            </w:r>
            <w:r>
              <w:rPr>
                <w:rFonts w:hint="eastAsia" w:cs="Times New Roman"/>
                <w:b/>
                <w:bCs/>
                <w:color w:val="auto"/>
                <w:kern w:val="0"/>
                <w:sz w:val="24"/>
                <w:szCs w:val="24"/>
                <w:highlight w:val="none"/>
                <w:lang w:val="en-US" w:eastAsia="zh-CN" w:bidi="ar"/>
              </w:rPr>
              <w:t>10</w:t>
            </w:r>
            <w:r>
              <w:rPr>
                <w:rFonts w:hint="default" w:ascii="Times New Roman" w:hAnsi="Times New Roman" w:eastAsia="宋体" w:cs="Times New Roman"/>
                <w:b/>
                <w:bCs/>
                <w:color w:val="auto"/>
                <w:kern w:val="0"/>
                <w:sz w:val="24"/>
                <w:szCs w:val="24"/>
                <w:highlight w:val="none"/>
                <w:lang w:val="en-US" w:eastAsia="zh-CN" w:bidi="ar"/>
              </w:rPr>
              <w:t>项目工艺流程及产污环节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eastAsia="宋体"/>
                <w:color w:val="auto"/>
                <w:sz w:val="24"/>
                <w:highlight w:val="none"/>
                <w:lang w:val="en-US" w:eastAsia="zh-CN"/>
              </w:rPr>
            </w:pPr>
            <w:r>
              <w:rPr>
                <w:rFonts w:hint="eastAsia"/>
                <w:color w:val="auto"/>
                <w:sz w:val="24"/>
                <w:highlight w:val="none"/>
                <w:lang w:val="en-US" w:eastAsia="zh-CN"/>
              </w:rPr>
              <w:t>（1）铜制水龙头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highlight w:val="none"/>
                <w:lang w:val="en-US" w:eastAsia="zh-CN"/>
              </w:rPr>
            </w:pPr>
            <w:r>
              <w:rPr>
                <w:rFonts w:hint="eastAsia" w:eastAsia="宋体"/>
                <w:color w:val="auto"/>
                <w:sz w:val="24"/>
                <w:highlight w:val="none"/>
                <w:lang w:val="en-US" w:eastAsia="zh-CN"/>
              </w:rPr>
              <w:t>项目</w:t>
            </w:r>
            <w:r>
              <w:rPr>
                <w:rFonts w:hint="eastAsia"/>
                <w:color w:val="auto"/>
                <w:sz w:val="24"/>
                <w:highlight w:val="none"/>
                <w:lang w:val="en-US" w:eastAsia="zh-CN"/>
              </w:rPr>
              <w:t>水龙头生产</w:t>
            </w:r>
            <w:r>
              <w:rPr>
                <w:rFonts w:hint="eastAsia"/>
                <w:color w:val="auto"/>
                <w:sz w:val="24"/>
                <w:highlight w:val="none"/>
              </w:rPr>
              <w:t>工艺流程</w:t>
            </w:r>
            <w:r>
              <w:rPr>
                <w:rFonts w:hint="eastAsia"/>
                <w:color w:val="auto"/>
                <w:sz w:val="24"/>
                <w:highlight w:val="none"/>
                <w:lang w:val="en-US" w:eastAsia="zh-CN"/>
              </w:rPr>
              <w:t>及产排污环节详见下图2.10-1。</w:t>
            </w:r>
          </w:p>
          <w:p>
            <w:pPr>
              <w:spacing w:line="360" w:lineRule="auto"/>
              <w:jc w:val="both"/>
              <w:rPr>
                <w:rFonts w:hint="eastAsia"/>
                <w:b/>
                <w:color w:val="auto"/>
                <w:sz w:val="24"/>
                <w:highlight w:val="none"/>
                <w:lang w:val="en-US" w:eastAsia="zh-CN"/>
              </w:rPr>
            </w:pPr>
          </w:p>
          <w:p>
            <w:pPr>
              <w:spacing w:line="360" w:lineRule="auto"/>
              <w:jc w:val="center"/>
              <w:rPr>
                <w:rFonts w:hint="eastAsia"/>
                <w:b/>
                <w:color w:val="auto"/>
                <w:sz w:val="24"/>
                <w:highlight w:val="none"/>
                <w:lang w:val="en-US" w:eastAsia="zh-CN"/>
              </w:rPr>
            </w:pPr>
            <w:r>
              <w:rPr>
                <w:rFonts w:hint="eastAsia"/>
                <w:b/>
                <w:color w:val="auto"/>
                <w:sz w:val="24"/>
                <w:highlight w:val="none"/>
                <w:lang w:val="en-US" w:eastAsia="zh-CN"/>
              </w:rPr>
              <w:t>图2.10-1：水龙头生产工艺流程及产排污环节</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20" w:firstLineChars="200"/>
              <w:jc w:val="both"/>
              <w:textAlignment w:val="auto"/>
              <w:rPr>
                <w:rFonts w:hint="eastAsia"/>
                <w:b w:val="0"/>
                <w:bCs/>
                <w:color w:val="auto"/>
                <w:sz w:val="21"/>
                <w:szCs w:val="21"/>
                <w:highlight w:val="none"/>
                <w:lang w:val="en-US" w:eastAsia="zh-CN"/>
              </w:rPr>
            </w:pPr>
            <w:r>
              <w:rPr>
                <w:rFonts w:hint="eastAsia"/>
                <w:b w:val="0"/>
                <w:bCs/>
                <w:color w:val="auto"/>
                <w:sz w:val="21"/>
                <w:szCs w:val="21"/>
                <w:highlight w:val="none"/>
                <w:lang w:val="en-US" w:eastAsia="zh-CN"/>
              </w:rPr>
              <w:t>生产工艺说明：</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rPr>
                <w:rFonts w:hint="default" w:eastAsia="宋体"/>
                <w:color w:val="auto"/>
                <w:sz w:val="24"/>
                <w:lang w:val="en-US" w:eastAsia="zh-CN"/>
              </w:rPr>
            </w:pPr>
            <w:r>
              <w:rPr>
                <w:rFonts w:hint="eastAsia"/>
                <w:color w:val="auto"/>
                <w:sz w:val="24"/>
                <w:lang w:val="en-US" w:eastAsia="zh-CN"/>
              </w:rPr>
              <w:t>（</w:t>
            </w:r>
            <w:r>
              <w:rPr>
                <w:rFonts w:hint="eastAsia" w:eastAsia="宋体"/>
                <w:color w:val="auto"/>
                <w:sz w:val="24"/>
                <w:lang w:val="en-US" w:eastAsia="zh-CN"/>
              </w:rPr>
              <w:t>2）铝合金制水龙头</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rPr>
                <w:rFonts w:hint="eastAsia" w:eastAsia="宋体"/>
                <w:color w:val="auto"/>
                <w:sz w:val="24"/>
                <w:lang w:val="en-US" w:eastAsia="zh-CN"/>
              </w:rPr>
            </w:pPr>
            <w:r>
              <w:rPr>
                <w:rFonts w:hint="default" w:eastAsia="宋体"/>
                <w:color w:val="auto"/>
                <w:sz w:val="24"/>
                <w:lang w:val="en-US" w:eastAsia="zh-CN"/>
              </w:rPr>
              <w:t>项目</w:t>
            </w:r>
            <w:r>
              <w:rPr>
                <w:rFonts w:hint="eastAsia"/>
                <w:color w:val="auto"/>
                <w:sz w:val="24"/>
                <w:lang w:val="en-US" w:eastAsia="zh-CN"/>
              </w:rPr>
              <w:t>部分</w:t>
            </w:r>
            <w:r>
              <w:rPr>
                <w:rFonts w:hint="default" w:eastAsia="宋体"/>
                <w:color w:val="auto"/>
                <w:sz w:val="24"/>
                <w:lang w:val="en-US" w:eastAsia="zh-CN"/>
              </w:rPr>
              <w:t>水龙头</w:t>
            </w:r>
            <w:r>
              <w:rPr>
                <w:rFonts w:hint="eastAsia" w:eastAsia="宋体"/>
                <w:color w:val="auto"/>
                <w:sz w:val="24"/>
                <w:lang w:val="en-US" w:eastAsia="zh-CN"/>
              </w:rPr>
              <w:t>产品</w:t>
            </w:r>
            <w:r>
              <w:rPr>
                <w:rFonts w:hint="default" w:eastAsia="宋体"/>
                <w:color w:val="auto"/>
                <w:sz w:val="24"/>
                <w:lang w:val="en-US" w:eastAsia="zh-CN"/>
              </w:rPr>
              <w:t>采用</w:t>
            </w:r>
            <w:r>
              <w:rPr>
                <w:rFonts w:hint="eastAsia" w:eastAsia="宋体"/>
                <w:color w:val="auto"/>
                <w:sz w:val="24"/>
                <w:lang w:val="en-US" w:eastAsia="zh-CN"/>
              </w:rPr>
              <w:t>铝合金锭为</w:t>
            </w:r>
            <w:r>
              <w:rPr>
                <w:rFonts w:hint="default" w:eastAsia="宋体"/>
                <w:color w:val="auto"/>
                <w:sz w:val="24"/>
                <w:lang w:val="en-US" w:eastAsia="zh-CN"/>
              </w:rPr>
              <w:t>原料的铸造主要采用</w:t>
            </w:r>
            <w:r>
              <w:rPr>
                <w:rFonts w:hint="eastAsia" w:eastAsia="宋体"/>
                <w:color w:val="auto"/>
                <w:sz w:val="24"/>
                <w:lang w:val="en-US" w:eastAsia="zh-CN"/>
              </w:rPr>
              <w:t>压力铸造</w:t>
            </w:r>
            <w:r>
              <w:rPr>
                <w:rFonts w:hint="eastAsia"/>
                <w:color w:val="auto"/>
                <w:sz w:val="24"/>
                <w:lang w:val="en-US" w:eastAsia="zh-CN"/>
              </w:rPr>
              <w:t>，</w:t>
            </w:r>
            <w:r>
              <w:rPr>
                <w:rFonts w:hint="eastAsia" w:eastAsia="宋体"/>
                <w:color w:val="auto"/>
                <w:sz w:val="24"/>
                <w:lang w:val="en-US" w:eastAsia="zh-CN"/>
              </w:rPr>
              <w:t>项目水龙头（铝合金）生产工艺流程及产排污环节详见下图2</w:t>
            </w:r>
            <w:r>
              <w:rPr>
                <w:rFonts w:hint="eastAsia"/>
                <w:color w:val="auto"/>
                <w:sz w:val="24"/>
                <w:lang w:val="en-US" w:eastAsia="zh-CN"/>
              </w:rPr>
              <w:t>.10</w:t>
            </w:r>
            <w:r>
              <w:rPr>
                <w:rFonts w:hint="eastAsia" w:eastAsia="宋体"/>
                <w:color w:val="auto"/>
                <w:sz w:val="24"/>
                <w:lang w:val="en-US" w:eastAsia="zh-CN"/>
              </w:rPr>
              <w:t>-2。</w:t>
            </w:r>
          </w:p>
          <w:p>
            <w:pPr>
              <w:spacing w:line="360" w:lineRule="auto"/>
              <w:jc w:val="both"/>
              <w:rPr>
                <w:rFonts w:hint="eastAsia"/>
                <w:b/>
                <w:color w:val="auto"/>
                <w:sz w:val="24"/>
                <w:highlight w:val="none"/>
                <w:lang w:val="en-US"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b/>
                <w:color w:val="auto"/>
                <w:sz w:val="24"/>
                <w:highlight w:val="none"/>
                <w:lang w:val="en-US" w:eastAsia="zh-CN"/>
              </w:rPr>
            </w:pPr>
            <w:r>
              <w:rPr>
                <w:rFonts w:hint="eastAsia"/>
                <w:b/>
                <w:color w:val="auto"/>
                <w:sz w:val="24"/>
                <w:highlight w:val="none"/>
                <w:lang w:val="en-US" w:eastAsia="zh-CN"/>
              </w:rPr>
              <w:t>图2.10-2：金属水龙头（铝合金）生产工艺流程及产排污环节</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20" w:firstLineChars="200"/>
              <w:jc w:val="both"/>
              <w:textAlignment w:val="auto"/>
              <w:rPr>
                <w:rFonts w:hint="eastAsia"/>
                <w:b w:val="0"/>
                <w:bCs/>
                <w:color w:val="auto"/>
                <w:sz w:val="21"/>
                <w:szCs w:val="21"/>
                <w:highlight w:val="none"/>
                <w:lang w:val="en-US" w:eastAsia="zh-CN"/>
              </w:rPr>
            </w:pPr>
            <w:r>
              <w:rPr>
                <w:rFonts w:hint="eastAsia"/>
                <w:b w:val="0"/>
                <w:bCs/>
                <w:color w:val="auto"/>
                <w:sz w:val="21"/>
                <w:szCs w:val="21"/>
                <w:highlight w:val="none"/>
                <w:lang w:val="en-US" w:eastAsia="zh-CN"/>
              </w:rPr>
              <w:t>生产工艺说明：</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（3）</w:t>
            </w:r>
            <w:r>
              <w:rPr>
                <w:rFonts w:hint="eastAsia" w:ascii="Times New Roman" w:hAnsi="Times New Roman" w:eastAsia="宋体" w:cs="Times New Roman"/>
                <w:color w:val="auto"/>
                <w:kern w:val="0"/>
                <w:sz w:val="24"/>
                <w:szCs w:val="24"/>
                <w:highlight w:val="none"/>
                <w:lang w:val="en-US" w:eastAsia="zh-CN" w:bidi="ar"/>
              </w:rPr>
              <w:t>角阀、地漏、挂件、淋浴柱、</w:t>
            </w:r>
            <w:r>
              <w:rPr>
                <w:rFonts w:hint="default" w:ascii="Times New Roman" w:hAnsi="Times New Roman" w:eastAsia="宋体" w:cs="Times New Roman"/>
                <w:color w:val="auto"/>
                <w:kern w:val="0"/>
                <w:sz w:val="24"/>
                <w:szCs w:val="24"/>
                <w:highlight w:val="none"/>
                <w:lang w:val="en-US" w:eastAsia="zh-CN" w:bidi="ar"/>
              </w:rPr>
              <w:t>卫浴挂件</w:t>
            </w:r>
            <w:r>
              <w:rPr>
                <w:rFonts w:hint="eastAsia" w:cs="Times New Roman"/>
                <w:color w:val="auto"/>
                <w:kern w:val="0"/>
                <w:sz w:val="24"/>
                <w:szCs w:val="24"/>
                <w:highlight w:val="none"/>
                <w:lang w:val="en-US" w:eastAsia="zh-CN" w:bidi="ar"/>
              </w:rPr>
              <w:t>、水槽</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项目角阀、地漏、挂件、淋浴柱、卫浴挂件</w:t>
            </w:r>
            <w:r>
              <w:rPr>
                <w:rFonts w:hint="default" w:ascii="Times New Roman" w:hAnsi="Times New Roman" w:cs="Times New Roman"/>
                <w:color w:val="auto"/>
                <w:kern w:val="0"/>
                <w:sz w:val="24"/>
                <w:szCs w:val="24"/>
                <w:lang w:val="en-US" w:eastAsia="zh-CN" w:bidi="ar"/>
              </w:rPr>
              <w:t>、水槽</w:t>
            </w:r>
            <w:r>
              <w:rPr>
                <w:rFonts w:hint="default" w:ascii="Times New Roman" w:hAnsi="Times New Roman" w:eastAsia="宋体" w:cs="Times New Roman"/>
                <w:color w:val="auto"/>
                <w:kern w:val="0"/>
                <w:sz w:val="24"/>
                <w:szCs w:val="24"/>
                <w:lang w:val="en-US" w:eastAsia="zh-CN" w:bidi="ar"/>
              </w:rPr>
              <w:t>产品</w:t>
            </w:r>
            <w:r>
              <w:rPr>
                <w:rFonts w:hint="eastAsia" w:ascii="Times New Roman" w:hAnsi="Times New Roman" w:eastAsia="宋体" w:cs="Times New Roman"/>
                <w:color w:val="auto"/>
                <w:kern w:val="0"/>
                <w:sz w:val="24"/>
                <w:szCs w:val="24"/>
                <w:lang w:val="en-US" w:eastAsia="zh-CN" w:bidi="ar"/>
              </w:rPr>
              <w:t>主要采用锻造（红冲）</w:t>
            </w:r>
            <w:r>
              <w:rPr>
                <w:rFonts w:hint="eastAsia" w:cs="Times New Roman"/>
                <w:color w:val="auto"/>
                <w:kern w:val="0"/>
                <w:sz w:val="24"/>
                <w:szCs w:val="24"/>
                <w:lang w:val="en-US" w:eastAsia="zh-CN" w:bidi="ar"/>
              </w:rPr>
              <w:t>和半成品加工</w:t>
            </w:r>
            <w:r>
              <w:rPr>
                <w:rFonts w:hint="eastAsia" w:ascii="Times New Roman" w:hAnsi="Times New Roman" w:eastAsia="宋体" w:cs="Times New Roman"/>
                <w:color w:val="auto"/>
                <w:kern w:val="0"/>
                <w:sz w:val="24"/>
                <w:szCs w:val="24"/>
                <w:lang w:val="en-US" w:eastAsia="zh-CN" w:bidi="ar"/>
              </w:rPr>
              <w:t>工艺，</w:t>
            </w:r>
            <w:r>
              <w:rPr>
                <w:rFonts w:hint="eastAsia" w:cs="Times New Roman"/>
                <w:color w:val="auto"/>
                <w:kern w:val="0"/>
                <w:sz w:val="24"/>
                <w:szCs w:val="24"/>
                <w:lang w:val="en-US" w:eastAsia="zh-CN" w:bidi="ar"/>
              </w:rPr>
              <w:t>水槽</w:t>
            </w:r>
            <w:r>
              <w:rPr>
                <w:rFonts w:hint="eastAsia" w:eastAsia="宋体"/>
                <w:color w:val="auto"/>
                <w:sz w:val="24"/>
                <w:lang w:val="en-US" w:eastAsia="zh-CN"/>
              </w:rPr>
              <w:t>生产工艺流程及产排污环节详见下图2</w:t>
            </w:r>
            <w:r>
              <w:rPr>
                <w:rFonts w:hint="eastAsia"/>
                <w:color w:val="auto"/>
                <w:sz w:val="24"/>
                <w:lang w:val="en-US" w:eastAsia="zh-CN"/>
              </w:rPr>
              <w:t>.10</w:t>
            </w:r>
            <w:r>
              <w:rPr>
                <w:rFonts w:hint="eastAsia" w:eastAsia="宋体"/>
                <w:color w:val="auto"/>
                <w:sz w:val="24"/>
                <w:lang w:val="en-US" w:eastAsia="zh-CN"/>
              </w:rPr>
              <w:t>-</w:t>
            </w:r>
            <w:r>
              <w:rPr>
                <w:rFonts w:hint="eastAsia"/>
                <w:color w:val="auto"/>
                <w:sz w:val="24"/>
                <w:lang w:val="en-US" w:eastAsia="zh-CN"/>
              </w:rPr>
              <w:t>3</w:t>
            </w:r>
            <w:r>
              <w:rPr>
                <w:rFonts w:hint="eastAsia" w:eastAsia="宋体"/>
                <w:color w:val="auto"/>
                <w:sz w:val="24"/>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auto"/>
              <w:rPr>
                <w:rFonts w:hint="default"/>
                <w:b/>
                <w:color w:val="auto"/>
                <w:sz w:val="24"/>
                <w:lang w:val="en-US" w:eastAsia="zh-CN"/>
              </w:rPr>
            </w:pPr>
            <w:r>
              <w:rPr>
                <w:rFonts w:hint="eastAsia"/>
                <w:b/>
                <w:color w:val="auto"/>
                <w:sz w:val="24"/>
                <w:lang w:val="en-US" w:eastAsia="zh-CN"/>
              </w:rPr>
              <w:t>图2.10-3：锻造（红冲）生产工艺流程及产排污环节</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20" w:firstLineChars="200"/>
              <w:jc w:val="both"/>
              <w:textAlignment w:val="auto"/>
              <w:rPr>
                <w:rFonts w:hint="eastAsia"/>
                <w:b w:val="0"/>
                <w:bCs/>
                <w:color w:val="auto"/>
                <w:sz w:val="21"/>
                <w:szCs w:val="21"/>
                <w:lang w:val="en-US" w:eastAsia="zh-CN"/>
              </w:rPr>
            </w:pPr>
            <w:r>
              <w:rPr>
                <w:rFonts w:hint="eastAsia"/>
                <w:b w:val="0"/>
                <w:bCs/>
                <w:color w:val="auto"/>
                <w:sz w:val="21"/>
                <w:szCs w:val="21"/>
                <w:lang w:val="en-US" w:eastAsia="zh-CN"/>
              </w:rPr>
              <w:t>生产工艺说明：</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auto"/>
              <w:rPr>
                <w:rFonts w:hint="default"/>
                <w:b/>
                <w:color w:val="auto"/>
                <w:sz w:val="24"/>
                <w:highlight w:val="none"/>
                <w:lang w:val="en-US" w:eastAsia="zh-CN"/>
              </w:rPr>
            </w:pPr>
            <w:r>
              <w:rPr>
                <w:rFonts w:hint="eastAsia"/>
                <w:b/>
                <w:color w:val="auto"/>
                <w:sz w:val="24"/>
                <w:highlight w:val="none"/>
                <w:lang w:val="en-US" w:eastAsia="zh-CN"/>
              </w:rPr>
              <w:t>图2.10-4：机加工生产工艺流程及产排污环节</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20" w:firstLineChars="200"/>
              <w:jc w:val="both"/>
              <w:textAlignment w:val="auto"/>
              <w:rPr>
                <w:rFonts w:hint="eastAsia"/>
                <w:b w:val="0"/>
                <w:bCs/>
                <w:color w:val="auto"/>
                <w:sz w:val="21"/>
                <w:szCs w:val="21"/>
                <w:lang w:val="en-US" w:eastAsia="zh-CN"/>
              </w:rPr>
            </w:pPr>
            <w:r>
              <w:rPr>
                <w:rFonts w:hint="eastAsia"/>
                <w:b w:val="0"/>
                <w:bCs/>
                <w:color w:val="auto"/>
                <w:sz w:val="21"/>
                <w:szCs w:val="21"/>
                <w:lang w:val="en-US" w:eastAsia="zh-CN"/>
              </w:rPr>
              <w:t>生产工艺说明：</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rPr>
                <w:rFonts w:hint="eastAsia"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（4）</w:t>
            </w:r>
            <w:r>
              <w:rPr>
                <w:rFonts w:hint="eastAsia"/>
                <w:bCs/>
                <w:color w:val="auto"/>
                <w:sz w:val="24"/>
                <w:highlight w:val="none"/>
                <w:lang w:eastAsia="zh-CN"/>
              </w:rPr>
              <w:t>塑料卫浴配件（</w:t>
            </w:r>
            <w:r>
              <w:rPr>
                <w:rFonts w:hint="default"/>
                <w:bCs/>
                <w:color w:val="auto"/>
                <w:sz w:val="24"/>
                <w:highlight w:val="none"/>
                <w:lang w:val="en-US" w:eastAsia="zh-CN"/>
              </w:rPr>
              <w:t>ABS 水龙头</w:t>
            </w:r>
            <w:r>
              <w:rPr>
                <w:rFonts w:hint="eastAsia"/>
                <w:bCs/>
                <w:color w:val="auto"/>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rPr>
                <w:rFonts w:hint="eastAsia" w:eastAsia="宋体"/>
                <w:color w:val="auto"/>
                <w:sz w:val="24"/>
                <w:highlight w:val="none"/>
                <w:lang w:val="en-US" w:eastAsia="zh-CN"/>
              </w:rPr>
            </w:pPr>
            <w:r>
              <w:rPr>
                <w:rFonts w:hint="eastAsia" w:cs="Times New Roman"/>
                <w:color w:val="auto"/>
                <w:kern w:val="0"/>
                <w:sz w:val="24"/>
                <w:szCs w:val="24"/>
                <w:highlight w:val="none"/>
                <w:lang w:val="en-US" w:eastAsia="zh-CN" w:bidi="ar"/>
              </w:rPr>
              <w:t>项目</w:t>
            </w:r>
            <w:r>
              <w:rPr>
                <w:rFonts w:hint="eastAsia"/>
                <w:bCs/>
                <w:color w:val="auto"/>
                <w:sz w:val="24"/>
                <w:highlight w:val="none"/>
                <w:lang w:eastAsia="zh-CN"/>
              </w:rPr>
              <w:t>塑料卫浴配件（</w:t>
            </w:r>
            <w:r>
              <w:rPr>
                <w:rFonts w:hint="default"/>
                <w:bCs/>
                <w:color w:val="auto"/>
                <w:sz w:val="24"/>
                <w:highlight w:val="none"/>
                <w:lang w:val="en-US" w:eastAsia="zh-CN"/>
              </w:rPr>
              <w:t>ABS 水龙头</w:t>
            </w:r>
            <w:r>
              <w:rPr>
                <w:rFonts w:hint="eastAsia"/>
                <w:bCs/>
                <w:color w:val="auto"/>
                <w:sz w:val="24"/>
                <w:highlight w:val="none"/>
                <w:lang w:eastAsia="zh-CN"/>
              </w:rPr>
              <w:t>）</w:t>
            </w:r>
            <w:r>
              <w:rPr>
                <w:rFonts w:hint="eastAsia"/>
                <w:bCs/>
                <w:color w:val="auto"/>
                <w:sz w:val="24"/>
                <w:highlight w:val="none"/>
                <w:lang w:val="en-US" w:eastAsia="zh-CN"/>
              </w:rPr>
              <w:t>生产工</w:t>
            </w:r>
            <w:r>
              <w:rPr>
                <w:rFonts w:hint="eastAsia" w:eastAsia="宋体"/>
                <w:color w:val="auto"/>
                <w:sz w:val="24"/>
                <w:highlight w:val="none"/>
                <w:lang w:val="en-US" w:eastAsia="zh-CN"/>
              </w:rPr>
              <w:t>艺流程及产排污环节详见下图</w:t>
            </w:r>
            <w:r>
              <w:rPr>
                <w:rFonts w:hint="eastAsia"/>
                <w:color w:val="auto"/>
                <w:sz w:val="24"/>
                <w:highlight w:val="none"/>
                <w:lang w:val="en-US" w:eastAsia="zh-CN"/>
              </w:rPr>
              <w:t>2.10-5</w:t>
            </w:r>
            <w:r>
              <w:rPr>
                <w:rFonts w:hint="eastAsia" w:eastAsia="宋体"/>
                <w:color w:val="auto"/>
                <w:sz w:val="24"/>
                <w:highlight w:val="none"/>
                <w:lang w:val="en-US" w:eastAsia="zh-CN"/>
              </w:rPr>
              <w:t>。</w:t>
            </w:r>
          </w:p>
          <w:p>
            <w:pPr>
              <w:spacing w:line="360" w:lineRule="auto"/>
              <w:jc w:val="center"/>
              <w:rPr>
                <w:rFonts w:hint="eastAsia"/>
                <w:b/>
                <w:color w:val="auto"/>
                <w:sz w:val="24"/>
                <w:highlight w:val="none"/>
                <w:lang w:val="en-US" w:eastAsia="zh-CN"/>
              </w:rPr>
            </w:pPr>
            <w:r>
              <w:rPr>
                <w:rFonts w:hint="eastAsia"/>
                <w:b/>
                <w:color w:val="auto"/>
                <w:sz w:val="24"/>
                <w:highlight w:val="none"/>
                <w:lang w:val="en-US" w:eastAsia="zh-CN"/>
              </w:rPr>
              <w:t>图2.10-5：</w:t>
            </w:r>
            <w:r>
              <w:rPr>
                <w:rFonts w:hint="default"/>
                <w:b/>
                <w:color w:val="auto"/>
                <w:sz w:val="24"/>
                <w:highlight w:val="none"/>
                <w:lang w:val="en-US" w:eastAsia="zh-CN"/>
              </w:rPr>
              <w:t>ABS 水龙头</w:t>
            </w:r>
            <w:r>
              <w:rPr>
                <w:rFonts w:hint="eastAsia"/>
                <w:b/>
                <w:color w:val="auto"/>
                <w:sz w:val="24"/>
                <w:highlight w:val="none"/>
                <w:lang w:val="en-US" w:eastAsia="zh-CN"/>
              </w:rPr>
              <w:t>生产工艺流程及产排污环节</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both"/>
              <w:textAlignment w:val="auto"/>
              <w:rPr>
                <w:rFonts w:hint="eastAsia"/>
                <w:b w:val="0"/>
                <w:bCs/>
                <w:color w:val="auto"/>
                <w:sz w:val="21"/>
                <w:szCs w:val="21"/>
                <w:highlight w:val="none"/>
                <w:lang w:val="en-US" w:eastAsia="zh-CN"/>
              </w:rPr>
            </w:pPr>
            <w:r>
              <w:rPr>
                <w:rFonts w:hint="eastAsia" w:ascii="Times New Roman" w:hAnsi="Times New Roman" w:eastAsia="宋体"/>
                <w:color w:val="auto"/>
                <w:kern w:val="0"/>
                <w:sz w:val="24"/>
                <w:szCs w:val="24"/>
                <w:highlight w:val="none"/>
                <w:lang w:val="en-US" w:eastAsia="zh-CN"/>
              </w:rPr>
              <w:t>生产工艺说明：</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rPr>
                <w:rFonts w:hint="default" w:cs="Times New Roman"/>
                <w:b w:val="0"/>
                <w:bCs/>
                <w:color w:val="auto"/>
                <w:sz w:val="24"/>
                <w:highlight w:val="none"/>
                <w:lang w:val="en-US" w:eastAsia="zh-CN"/>
              </w:rPr>
            </w:pPr>
            <w:r>
              <w:rPr>
                <w:rFonts w:hint="eastAsia" w:cs="Times New Roman"/>
                <w:b w:val="0"/>
                <w:bCs/>
                <w:color w:val="auto"/>
                <w:sz w:val="24"/>
                <w:highlight w:val="none"/>
                <w:lang w:val="en-US" w:eastAsia="zh-CN"/>
              </w:rPr>
              <w:t>（5）浴室柜</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rPr>
                <w:rFonts w:hint="eastAsia" w:eastAsia="宋体"/>
                <w:color w:val="auto"/>
                <w:sz w:val="24"/>
                <w:highlight w:val="none"/>
                <w:lang w:val="en-US" w:eastAsia="zh-CN"/>
              </w:rPr>
            </w:pPr>
            <w:r>
              <w:rPr>
                <w:rFonts w:hint="eastAsia" w:cs="Times New Roman"/>
                <w:b w:val="0"/>
                <w:bCs/>
                <w:color w:val="auto"/>
                <w:sz w:val="24"/>
                <w:highlight w:val="none"/>
                <w:lang w:val="en-US" w:eastAsia="zh-CN"/>
              </w:rPr>
              <w:t>项目浴室柜</w:t>
            </w:r>
            <w:r>
              <w:rPr>
                <w:rFonts w:hint="eastAsia"/>
                <w:bCs/>
                <w:color w:val="auto"/>
                <w:sz w:val="24"/>
                <w:highlight w:val="none"/>
                <w:lang w:val="en-US" w:eastAsia="zh-CN"/>
              </w:rPr>
              <w:t>生产工</w:t>
            </w:r>
            <w:r>
              <w:rPr>
                <w:rFonts w:hint="eastAsia" w:eastAsia="宋体"/>
                <w:color w:val="auto"/>
                <w:sz w:val="24"/>
                <w:highlight w:val="none"/>
                <w:lang w:val="en-US" w:eastAsia="zh-CN"/>
              </w:rPr>
              <w:t>艺流程及产排污环节详见下图</w:t>
            </w:r>
            <w:r>
              <w:rPr>
                <w:rFonts w:hint="eastAsia"/>
                <w:color w:val="auto"/>
                <w:sz w:val="24"/>
                <w:highlight w:val="none"/>
                <w:lang w:val="en-US" w:eastAsia="zh-CN"/>
              </w:rPr>
              <w:t>2.10-6</w:t>
            </w:r>
            <w:r>
              <w:rPr>
                <w:rFonts w:hint="eastAsia" w:eastAsia="宋体"/>
                <w:color w:val="auto"/>
                <w:sz w:val="24"/>
                <w:highlight w:val="none"/>
                <w:lang w:val="en-US" w:eastAsia="zh-CN"/>
              </w:rPr>
              <w:t>。</w:t>
            </w:r>
          </w:p>
          <w:p>
            <w:pPr>
              <w:spacing w:line="360" w:lineRule="auto"/>
              <w:jc w:val="center"/>
              <w:rPr>
                <w:color w:val="auto"/>
                <w:highlight w:val="none"/>
              </w:rPr>
            </w:pPr>
          </w:p>
          <w:p>
            <w:pPr>
              <w:spacing w:line="360" w:lineRule="auto"/>
              <w:jc w:val="center"/>
              <w:rPr>
                <w:rFonts w:hint="default" w:ascii="Times New Roman" w:hAnsi="Times New Roman" w:cs="Times New Roman"/>
                <w:b w:val="0"/>
                <w:bCs/>
                <w:color w:val="auto"/>
                <w:sz w:val="24"/>
                <w:highlight w:val="none"/>
              </w:rPr>
            </w:pPr>
            <w:r>
              <w:rPr>
                <w:rFonts w:hint="eastAsia"/>
                <w:b/>
                <w:color w:val="auto"/>
                <w:sz w:val="24"/>
                <w:highlight w:val="none"/>
                <w:lang w:val="en-US" w:eastAsia="zh-CN"/>
              </w:rPr>
              <w:t>图2.10-6：</w:t>
            </w:r>
            <w:r>
              <w:rPr>
                <w:rFonts w:hint="default" w:ascii="Times New Roman" w:hAnsi="Times New Roman" w:cs="Times New Roman"/>
                <w:b/>
                <w:color w:val="auto"/>
                <w:sz w:val="24"/>
                <w:highlight w:val="none"/>
                <w:lang w:val="en-US" w:eastAsia="zh-CN"/>
              </w:rPr>
              <w:t>浴室柜</w:t>
            </w:r>
            <w:r>
              <w:rPr>
                <w:rFonts w:hint="eastAsia" w:ascii="Times New Roman" w:hAnsi="Times New Roman" w:cs="Times New Roman"/>
                <w:b/>
                <w:color w:val="auto"/>
                <w:sz w:val="24"/>
                <w:highlight w:val="none"/>
                <w:lang w:val="en-US" w:eastAsia="zh-CN"/>
              </w:rPr>
              <w:t>生产工艺流程及产排污环节</w:t>
            </w:r>
          </w:p>
          <w:p>
            <w:pPr>
              <w:keepNext w:val="0"/>
              <w:keepLines w:val="0"/>
              <w:pageBreakBefore w:val="0"/>
              <w:widowControl w:val="0"/>
              <w:kinsoku/>
              <w:wordWrap/>
              <w:overflowPunct/>
              <w:topLinePunct w:val="0"/>
              <w:bidi w:val="0"/>
              <w:adjustRightInd w:val="0"/>
              <w:snapToGrid w:val="0"/>
              <w:spacing w:line="360" w:lineRule="auto"/>
              <w:ind w:firstLine="422" w:firstLineChars="200"/>
              <w:textAlignment w:val="auto"/>
              <w:rPr>
                <w:rFonts w:hint="eastAsia"/>
                <w:b/>
                <w:bCs/>
                <w:color w:val="auto"/>
                <w:szCs w:val="22"/>
                <w:highlight w:val="none"/>
              </w:rPr>
            </w:pPr>
            <w:r>
              <w:rPr>
                <w:rFonts w:hint="eastAsia"/>
                <w:b/>
                <w:bCs/>
                <w:color w:val="auto"/>
                <w:szCs w:val="22"/>
                <w:highlight w:val="none"/>
              </w:rPr>
              <w:t>工艺说明：</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cs="Times New Roman"/>
                <w:b w:val="0"/>
                <w:bCs/>
                <w:color w:val="auto"/>
                <w:sz w:val="24"/>
                <w:highlight w:val="none"/>
                <w:lang w:val="en-US" w:eastAsia="zh-CN"/>
              </w:rPr>
            </w:pPr>
            <w:r>
              <w:rPr>
                <w:rFonts w:hint="eastAsia" w:cs="Times New Roman"/>
                <w:b w:val="0"/>
                <w:bCs/>
                <w:color w:val="auto"/>
                <w:sz w:val="24"/>
                <w:highlight w:val="none"/>
                <w:lang w:val="en-US" w:eastAsia="zh-CN"/>
              </w:rPr>
              <w:t>（6）进水软管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eastAsia="宋体"/>
                <w:color w:val="auto"/>
                <w:sz w:val="24"/>
                <w:highlight w:val="none"/>
                <w:lang w:val="en-US" w:eastAsia="zh-CN"/>
              </w:rPr>
            </w:pPr>
            <w:r>
              <w:rPr>
                <w:rFonts w:hint="eastAsia" w:ascii="Times New Roman" w:cs="Times New Roman"/>
                <w:b w:val="0"/>
                <w:bCs/>
                <w:color w:val="auto"/>
                <w:sz w:val="24"/>
                <w:highlight w:val="none"/>
                <w:lang w:val="en-US" w:eastAsia="zh-CN"/>
              </w:rPr>
              <w:t>项目进水软管</w:t>
            </w:r>
            <w:r>
              <w:rPr>
                <w:rFonts w:hint="eastAsia"/>
                <w:bCs/>
                <w:color w:val="auto"/>
                <w:sz w:val="24"/>
                <w:highlight w:val="none"/>
                <w:lang w:val="en-US" w:eastAsia="zh-CN"/>
              </w:rPr>
              <w:t>生产工</w:t>
            </w:r>
            <w:r>
              <w:rPr>
                <w:rFonts w:hint="eastAsia" w:eastAsia="宋体"/>
                <w:color w:val="auto"/>
                <w:sz w:val="24"/>
                <w:highlight w:val="none"/>
                <w:lang w:val="en-US" w:eastAsia="zh-CN"/>
              </w:rPr>
              <w:t>艺流程及产排污环节详见下图</w:t>
            </w:r>
            <w:r>
              <w:rPr>
                <w:rFonts w:hint="eastAsia"/>
                <w:color w:val="auto"/>
                <w:sz w:val="24"/>
                <w:highlight w:val="none"/>
                <w:lang w:val="en-US" w:eastAsia="zh-CN"/>
              </w:rPr>
              <w:t>2.9-7</w:t>
            </w:r>
            <w:r>
              <w:rPr>
                <w:rFonts w:hint="eastAsia" w:eastAsia="宋体"/>
                <w:color w:val="auto"/>
                <w:sz w:val="24"/>
                <w:highlight w:val="none"/>
                <w:lang w:val="en-US" w:eastAsia="zh-CN"/>
              </w:rPr>
              <w:t>。</w:t>
            </w:r>
          </w:p>
          <w:p>
            <w:pPr>
              <w:pStyle w:val="37"/>
              <w:ind w:left="0" w:leftChars="0" w:firstLine="0" w:firstLineChars="0"/>
              <w:jc w:val="center"/>
              <w:rPr>
                <w:rFonts w:hint="default" w:eastAsia="宋体"/>
                <w:color w:val="auto"/>
                <w:highlight w:val="none"/>
                <w:lang w:val="en-US" w:eastAsia="zh-CN"/>
              </w:rPr>
            </w:pPr>
          </w:p>
          <w:p>
            <w:pPr>
              <w:spacing w:line="360" w:lineRule="auto"/>
              <w:jc w:val="center"/>
              <w:rPr>
                <w:rFonts w:hint="default" w:ascii="Times New Roman" w:hAnsi="Times New Roman" w:cs="Times New Roman"/>
                <w:b w:val="0"/>
                <w:bCs/>
                <w:color w:val="auto"/>
                <w:sz w:val="24"/>
                <w:highlight w:val="none"/>
              </w:rPr>
            </w:pPr>
            <w:r>
              <w:rPr>
                <w:rFonts w:hint="eastAsia"/>
                <w:b/>
                <w:color w:val="auto"/>
                <w:sz w:val="24"/>
                <w:highlight w:val="none"/>
                <w:lang w:val="en-US" w:eastAsia="zh-CN"/>
              </w:rPr>
              <w:t>图2.10-7：</w:t>
            </w:r>
            <w:r>
              <w:rPr>
                <w:rFonts w:hint="eastAsia" w:cs="Times New Roman"/>
                <w:b/>
                <w:color w:val="auto"/>
                <w:sz w:val="24"/>
                <w:highlight w:val="none"/>
                <w:lang w:val="en-US" w:eastAsia="zh-CN"/>
              </w:rPr>
              <w:t>进水软管</w:t>
            </w:r>
            <w:r>
              <w:rPr>
                <w:rFonts w:hint="eastAsia" w:ascii="Times New Roman" w:hAnsi="Times New Roman" w:cs="Times New Roman"/>
                <w:b/>
                <w:color w:val="auto"/>
                <w:sz w:val="24"/>
                <w:highlight w:val="none"/>
                <w:lang w:val="en-US" w:eastAsia="zh-CN"/>
              </w:rPr>
              <w:t>生产工艺流程及产排污环节</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highlight w:val="none"/>
              </w:rPr>
            </w:pPr>
            <w:r>
              <w:rPr>
                <w:rFonts w:hint="default" w:ascii="Times New Roman" w:hAnsi="Times New Roman" w:cs="Times New Roman"/>
                <w:b w:val="0"/>
                <w:bCs/>
                <w:color w:val="auto"/>
                <w:sz w:val="24"/>
                <w:highlight w:val="none"/>
              </w:rPr>
              <w:t>产污环节说明：</w:t>
            </w:r>
          </w:p>
          <w:p>
            <w:pPr>
              <w:keepNext w:val="0"/>
              <w:keepLines w:val="0"/>
              <w:pageBreakBefore w:val="0"/>
              <w:widowControl/>
              <w:suppressLineNumbers w:val="0"/>
              <w:kinsoku/>
              <w:wordWrap/>
              <w:overflowPunct/>
              <w:topLinePunct w:val="0"/>
              <w:bidi w:val="0"/>
              <w:adjustRightInd w:val="0"/>
              <w:snapToGrid w:val="0"/>
              <w:spacing w:line="360" w:lineRule="auto"/>
              <w:ind w:firstLine="480" w:firstLineChars="20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（1）废水：项目冷却塔用水和试压用水循环使用不外排，项目废水主要为员工生活污水；外排废水主要为生活污水</w:t>
            </w:r>
            <w:r>
              <w:rPr>
                <w:rFonts w:hint="eastAsia" w:ascii="宋体" w:hAnsi="宋体" w:cs="宋体"/>
                <w:color w:val="auto"/>
                <w:kern w:val="0"/>
                <w:sz w:val="24"/>
                <w:szCs w:val="24"/>
                <w:highlight w:val="none"/>
                <w:lang w:val="en-US" w:eastAsia="zh-CN" w:bidi="ar"/>
              </w:rPr>
              <w:t>和食堂废水</w:t>
            </w:r>
            <w:r>
              <w:rPr>
                <w:rFonts w:hint="eastAsia" w:ascii="宋体" w:hAnsi="宋体" w:eastAsia="宋体" w:cs="宋体"/>
                <w:color w:val="auto"/>
                <w:kern w:val="0"/>
                <w:sz w:val="24"/>
                <w:szCs w:val="24"/>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）废气：</w:t>
            </w:r>
            <w:r>
              <w:rPr>
                <w:rFonts w:hint="default" w:ascii="Times New Roman" w:hAnsi="Times New Roman" w:eastAsia="宋体" w:cs="Times New Roman"/>
                <w:color w:val="auto"/>
                <w:kern w:val="0"/>
                <w:sz w:val="24"/>
                <w:szCs w:val="24"/>
                <w:highlight w:val="none"/>
                <w:lang w:val="en-US" w:eastAsia="zh-CN" w:bidi="ar"/>
              </w:rPr>
              <w:t>项目废气主要为熔化、浇注、</w:t>
            </w:r>
            <w:r>
              <w:rPr>
                <w:rFonts w:hint="eastAsia" w:ascii="Times New Roman" w:cs="Times New Roman"/>
                <w:color w:val="auto"/>
                <w:kern w:val="0"/>
                <w:sz w:val="24"/>
                <w:szCs w:val="24"/>
                <w:highlight w:val="none"/>
                <w:lang w:val="en-US" w:eastAsia="zh-CN" w:bidi="ar"/>
              </w:rPr>
              <w:t>搅砂及制芯、</w:t>
            </w:r>
            <w:r>
              <w:rPr>
                <w:rFonts w:hint="default" w:ascii="Times New Roman" w:hAnsi="Times New Roman" w:eastAsia="宋体" w:cs="Times New Roman"/>
                <w:color w:val="auto"/>
                <w:kern w:val="0"/>
                <w:sz w:val="24"/>
                <w:szCs w:val="24"/>
                <w:highlight w:val="none"/>
                <w:lang w:val="en-US" w:eastAsia="zh-CN" w:bidi="ar"/>
              </w:rPr>
              <w:t>落砂、</w:t>
            </w:r>
            <w:r>
              <w:rPr>
                <w:rFonts w:hint="eastAsia" w:ascii="Times New Roman" w:cs="Times New Roman"/>
                <w:color w:val="auto"/>
                <w:kern w:val="0"/>
                <w:sz w:val="24"/>
                <w:szCs w:val="24"/>
                <w:highlight w:val="none"/>
                <w:lang w:val="en-US" w:eastAsia="zh-CN" w:bidi="ar"/>
              </w:rPr>
              <w:t>压铸、</w:t>
            </w:r>
            <w:r>
              <w:rPr>
                <w:rFonts w:hint="default" w:ascii="Times New Roman" w:hAnsi="Times New Roman" w:eastAsia="宋体" w:cs="Times New Roman"/>
                <w:color w:val="auto"/>
                <w:kern w:val="0"/>
                <w:sz w:val="24"/>
                <w:szCs w:val="24"/>
                <w:highlight w:val="none"/>
                <w:lang w:val="en-US" w:eastAsia="zh-CN" w:bidi="ar"/>
              </w:rPr>
              <w:t>锻造、</w:t>
            </w:r>
            <w:r>
              <w:rPr>
                <w:rFonts w:hint="eastAsia" w:cs="Times New Roman"/>
                <w:color w:val="auto"/>
                <w:kern w:val="0"/>
                <w:sz w:val="24"/>
                <w:szCs w:val="24"/>
                <w:highlight w:val="none"/>
                <w:lang w:val="en-US" w:eastAsia="zh-CN" w:bidi="ar"/>
              </w:rPr>
              <w:t>抛光、抛丸</w:t>
            </w: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注塑、喷漆烘干、压合封边、</w:t>
            </w:r>
            <w:r>
              <w:rPr>
                <w:rFonts w:hint="default" w:ascii="Times New Roman" w:hAnsi="Times New Roman" w:eastAsia="宋体" w:cs="Times New Roman"/>
                <w:color w:val="auto"/>
                <w:kern w:val="0"/>
                <w:sz w:val="24"/>
                <w:szCs w:val="24"/>
                <w:highlight w:val="none"/>
                <w:lang w:val="en-US" w:eastAsia="zh-CN" w:bidi="ar"/>
              </w:rPr>
              <w:t>开料磨光机加工</w:t>
            </w:r>
            <w:r>
              <w:rPr>
                <w:rFonts w:hint="eastAsia" w:ascii="Times New Roman" w:hAnsi="Times New Roman" w:eastAsia="宋体" w:cs="Times New Roman"/>
                <w:color w:val="auto"/>
                <w:kern w:val="0"/>
                <w:sz w:val="24"/>
                <w:szCs w:val="24"/>
                <w:highlight w:val="none"/>
                <w:lang w:val="en-US" w:eastAsia="zh-CN" w:bidi="ar"/>
              </w:rPr>
              <w:t>、油烟、焊接</w:t>
            </w:r>
            <w:r>
              <w:rPr>
                <w:rFonts w:hint="default" w:ascii="Times New Roman" w:hAnsi="Times New Roman" w:eastAsia="宋体" w:cs="Times New Roman"/>
                <w:color w:val="auto"/>
                <w:kern w:val="0"/>
                <w:sz w:val="24"/>
                <w:szCs w:val="24"/>
                <w:highlight w:val="none"/>
                <w:lang w:val="en-US" w:eastAsia="zh-CN" w:bidi="ar"/>
              </w:rPr>
              <w:t>废气</w:t>
            </w:r>
            <w:r>
              <w:rPr>
                <w:rFonts w:hint="eastAsia" w:ascii="宋体" w:hAnsi="宋体" w:eastAsia="宋体" w:cs="宋体"/>
                <w:color w:val="auto"/>
                <w:kern w:val="0"/>
                <w:sz w:val="24"/>
                <w:szCs w:val="24"/>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val="en-US" w:eastAsia="zh-CN" w:bidi="ar"/>
              </w:rPr>
              <w:t xml:space="preserve">）噪声：主要来自生产设备产生的机械噪声。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kern w:val="2"/>
                <w:sz w:val="24"/>
                <w:szCs w:val="24"/>
                <w:highlight w:val="none"/>
                <w:lang w:eastAsia="zh-CN"/>
              </w:rPr>
            </w:pP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val="en-US" w:eastAsia="zh-CN" w:bidi="ar"/>
              </w:rPr>
              <w:t>）固体废物：主要为一般工业固废（</w:t>
            </w:r>
            <w:r>
              <w:rPr>
                <w:rFonts w:hint="default" w:ascii="Times New Roman" w:hAnsi="Times New Roman" w:eastAsia="宋体" w:cs="Times New Roman"/>
                <w:color w:val="auto"/>
                <w:kern w:val="0"/>
                <w:sz w:val="24"/>
                <w:szCs w:val="24"/>
                <w:highlight w:val="none"/>
                <w:lang w:val="en-US" w:eastAsia="zh-CN" w:bidi="ar"/>
              </w:rPr>
              <w:t>金属边角料</w:t>
            </w:r>
            <w:r>
              <w:rPr>
                <w:rFonts w:hint="eastAsia" w:cs="Times New Roman"/>
                <w:color w:val="auto"/>
                <w:kern w:val="0"/>
                <w:sz w:val="24"/>
                <w:szCs w:val="24"/>
                <w:highlight w:val="none"/>
                <w:lang w:val="en-US" w:eastAsia="zh-CN" w:bidi="ar"/>
              </w:rPr>
              <w:t>及不合格品、</w:t>
            </w:r>
            <w:r>
              <w:rPr>
                <w:rFonts w:hint="eastAsia" w:ascii="宋体" w:hAnsi="宋体" w:eastAsia="宋体" w:cs="宋体"/>
                <w:color w:val="auto"/>
                <w:kern w:val="0"/>
                <w:sz w:val="24"/>
                <w:szCs w:val="24"/>
                <w:highlight w:val="none"/>
                <w:lang w:val="en-US" w:eastAsia="zh-CN" w:bidi="ar"/>
              </w:rPr>
              <w:t>废</w:t>
            </w:r>
            <w:r>
              <w:rPr>
                <w:rFonts w:hint="default" w:ascii="Times New Roman" w:hAnsi="Times New Roman" w:eastAsia="宋体" w:cs="Times New Roman"/>
                <w:color w:val="auto"/>
                <w:kern w:val="0"/>
                <w:sz w:val="24"/>
                <w:szCs w:val="24"/>
                <w:highlight w:val="none"/>
                <w:lang w:val="en-US" w:eastAsia="zh-CN" w:bidi="ar"/>
              </w:rPr>
              <w:t>橡胶管、不锈钢编织管</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炉渣</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废砂</w:t>
            </w:r>
            <w:r>
              <w:rPr>
                <w:rFonts w:hint="eastAsia" w:ascii="Times New Roman" w:hAnsi="Times New Roman" w:eastAsia="宋体" w:cs="Times New Roman"/>
                <w:color w:val="auto"/>
                <w:kern w:val="0"/>
                <w:sz w:val="24"/>
                <w:szCs w:val="24"/>
                <w:highlight w:val="none"/>
                <w:lang w:val="en-US" w:eastAsia="zh-CN" w:bidi="ar"/>
              </w:rPr>
              <w:t>、布袋除尘器收集粉尘、</w:t>
            </w:r>
            <w:r>
              <w:rPr>
                <w:rFonts w:hint="eastAsia" w:ascii="宋体" w:hAnsi="宋体" w:cs="宋体"/>
                <w:color w:val="auto"/>
                <w:kern w:val="0"/>
                <w:sz w:val="24"/>
                <w:szCs w:val="24"/>
                <w:highlight w:val="none"/>
                <w:lang w:val="en-US" w:eastAsia="zh-CN" w:bidi="ar"/>
              </w:rPr>
              <w:t>木材边角料</w:t>
            </w:r>
            <w:r>
              <w:rPr>
                <w:rFonts w:hint="eastAsia" w:ascii="宋体" w:hAnsi="宋体" w:eastAsia="宋体" w:cs="宋体"/>
                <w:color w:val="auto"/>
                <w:kern w:val="0"/>
                <w:sz w:val="24"/>
                <w:szCs w:val="24"/>
                <w:highlight w:val="none"/>
                <w:lang w:val="en-US" w:eastAsia="zh-CN" w:bidi="ar"/>
              </w:rPr>
              <w:t>）；危险废物（废活性炭、废乳化液、废机油）、废弃原料空桶。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80" w:hRule="atLeast"/>
          <w:jc w:val="center"/>
        </w:trPr>
        <w:tc>
          <w:tcPr>
            <w:tcW w:w="810" w:type="dxa"/>
            <w:vAlign w:val="center"/>
          </w:tcPr>
          <w:p>
            <w:pPr>
              <w:pStyle w:val="24"/>
              <w:adjustRightInd w:val="0"/>
              <w:snapToGrid w:val="0"/>
              <w:spacing w:before="0" w:beforeAutospacing="0" w:after="0" w:afterAutospacing="0"/>
              <w:jc w:val="center"/>
              <w:rPr>
                <w:rFonts w:cs="宋体"/>
                <w:color w:val="auto"/>
                <w:szCs w:val="24"/>
                <w:highlight w:val="none"/>
              </w:rPr>
            </w:pPr>
            <w:r>
              <w:rPr>
                <w:rFonts w:hint="eastAsia" w:cs="宋体"/>
                <w:bCs/>
                <w:color w:val="auto"/>
                <w:kern w:val="2"/>
                <w:szCs w:val="24"/>
                <w:highlight w:val="none"/>
              </w:rPr>
              <w:t>与项目有关的原有环境污染问题</w:t>
            </w:r>
          </w:p>
        </w:tc>
        <w:tc>
          <w:tcPr>
            <w:tcW w:w="8174" w:type="dxa"/>
            <w:vAlign w:val="center"/>
          </w:tcPr>
          <w:p>
            <w:pPr>
              <w:adjustRightInd w:val="0"/>
              <w:snapToGrid w:val="0"/>
              <w:jc w:val="center"/>
              <w:rPr>
                <w:rFonts w:ascii="宋体" w:hAnsi="宋体"/>
                <w:bCs/>
                <w:color w:val="auto"/>
                <w:sz w:val="24"/>
                <w:highlight w:val="none"/>
              </w:rPr>
            </w:pPr>
            <w:r>
              <w:rPr>
                <w:rFonts w:hint="eastAsia" w:ascii="宋体" w:hAnsi="宋体"/>
                <w:bCs/>
                <w:color w:val="auto"/>
                <w:sz w:val="24"/>
                <w:highlight w:val="none"/>
              </w:rPr>
              <w:t>无</w:t>
            </w:r>
          </w:p>
        </w:tc>
      </w:tr>
    </w:tbl>
    <w:p>
      <w:pPr>
        <w:pStyle w:val="24"/>
        <w:jc w:val="center"/>
        <w:rPr>
          <w:rFonts w:ascii="黑体" w:hAnsi="黑体" w:eastAsia="黑体"/>
          <w:snapToGrid w:val="0"/>
          <w:color w:val="auto"/>
          <w:sz w:val="36"/>
          <w:szCs w:val="36"/>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58"/>
        <w:rPr>
          <w:snapToGrid w:val="0"/>
          <w:color w:val="auto"/>
          <w:highlight w:val="none"/>
        </w:rPr>
      </w:pPr>
      <w:r>
        <w:rPr>
          <w:rFonts w:hint="eastAsia"/>
          <w:snapToGrid w:val="0"/>
          <w:color w:val="auto"/>
          <w:highlight w:val="none"/>
        </w:rPr>
        <w:t>三、区域环境质量现状、环境保护目标及评价标准</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3"/>
        <w:gridCol w:w="860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3" w:type="dxa"/>
            <w:vAlign w:val="center"/>
          </w:tcPr>
          <w:p>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区域</w:t>
            </w:r>
          </w:p>
          <w:p>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环境</w:t>
            </w:r>
          </w:p>
          <w:p>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质量</w:t>
            </w:r>
          </w:p>
          <w:p>
            <w:pPr>
              <w:adjustRightInd w:val="0"/>
              <w:snapToGrid w:val="0"/>
              <w:jc w:val="center"/>
              <w:rPr>
                <w:rFonts w:ascii="宋体" w:hAnsi="宋体" w:cs="宋体"/>
                <w:color w:val="auto"/>
                <w:kern w:val="0"/>
                <w:szCs w:val="21"/>
                <w:highlight w:val="none"/>
              </w:rPr>
            </w:pPr>
            <w:r>
              <w:rPr>
                <w:rFonts w:hint="eastAsia" w:ascii="宋体" w:hAnsi="宋体" w:cs="宋体"/>
                <w:color w:val="auto"/>
                <w:kern w:val="0"/>
                <w:sz w:val="24"/>
                <w:highlight w:val="none"/>
              </w:rPr>
              <w:t>现状</w:t>
            </w:r>
          </w:p>
        </w:tc>
        <w:tc>
          <w:tcPr>
            <w:tcW w:w="8608" w:type="dxa"/>
            <w:vAlign w:val="center"/>
          </w:tcPr>
          <w:p>
            <w:pPr>
              <w:adjustRightInd w:val="0"/>
              <w:snapToGrid w:val="0"/>
              <w:spacing w:line="360" w:lineRule="auto"/>
              <w:jc w:val="left"/>
              <w:rPr>
                <w:b/>
                <w:color w:val="auto"/>
                <w:kern w:val="0"/>
                <w:sz w:val="28"/>
                <w:szCs w:val="28"/>
                <w:highlight w:val="none"/>
              </w:rPr>
            </w:pPr>
            <w:r>
              <w:rPr>
                <w:rFonts w:hint="eastAsia"/>
                <w:b/>
                <w:color w:val="auto"/>
                <w:kern w:val="0"/>
                <w:sz w:val="28"/>
                <w:szCs w:val="28"/>
                <w:highlight w:val="none"/>
                <w:lang w:val="en-US" w:eastAsia="zh-CN"/>
              </w:rPr>
              <w:t>3.</w:t>
            </w:r>
            <w:r>
              <w:rPr>
                <w:b/>
                <w:color w:val="auto"/>
                <w:kern w:val="0"/>
                <w:sz w:val="28"/>
                <w:szCs w:val="28"/>
                <w:highlight w:val="none"/>
              </w:rPr>
              <w:t>1、水环境</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rPr>
              <w:t>根据泉州市南安生态环境局2023年3月发布的《南安市环境质量分析报告（2022年度）》</w:t>
            </w:r>
            <w:r>
              <w:rPr>
                <w:rFonts w:hint="default" w:ascii="Times New Roman" w:hAnsi="Times New Roman" w:eastAsia="宋体" w:cs="Times New Roman"/>
                <w:color w:val="auto"/>
                <w:kern w:val="2"/>
                <w:sz w:val="24"/>
                <w:szCs w:val="24"/>
                <w:highlight w:val="none"/>
                <w:lang w:val="en-US" w:eastAsia="zh-CN" w:bidi="ar"/>
              </w:rPr>
              <w:t>，2022年，</w:t>
            </w:r>
            <w:r>
              <w:rPr>
                <w:rFonts w:hint="default" w:ascii="Times New Roman" w:hAnsi="Times New Roman" w:eastAsia="宋体" w:cs="Times New Roman"/>
                <w:color w:val="auto"/>
                <w:kern w:val="0"/>
                <w:sz w:val="24"/>
                <w:szCs w:val="24"/>
                <w:highlight w:val="none"/>
                <w:lang w:val="en-US" w:eastAsia="zh-CN" w:bidi="ar"/>
              </w:rPr>
              <w:t>主要流域水质保持优良，8个国省控断面Ⅰ～Ⅲ类水质比例100%，各断面水质均达到或优于相应考核标准</w:t>
            </w:r>
            <w:r>
              <w:rPr>
                <w:rFonts w:hint="eastAsia" w:ascii="Times New Roman" w:hAnsi="Times New Roman" w:eastAsia="宋体" w:cs="Times New Roman"/>
                <w:color w:val="auto"/>
                <w:kern w:val="2"/>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7个福建省“小流域”监测断面，年均水质均达Ⅲ类或以上</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3个水功能区断面水质均达到或优于 GB3838-2002《地表水环境质量标准》Ⅲ类标准，与上年持平</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县级饮用水源地美林水厂Ⅰ～Ⅲ类水</w:t>
            </w:r>
            <w:r>
              <w:rPr>
                <w:rFonts w:hint="eastAsia" w:cs="Times New Roman"/>
                <w:color w:val="auto"/>
                <w:kern w:val="0"/>
                <w:sz w:val="24"/>
                <w:szCs w:val="24"/>
                <w:highlight w:val="none"/>
                <w:lang w:val="en-US" w:eastAsia="zh-CN" w:bidi="ar"/>
              </w:rPr>
              <w:t>质</w:t>
            </w:r>
            <w:r>
              <w:rPr>
                <w:rFonts w:hint="default" w:ascii="Times New Roman" w:hAnsi="Times New Roman" w:eastAsia="宋体" w:cs="Times New Roman"/>
                <w:color w:val="auto"/>
                <w:kern w:val="0"/>
                <w:sz w:val="24"/>
                <w:szCs w:val="24"/>
                <w:highlight w:val="none"/>
                <w:lang w:val="en-US" w:eastAsia="zh-CN" w:bidi="ar"/>
              </w:rPr>
              <w:t>达标率100%</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 xml:space="preserve"> 8个乡镇级集中式饮用水源地Ⅰ类～Ⅲ类水质比例为100%，与上年持平</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2"/>
                <w:sz w:val="24"/>
                <w:szCs w:val="24"/>
                <w:highlight w:val="none"/>
                <w:lang w:val="en-US" w:eastAsia="zh-CN" w:bidi="ar"/>
              </w:rPr>
              <w:t>根据</w:t>
            </w:r>
            <w:r>
              <w:rPr>
                <w:rFonts w:hint="default" w:ascii="Times New Roman" w:hAnsi="Times New Roman" w:eastAsia="宋体" w:cs="Times New Roman"/>
                <w:color w:val="auto"/>
                <w:kern w:val="0"/>
                <w:sz w:val="24"/>
                <w:highlight w:val="none"/>
                <w:lang w:val="en-US" w:eastAsia="zh-CN"/>
              </w:rPr>
              <w:t>《南安市环境质量分析报告（202</w:t>
            </w:r>
            <w:r>
              <w:rPr>
                <w:rFonts w:hint="eastAsia" w:ascii="Times New Roman" w:hAnsi="Times New Roman" w:eastAsia="宋体" w:cs="Times New Roman"/>
                <w:color w:val="auto"/>
                <w:kern w:val="0"/>
                <w:sz w:val="24"/>
                <w:highlight w:val="none"/>
                <w:lang w:val="en-US" w:eastAsia="zh-CN"/>
              </w:rPr>
              <w:t>2</w:t>
            </w:r>
            <w:r>
              <w:rPr>
                <w:rFonts w:hint="default" w:ascii="Times New Roman" w:hAnsi="Times New Roman" w:eastAsia="宋体" w:cs="Times New Roman"/>
                <w:color w:val="auto"/>
                <w:kern w:val="0"/>
                <w:sz w:val="24"/>
                <w:highlight w:val="none"/>
                <w:lang w:val="en-US" w:eastAsia="zh-CN"/>
              </w:rPr>
              <w:t>年度）》</w:t>
            </w:r>
            <w:r>
              <w:rPr>
                <w:rFonts w:hint="eastAsia" w:cs="Times New Roman"/>
                <w:color w:val="auto"/>
                <w:kern w:val="2"/>
                <w:sz w:val="24"/>
                <w:szCs w:val="24"/>
                <w:highlight w:val="none"/>
                <w:lang w:val="en-US" w:eastAsia="zh-CN" w:bidi="ar"/>
              </w:rPr>
              <w:t>可知，</w:t>
            </w:r>
            <w:r>
              <w:rPr>
                <w:rFonts w:hint="default" w:ascii="Times New Roman" w:hAnsi="Times New Roman" w:eastAsia="宋体" w:cs="Times New Roman"/>
                <w:color w:val="auto"/>
                <w:kern w:val="2"/>
                <w:sz w:val="24"/>
                <w:szCs w:val="24"/>
                <w:highlight w:val="none"/>
                <w:lang w:val="en-US" w:eastAsia="zh-CN" w:bidi="ar"/>
              </w:rPr>
              <w:t>西溪水质符合《地表水环境质量标准》(GB3838-2002)中Ⅲ类标准。</w:t>
            </w:r>
          </w:p>
          <w:p>
            <w:pPr>
              <w:keepNext w:val="0"/>
              <w:keepLines w:val="0"/>
              <w:pageBreakBefore w:val="0"/>
              <w:numPr>
                <w:ilvl w:val="0"/>
                <w:numId w:val="0"/>
              </w:numPr>
              <w:kinsoku/>
              <w:wordWrap/>
              <w:overflowPunct/>
              <w:topLinePunct w:val="0"/>
              <w:autoSpaceDE/>
              <w:autoSpaceDN/>
              <w:bidi w:val="0"/>
              <w:adjustRightInd w:val="0"/>
              <w:snapToGrid w:val="0"/>
              <w:spacing w:line="360" w:lineRule="auto"/>
              <w:jc w:val="left"/>
              <w:textAlignment w:val="auto"/>
              <w:rPr>
                <w:b/>
                <w:bCs/>
                <w:color w:val="auto"/>
                <w:sz w:val="28"/>
                <w:szCs w:val="28"/>
                <w:highlight w:val="none"/>
              </w:rPr>
            </w:pPr>
            <w:r>
              <w:rPr>
                <w:rFonts w:hint="eastAsia"/>
                <w:b/>
                <w:bCs/>
                <w:color w:val="auto"/>
                <w:sz w:val="28"/>
                <w:szCs w:val="28"/>
                <w:highlight w:val="none"/>
                <w:lang w:val="en-US" w:eastAsia="zh-CN"/>
              </w:rPr>
              <w:t>3.2、</w:t>
            </w:r>
            <w:r>
              <w:rPr>
                <w:b/>
                <w:bCs/>
                <w:color w:val="auto"/>
                <w:sz w:val="28"/>
                <w:szCs w:val="28"/>
                <w:highlight w:val="none"/>
              </w:rPr>
              <w:t>大气环境</w:t>
            </w:r>
          </w:p>
          <w:p>
            <w:pPr>
              <w:pStyle w:val="17"/>
              <w:keepNext w:val="0"/>
              <w:keepLines w:val="0"/>
              <w:pageBreakBefore w:val="0"/>
              <w:widowControl/>
              <w:kinsoku/>
              <w:wordWrap/>
              <w:overflowPunct/>
              <w:topLinePunct w:val="0"/>
              <w:autoSpaceDE/>
              <w:autoSpaceDN/>
              <w:bidi w:val="0"/>
              <w:adjustRightInd w:val="0"/>
              <w:snapToGrid w:val="0"/>
              <w:spacing w:after="0" w:line="360" w:lineRule="auto"/>
              <w:ind w:left="0" w:leftChars="0" w:firstLine="0" w:firstLineChars="0"/>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3.2.1</w:t>
            </w:r>
            <w:r>
              <w:rPr>
                <w:rFonts w:hint="default" w:ascii="Times New Roman" w:hAnsi="Times New Roman" w:eastAsia="宋体" w:cs="Times New Roman"/>
                <w:b/>
                <w:bCs/>
                <w:color w:val="auto"/>
                <w:kern w:val="2"/>
                <w:sz w:val="24"/>
                <w:szCs w:val="24"/>
                <w:highlight w:val="none"/>
                <w:lang w:val="en-US" w:eastAsia="zh-CN" w:bidi="ar-SA"/>
              </w:rPr>
              <w:t>基本</w:t>
            </w:r>
            <w:r>
              <w:rPr>
                <w:rFonts w:hint="eastAsia" w:ascii="Times New Roman" w:hAnsi="Times New Roman" w:eastAsia="宋体" w:cs="Times New Roman"/>
                <w:b/>
                <w:bCs/>
                <w:color w:val="auto"/>
                <w:kern w:val="2"/>
                <w:sz w:val="24"/>
                <w:szCs w:val="24"/>
                <w:highlight w:val="none"/>
                <w:lang w:val="en-US" w:eastAsia="zh-CN" w:bidi="ar-SA"/>
              </w:rPr>
              <w:t>污染物环境质量现状</w:t>
            </w:r>
          </w:p>
          <w:p>
            <w:pPr>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highlight w:val="none"/>
                <w:lang w:val="en-US" w:eastAsia="zh-CN"/>
              </w:rPr>
              <w:t>根据泉州市南安生态环境局2022年</w:t>
            </w:r>
            <w:r>
              <w:rPr>
                <w:rFonts w:hint="eastAsia" w:ascii="Times New Roman" w:hAnsi="Times New Roman" w:eastAsia="宋体" w:cs="Times New Roman"/>
                <w:color w:val="auto"/>
                <w:kern w:val="0"/>
                <w:sz w:val="24"/>
                <w:highlight w:val="none"/>
                <w:lang w:val="en-US" w:eastAsia="zh-CN"/>
              </w:rPr>
              <w:t>3</w:t>
            </w:r>
            <w:r>
              <w:rPr>
                <w:rFonts w:hint="default" w:ascii="Times New Roman" w:hAnsi="Times New Roman" w:eastAsia="宋体" w:cs="Times New Roman"/>
                <w:color w:val="auto"/>
                <w:kern w:val="0"/>
                <w:sz w:val="24"/>
                <w:highlight w:val="none"/>
                <w:lang w:val="en-US" w:eastAsia="zh-CN"/>
              </w:rPr>
              <w:t>月发布的</w:t>
            </w:r>
            <w:r>
              <w:rPr>
                <w:rFonts w:hint="default" w:ascii="Times New Roman" w:hAnsi="Times New Roman" w:eastAsia="宋体" w:cs="Times New Roman"/>
                <w:color w:val="auto"/>
                <w:kern w:val="0"/>
                <w:sz w:val="24"/>
                <w:szCs w:val="24"/>
                <w:highlight w:val="none"/>
                <w:lang w:val="en-US" w:eastAsia="zh-CN"/>
              </w:rPr>
              <w:t>《南安市环境质量分析报告（2022年度）》</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202</w:t>
            </w:r>
            <w:r>
              <w:rPr>
                <w:rFonts w:hint="eastAsia"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年，</w:t>
            </w:r>
            <w:r>
              <w:rPr>
                <w:rFonts w:hint="default" w:ascii="Times New Roman" w:hAnsi="Times New Roman" w:eastAsia="宋体" w:cs="Times New Roman"/>
                <w:color w:val="auto"/>
                <w:sz w:val="24"/>
                <w:highlight w:val="none"/>
                <w:lang w:val="en-US" w:eastAsia="zh-CN"/>
              </w:rPr>
              <w:t>全市环境空气质量综合指数2.17，同比改善9.6%。月度综合指数波动范围为1.50~3.13，最高出现在3月，最低出现在10月。全年有效监测天数360天，一级达标天数 247天，较上年增加32天，占有效监测天数比例68.6%，二级达标天数为110天，占有效监测天数比例30.6%，轻度污染日天数3天，较上年增加2天，占有效监测天数比例的 0.8%（见图 2）。PM</w:t>
            </w:r>
            <w:r>
              <w:rPr>
                <w:rFonts w:hint="default" w:ascii="Times New Roman" w:hAnsi="Times New Roman" w:eastAsia="宋体" w:cs="Times New Roman"/>
                <w:color w:val="auto"/>
                <w:sz w:val="24"/>
                <w:highlight w:val="none"/>
                <w:vertAlign w:val="subscript"/>
                <w:lang w:val="en-US" w:eastAsia="zh-CN"/>
              </w:rPr>
              <w:t>2.5</w:t>
            </w:r>
            <w:r>
              <w:rPr>
                <w:rFonts w:hint="default" w:ascii="Times New Roman" w:hAnsi="Times New Roman" w:eastAsia="宋体" w:cs="Times New Roman"/>
                <w:color w:val="auto"/>
                <w:sz w:val="24"/>
                <w:highlight w:val="none"/>
                <w:lang w:val="en-US" w:eastAsia="zh-CN"/>
              </w:rPr>
              <w:t>、PM</w:t>
            </w:r>
            <w:r>
              <w:rPr>
                <w:rFonts w:hint="default" w:ascii="Times New Roman" w:hAnsi="Times New Roman" w:eastAsia="宋体" w:cs="Times New Roman"/>
                <w:color w:val="auto"/>
                <w:sz w:val="24"/>
                <w:highlight w:val="none"/>
                <w:vertAlign w:val="subscript"/>
                <w:lang w:val="en-US" w:eastAsia="zh-CN"/>
              </w:rPr>
              <w:t>10</w:t>
            </w:r>
            <w:r>
              <w:rPr>
                <w:rFonts w:hint="default" w:ascii="Times New Roman" w:hAnsi="Times New Roman" w:eastAsia="宋体" w:cs="Times New Roman"/>
                <w:color w:val="auto"/>
                <w:sz w:val="24"/>
                <w:highlight w:val="none"/>
                <w:lang w:val="en-US" w:eastAsia="zh-CN"/>
              </w:rPr>
              <w:t>、SO</w:t>
            </w:r>
            <w:r>
              <w:rPr>
                <w:rFonts w:hint="default" w:ascii="Times New Roman" w:hAnsi="Times New Roman" w:eastAsia="宋体" w:cs="Times New Roman"/>
                <w:color w:val="auto"/>
                <w:sz w:val="24"/>
                <w:highlight w:val="none"/>
                <w:vertAlign w:val="subscript"/>
                <w:lang w:val="en-US" w:eastAsia="zh-CN"/>
              </w:rPr>
              <w:t>2</w:t>
            </w:r>
            <w:r>
              <w:rPr>
                <w:rFonts w:hint="default" w:ascii="Times New Roman" w:hAnsi="Times New Roman" w:eastAsia="宋体" w:cs="Times New Roman"/>
                <w:color w:val="auto"/>
                <w:sz w:val="24"/>
                <w:highlight w:val="none"/>
                <w:lang w:val="en-US" w:eastAsia="zh-CN"/>
              </w:rPr>
              <w:t>、NO</w:t>
            </w:r>
            <w:r>
              <w:rPr>
                <w:rFonts w:hint="default" w:ascii="Times New Roman" w:hAnsi="Times New Roman" w:eastAsia="宋体" w:cs="Times New Roman"/>
                <w:color w:val="auto"/>
                <w:sz w:val="24"/>
                <w:highlight w:val="none"/>
                <w:vertAlign w:val="subscript"/>
                <w:lang w:val="en-US" w:eastAsia="zh-CN"/>
              </w:rPr>
              <w:t>2</w:t>
            </w:r>
            <w:r>
              <w:rPr>
                <w:rFonts w:hint="default" w:ascii="Times New Roman" w:hAnsi="Times New Roman" w:eastAsia="宋体" w:cs="Times New Roman"/>
                <w:color w:val="auto"/>
                <w:sz w:val="24"/>
                <w:highlight w:val="none"/>
                <w:lang w:val="en-US" w:eastAsia="zh-CN"/>
              </w:rPr>
              <w:t xml:space="preserve"> 年均浓度分别为 16ug/m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、36ug/m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、6 ug/m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、7ug/m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，CO 日均值第95百分位数、臭氧（O3）日最大8小时滑动平均值的第90百分位数分别为0.7 mg/m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、118ug/m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。可吸入颗粒物、二氧化硫、二氧化氮、一氧化碳年均浓度达到国家环境空气质量一级标准，细颗粒物、臭氧达到国家环境空气质量二级标准。六项主要污染物监测项目，PM2.5、PM10、NO2同比分别下降 23.8%、21.7%、22.2%，SO</w:t>
            </w:r>
            <w:r>
              <w:rPr>
                <w:rFonts w:hint="default" w:ascii="Times New Roman" w:hAnsi="Times New Roman" w:eastAsia="宋体" w:cs="Times New Roman"/>
                <w:color w:val="auto"/>
                <w:sz w:val="24"/>
                <w:highlight w:val="none"/>
                <w:vertAlign w:val="subscript"/>
                <w:lang w:val="en-US" w:eastAsia="zh-CN"/>
              </w:rPr>
              <w:t>2</w:t>
            </w:r>
            <w:r>
              <w:rPr>
                <w:rFonts w:hint="default" w:ascii="Times New Roman" w:hAnsi="Times New Roman" w:eastAsia="宋体" w:cs="Times New Roman"/>
                <w:color w:val="auto"/>
                <w:sz w:val="24"/>
                <w:highlight w:val="none"/>
                <w:lang w:val="en-US" w:eastAsia="zh-CN"/>
              </w:rPr>
              <w:t>、O</w:t>
            </w:r>
            <w:r>
              <w:rPr>
                <w:rFonts w:hint="default" w:ascii="Times New Roman" w:hAnsi="Times New Roman" w:eastAsia="宋体" w:cs="Times New Roman"/>
                <w:color w:val="auto"/>
                <w:sz w:val="24"/>
                <w:highlight w:val="none"/>
                <w:vertAlign w:val="subscript"/>
                <w:lang w:val="en-US" w:eastAsia="zh-CN"/>
              </w:rPr>
              <w:t>3</w:t>
            </w:r>
            <w:r>
              <w:rPr>
                <w:rFonts w:hint="default" w:ascii="Times New Roman" w:hAnsi="Times New Roman" w:eastAsia="宋体" w:cs="Times New Roman"/>
                <w:color w:val="auto"/>
                <w:sz w:val="24"/>
                <w:highlight w:val="none"/>
                <w:lang w:val="en-US" w:eastAsia="zh-CN"/>
              </w:rPr>
              <w:t>-8h-90per 浓度分别上升20%、11.3%，CO-95与上年持平</w:t>
            </w:r>
            <w:r>
              <w:rPr>
                <w:rFonts w:hint="default" w:ascii="Times New Roman" w:hAnsi="Times New Roman" w:eastAsia="宋体" w:cs="Times New Roman"/>
                <w:color w:val="auto"/>
                <w:kern w:val="0"/>
                <w:sz w:val="24"/>
                <w:szCs w:val="24"/>
                <w:highlight w:val="none"/>
                <w:lang w:val="en-US" w:eastAsia="zh-CN" w:bidi="ar"/>
              </w:rPr>
              <w:t>，详见3</w:t>
            </w:r>
            <w:r>
              <w:rPr>
                <w:rFonts w:hint="eastAsia" w:ascii="Times New Roman" w:hAnsi="Times New Roman" w:eastAsia="宋体" w:cs="Times New Roman"/>
                <w:color w:val="auto"/>
                <w:kern w:val="0"/>
                <w:sz w:val="24"/>
                <w:szCs w:val="24"/>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cs="Times New Roman"/>
                <w:color w:val="auto"/>
                <w:kern w:val="0"/>
                <w:sz w:val="24"/>
                <w:szCs w:val="24"/>
                <w:highlight w:val="none"/>
                <w:lang w:val="en-US" w:eastAsia="zh-CN" w:bidi="ar"/>
              </w:rPr>
              <w:t>1</w:t>
            </w:r>
            <w:r>
              <w:rPr>
                <w:rFonts w:hint="default" w:ascii="Times New Roman" w:hAnsi="Times New Roman" w:eastAsia="宋体" w:cs="Times New Roman"/>
                <w:color w:val="auto"/>
                <w:kern w:val="0"/>
                <w:sz w:val="24"/>
                <w:szCs w:val="24"/>
                <w:highlight w:val="none"/>
                <w:lang w:val="en-US" w:eastAsia="zh-CN" w:bidi="ar"/>
              </w:rPr>
              <w:t>。</w:t>
            </w:r>
          </w:p>
          <w:p>
            <w:pPr>
              <w:pStyle w:val="34"/>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center"/>
              <w:textAlignment w:val="auto"/>
              <w:rPr>
                <w:rFonts w:hint="default" w:ascii="Times New Roman" w:hAnsi="Times New Roman" w:eastAsia="宋体" w:cs="Times New Roman"/>
                <w:b/>
                <w:bCs/>
                <w:color w:val="auto"/>
                <w:kern w:val="2"/>
                <w:sz w:val="24"/>
                <w:szCs w:val="24"/>
                <w:highlight w:val="none"/>
              </w:rPr>
            </w:pPr>
          </w:p>
          <w:p>
            <w:pPr>
              <w:pStyle w:val="34"/>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center"/>
              <w:textAlignment w:val="auto"/>
              <w:rPr>
                <w:rFonts w:hint="default" w:ascii="Times New Roman" w:hAnsi="Times New Roman" w:eastAsia="宋体" w:cs="Times New Roman"/>
                <w:b/>
                <w:bCs/>
                <w:color w:val="auto"/>
                <w:kern w:val="2"/>
                <w:sz w:val="24"/>
                <w:szCs w:val="24"/>
                <w:highlight w:val="none"/>
              </w:rPr>
            </w:pPr>
          </w:p>
          <w:p>
            <w:pPr>
              <w:pStyle w:val="34"/>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center"/>
              <w:textAlignment w:val="auto"/>
              <w:rPr>
                <w:rFonts w:hint="default" w:ascii="Times New Roman" w:hAnsi="Times New Roman" w:eastAsia="宋体" w:cs="Times New Roman"/>
                <w:b/>
                <w:bCs/>
                <w:color w:val="auto"/>
                <w:kern w:val="2"/>
                <w:sz w:val="24"/>
                <w:szCs w:val="24"/>
                <w:highlight w:val="none"/>
                <w:lang w:val="en-US" w:eastAsia="zh-CN"/>
              </w:rPr>
            </w:pPr>
            <w:r>
              <w:rPr>
                <w:rFonts w:hint="default" w:ascii="Times New Roman" w:hAnsi="Times New Roman" w:eastAsia="宋体" w:cs="Times New Roman"/>
                <w:b/>
                <w:bCs/>
                <w:color w:val="auto"/>
                <w:kern w:val="2"/>
                <w:sz w:val="24"/>
                <w:szCs w:val="24"/>
                <w:highlight w:val="none"/>
              </w:rPr>
              <w:t>表</w:t>
            </w:r>
            <w:r>
              <w:rPr>
                <w:rFonts w:hint="eastAsia" w:ascii="Times New Roman" w:hAnsi="Times New Roman" w:eastAsia="宋体" w:cs="Times New Roman"/>
                <w:b/>
                <w:bCs/>
                <w:color w:val="auto"/>
                <w:kern w:val="2"/>
                <w:sz w:val="24"/>
                <w:szCs w:val="24"/>
                <w:highlight w:val="none"/>
                <w:lang w:val="en-US" w:eastAsia="zh-CN"/>
              </w:rPr>
              <w:t>3.2-</w:t>
            </w:r>
            <w:r>
              <w:rPr>
                <w:rFonts w:hint="eastAsia" w:ascii="Times New Roman" w:hAnsi="Times New Roman" w:cs="Times New Roman"/>
                <w:b/>
                <w:bCs/>
                <w:color w:val="auto"/>
                <w:kern w:val="2"/>
                <w:sz w:val="24"/>
                <w:szCs w:val="24"/>
                <w:highlight w:val="none"/>
                <w:lang w:val="en-US" w:eastAsia="zh-CN"/>
              </w:rPr>
              <w:t>1</w:t>
            </w:r>
            <w:r>
              <w:rPr>
                <w:rFonts w:hint="default" w:ascii="Times New Roman" w:hAnsi="Times New Roman" w:eastAsia="宋体" w:cs="Times New Roman"/>
                <w:b/>
                <w:bCs/>
                <w:color w:val="auto"/>
                <w:kern w:val="2"/>
                <w:sz w:val="24"/>
                <w:szCs w:val="24"/>
                <w:highlight w:val="none"/>
                <w:lang w:val="en-US" w:eastAsia="zh-CN"/>
              </w:rPr>
              <w:t xml:space="preserve">  202</w:t>
            </w:r>
            <w:r>
              <w:rPr>
                <w:rFonts w:hint="eastAsia" w:ascii="Times New Roman" w:hAnsi="Times New Roman" w:eastAsia="宋体" w:cs="Times New Roman"/>
                <w:b/>
                <w:bCs/>
                <w:color w:val="auto"/>
                <w:kern w:val="2"/>
                <w:sz w:val="24"/>
                <w:szCs w:val="24"/>
                <w:highlight w:val="none"/>
                <w:lang w:val="en-US" w:eastAsia="zh-CN"/>
              </w:rPr>
              <w:t>2</w:t>
            </w:r>
            <w:r>
              <w:rPr>
                <w:rFonts w:hint="default" w:ascii="Times New Roman" w:hAnsi="Times New Roman" w:eastAsia="宋体" w:cs="Times New Roman"/>
                <w:b/>
                <w:bCs/>
                <w:color w:val="auto"/>
                <w:kern w:val="2"/>
                <w:sz w:val="24"/>
                <w:szCs w:val="24"/>
                <w:highlight w:val="none"/>
                <w:lang w:val="en-US" w:eastAsia="zh-CN"/>
              </w:rPr>
              <w:t>年南安市城市环境空气质量各指标监测情况汇总表</w:t>
            </w:r>
          </w:p>
          <w:tbl>
            <w:tblPr>
              <w:tblStyle w:val="29"/>
              <w:tblW w:w="799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2"/>
              <w:gridCol w:w="941"/>
              <w:gridCol w:w="946"/>
              <w:gridCol w:w="925"/>
              <w:gridCol w:w="930"/>
              <w:gridCol w:w="1147"/>
              <w:gridCol w:w="1380"/>
              <w:gridCol w:w="8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902"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月份</w:t>
                  </w:r>
                </w:p>
              </w:tc>
              <w:tc>
                <w:tcPr>
                  <w:tcW w:w="941"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subscript"/>
                      <w:lang w:val="en-US" w:eastAsia="zh-CN"/>
                    </w:rPr>
                  </w:pPr>
                  <w:r>
                    <w:rPr>
                      <w:rFonts w:hint="default" w:ascii="Times New Roman" w:hAnsi="Times New Roman" w:eastAsia="宋体" w:cs="Times New Roman"/>
                      <w:b/>
                      <w:bCs/>
                      <w:color w:val="auto"/>
                      <w:sz w:val="21"/>
                      <w:szCs w:val="21"/>
                      <w:highlight w:val="none"/>
                    </w:rPr>
                    <w:t>PM</w:t>
                  </w:r>
                  <w:r>
                    <w:rPr>
                      <w:rFonts w:hint="eastAsia" w:ascii="Times New Roman" w:hAnsi="Times New Roman" w:eastAsia="宋体" w:cs="Times New Roman"/>
                      <w:b/>
                      <w:bCs/>
                      <w:color w:val="auto"/>
                      <w:sz w:val="21"/>
                      <w:szCs w:val="21"/>
                      <w:highlight w:val="none"/>
                      <w:vertAlign w:val="subscript"/>
                      <w:lang w:val="en-US" w:eastAsia="zh-CN"/>
                    </w:rPr>
                    <w:t>2.5</w:t>
                  </w:r>
                </w:p>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subscript"/>
                      <w:lang w:val="en-US" w:eastAsia="zh-CN"/>
                    </w:rPr>
                  </w:pPr>
                  <w:r>
                    <w:rPr>
                      <w:rFonts w:hint="default" w:ascii="Times New Roman" w:hAnsi="Times New Roman" w:eastAsia="宋体" w:cs="Times New Roman"/>
                      <w:b/>
                      <w:bCs/>
                      <w:color w:val="auto"/>
                      <w:sz w:val="21"/>
                      <w:szCs w:val="21"/>
                      <w:highlight w:val="none"/>
                      <w:vertAlign w:val="baseline"/>
                      <w:lang w:val="en-US" w:eastAsia="zh-CN"/>
                    </w:rPr>
                    <w:t>ug/m</w:t>
                  </w:r>
                  <w:r>
                    <w:rPr>
                      <w:rFonts w:hint="default" w:ascii="Times New Roman" w:hAnsi="Times New Roman" w:eastAsia="宋体" w:cs="Times New Roman"/>
                      <w:b/>
                      <w:bCs/>
                      <w:color w:val="auto"/>
                      <w:sz w:val="21"/>
                      <w:szCs w:val="21"/>
                      <w:highlight w:val="none"/>
                      <w:vertAlign w:val="superscript"/>
                      <w:lang w:val="en-US" w:eastAsia="zh-CN"/>
                    </w:rPr>
                    <w:t>3</w:t>
                  </w:r>
                </w:p>
              </w:tc>
              <w:tc>
                <w:tcPr>
                  <w:tcW w:w="946"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subscript"/>
                      <w:lang w:val="en-US" w:eastAsia="zh-CN"/>
                    </w:rPr>
                  </w:pPr>
                  <w:r>
                    <w:rPr>
                      <w:rFonts w:hint="default" w:ascii="Times New Roman" w:hAnsi="Times New Roman" w:eastAsia="宋体" w:cs="Times New Roman"/>
                      <w:b/>
                      <w:bCs/>
                      <w:color w:val="auto"/>
                      <w:sz w:val="21"/>
                      <w:szCs w:val="21"/>
                      <w:highlight w:val="none"/>
                    </w:rPr>
                    <w:t>PM</w:t>
                  </w:r>
                  <w:r>
                    <w:rPr>
                      <w:rFonts w:hint="eastAsia" w:ascii="Times New Roman" w:hAnsi="Times New Roman" w:eastAsia="宋体" w:cs="Times New Roman"/>
                      <w:b/>
                      <w:bCs/>
                      <w:color w:val="auto"/>
                      <w:sz w:val="21"/>
                      <w:szCs w:val="21"/>
                      <w:highlight w:val="none"/>
                      <w:vertAlign w:val="subscript"/>
                      <w:lang w:val="en-US" w:eastAsia="zh-CN"/>
                    </w:rPr>
                    <w:t>10</w:t>
                  </w:r>
                </w:p>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subscript"/>
                      <w:lang w:val="en-US" w:eastAsia="zh-CN"/>
                    </w:rPr>
                  </w:pPr>
                  <w:r>
                    <w:rPr>
                      <w:rFonts w:hint="default" w:ascii="Times New Roman" w:hAnsi="Times New Roman" w:eastAsia="宋体" w:cs="Times New Roman"/>
                      <w:b/>
                      <w:bCs/>
                      <w:color w:val="auto"/>
                      <w:sz w:val="21"/>
                      <w:szCs w:val="21"/>
                      <w:highlight w:val="none"/>
                      <w:vertAlign w:val="baseline"/>
                      <w:lang w:val="en-US" w:eastAsia="zh-CN"/>
                    </w:rPr>
                    <w:t>ug/m</w:t>
                  </w:r>
                  <w:r>
                    <w:rPr>
                      <w:rFonts w:hint="default" w:ascii="Times New Roman" w:hAnsi="Times New Roman" w:eastAsia="宋体" w:cs="Times New Roman"/>
                      <w:b/>
                      <w:bCs/>
                      <w:color w:val="auto"/>
                      <w:sz w:val="21"/>
                      <w:szCs w:val="21"/>
                      <w:highlight w:val="none"/>
                      <w:vertAlign w:val="superscript"/>
                      <w:lang w:val="en-US" w:eastAsia="zh-CN"/>
                    </w:rPr>
                    <w:t>3</w:t>
                  </w:r>
                </w:p>
              </w:tc>
              <w:tc>
                <w:tcPr>
                  <w:tcW w:w="92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subscript"/>
                    </w:rPr>
                  </w:pPr>
                  <w:r>
                    <w:rPr>
                      <w:rFonts w:hint="default" w:ascii="Times New Roman" w:hAnsi="Times New Roman" w:eastAsia="宋体" w:cs="Times New Roman"/>
                      <w:b/>
                      <w:bCs/>
                      <w:color w:val="auto"/>
                      <w:sz w:val="21"/>
                      <w:szCs w:val="21"/>
                      <w:highlight w:val="none"/>
                    </w:rPr>
                    <w:t>SO</w:t>
                  </w:r>
                  <w:r>
                    <w:rPr>
                      <w:rFonts w:hint="default" w:ascii="Times New Roman" w:hAnsi="Times New Roman" w:eastAsia="宋体" w:cs="Times New Roman"/>
                      <w:b/>
                      <w:bCs/>
                      <w:color w:val="auto"/>
                      <w:sz w:val="21"/>
                      <w:szCs w:val="21"/>
                      <w:highlight w:val="none"/>
                      <w:vertAlign w:val="subscript"/>
                    </w:rPr>
                    <w:t>2</w:t>
                  </w:r>
                </w:p>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subscript"/>
                      <w:lang w:val="en-US" w:eastAsia="zh-CN"/>
                    </w:rPr>
                  </w:pPr>
                  <w:r>
                    <w:rPr>
                      <w:rFonts w:hint="default" w:ascii="Times New Roman" w:hAnsi="Times New Roman" w:eastAsia="宋体" w:cs="Times New Roman"/>
                      <w:b/>
                      <w:bCs/>
                      <w:color w:val="auto"/>
                      <w:sz w:val="21"/>
                      <w:szCs w:val="21"/>
                      <w:highlight w:val="none"/>
                      <w:vertAlign w:val="baseline"/>
                      <w:lang w:val="en-US" w:eastAsia="zh-CN"/>
                    </w:rPr>
                    <w:t>ug/m</w:t>
                  </w:r>
                  <w:r>
                    <w:rPr>
                      <w:rFonts w:hint="default" w:ascii="Times New Roman" w:hAnsi="Times New Roman" w:eastAsia="宋体" w:cs="Times New Roman"/>
                      <w:b/>
                      <w:bCs/>
                      <w:color w:val="auto"/>
                      <w:sz w:val="21"/>
                      <w:szCs w:val="21"/>
                      <w:highlight w:val="none"/>
                      <w:vertAlign w:val="superscript"/>
                      <w:lang w:val="en-US" w:eastAsia="zh-CN"/>
                    </w:rPr>
                    <w:t>3</w:t>
                  </w:r>
                </w:p>
              </w:tc>
              <w:tc>
                <w:tcPr>
                  <w:tcW w:w="93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subscript"/>
                    </w:rPr>
                  </w:pPr>
                  <w:r>
                    <w:rPr>
                      <w:rFonts w:hint="default" w:ascii="Times New Roman" w:hAnsi="Times New Roman" w:eastAsia="宋体" w:cs="Times New Roman"/>
                      <w:b/>
                      <w:bCs/>
                      <w:color w:val="auto"/>
                      <w:sz w:val="21"/>
                      <w:szCs w:val="21"/>
                      <w:highlight w:val="none"/>
                    </w:rPr>
                    <w:t>NO</w:t>
                  </w:r>
                  <w:r>
                    <w:rPr>
                      <w:rFonts w:hint="default" w:ascii="Times New Roman" w:hAnsi="Times New Roman" w:eastAsia="宋体" w:cs="Times New Roman"/>
                      <w:b/>
                      <w:bCs/>
                      <w:color w:val="auto"/>
                      <w:sz w:val="21"/>
                      <w:szCs w:val="21"/>
                      <w:highlight w:val="none"/>
                      <w:vertAlign w:val="subscript"/>
                    </w:rPr>
                    <w:t>2</w:t>
                  </w:r>
                </w:p>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subscript"/>
                      <w:lang w:val="en-US" w:eastAsia="zh-CN"/>
                    </w:rPr>
                  </w:pPr>
                  <w:r>
                    <w:rPr>
                      <w:rFonts w:hint="default" w:ascii="Times New Roman" w:hAnsi="Times New Roman" w:eastAsia="宋体" w:cs="Times New Roman"/>
                      <w:b/>
                      <w:bCs/>
                      <w:color w:val="auto"/>
                      <w:sz w:val="21"/>
                      <w:szCs w:val="21"/>
                      <w:highlight w:val="none"/>
                      <w:vertAlign w:val="baseline"/>
                      <w:lang w:val="en-US" w:eastAsia="zh-CN"/>
                    </w:rPr>
                    <w:t>ug/m</w:t>
                  </w:r>
                  <w:r>
                    <w:rPr>
                      <w:rFonts w:hint="default" w:ascii="Times New Roman" w:hAnsi="Times New Roman" w:eastAsia="宋体" w:cs="Times New Roman"/>
                      <w:b/>
                      <w:bCs/>
                      <w:color w:val="auto"/>
                      <w:sz w:val="21"/>
                      <w:szCs w:val="21"/>
                      <w:highlight w:val="none"/>
                      <w:vertAlign w:val="superscript"/>
                      <w:lang w:val="en-US" w:eastAsia="zh-CN"/>
                    </w:rPr>
                    <w:t>3</w:t>
                  </w:r>
                </w:p>
              </w:tc>
              <w:tc>
                <w:tcPr>
                  <w:tcW w:w="114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CO-95per</w:t>
                  </w:r>
                </w:p>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vertAlign w:val="baseline"/>
                      <w:lang w:val="en-US" w:eastAsia="zh-CN"/>
                    </w:rPr>
                    <w:t>m</w:t>
                  </w:r>
                  <w:r>
                    <w:rPr>
                      <w:rFonts w:hint="default" w:ascii="Times New Roman" w:hAnsi="Times New Roman" w:eastAsia="宋体" w:cs="Times New Roman"/>
                      <w:b/>
                      <w:bCs/>
                      <w:color w:val="auto"/>
                      <w:sz w:val="21"/>
                      <w:szCs w:val="21"/>
                      <w:highlight w:val="none"/>
                      <w:vertAlign w:val="baseline"/>
                      <w:lang w:val="en-US" w:eastAsia="zh-CN"/>
                    </w:rPr>
                    <w:t>g/m</w:t>
                  </w:r>
                  <w:r>
                    <w:rPr>
                      <w:rFonts w:hint="default" w:ascii="Times New Roman" w:hAnsi="Times New Roman" w:eastAsia="宋体" w:cs="Times New Roman"/>
                      <w:b/>
                      <w:bCs/>
                      <w:color w:val="auto"/>
                      <w:sz w:val="21"/>
                      <w:szCs w:val="21"/>
                      <w:highlight w:val="none"/>
                      <w:vertAlign w:val="superscript"/>
                      <w:lang w:val="en-US" w:eastAsia="zh-CN"/>
                    </w:rPr>
                    <w:t>3</w:t>
                  </w:r>
                </w:p>
              </w:tc>
              <w:tc>
                <w:tcPr>
                  <w:tcW w:w="138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O</w:t>
                  </w:r>
                  <w:r>
                    <w:rPr>
                      <w:rFonts w:hint="default" w:ascii="Times New Roman" w:hAnsi="Times New Roman" w:eastAsia="宋体" w:cs="Times New Roman"/>
                      <w:b/>
                      <w:bCs/>
                      <w:color w:val="auto"/>
                      <w:sz w:val="21"/>
                      <w:szCs w:val="21"/>
                      <w:highlight w:val="none"/>
                      <w:vertAlign w:val="subscript"/>
                    </w:rPr>
                    <w:t>3</w:t>
                  </w:r>
                  <w:r>
                    <w:rPr>
                      <w:rFonts w:hint="default" w:ascii="Times New Roman" w:hAnsi="Times New Roman" w:eastAsia="宋体" w:cs="Times New Roman"/>
                      <w:b/>
                      <w:bCs/>
                      <w:color w:val="auto"/>
                      <w:sz w:val="21"/>
                      <w:szCs w:val="21"/>
                      <w:highlight w:val="none"/>
                    </w:rPr>
                    <w:t>-8h-90per</w:t>
                  </w:r>
                </w:p>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vertAlign w:val="baseline"/>
                      <w:lang w:val="en-US" w:eastAsia="zh-CN"/>
                    </w:rPr>
                    <w:t>ug/m</w:t>
                  </w:r>
                  <w:r>
                    <w:rPr>
                      <w:rFonts w:hint="default" w:ascii="Times New Roman" w:hAnsi="Times New Roman" w:eastAsia="宋体" w:cs="Times New Roman"/>
                      <w:b/>
                      <w:bCs/>
                      <w:color w:val="auto"/>
                      <w:sz w:val="21"/>
                      <w:szCs w:val="21"/>
                      <w:highlight w:val="none"/>
                      <w:vertAlign w:val="superscript"/>
                      <w:lang w:val="en-US" w:eastAsia="zh-CN"/>
                    </w:rPr>
                    <w:t>3</w:t>
                  </w:r>
                </w:p>
              </w:tc>
              <w:tc>
                <w:tcPr>
                  <w:tcW w:w="82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综合</w:t>
                  </w:r>
                </w:p>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指数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902"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1</w:t>
                  </w:r>
                </w:p>
              </w:tc>
              <w:tc>
                <w:tcPr>
                  <w:tcW w:w="941"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27</w:t>
                  </w:r>
                </w:p>
              </w:tc>
              <w:tc>
                <w:tcPr>
                  <w:tcW w:w="946"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49</w:t>
                  </w:r>
                </w:p>
              </w:tc>
              <w:tc>
                <w:tcPr>
                  <w:tcW w:w="92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4</w:t>
                  </w:r>
                </w:p>
              </w:tc>
              <w:tc>
                <w:tcPr>
                  <w:tcW w:w="93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7</w:t>
                  </w:r>
                </w:p>
              </w:tc>
              <w:tc>
                <w:tcPr>
                  <w:tcW w:w="114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0.80</w:t>
                  </w:r>
                </w:p>
              </w:tc>
              <w:tc>
                <w:tcPr>
                  <w:tcW w:w="138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94</w:t>
                  </w:r>
                </w:p>
              </w:tc>
              <w:tc>
                <w:tcPr>
                  <w:tcW w:w="82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902"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2</w:t>
                  </w:r>
                </w:p>
              </w:tc>
              <w:tc>
                <w:tcPr>
                  <w:tcW w:w="941"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18</w:t>
                  </w:r>
                </w:p>
              </w:tc>
              <w:tc>
                <w:tcPr>
                  <w:tcW w:w="946"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30</w:t>
                  </w:r>
                </w:p>
              </w:tc>
              <w:tc>
                <w:tcPr>
                  <w:tcW w:w="92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5</w:t>
                  </w:r>
                </w:p>
              </w:tc>
              <w:tc>
                <w:tcPr>
                  <w:tcW w:w="93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6</w:t>
                  </w:r>
                </w:p>
              </w:tc>
              <w:tc>
                <w:tcPr>
                  <w:tcW w:w="114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0.60</w:t>
                  </w:r>
                </w:p>
              </w:tc>
              <w:tc>
                <w:tcPr>
                  <w:tcW w:w="138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105</w:t>
                  </w:r>
                </w:p>
              </w:tc>
              <w:tc>
                <w:tcPr>
                  <w:tcW w:w="82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902"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3</w:t>
                  </w:r>
                </w:p>
              </w:tc>
              <w:tc>
                <w:tcPr>
                  <w:tcW w:w="941"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30</w:t>
                  </w:r>
                </w:p>
              </w:tc>
              <w:tc>
                <w:tcPr>
                  <w:tcW w:w="946"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62</w:t>
                  </w:r>
                </w:p>
              </w:tc>
              <w:tc>
                <w:tcPr>
                  <w:tcW w:w="92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7</w:t>
                  </w:r>
                </w:p>
              </w:tc>
              <w:tc>
                <w:tcPr>
                  <w:tcW w:w="93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11</w:t>
                  </w:r>
                </w:p>
              </w:tc>
              <w:tc>
                <w:tcPr>
                  <w:tcW w:w="114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0.60</w:t>
                  </w:r>
                </w:p>
              </w:tc>
              <w:tc>
                <w:tcPr>
                  <w:tcW w:w="138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133</w:t>
                  </w:r>
                </w:p>
              </w:tc>
              <w:tc>
                <w:tcPr>
                  <w:tcW w:w="82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3.13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902"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4</w:t>
                  </w:r>
                </w:p>
              </w:tc>
              <w:tc>
                <w:tcPr>
                  <w:tcW w:w="941"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24</w:t>
                  </w:r>
                </w:p>
              </w:tc>
              <w:tc>
                <w:tcPr>
                  <w:tcW w:w="946"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47</w:t>
                  </w:r>
                </w:p>
              </w:tc>
              <w:tc>
                <w:tcPr>
                  <w:tcW w:w="92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6</w:t>
                  </w:r>
                </w:p>
              </w:tc>
              <w:tc>
                <w:tcPr>
                  <w:tcW w:w="93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5</w:t>
                  </w:r>
                </w:p>
              </w:tc>
              <w:tc>
                <w:tcPr>
                  <w:tcW w:w="114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0.70</w:t>
                  </w:r>
                </w:p>
              </w:tc>
              <w:tc>
                <w:tcPr>
                  <w:tcW w:w="138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109</w:t>
                  </w:r>
                </w:p>
              </w:tc>
              <w:tc>
                <w:tcPr>
                  <w:tcW w:w="82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902"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5</w:t>
                  </w:r>
                </w:p>
              </w:tc>
              <w:tc>
                <w:tcPr>
                  <w:tcW w:w="941"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15</w:t>
                  </w:r>
                </w:p>
              </w:tc>
              <w:tc>
                <w:tcPr>
                  <w:tcW w:w="946"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29</w:t>
                  </w:r>
                </w:p>
              </w:tc>
              <w:tc>
                <w:tcPr>
                  <w:tcW w:w="92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6</w:t>
                  </w:r>
                </w:p>
              </w:tc>
              <w:tc>
                <w:tcPr>
                  <w:tcW w:w="93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6</w:t>
                  </w:r>
                </w:p>
              </w:tc>
              <w:tc>
                <w:tcPr>
                  <w:tcW w:w="114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0.60</w:t>
                  </w:r>
                </w:p>
              </w:tc>
              <w:tc>
                <w:tcPr>
                  <w:tcW w:w="138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103</w:t>
                  </w:r>
                </w:p>
              </w:tc>
              <w:tc>
                <w:tcPr>
                  <w:tcW w:w="82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902"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6</w:t>
                  </w:r>
                </w:p>
              </w:tc>
              <w:tc>
                <w:tcPr>
                  <w:tcW w:w="941"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8</w:t>
                  </w:r>
                </w:p>
              </w:tc>
              <w:tc>
                <w:tcPr>
                  <w:tcW w:w="946"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20</w:t>
                  </w:r>
                </w:p>
              </w:tc>
              <w:tc>
                <w:tcPr>
                  <w:tcW w:w="92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7</w:t>
                  </w:r>
                </w:p>
              </w:tc>
              <w:tc>
                <w:tcPr>
                  <w:tcW w:w="93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8</w:t>
                  </w:r>
                </w:p>
              </w:tc>
              <w:tc>
                <w:tcPr>
                  <w:tcW w:w="114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0.60</w:t>
                  </w:r>
                </w:p>
              </w:tc>
              <w:tc>
                <w:tcPr>
                  <w:tcW w:w="138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59</w:t>
                  </w:r>
                </w:p>
              </w:tc>
              <w:tc>
                <w:tcPr>
                  <w:tcW w:w="82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902"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7</w:t>
                  </w:r>
                </w:p>
              </w:tc>
              <w:tc>
                <w:tcPr>
                  <w:tcW w:w="941"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16</w:t>
                  </w:r>
                </w:p>
              </w:tc>
              <w:tc>
                <w:tcPr>
                  <w:tcW w:w="946"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29</w:t>
                  </w:r>
                </w:p>
              </w:tc>
              <w:tc>
                <w:tcPr>
                  <w:tcW w:w="92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8</w:t>
                  </w:r>
                </w:p>
              </w:tc>
              <w:tc>
                <w:tcPr>
                  <w:tcW w:w="93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14</w:t>
                  </w:r>
                </w:p>
              </w:tc>
              <w:tc>
                <w:tcPr>
                  <w:tcW w:w="114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0.80</w:t>
                  </w:r>
                </w:p>
              </w:tc>
              <w:tc>
                <w:tcPr>
                  <w:tcW w:w="138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146</w:t>
                  </w:r>
                </w:p>
              </w:tc>
              <w:tc>
                <w:tcPr>
                  <w:tcW w:w="82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902"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8</w:t>
                  </w:r>
                </w:p>
              </w:tc>
              <w:tc>
                <w:tcPr>
                  <w:tcW w:w="941"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12</w:t>
                  </w:r>
                </w:p>
              </w:tc>
              <w:tc>
                <w:tcPr>
                  <w:tcW w:w="946"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32</w:t>
                  </w:r>
                </w:p>
              </w:tc>
              <w:tc>
                <w:tcPr>
                  <w:tcW w:w="92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6</w:t>
                  </w:r>
                </w:p>
              </w:tc>
              <w:tc>
                <w:tcPr>
                  <w:tcW w:w="93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5</w:t>
                  </w:r>
                </w:p>
              </w:tc>
              <w:tc>
                <w:tcPr>
                  <w:tcW w:w="114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0.60</w:t>
                  </w:r>
                </w:p>
              </w:tc>
              <w:tc>
                <w:tcPr>
                  <w:tcW w:w="138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133</w:t>
                  </w:r>
                </w:p>
              </w:tc>
              <w:tc>
                <w:tcPr>
                  <w:tcW w:w="82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902"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9</w:t>
                  </w:r>
                </w:p>
              </w:tc>
              <w:tc>
                <w:tcPr>
                  <w:tcW w:w="941"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16</w:t>
                  </w:r>
                </w:p>
              </w:tc>
              <w:tc>
                <w:tcPr>
                  <w:tcW w:w="946"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40</w:t>
                  </w:r>
                </w:p>
              </w:tc>
              <w:tc>
                <w:tcPr>
                  <w:tcW w:w="9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6</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5</w:t>
                  </w:r>
                </w:p>
              </w:tc>
              <w:tc>
                <w:tcPr>
                  <w:tcW w:w="114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0.70</w:t>
                  </w:r>
                </w:p>
              </w:tc>
              <w:tc>
                <w:tcPr>
                  <w:tcW w:w="138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140</w:t>
                  </w:r>
                </w:p>
              </w:tc>
              <w:tc>
                <w:tcPr>
                  <w:tcW w:w="82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902"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10</w:t>
                  </w:r>
                </w:p>
              </w:tc>
              <w:tc>
                <w:tcPr>
                  <w:tcW w:w="941"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7</w:t>
                  </w:r>
                </w:p>
              </w:tc>
              <w:tc>
                <w:tcPr>
                  <w:tcW w:w="946"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26</w:t>
                  </w:r>
                </w:p>
              </w:tc>
              <w:tc>
                <w:tcPr>
                  <w:tcW w:w="9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6</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5</w:t>
                  </w:r>
                </w:p>
              </w:tc>
              <w:tc>
                <w:tcPr>
                  <w:tcW w:w="114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0.50</w:t>
                  </w:r>
                </w:p>
              </w:tc>
              <w:tc>
                <w:tcPr>
                  <w:tcW w:w="138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94</w:t>
                  </w:r>
                </w:p>
              </w:tc>
              <w:tc>
                <w:tcPr>
                  <w:tcW w:w="82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902"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11</w:t>
                  </w:r>
                </w:p>
              </w:tc>
              <w:tc>
                <w:tcPr>
                  <w:tcW w:w="941"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9</w:t>
                  </w:r>
                </w:p>
              </w:tc>
              <w:tc>
                <w:tcPr>
                  <w:tcW w:w="946"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30</w:t>
                  </w:r>
                </w:p>
              </w:tc>
              <w:tc>
                <w:tcPr>
                  <w:tcW w:w="9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6</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5</w:t>
                  </w:r>
                </w:p>
              </w:tc>
              <w:tc>
                <w:tcPr>
                  <w:tcW w:w="114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0.70</w:t>
                  </w:r>
                </w:p>
              </w:tc>
              <w:tc>
                <w:tcPr>
                  <w:tcW w:w="138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92</w:t>
                  </w:r>
                </w:p>
              </w:tc>
              <w:tc>
                <w:tcPr>
                  <w:tcW w:w="82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902"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12</w:t>
                  </w:r>
                </w:p>
              </w:tc>
              <w:tc>
                <w:tcPr>
                  <w:tcW w:w="941"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15</w:t>
                  </w:r>
                </w:p>
              </w:tc>
              <w:tc>
                <w:tcPr>
                  <w:tcW w:w="946"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35</w:t>
                  </w:r>
                </w:p>
              </w:tc>
              <w:tc>
                <w:tcPr>
                  <w:tcW w:w="9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6</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5</w:t>
                  </w:r>
                </w:p>
              </w:tc>
              <w:tc>
                <w:tcPr>
                  <w:tcW w:w="114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0.60</w:t>
                  </w:r>
                </w:p>
              </w:tc>
              <w:tc>
                <w:tcPr>
                  <w:tcW w:w="138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88</w:t>
                  </w:r>
                </w:p>
              </w:tc>
              <w:tc>
                <w:tcPr>
                  <w:tcW w:w="82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902"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全年</w:t>
                  </w:r>
                </w:p>
              </w:tc>
              <w:tc>
                <w:tcPr>
                  <w:tcW w:w="941"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16</w:t>
                  </w:r>
                </w:p>
              </w:tc>
              <w:tc>
                <w:tcPr>
                  <w:tcW w:w="946"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36</w:t>
                  </w:r>
                </w:p>
              </w:tc>
              <w:tc>
                <w:tcPr>
                  <w:tcW w:w="9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6</w:t>
                  </w:r>
                </w:p>
              </w:tc>
              <w:tc>
                <w:tcPr>
                  <w:tcW w:w="93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7</w:t>
                  </w:r>
                </w:p>
              </w:tc>
              <w:tc>
                <w:tcPr>
                  <w:tcW w:w="114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0.70</w:t>
                  </w:r>
                </w:p>
              </w:tc>
              <w:tc>
                <w:tcPr>
                  <w:tcW w:w="138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118</w:t>
                  </w:r>
                </w:p>
              </w:tc>
              <w:tc>
                <w:tcPr>
                  <w:tcW w:w="82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2.17</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ascii="宋体" w:hAnsi="宋体" w:eastAsia="宋体" w:cs="宋体"/>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对照上表，各项指标</w:t>
            </w:r>
            <w:r>
              <w:rPr>
                <w:rFonts w:hint="default" w:ascii="Times New Roman" w:hAnsi="Times New Roman" w:eastAsia="宋体" w:cs="Times New Roman"/>
                <w:color w:val="auto"/>
                <w:sz w:val="24"/>
                <w:szCs w:val="24"/>
                <w:highlight w:val="none"/>
              </w:rPr>
              <w:t>均符合《环境空气质量标准》(GB3095-2012)及其2018年修改单中二级标准，因此，可判定项目所在区域环境空气质量为达标区</w:t>
            </w:r>
            <w:r>
              <w:rPr>
                <w:rFonts w:hint="eastAsia" w:ascii="宋体" w:hAnsi="宋体" w:eastAsia="宋体" w:cs="宋体"/>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cs="Times New Roman"/>
                <w:b/>
                <w:bCs w:val="0"/>
                <w:color w:val="auto"/>
                <w:sz w:val="24"/>
                <w:highlight w:val="none"/>
              </w:rPr>
            </w:pPr>
            <w:r>
              <w:rPr>
                <w:rFonts w:hint="eastAsia" w:cs="Times New Roman"/>
                <w:b/>
                <w:bCs w:val="0"/>
                <w:color w:val="auto"/>
                <w:sz w:val="24"/>
                <w:highlight w:val="none"/>
                <w:lang w:val="en-US" w:eastAsia="zh-CN"/>
              </w:rPr>
              <w:t>3.</w:t>
            </w:r>
            <w:r>
              <w:rPr>
                <w:rFonts w:hint="eastAsia" w:ascii="Times New Roman" w:hAnsi="Times New Roman" w:cs="Times New Roman"/>
                <w:b/>
                <w:bCs w:val="0"/>
                <w:color w:val="auto"/>
                <w:sz w:val="24"/>
                <w:highlight w:val="none"/>
                <w:lang w:val="en-US" w:eastAsia="zh-CN"/>
              </w:rPr>
              <w:t>2.2、</w:t>
            </w:r>
            <w:r>
              <w:rPr>
                <w:rFonts w:hint="default" w:ascii="Times New Roman" w:hAnsi="Times New Roman" w:cs="Times New Roman"/>
                <w:b/>
                <w:bCs w:val="0"/>
                <w:color w:val="auto"/>
                <w:sz w:val="24"/>
                <w:highlight w:val="none"/>
              </w:rPr>
              <w:t>特征污染物</w:t>
            </w:r>
            <w:r>
              <w:rPr>
                <w:rFonts w:hint="eastAsia" w:ascii="Times New Roman" w:hAnsi="Times New Roman" w:eastAsia="宋体" w:cs="Times New Roman"/>
                <w:b/>
                <w:bCs w:val="0"/>
                <w:color w:val="auto"/>
                <w:kern w:val="2"/>
                <w:sz w:val="24"/>
                <w:szCs w:val="24"/>
                <w:highlight w:val="none"/>
                <w:lang w:val="en-US" w:eastAsia="zh-CN" w:bidi="ar-SA"/>
              </w:rPr>
              <w:t>环境质量现状</w:t>
            </w:r>
          </w:p>
          <w:p>
            <w:pPr>
              <w:spacing w:line="360" w:lineRule="auto"/>
              <w:ind w:firstLine="480" w:firstLineChars="200"/>
              <w:rPr>
                <w:rFonts w:hint="eastAsia"/>
                <w:color w:val="auto"/>
                <w:sz w:val="24"/>
                <w:highlight w:val="none"/>
              </w:rPr>
            </w:pPr>
            <w:r>
              <w:rPr>
                <w:rFonts w:hint="eastAsia"/>
                <w:color w:val="auto"/>
                <w:sz w:val="24"/>
                <w:highlight w:val="none"/>
              </w:rPr>
              <w:t>项目</w:t>
            </w:r>
            <w:r>
              <w:rPr>
                <w:rFonts w:hint="eastAsia"/>
                <w:color w:val="auto"/>
                <w:sz w:val="24"/>
                <w:highlight w:val="none"/>
                <w:lang w:val="en-US" w:eastAsia="zh-CN"/>
              </w:rPr>
              <w:t>特征污染物</w:t>
            </w:r>
            <w:r>
              <w:rPr>
                <w:rFonts w:hint="eastAsia"/>
                <w:color w:val="auto"/>
                <w:sz w:val="24"/>
                <w:highlight w:val="none"/>
              </w:rPr>
              <w:t>环境质量现状引用《</w:t>
            </w:r>
            <w:r>
              <w:rPr>
                <w:rFonts w:hint="eastAsia"/>
                <w:color w:val="auto"/>
                <w:sz w:val="24"/>
                <w:highlight w:val="none"/>
                <w:lang w:val="en-US" w:eastAsia="zh-CN"/>
              </w:rPr>
              <w:t>泉州佳禾科技有限公司年产金属卫浴产品</w:t>
            </w:r>
            <w:r>
              <w:rPr>
                <w:rFonts w:hint="default"/>
                <w:color w:val="auto"/>
                <w:sz w:val="24"/>
                <w:highlight w:val="none"/>
                <w:lang w:val="en-US" w:eastAsia="zh-CN"/>
              </w:rPr>
              <w:t>200</w:t>
            </w:r>
            <w:r>
              <w:rPr>
                <w:rFonts w:hint="eastAsia"/>
                <w:color w:val="auto"/>
                <w:sz w:val="24"/>
                <w:highlight w:val="none"/>
                <w:lang w:val="en-US" w:eastAsia="zh-CN"/>
              </w:rPr>
              <w:t>万件、塑料卫浴产品</w:t>
            </w:r>
            <w:r>
              <w:rPr>
                <w:rFonts w:hint="default"/>
                <w:color w:val="auto"/>
                <w:sz w:val="24"/>
                <w:highlight w:val="none"/>
                <w:lang w:val="en-US" w:eastAsia="zh-CN"/>
              </w:rPr>
              <w:t>200</w:t>
            </w:r>
            <w:r>
              <w:rPr>
                <w:rFonts w:hint="eastAsia"/>
                <w:color w:val="auto"/>
                <w:sz w:val="24"/>
                <w:highlight w:val="none"/>
                <w:lang w:val="en-US" w:eastAsia="zh-CN"/>
              </w:rPr>
              <w:t>万件项目</w:t>
            </w:r>
            <w:r>
              <w:rPr>
                <w:rFonts w:hint="eastAsia"/>
                <w:color w:val="auto"/>
                <w:kern w:val="0"/>
                <w:sz w:val="24"/>
                <w:highlight w:val="none"/>
              </w:rPr>
              <w:t>环境影响报告表</w:t>
            </w:r>
            <w:r>
              <w:rPr>
                <w:rFonts w:hint="eastAsia"/>
                <w:color w:val="auto"/>
                <w:sz w:val="24"/>
                <w:highlight w:val="none"/>
              </w:rPr>
              <w:t>》</w:t>
            </w:r>
            <w:r>
              <w:rPr>
                <w:rFonts w:hint="eastAsia"/>
                <w:color w:val="auto"/>
                <w:sz w:val="24"/>
                <w:highlight w:val="none"/>
                <w:lang w:eastAsia="zh-CN"/>
              </w:rPr>
              <w:t>（审批时间为</w:t>
            </w:r>
            <w:r>
              <w:rPr>
                <w:rFonts w:hint="eastAsia"/>
                <w:color w:val="auto"/>
                <w:sz w:val="24"/>
                <w:highlight w:val="none"/>
                <w:lang w:val="en-US" w:eastAsia="zh-CN"/>
              </w:rPr>
              <w:t>2021</w:t>
            </w:r>
            <w:r>
              <w:rPr>
                <w:rFonts w:hint="eastAsia"/>
                <w:color w:val="auto"/>
                <w:sz w:val="24"/>
                <w:highlight w:val="none"/>
                <w:lang w:eastAsia="zh-CN"/>
              </w:rPr>
              <w:t>年</w:t>
            </w:r>
            <w:r>
              <w:rPr>
                <w:rFonts w:hint="eastAsia"/>
                <w:color w:val="auto"/>
                <w:sz w:val="24"/>
                <w:highlight w:val="none"/>
                <w:lang w:val="en-US" w:eastAsia="zh-CN"/>
              </w:rPr>
              <w:t>8</w:t>
            </w:r>
            <w:r>
              <w:rPr>
                <w:rFonts w:hint="eastAsia"/>
                <w:color w:val="auto"/>
                <w:sz w:val="24"/>
                <w:highlight w:val="none"/>
                <w:lang w:eastAsia="zh-CN"/>
              </w:rPr>
              <w:t>月</w:t>
            </w:r>
            <w:r>
              <w:rPr>
                <w:rFonts w:hint="eastAsia"/>
                <w:color w:val="auto"/>
                <w:sz w:val="24"/>
                <w:highlight w:val="none"/>
                <w:lang w:val="en-US" w:eastAsia="zh-CN"/>
              </w:rPr>
              <w:t>6</w:t>
            </w:r>
            <w:r>
              <w:rPr>
                <w:rFonts w:hint="eastAsia"/>
                <w:color w:val="auto"/>
                <w:sz w:val="24"/>
                <w:highlight w:val="none"/>
                <w:lang w:eastAsia="zh-CN"/>
              </w:rPr>
              <w:t>日，审批编号为</w:t>
            </w:r>
            <w:r>
              <w:rPr>
                <w:rFonts w:hint="eastAsia"/>
                <w:color w:val="auto"/>
                <w:sz w:val="24"/>
                <w:highlight w:val="none"/>
                <w:lang w:val="en-US" w:eastAsia="zh-CN"/>
              </w:rPr>
              <w:t>泉南环评</w:t>
            </w:r>
            <w:r>
              <w:rPr>
                <w:rFonts w:hint="default"/>
                <w:color w:val="auto"/>
                <w:sz w:val="24"/>
                <w:highlight w:val="none"/>
                <w:lang w:val="en-US" w:eastAsia="zh-CN"/>
              </w:rPr>
              <w:t>[2021]</w:t>
            </w:r>
            <w:r>
              <w:rPr>
                <w:rFonts w:hint="eastAsia"/>
                <w:color w:val="auto"/>
                <w:sz w:val="24"/>
                <w:highlight w:val="none"/>
                <w:lang w:val="en-US" w:eastAsia="zh-CN"/>
              </w:rPr>
              <w:t>表</w:t>
            </w:r>
            <w:r>
              <w:rPr>
                <w:rFonts w:hint="default"/>
                <w:color w:val="auto"/>
                <w:sz w:val="24"/>
                <w:highlight w:val="none"/>
                <w:lang w:val="en-US" w:eastAsia="zh-CN"/>
              </w:rPr>
              <w:t>163</w:t>
            </w:r>
            <w:r>
              <w:rPr>
                <w:rFonts w:hint="eastAsia"/>
                <w:color w:val="auto"/>
                <w:sz w:val="24"/>
                <w:highlight w:val="none"/>
                <w:lang w:val="en-US" w:eastAsia="zh-CN"/>
              </w:rPr>
              <w:t>号</w:t>
            </w:r>
            <w:r>
              <w:rPr>
                <w:rFonts w:hint="eastAsia"/>
                <w:color w:val="auto"/>
                <w:sz w:val="24"/>
                <w:highlight w:val="none"/>
                <w:lang w:eastAsia="zh-CN"/>
              </w:rPr>
              <w:t>）</w:t>
            </w:r>
            <w:r>
              <w:rPr>
                <w:rFonts w:hint="eastAsia"/>
                <w:color w:val="auto"/>
                <w:sz w:val="24"/>
                <w:highlight w:val="none"/>
              </w:rPr>
              <w:t>的环境空气质量</w:t>
            </w:r>
            <w:r>
              <w:rPr>
                <w:rFonts w:hint="eastAsia"/>
                <w:color w:val="auto"/>
                <w:sz w:val="24"/>
                <w:highlight w:val="none"/>
                <w:lang w:val="en-US" w:eastAsia="zh-CN"/>
              </w:rPr>
              <w:t>数据</w:t>
            </w:r>
            <w:r>
              <w:rPr>
                <w:rFonts w:hint="eastAsia"/>
                <w:color w:val="auto"/>
                <w:sz w:val="24"/>
                <w:highlight w:val="none"/>
              </w:rPr>
              <w:t>进行分析。</w:t>
            </w:r>
          </w:p>
          <w:p>
            <w:pPr>
              <w:autoSpaceDE w:val="0"/>
              <w:autoSpaceDN w:val="0"/>
              <w:spacing w:line="360" w:lineRule="auto"/>
              <w:ind w:firstLine="482"/>
              <w:rPr>
                <w:color w:val="auto"/>
                <w:sz w:val="24"/>
                <w:szCs w:val="24"/>
                <w:highlight w:val="none"/>
              </w:rPr>
            </w:pPr>
            <w:r>
              <w:rPr>
                <w:rFonts w:hint="eastAsia" w:ascii="宋体" w:hAnsi="宋体" w:cs="宋体"/>
                <w:color w:val="auto"/>
                <w:sz w:val="24"/>
                <w:szCs w:val="24"/>
                <w:highlight w:val="none"/>
              </w:rPr>
              <w:t>①</w:t>
            </w:r>
            <w:r>
              <w:rPr>
                <w:rFonts w:hint="eastAsia"/>
                <w:color w:val="auto"/>
                <w:sz w:val="24"/>
                <w:szCs w:val="24"/>
                <w:highlight w:val="none"/>
              </w:rPr>
              <w:t>引用监测数据有效性分析</w:t>
            </w:r>
          </w:p>
          <w:p>
            <w:pPr>
              <w:spacing w:line="360" w:lineRule="auto"/>
              <w:ind w:firstLine="480" w:firstLineChars="200"/>
              <w:rPr>
                <w:rFonts w:hint="eastAsia" w:ascii="宋体" w:hAnsi="宋体"/>
                <w:color w:val="auto"/>
                <w:sz w:val="24"/>
                <w:highlight w:val="none"/>
              </w:rPr>
            </w:pPr>
            <w:r>
              <w:rPr>
                <w:rFonts w:hint="eastAsia"/>
                <w:color w:val="auto"/>
                <w:sz w:val="24"/>
                <w:highlight w:val="none"/>
                <w:lang w:val="en-US" w:eastAsia="zh-CN"/>
              </w:rPr>
              <w:t>项目所</w:t>
            </w:r>
            <w:r>
              <w:rPr>
                <w:rFonts w:hint="eastAsia"/>
                <w:color w:val="auto"/>
                <w:sz w:val="24"/>
                <w:highlight w:val="none"/>
              </w:rPr>
              <w:t>引用</w:t>
            </w:r>
            <w:r>
              <w:rPr>
                <w:rFonts w:hint="eastAsia"/>
                <w:color w:val="auto"/>
                <w:sz w:val="24"/>
                <w:highlight w:val="none"/>
                <w:lang w:val="en-US" w:eastAsia="zh-CN"/>
              </w:rPr>
              <w:t>的</w:t>
            </w:r>
            <w:r>
              <w:rPr>
                <w:rFonts w:hint="eastAsia"/>
                <w:color w:val="auto"/>
                <w:sz w:val="24"/>
                <w:highlight w:val="none"/>
              </w:rPr>
              <w:t>《</w:t>
            </w:r>
            <w:r>
              <w:rPr>
                <w:rFonts w:hint="eastAsia"/>
                <w:color w:val="auto"/>
                <w:sz w:val="24"/>
                <w:highlight w:val="none"/>
                <w:lang w:val="en-US" w:eastAsia="zh-CN"/>
              </w:rPr>
              <w:t>泉州佳禾科技有限公司年产金属卫浴产品</w:t>
            </w:r>
            <w:r>
              <w:rPr>
                <w:rFonts w:hint="default"/>
                <w:color w:val="auto"/>
                <w:sz w:val="24"/>
                <w:highlight w:val="none"/>
                <w:lang w:val="en-US" w:eastAsia="zh-CN"/>
              </w:rPr>
              <w:t>200</w:t>
            </w:r>
            <w:r>
              <w:rPr>
                <w:rFonts w:hint="eastAsia"/>
                <w:color w:val="auto"/>
                <w:sz w:val="24"/>
                <w:highlight w:val="none"/>
                <w:lang w:val="en-US" w:eastAsia="zh-CN"/>
              </w:rPr>
              <w:t>万件、塑料卫浴产品</w:t>
            </w:r>
            <w:r>
              <w:rPr>
                <w:rFonts w:hint="default"/>
                <w:color w:val="auto"/>
                <w:sz w:val="24"/>
                <w:highlight w:val="none"/>
                <w:lang w:val="en-US" w:eastAsia="zh-CN"/>
              </w:rPr>
              <w:t>200</w:t>
            </w:r>
            <w:r>
              <w:rPr>
                <w:rFonts w:hint="eastAsia"/>
                <w:color w:val="auto"/>
                <w:sz w:val="24"/>
                <w:highlight w:val="none"/>
                <w:lang w:val="en-US" w:eastAsia="zh-CN"/>
              </w:rPr>
              <w:t>万件项目</w:t>
            </w:r>
            <w:r>
              <w:rPr>
                <w:rFonts w:hint="eastAsia"/>
                <w:color w:val="auto"/>
                <w:kern w:val="0"/>
                <w:sz w:val="24"/>
                <w:highlight w:val="none"/>
              </w:rPr>
              <w:t>环境影响报告表</w:t>
            </w:r>
            <w:r>
              <w:rPr>
                <w:rFonts w:hint="eastAsia"/>
                <w:color w:val="auto"/>
                <w:sz w:val="24"/>
                <w:highlight w:val="none"/>
              </w:rPr>
              <w:t>》的</w:t>
            </w:r>
            <w:r>
              <w:rPr>
                <w:rFonts w:hint="eastAsia"/>
                <w:color w:val="auto"/>
                <w:kern w:val="0"/>
                <w:sz w:val="24"/>
                <w:highlight w:val="none"/>
              </w:rPr>
              <w:t>环境空气质量</w:t>
            </w:r>
            <w:r>
              <w:rPr>
                <w:rFonts w:hint="eastAsia"/>
                <w:color w:val="auto"/>
                <w:kern w:val="0"/>
                <w:sz w:val="24"/>
                <w:highlight w:val="none"/>
                <w:lang w:val="en-US" w:eastAsia="zh-CN"/>
              </w:rPr>
              <w:t>数据</w:t>
            </w:r>
            <w:r>
              <w:rPr>
                <w:rFonts w:hint="eastAsia"/>
                <w:color w:val="auto"/>
                <w:sz w:val="24"/>
                <w:szCs w:val="24"/>
                <w:highlight w:val="none"/>
              </w:rPr>
              <w:t>监测时间为</w:t>
            </w:r>
            <w:r>
              <w:rPr>
                <w:rFonts w:hint="eastAsia"/>
                <w:color w:val="auto"/>
                <w:sz w:val="24"/>
                <w:highlight w:val="none"/>
              </w:rPr>
              <w:t>：20</w:t>
            </w:r>
            <w:r>
              <w:rPr>
                <w:rFonts w:hint="eastAsia"/>
                <w:color w:val="auto"/>
                <w:sz w:val="24"/>
                <w:highlight w:val="none"/>
                <w:lang w:val="en-US" w:eastAsia="zh-CN"/>
              </w:rPr>
              <w:t>21</w:t>
            </w:r>
            <w:r>
              <w:rPr>
                <w:color w:val="auto"/>
                <w:sz w:val="24"/>
                <w:highlight w:val="none"/>
              </w:rPr>
              <w:t>年</w:t>
            </w:r>
            <w:r>
              <w:rPr>
                <w:rFonts w:hint="eastAsia"/>
                <w:color w:val="auto"/>
                <w:sz w:val="24"/>
                <w:highlight w:val="none"/>
                <w:lang w:val="en-US" w:eastAsia="zh-CN"/>
              </w:rPr>
              <w:t>4</w:t>
            </w:r>
            <w:r>
              <w:rPr>
                <w:color w:val="auto"/>
                <w:sz w:val="24"/>
                <w:highlight w:val="none"/>
              </w:rPr>
              <w:t>月</w:t>
            </w:r>
            <w:r>
              <w:rPr>
                <w:rFonts w:hint="eastAsia"/>
                <w:color w:val="auto"/>
                <w:sz w:val="24"/>
                <w:highlight w:val="none"/>
                <w:lang w:val="en-US" w:eastAsia="zh-CN"/>
              </w:rPr>
              <w:t>22</w:t>
            </w:r>
            <w:r>
              <w:rPr>
                <w:color w:val="auto"/>
                <w:sz w:val="24"/>
                <w:highlight w:val="none"/>
              </w:rPr>
              <w:t>日～</w:t>
            </w:r>
            <w:r>
              <w:rPr>
                <w:rFonts w:hint="eastAsia"/>
                <w:color w:val="auto"/>
                <w:sz w:val="24"/>
                <w:highlight w:val="none"/>
                <w:lang w:val="en-US" w:eastAsia="zh-CN"/>
              </w:rPr>
              <w:t>28</w:t>
            </w:r>
            <w:r>
              <w:rPr>
                <w:color w:val="auto"/>
                <w:sz w:val="24"/>
                <w:highlight w:val="none"/>
              </w:rPr>
              <w:t>日</w:t>
            </w:r>
            <w:r>
              <w:rPr>
                <w:rFonts w:hint="eastAsia"/>
                <w:color w:val="auto"/>
                <w:sz w:val="24"/>
                <w:szCs w:val="24"/>
                <w:highlight w:val="none"/>
              </w:rPr>
              <w:t>，</w:t>
            </w:r>
            <w:r>
              <w:rPr>
                <w:rFonts w:hint="default" w:ascii="Times New Roman" w:hAnsi="Times New Roman" w:cs="Times New Roman"/>
                <w:color w:val="auto"/>
                <w:sz w:val="24"/>
                <w:szCs w:val="24"/>
                <w:highlight w:val="none"/>
              </w:rPr>
              <w:t>该监测</w:t>
            </w:r>
            <w:r>
              <w:rPr>
                <w:rFonts w:hint="eastAsia" w:ascii="Times New Roman" w:hAnsi="Times New Roman" w:cs="Times New Roman"/>
                <w:color w:val="auto"/>
                <w:sz w:val="24"/>
                <w:szCs w:val="24"/>
                <w:highlight w:val="none"/>
                <w:lang w:val="en-US" w:eastAsia="zh-CN"/>
              </w:rPr>
              <w:t>数据</w:t>
            </w:r>
            <w:r>
              <w:rPr>
                <w:rFonts w:hint="default" w:ascii="Times New Roman" w:hAnsi="Times New Roman" w:cs="Times New Roman"/>
                <w:color w:val="auto"/>
                <w:sz w:val="24"/>
                <w:szCs w:val="24"/>
                <w:highlight w:val="none"/>
              </w:rPr>
              <w:t>按照规范进行连续7d的监测，</w:t>
            </w:r>
            <w:r>
              <w:rPr>
                <w:rFonts w:hint="eastAsia"/>
                <w:b w:val="0"/>
                <w:bCs w:val="0"/>
                <w:color w:val="auto"/>
                <w:sz w:val="24"/>
                <w:szCs w:val="24"/>
                <w:highlight w:val="none"/>
                <w:lang w:eastAsia="zh-CN"/>
              </w:rPr>
              <w:t>监测点位位于项目</w:t>
            </w:r>
            <w:r>
              <w:rPr>
                <w:rFonts w:hint="eastAsia"/>
                <w:b w:val="0"/>
                <w:bCs w:val="0"/>
                <w:color w:val="auto"/>
                <w:sz w:val="24"/>
                <w:szCs w:val="24"/>
                <w:highlight w:val="none"/>
                <w:lang w:val="en-US" w:eastAsia="zh-CN"/>
              </w:rPr>
              <w:t>西</w:t>
            </w:r>
            <w:r>
              <w:rPr>
                <w:rFonts w:hint="eastAsia"/>
                <w:b w:val="0"/>
                <w:bCs w:val="0"/>
                <w:color w:val="auto"/>
                <w:sz w:val="24"/>
                <w:szCs w:val="24"/>
                <w:highlight w:val="none"/>
                <w:lang w:eastAsia="zh-CN"/>
              </w:rPr>
              <w:t>侧</w:t>
            </w:r>
            <w:r>
              <w:rPr>
                <w:rFonts w:hint="eastAsia"/>
                <w:b w:val="0"/>
                <w:bCs w:val="0"/>
                <w:color w:val="auto"/>
                <w:sz w:val="24"/>
                <w:szCs w:val="24"/>
                <w:highlight w:val="none"/>
                <w:lang w:val="en-US" w:eastAsia="zh-CN"/>
              </w:rPr>
              <w:t>429m处的南安市经济开发区扶茂工业园</w:t>
            </w:r>
            <w:r>
              <w:rPr>
                <w:rFonts w:hint="eastAsia"/>
                <w:color w:val="auto"/>
                <w:kern w:val="0"/>
                <w:sz w:val="24"/>
                <w:highlight w:val="none"/>
                <w:lang w:val="en-US" w:eastAsia="zh-CN"/>
              </w:rPr>
              <w:t>（详见附图8），</w:t>
            </w:r>
            <w:r>
              <w:rPr>
                <w:rFonts w:hint="eastAsia"/>
                <w:b w:val="0"/>
                <w:bCs w:val="0"/>
                <w:color w:val="auto"/>
                <w:sz w:val="24"/>
                <w:szCs w:val="24"/>
                <w:highlight w:val="none"/>
                <w:lang w:val="en-US" w:eastAsia="zh-CN"/>
              </w:rPr>
              <w:t>引用点位数据</w:t>
            </w:r>
            <w:r>
              <w:rPr>
                <w:rFonts w:hint="eastAsia"/>
                <w:b w:val="0"/>
                <w:bCs w:val="0"/>
                <w:color w:val="auto"/>
                <w:sz w:val="24"/>
                <w:szCs w:val="24"/>
                <w:highlight w:val="none"/>
              </w:rPr>
              <w:t>属于</w:t>
            </w:r>
            <w:r>
              <w:rPr>
                <w:rFonts w:hint="eastAsia"/>
                <w:b w:val="0"/>
                <w:bCs w:val="0"/>
                <w:color w:val="auto"/>
                <w:sz w:val="24"/>
                <w:szCs w:val="24"/>
                <w:highlight w:val="none"/>
                <w:lang w:eastAsia="zh-CN"/>
              </w:rPr>
              <w:t>建设项目周边</w:t>
            </w:r>
            <w:r>
              <w:rPr>
                <w:rFonts w:hint="eastAsia"/>
                <w:b w:val="0"/>
                <w:bCs w:val="0"/>
                <w:color w:val="auto"/>
                <w:sz w:val="24"/>
                <w:szCs w:val="24"/>
                <w:highlight w:val="none"/>
                <w:lang w:val="en-US" w:eastAsia="zh-CN"/>
              </w:rPr>
              <w:t>5km范围内近三年内的</w:t>
            </w:r>
            <w:r>
              <w:rPr>
                <w:rFonts w:hint="eastAsia"/>
                <w:b w:val="0"/>
                <w:bCs w:val="0"/>
                <w:color w:val="auto"/>
                <w:sz w:val="24"/>
                <w:szCs w:val="24"/>
                <w:highlight w:val="none"/>
              </w:rPr>
              <w:t>监测数据</w:t>
            </w:r>
            <w:r>
              <w:rPr>
                <w:rFonts w:hint="eastAsia"/>
                <w:b w:val="0"/>
                <w:bCs w:val="0"/>
                <w:color w:val="auto"/>
                <w:sz w:val="24"/>
                <w:szCs w:val="24"/>
                <w:highlight w:val="none"/>
                <w:lang w:eastAsia="zh-CN"/>
              </w:rPr>
              <w:t>（</w:t>
            </w:r>
            <w:r>
              <w:rPr>
                <w:rFonts w:hint="eastAsia"/>
                <w:b w:val="0"/>
                <w:bCs w:val="0"/>
                <w:color w:val="auto"/>
                <w:sz w:val="24"/>
                <w:szCs w:val="24"/>
                <w:highlight w:val="none"/>
                <w:lang w:val="en-US" w:eastAsia="zh-CN"/>
              </w:rPr>
              <w:t>详见附件6</w:t>
            </w:r>
            <w:r>
              <w:rPr>
                <w:rFonts w:hint="eastAsia"/>
                <w:b w:val="0"/>
                <w:bCs w:val="0"/>
                <w:color w:val="auto"/>
                <w:sz w:val="24"/>
                <w:szCs w:val="24"/>
                <w:highlight w:val="none"/>
                <w:lang w:eastAsia="zh-CN"/>
              </w:rPr>
              <w:t>）</w:t>
            </w:r>
            <w:r>
              <w:rPr>
                <w:rFonts w:hint="eastAsia"/>
                <w:b w:val="0"/>
                <w:bCs w:val="0"/>
                <w:color w:val="auto"/>
                <w:sz w:val="24"/>
                <w:szCs w:val="24"/>
                <w:highlight w:val="none"/>
              </w:rPr>
              <w:t>；监测单位为</w:t>
            </w:r>
            <w:r>
              <w:rPr>
                <w:rFonts w:hint="eastAsia"/>
                <w:b w:val="0"/>
                <w:bCs w:val="0"/>
                <w:color w:val="auto"/>
                <w:sz w:val="24"/>
                <w:szCs w:val="24"/>
                <w:highlight w:val="none"/>
                <w:lang w:val="en-US" w:eastAsia="zh-CN"/>
              </w:rPr>
              <w:t>福建省海博检测技术有限公司</w:t>
            </w:r>
            <w:r>
              <w:rPr>
                <w:rFonts w:hint="eastAsia"/>
                <w:color w:val="auto"/>
                <w:sz w:val="24"/>
                <w:szCs w:val="24"/>
                <w:highlight w:val="none"/>
              </w:rPr>
              <w:t>，属于有相应监测资质的监测单位。故从监测时间、</w:t>
            </w:r>
            <w:r>
              <w:rPr>
                <w:rFonts w:hint="eastAsia"/>
                <w:color w:val="auto"/>
                <w:sz w:val="24"/>
                <w:szCs w:val="24"/>
                <w:highlight w:val="none"/>
                <w:lang w:eastAsia="zh-CN"/>
              </w:rPr>
              <w:t>监测点位</w:t>
            </w:r>
            <w:r>
              <w:rPr>
                <w:rFonts w:hint="eastAsia"/>
                <w:color w:val="auto"/>
                <w:sz w:val="24"/>
                <w:szCs w:val="24"/>
                <w:highlight w:val="none"/>
              </w:rPr>
              <w:t>、监测区域情况分析，</w:t>
            </w:r>
            <w:r>
              <w:rPr>
                <w:rFonts w:hint="eastAsia"/>
                <w:color w:val="auto"/>
                <w:sz w:val="24"/>
                <w:szCs w:val="24"/>
                <w:highlight w:val="none"/>
                <w:lang w:val="en-US" w:eastAsia="zh-CN"/>
              </w:rPr>
              <w:t>引用数据</w:t>
            </w:r>
            <w:r>
              <w:rPr>
                <w:rFonts w:hint="eastAsia" w:ascii="Times New Roman" w:hAnsi="Times New Roman" w:cs="Times New Roman"/>
                <w:color w:val="auto"/>
                <w:sz w:val="24"/>
                <w:szCs w:val="24"/>
                <w:highlight w:val="none"/>
                <w:lang w:val="en-US" w:eastAsia="zh-CN"/>
              </w:rPr>
              <w:t>符合《建设项目环境影响报告表编制技术指南》关于“引用建设项目周边5km范围内近3年的现有监测数据”的要求</w:t>
            </w:r>
            <w:r>
              <w:rPr>
                <w:rFonts w:hint="eastAsia"/>
                <w:color w:val="auto"/>
                <w:sz w:val="24"/>
                <w:szCs w:val="24"/>
                <w:highlight w:val="none"/>
              </w:rPr>
              <w:t>，引用数据有效。</w:t>
            </w:r>
          </w:p>
          <w:p>
            <w:pPr>
              <w:spacing w:line="360" w:lineRule="auto"/>
              <w:ind w:firstLine="480" w:firstLineChars="200"/>
              <w:rPr>
                <w:rFonts w:hint="eastAsia" w:eastAsia="宋体"/>
                <w:color w:val="auto"/>
                <w:sz w:val="24"/>
                <w:highlight w:val="none"/>
                <w:lang w:eastAsia="zh-CN"/>
              </w:rPr>
            </w:pPr>
            <w:r>
              <w:rPr>
                <w:rFonts w:hint="eastAsia" w:ascii="宋体" w:hAnsi="宋体"/>
                <w:color w:val="auto"/>
                <w:sz w:val="24"/>
                <w:highlight w:val="none"/>
              </w:rPr>
              <w:t>②</w:t>
            </w:r>
            <w:r>
              <w:rPr>
                <w:color w:val="auto"/>
                <w:sz w:val="24"/>
                <w:highlight w:val="none"/>
              </w:rPr>
              <w:t>监测</w:t>
            </w:r>
            <w:r>
              <w:rPr>
                <w:rFonts w:hint="eastAsia"/>
                <w:color w:val="auto"/>
                <w:sz w:val="24"/>
                <w:highlight w:val="none"/>
                <w:lang w:eastAsia="zh-CN"/>
              </w:rPr>
              <w:t>结果</w:t>
            </w:r>
          </w:p>
          <w:p>
            <w:pPr>
              <w:spacing w:line="360" w:lineRule="auto"/>
              <w:ind w:firstLine="480" w:firstLineChars="200"/>
              <w:rPr>
                <w:color w:val="auto"/>
                <w:sz w:val="24"/>
                <w:highlight w:val="none"/>
              </w:rPr>
            </w:pPr>
            <w:r>
              <w:rPr>
                <w:rFonts w:hint="eastAsia"/>
                <w:color w:val="auto"/>
                <w:sz w:val="24"/>
                <w:highlight w:val="none"/>
              </w:rPr>
              <w:t>监测日期：20</w:t>
            </w:r>
            <w:r>
              <w:rPr>
                <w:rFonts w:hint="eastAsia"/>
                <w:color w:val="auto"/>
                <w:sz w:val="24"/>
                <w:highlight w:val="none"/>
                <w:lang w:val="en-US" w:eastAsia="zh-CN"/>
              </w:rPr>
              <w:t>21</w:t>
            </w:r>
            <w:r>
              <w:rPr>
                <w:color w:val="auto"/>
                <w:sz w:val="24"/>
                <w:highlight w:val="none"/>
              </w:rPr>
              <w:t>年</w:t>
            </w:r>
            <w:r>
              <w:rPr>
                <w:rFonts w:hint="eastAsia"/>
                <w:color w:val="auto"/>
                <w:sz w:val="24"/>
                <w:highlight w:val="none"/>
                <w:lang w:val="en-US" w:eastAsia="zh-CN"/>
              </w:rPr>
              <w:t>4</w:t>
            </w:r>
            <w:r>
              <w:rPr>
                <w:color w:val="auto"/>
                <w:sz w:val="24"/>
                <w:highlight w:val="none"/>
              </w:rPr>
              <w:t>月</w:t>
            </w:r>
            <w:r>
              <w:rPr>
                <w:rFonts w:hint="eastAsia"/>
                <w:color w:val="auto"/>
                <w:sz w:val="24"/>
                <w:highlight w:val="none"/>
                <w:lang w:val="en-US" w:eastAsia="zh-CN"/>
              </w:rPr>
              <w:t>22</w:t>
            </w:r>
            <w:r>
              <w:rPr>
                <w:color w:val="auto"/>
                <w:sz w:val="24"/>
                <w:highlight w:val="none"/>
              </w:rPr>
              <w:t>日～</w:t>
            </w:r>
            <w:r>
              <w:rPr>
                <w:rFonts w:hint="eastAsia"/>
                <w:color w:val="auto"/>
                <w:sz w:val="24"/>
                <w:highlight w:val="none"/>
                <w:lang w:val="en-US" w:eastAsia="zh-CN"/>
              </w:rPr>
              <w:t>28</w:t>
            </w:r>
            <w:r>
              <w:rPr>
                <w:color w:val="auto"/>
                <w:sz w:val="24"/>
                <w:highlight w:val="none"/>
              </w:rPr>
              <w:t>日</w:t>
            </w:r>
          </w:p>
          <w:p>
            <w:pPr>
              <w:spacing w:line="360" w:lineRule="auto"/>
              <w:ind w:firstLine="480" w:firstLineChars="200"/>
              <w:rPr>
                <w:color w:val="auto"/>
                <w:sz w:val="24"/>
                <w:highlight w:val="none"/>
              </w:rPr>
            </w:pPr>
            <w:r>
              <w:rPr>
                <w:rFonts w:hint="eastAsia"/>
                <w:color w:val="auto"/>
                <w:sz w:val="24"/>
                <w:highlight w:val="none"/>
              </w:rPr>
              <w:t>监测点位：</w:t>
            </w:r>
            <w:r>
              <w:rPr>
                <w:rFonts w:hint="eastAsia"/>
                <w:b w:val="0"/>
                <w:bCs w:val="0"/>
                <w:color w:val="auto"/>
                <w:sz w:val="24"/>
                <w:szCs w:val="24"/>
                <w:highlight w:val="none"/>
                <w:lang w:val="en-US" w:eastAsia="zh-CN"/>
              </w:rPr>
              <w:t>南安市经济开发区扶茂工业园</w:t>
            </w:r>
          </w:p>
          <w:p>
            <w:pPr>
              <w:spacing w:line="360" w:lineRule="auto"/>
              <w:ind w:firstLine="480" w:firstLineChars="200"/>
              <w:rPr>
                <w:rFonts w:hint="eastAsia"/>
                <w:color w:val="auto"/>
                <w:sz w:val="24"/>
                <w:highlight w:val="none"/>
                <w:lang w:val="en-US" w:eastAsia="zh-CN"/>
              </w:rPr>
            </w:pPr>
            <w:r>
              <w:rPr>
                <w:rFonts w:hint="eastAsia"/>
                <w:color w:val="auto"/>
                <w:sz w:val="24"/>
                <w:highlight w:val="none"/>
              </w:rPr>
              <w:t>监测因子：</w:t>
            </w:r>
            <w:r>
              <w:rPr>
                <w:rFonts w:hint="eastAsia"/>
                <w:color w:val="auto"/>
                <w:sz w:val="24"/>
                <w:highlight w:val="none"/>
                <w:lang w:val="en-US" w:eastAsia="zh-CN"/>
              </w:rPr>
              <w:t>非甲烷总烃</w:t>
            </w:r>
          </w:p>
          <w:p>
            <w:pPr>
              <w:spacing w:line="360" w:lineRule="auto"/>
              <w:ind w:firstLine="480" w:firstLineChars="200"/>
              <w:rPr>
                <w:rFonts w:hint="default" w:eastAsia="宋体"/>
                <w:color w:val="auto"/>
                <w:sz w:val="24"/>
                <w:highlight w:val="none"/>
                <w:lang w:val="en-US" w:eastAsia="zh-CN"/>
              </w:rPr>
            </w:pPr>
            <w:r>
              <w:rPr>
                <w:rFonts w:hint="eastAsia"/>
                <w:color w:val="auto"/>
                <w:sz w:val="24"/>
                <w:highlight w:val="none"/>
              </w:rPr>
              <w:t>监测结果：监测结果见</w:t>
            </w:r>
            <w:r>
              <w:rPr>
                <w:rFonts w:hint="eastAsia"/>
                <w:color w:val="auto"/>
                <w:sz w:val="24"/>
                <w:highlight w:val="none"/>
                <w:lang w:eastAsia="zh-CN"/>
              </w:rPr>
              <w:t>表</w:t>
            </w:r>
            <w:r>
              <w:rPr>
                <w:rFonts w:hint="eastAsia"/>
                <w:color w:val="auto"/>
                <w:sz w:val="24"/>
                <w:highlight w:val="none"/>
                <w:lang w:val="en-US" w:eastAsia="zh-CN"/>
              </w:rPr>
              <w:t>3.2-2。</w:t>
            </w:r>
          </w:p>
          <w:p>
            <w:pPr>
              <w:spacing w:before="120" w:beforeLines="50" w:line="360" w:lineRule="auto"/>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eastAsia="宋体" w:cs="Times New Roman"/>
                <w:b/>
                <w:bCs/>
                <w:color w:val="auto"/>
                <w:sz w:val="24"/>
                <w:szCs w:val="24"/>
                <w:highlight w:val="none"/>
                <w:lang w:val="en-US" w:eastAsia="zh-CN"/>
              </w:rPr>
              <w:t>3</w:t>
            </w:r>
            <w:r>
              <w:rPr>
                <w:rFonts w:hint="eastAsia" w:cs="Times New Roman"/>
                <w:b/>
                <w:bCs/>
                <w:color w:val="auto"/>
                <w:sz w:val="24"/>
                <w:szCs w:val="24"/>
                <w:highlight w:val="none"/>
                <w:lang w:val="en-US" w:eastAsia="zh-CN"/>
              </w:rPr>
              <w:t>.2</w:t>
            </w:r>
            <w:r>
              <w:rPr>
                <w:rFonts w:hint="eastAsia" w:ascii="Times New Roman" w:hAnsi="Times New Roman"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 xml:space="preserve">  环境空气质量现状特征污染因子监测结果统计表（mg/m</w:t>
            </w:r>
            <w:r>
              <w:rPr>
                <w:rFonts w:hint="default" w:ascii="Times New Roman" w:hAnsi="Times New Roman" w:eastAsia="宋体" w:cs="Times New Roman"/>
                <w:b/>
                <w:bCs/>
                <w:color w:val="auto"/>
                <w:sz w:val="24"/>
                <w:szCs w:val="24"/>
                <w:highlight w:val="none"/>
                <w:vertAlign w:val="superscript"/>
              </w:rPr>
              <w:t>3</w:t>
            </w:r>
            <w:r>
              <w:rPr>
                <w:rFonts w:hint="default" w:ascii="Times New Roman" w:hAnsi="Times New Roman" w:eastAsia="宋体" w:cs="Times New Roman"/>
                <w:b/>
                <w:bCs/>
                <w:color w:val="auto"/>
                <w:sz w:val="24"/>
                <w:szCs w:val="24"/>
                <w:highlight w:val="none"/>
              </w:rPr>
              <w:t>）</w:t>
            </w:r>
          </w:p>
          <w:tbl>
            <w:tblPr>
              <w:tblStyle w:val="28"/>
              <w:tblW w:w="847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3"/>
              <w:gridCol w:w="854"/>
              <w:gridCol w:w="914"/>
              <w:gridCol w:w="1193"/>
              <w:gridCol w:w="871"/>
              <w:gridCol w:w="1144"/>
              <w:gridCol w:w="1633"/>
              <w:gridCol w:w="8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0" w:hRule="exact"/>
                <w:jc w:val="center"/>
              </w:trPr>
              <w:tc>
                <w:tcPr>
                  <w:tcW w:w="585" w:type="pct"/>
                  <w:tcBorders>
                    <w:tl2br w:val="nil"/>
                    <w:tr2bl w:val="nil"/>
                  </w:tcBorders>
                  <w:noWrap w:val="0"/>
                  <w:vAlign w:val="center"/>
                </w:tcPr>
                <w:p>
                  <w:pPr>
                    <w:pStyle w:val="86"/>
                    <w:widowControl w:val="0"/>
                    <w:rPr>
                      <w:rFonts w:hint="eastAsia"/>
                      <w:b/>
                      <w:bCs/>
                      <w:color w:val="auto"/>
                      <w:kern w:val="0"/>
                      <w:highlight w:val="none"/>
                    </w:rPr>
                  </w:pPr>
                  <w:r>
                    <w:rPr>
                      <w:rFonts w:hint="eastAsia"/>
                      <w:b/>
                      <w:bCs/>
                      <w:color w:val="auto"/>
                      <w:kern w:val="0"/>
                      <w:highlight w:val="none"/>
                    </w:rPr>
                    <w:t>监测</w:t>
                  </w:r>
                </w:p>
                <w:p>
                  <w:pPr>
                    <w:pStyle w:val="86"/>
                    <w:widowControl w:val="0"/>
                    <w:rPr>
                      <w:b/>
                      <w:bCs/>
                      <w:color w:val="auto"/>
                      <w:kern w:val="0"/>
                      <w:highlight w:val="none"/>
                    </w:rPr>
                  </w:pPr>
                  <w:r>
                    <w:rPr>
                      <w:rFonts w:hint="eastAsia"/>
                      <w:b/>
                      <w:bCs/>
                      <w:color w:val="auto"/>
                      <w:kern w:val="0"/>
                      <w:highlight w:val="none"/>
                    </w:rPr>
                    <w:t>点位</w:t>
                  </w:r>
                </w:p>
              </w:tc>
              <w:tc>
                <w:tcPr>
                  <w:tcW w:w="503" w:type="pct"/>
                  <w:tcBorders>
                    <w:tl2br w:val="nil"/>
                    <w:tr2bl w:val="nil"/>
                  </w:tcBorders>
                  <w:noWrap w:val="0"/>
                  <w:vAlign w:val="center"/>
                </w:tcPr>
                <w:p>
                  <w:pPr>
                    <w:pStyle w:val="86"/>
                    <w:widowControl w:val="0"/>
                    <w:rPr>
                      <w:b/>
                      <w:bCs/>
                      <w:color w:val="auto"/>
                      <w:kern w:val="0"/>
                      <w:highlight w:val="none"/>
                    </w:rPr>
                  </w:pPr>
                  <w:r>
                    <w:rPr>
                      <w:rFonts w:hint="eastAsia"/>
                      <w:b/>
                      <w:bCs/>
                      <w:color w:val="auto"/>
                      <w:kern w:val="0"/>
                      <w:highlight w:val="none"/>
                    </w:rPr>
                    <w:t>与项目关系</w:t>
                  </w:r>
                </w:p>
              </w:tc>
              <w:tc>
                <w:tcPr>
                  <w:tcW w:w="539" w:type="pct"/>
                  <w:tcBorders>
                    <w:tl2br w:val="nil"/>
                    <w:tr2bl w:val="nil"/>
                  </w:tcBorders>
                  <w:noWrap w:val="0"/>
                  <w:vAlign w:val="center"/>
                </w:tcPr>
                <w:p>
                  <w:pPr>
                    <w:pStyle w:val="86"/>
                    <w:widowControl w:val="0"/>
                    <w:rPr>
                      <w:rFonts w:hint="eastAsia"/>
                      <w:b/>
                      <w:bCs/>
                      <w:color w:val="auto"/>
                      <w:kern w:val="0"/>
                      <w:sz w:val="21"/>
                      <w:szCs w:val="21"/>
                      <w:highlight w:val="none"/>
                    </w:rPr>
                  </w:pPr>
                  <w:r>
                    <w:rPr>
                      <w:rFonts w:hint="eastAsia"/>
                      <w:b/>
                      <w:bCs/>
                      <w:color w:val="auto"/>
                      <w:kern w:val="0"/>
                      <w:sz w:val="21"/>
                      <w:szCs w:val="21"/>
                      <w:highlight w:val="none"/>
                    </w:rPr>
                    <w:t>监测</w:t>
                  </w:r>
                </w:p>
                <w:p>
                  <w:pPr>
                    <w:pStyle w:val="86"/>
                    <w:widowControl w:val="0"/>
                    <w:rPr>
                      <w:b/>
                      <w:bCs/>
                      <w:color w:val="auto"/>
                      <w:kern w:val="0"/>
                      <w:sz w:val="21"/>
                      <w:szCs w:val="21"/>
                      <w:highlight w:val="none"/>
                    </w:rPr>
                  </w:pPr>
                  <w:r>
                    <w:rPr>
                      <w:rFonts w:hint="eastAsia"/>
                      <w:b/>
                      <w:bCs/>
                      <w:color w:val="auto"/>
                      <w:kern w:val="0"/>
                      <w:sz w:val="21"/>
                      <w:szCs w:val="21"/>
                      <w:highlight w:val="none"/>
                    </w:rPr>
                    <w:t>项目</w:t>
                  </w:r>
                </w:p>
              </w:tc>
              <w:tc>
                <w:tcPr>
                  <w:tcW w:w="703" w:type="pct"/>
                  <w:tcBorders>
                    <w:tl2br w:val="nil"/>
                    <w:tr2bl w:val="nil"/>
                  </w:tcBorders>
                  <w:noWrap w:val="0"/>
                  <w:vAlign w:val="center"/>
                </w:tcPr>
                <w:p>
                  <w:pPr>
                    <w:pStyle w:val="86"/>
                    <w:widowControl w:val="0"/>
                    <w:rPr>
                      <w:rFonts w:hint="eastAsia" w:eastAsia="宋体"/>
                      <w:b/>
                      <w:bCs/>
                      <w:color w:val="auto"/>
                      <w:kern w:val="0"/>
                      <w:highlight w:val="none"/>
                      <w:lang w:val="en-US" w:eastAsia="zh-CN"/>
                    </w:rPr>
                  </w:pPr>
                  <w:r>
                    <w:rPr>
                      <w:rFonts w:hint="eastAsia"/>
                      <w:b/>
                      <w:bCs/>
                      <w:color w:val="auto"/>
                      <w:kern w:val="0"/>
                      <w:sz w:val="21"/>
                      <w:szCs w:val="21"/>
                      <w:highlight w:val="none"/>
                      <w:lang w:val="en-US" w:eastAsia="zh-CN"/>
                    </w:rPr>
                    <w:t>监测值最大值(m</w:t>
                  </w:r>
                  <w:r>
                    <w:rPr>
                      <w:rFonts w:hint="default" w:ascii="Times New Roman" w:hAnsi="Times New Roman" w:eastAsia="宋体" w:cs="Times New Roman"/>
                      <w:b/>
                      <w:bCs/>
                      <w:color w:val="auto"/>
                      <w:kern w:val="0"/>
                      <w:sz w:val="21"/>
                      <w:szCs w:val="21"/>
                      <w:highlight w:val="none"/>
                      <w:lang w:val="en-US" w:eastAsia="zh-CN"/>
                    </w:rPr>
                    <w:t>g/m</w:t>
                  </w:r>
                  <w:r>
                    <w:rPr>
                      <w:rFonts w:hint="default" w:ascii="Times New Roman" w:hAnsi="Times New Roman" w:eastAsia="宋体" w:cs="Times New Roman"/>
                      <w:b/>
                      <w:bCs/>
                      <w:color w:val="auto"/>
                      <w:kern w:val="0"/>
                      <w:sz w:val="21"/>
                      <w:szCs w:val="21"/>
                      <w:highlight w:val="none"/>
                      <w:vertAlign w:val="superscript"/>
                      <w:lang w:val="en-US" w:eastAsia="zh-CN"/>
                    </w:rPr>
                    <w:t>3</w:t>
                  </w:r>
                  <w:r>
                    <w:rPr>
                      <w:rFonts w:hint="eastAsia" w:eastAsia="宋体" w:cs="Times New Roman"/>
                      <w:b/>
                      <w:bCs/>
                      <w:color w:val="auto"/>
                      <w:sz w:val="21"/>
                      <w:szCs w:val="21"/>
                      <w:highlight w:val="none"/>
                      <w:vertAlign w:val="baseline"/>
                      <w:lang w:val="en-US" w:eastAsia="zh-CN"/>
                    </w:rPr>
                    <w:t>)</w:t>
                  </w:r>
                </w:p>
              </w:tc>
              <w:tc>
                <w:tcPr>
                  <w:tcW w:w="513" w:type="pct"/>
                  <w:tcBorders>
                    <w:tl2br w:val="nil"/>
                    <w:tr2bl w:val="nil"/>
                  </w:tcBorders>
                  <w:noWrap w:val="0"/>
                  <w:vAlign w:val="center"/>
                </w:tcPr>
                <w:p>
                  <w:pPr>
                    <w:pStyle w:val="86"/>
                    <w:widowControl w:val="0"/>
                    <w:jc w:val="center"/>
                    <w:rPr>
                      <w:rFonts w:hint="eastAsia"/>
                      <w:b/>
                      <w:bCs/>
                      <w:color w:val="auto"/>
                      <w:kern w:val="0"/>
                      <w:highlight w:val="none"/>
                    </w:rPr>
                  </w:pPr>
                  <w:r>
                    <w:rPr>
                      <w:rFonts w:hint="eastAsia"/>
                      <w:b/>
                      <w:bCs/>
                      <w:color w:val="auto"/>
                      <w:kern w:val="0"/>
                      <w:highlight w:val="none"/>
                      <w:lang w:val="en-US" w:eastAsia="zh-CN"/>
                    </w:rPr>
                    <w:t>超标率(%)</w:t>
                  </w:r>
                </w:p>
              </w:tc>
              <w:tc>
                <w:tcPr>
                  <w:tcW w:w="674" w:type="pct"/>
                  <w:tcBorders>
                    <w:tl2br w:val="nil"/>
                    <w:tr2bl w:val="nil"/>
                  </w:tcBorders>
                  <w:noWrap w:val="0"/>
                  <w:vAlign w:val="center"/>
                </w:tcPr>
                <w:p>
                  <w:pPr>
                    <w:pStyle w:val="86"/>
                    <w:widowControl w:val="0"/>
                    <w:jc w:val="center"/>
                    <w:rPr>
                      <w:rFonts w:hint="eastAsia" w:ascii="Times New Roman" w:hAnsi="Times New Roman" w:eastAsia="宋体" w:cs="Times New Roman"/>
                      <w:b/>
                      <w:bCs/>
                      <w:color w:val="auto"/>
                      <w:kern w:val="0"/>
                      <w:highlight w:val="none"/>
                      <w:lang w:val="en-US" w:eastAsia="zh-CN"/>
                    </w:rPr>
                  </w:pPr>
                  <w:r>
                    <w:rPr>
                      <w:rFonts w:hint="eastAsia" w:ascii="Times New Roman" w:hAnsi="Times New Roman" w:eastAsia="宋体" w:cs="Times New Roman"/>
                      <w:b/>
                      <w:bCs/>
                      <w:color w:val="auto"/>
                      <w:kern w:val="0"/>
                      <w:highlight w:val="none"/>
                      <w:lang w:val="en-US" w:eastAsia="zh-CN"/>
                    </w:rPr>
                    <w:t>评价</w:t>
                  </w:r>
                </w:p>
                <w:p>
                  <w:pPr>
                    <w:pStyle w:val="86"/>
                    <w:widowControl w:val="0"/>
                    <w:jc w:val="center"/>
                    <w:rPr>
                      <w:rFonts w:hint="default" w:ascii="Times New Roman" w:hAnsi="Times New Roman" w:eastAsia="宋体" w:cs="Times New Roman"/>
                      <w:b/>
                      <w:bCs/>
                      <w:color w:val="auto"/>
                      <w:kern w:val="0"/>
                      <w:highlight w:val="none"/>
                      <w:lang w:val="en-US" w:eastAsia="zh-CN"/>
                    </w:rPr>
                  </w:pPr>
                  <w:r>
                    <w:rPr>
                      <w:rFonts w:hint="eastAsia" w:ascii="Times New Roman" w:hAnsi="Times New Roman" w:eastAsia="宋体" w:cs="Times New Roman"/>
                      <w:b/>
                      <w:bCs/>
                      <w:color w:val="auto"/>
                      <w:kern w:val="0"/>
                      <w:highlight w:val="none"/>
                      <w:lang w:val="en-US" w:eastAsia="zh-CN"/>
                    </w:rPr>
                    <w:t>标准</w:t>
                  </w:r>
                  <w:r>
                    <w:rPr>
                      <w:rFonts w:hint="eastAsia"/>
                      <w:b/>
                      <w:bCs/>
                      <w:color w:val="auto"/>
                      <w:kern w:val="0"/>
                      <w:sz w:val="21"/>
                      <w:szCs w:val="21"/>
                      <w:highlight w:val="none"/>
                      <w:lang w:val="en-US" w:eastAsia="zh-CN"/>
                    </w:rPr>
                    <w:t>(</w:t>
                  </w:r>
                  <w:r>
                    <w:rPr>
                      <w:rFonts w:hint="default" w:ascii="Times New Roman" w:hAnsi="Times New Roman" w:eastAsia="宋体" w:cs="Times New Roman"/>
                      <w:b/>
                      <w:bCs/>
                      <w:color w:val="auto"/>
                      <w:kern w:val="0"/>
                      <w:sz w:val="21"/>
                      <w:szCs w:val="21"/>
                      <w:highlight w:val="none"/>
                      <w:lang w:val="en-US" w:eastAsia="zh-CN"/>
                    </w:rPr>
                    <w:t>μg/m</w:t>
                  </w:r>
                  <w:r>
                    <w:rPr>
                      <w:rFonts w:hint="default" w:ascii="Times New Roman" w:hAnsi="Times New Roman" w:eastAsia="宋体" w:cs="Times New Roman"/>
                      <w:b/>
                      <w:bCs/>
                      <w:color w:val="auto"/>
                      <w:kern w:val="0"/>
                      <w:sz w:val="21"/>
                      <w:szCs w:val="21"/>
                      <w:highlight w:val="none"/>
                      <w:vertAlign w:val="superscript"/>
                      <w:lang w:val="en-US" w:eastAsia="zh-CN"/>
                    </w:rPr>
                    <w:t>3</w:t>
                  </w:r>
                  <w:r>
                    <w:rPr>
                      <w:rFonts w:hint="eastAsia" w:eastAsia="宋体" w:cs="Times New Roman"/>
                      <w:b/>
                      <w:bCs/>
                      <w:color w:val="auto"/>
                      <w:sz w:val="21"/>
                      <w:szCs w:val="21"/>
                      <w:highlight w:val="none"/>
                      <w:vertAlign w:val="baseline"/>
                      <w:lang w:val="en-US" w:eastAsia="zh-CN"/>
                    </w:rPr>
                    <w:t>)</w:t>
                  </w:r>
                </w:p>
              </w:tc>
              <w:tc>
                <w:tcPr>
                  <w:tcW w:w="963" w:type="pct"/>
                  <w:tcBorders>
                    <w:tl2br w:val="nil"/>
                    <w:tr2bl w:val="nil"/>
                  </w:tcBorders>
                  <w:noWrap w:val="0"/>
                  <w:vAlign w:val="center"/>
                </w:tcPr>
                <w:p>
                  <w:pPr>
                    <w:pStyle w:val="86"/>
                    <w:widowControl w:val="0"/>
                    <w:jc w:val="center"/>
                    <w:rPr>
                      <w:rFonts w:hint="default" w:eastAsia="宋体"/>
                      <w:b/>
                      <w:bCs/>
                      <w:color w:val="auto"/>
                      <w:kern w:val="0"/>
                      <w:highlight w:val="none"/>
                      <w:lang w:val="en-US" w:eastAsia="zh-CN"/>
                    </w:rPr>
                  </w:pPr>
                  <w:r>
                    <w:rPr>
                      <w:rFonts w:hint="eastAsia"/>
                      <w:b/>
                      <w:bCs/>
                      <w:color w:val="auto"/>
                      <w:kern w:val="0"/>
                      <w:highlight w:val="none"/>
                      <w:lang w:val="en-US" w:eastAsia="zh-CN"/>
                    </w:rPr>
                    <w:t>平均时间</w:t>
                  </w:r>
                </w:p>
              </w:tc>
              <w:tc>
                <w:tcPr>
                  <w:tcW w:w="515" w:type="pct"/>
                  <w:tcBorders>
                    <w:tl2br w:val="nil"/>
                    <w:tr2bl w:val="nil"/>
                  </w:tcBorders>
                  <w:noWrap w:val="0"/>
                  <w:vAlign w:val="center"/>
                </w:tcPr>
                <w:p>
                  <w:pPr>
                    <w:pStyle w:val="86"/>
                    <w:widowControl w:val="0"/>
                    <w:jc w:val="center"/>
                    <w:rPr>
                      <w:rFonts w:hint="default" w:eastAsia="宋体"/>
                      <w:b/>
                      <w:bCs/>
                      <w:color w:val="auto"/>
                      <w:kern w:val="0"/>
                      <w:highlight w:val="none"/>
                      <w:lang w:val="en-US" w:eastAsia="zh-CN"/>
                    </w:rPr>
                  </w:pPr>
                  <w:r>
                    <w:rPr>
                      <w:rFonts w:hint="eastAsia"/>
                      <w:b/>
                      <w:bCs/>
                      <w:color w:val="auto"/>
                      <w:kern w:val="0"/>
                      <w:highlight w:val="none"/>
                      <w:lang w:val="en-US" w:eastAsia="zh-CN"/>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9" w:hRule="exact"/>
                <w:jc w:val="center"/>
              </w:trPr>
              <w:tc>
                <w:tcPr>
                  <w:tcW w:w="585" w:type="pct"/>
                  <w:tcBorders>
                    <w:tl2br w:val="nil"/>
                    <w:tr2bl w:val="nil"/>
                  </w:tcBorders>
                  <w:noWrap w:val="0"/>
                  <w:vAlign w:val="center"/>
                </w:tcPr>
                <w:p>
                  <w:pPr>
                    <w:pStyle w:val="86"/>
                    <w:widowControl w:val="0"/>
                    <w:rPr>
                      <w:rFonts w:hint="default" w:ascii="Times New Roman" w:hAnsi="Times New Roman" w:eastAsia="宋体" w:cs="Times New Roman"/>
                      <w:color w:val="auto"/>
                      <w:kern w:val="0"/>
                      <w:highlight w:val="none"/>
                      <w:lang w:val="en-US" w:eastAsia="zh-CN"/>
                    </w:rPr>
                  </w:pPr>
                </w:p>
              </w:tc>
              <w:tc>
                <w:tcPr>
                  <w:tcW w:w="503" w:type="pct"/>
                  <w:tcBorders>
                    <w:tl2br w:val="nil"/>
                    <w:tr2bl w:val="nil"/>
                  </w:tcBorders>
                  <w:noWrap w:val="0"/>
                  <w:vAlign w:val="center"/>
                </w:tcPr>
                <w:p>
                  <w:pPr>
                    <w:pStyle w:val="86"/>
                    <w:widowControl w:val="0"/>
                    <w:rPr>
                      <w:rFonts w:hint="eastAsia" w:ascii="Times New Roman" w:hAnsi="Times New Roman" w:eastAsia="宋体" w:cs="Times New Roman"/>
                      <w:color w:val="auto"/>
                      <w:kern w:val="0"/>
                      <w:highlight w:val="none"/>
                      <w:lang w:val="en-US" w:eastAsia="zh-CN"/>
                    </w:rPr>
                  </w:pPr>
                </w:p>
              </w:tc>
              <w:tc>
                <w:tcPr>
                  <w:tcW w:w="539" w:type="pct"/>
                  <w:tcBorders>
                    <w:tl2br w:val="nil"/>
                    <w:tr2bl w:val="nil"/>
                  </w:tcBorders>
                  <w:noWrap w:val="0"/>
                  <w:vAlign w:val="center"/>
                </w:tcPr>
                <w:p>
                  <w:pPr>
                    <w:pStyle w:val="86"/>
                    <w:widowControl w:val="0"/>
                    <w:rPr>
                      <w:rFonts w:hint="default"/>
                      <w:color w:val="auto"/>
                      <w:kern w:val="0"/>
                      <w:sz w:val="21"/>
                      <w:szCs w:val="21"/>
                      <w:highlight w:val="none"/>
                      <w:lang w:val="en-US"/>
                    </w:rPr>
                  </w:pPr>
                </w:p>
              </w:tc>
              <w:tc>
                <w:tcPr>
                  <w:tcW w:w="703" w:type="pct"/>
                  <w:tcBorders>
                    <w:tl2br w:val="nil"/>
                    <w:tr2bl w:val="nil"/>
                  </w:tcBorders>
                  <w:noWrap w:val="0"/>
                  <w:vAlign w:val="center"/>
                </w:tcPr>
                <w:p>
                  <w:pPr>
                    <w:pStyle w:val="86"/>
                    <w:widowControl w:val="0"/>
                    <w:rPr>
                      <w:rFonts w:hint="default" w:ascii="Times New Roman" w:hAnsi="Times New Roman" w:eastAsia="宋体" w:cs="Times New Roman"/>
                      <w:color w:val="auto"/>
                      <w:kern w:val="0"/>
                      <w:highlight w:val="none"/>
                      <w:lang w:val="en-US" w:eastAsia="zh-CN"/>
                    </w:rPr>
                  </w:pPr>
                </w:p>
              </w:tc>
              <w:tc>
                <w:tcPr>
                  <w:tcW w:w="513" w:type="pct"/>
                  <w:tcBorders>
                    <w:tl2br w:val="nil"/>
                    <w:tr2bl w:val="nil"/>
                  </w:tcBorders>
                  <w:noWrap w:val="0"/>
                  <w:vAlign w:val="center"/>
                </w:tcPr>
                <w:p>
                  <w:pPr>
                    <w:pStyle w:val="86"/>
                    <w:widowControl w:val="0"/>
                    <w:rPr>
                      <w:rFonts w:hint="eastAsia" w:cs="Times New Roman"/>
                      <w:color w:val="auto"/>
                      <w:kern w:val="0"/>
                      <w:highlight w:val="none"/>
                      <w:lang w:val="en-US" w:eastAsia="zh-CN"/>
                    </w:rPr>
                  </w:pPr>
                </w:p>
              </w:tc>
              <w:tc>
                <w:tcPr>
                  <w:tcW w:w="674" w:type="pct"/>
                  <w:tcBorders>
                    <w:tl2br w:val="nil"/>
                    <w:tr2bl w:val="nil"/>
                  </w:tcBorders>
                  <w:noWrap w:val="0"/>
                  <w:vAlign w:val="center"/>
                </w:tcPr>
                <w:p>
                  <w:pPr>
                    <w:pStyle w:val="86"/>
                    <w:widowControl w:val="0"/>
                    <w:rPr>
                      <w:rFonts w:hint="default" w:eastAsia="宋体"/>
                      <w:color w:val="auto"/>
                      <w:kern w:val="0"/>
                      <w:highlight w:val="none"/>
                      <w:lang w:val="en-US" w:eastAsia="zh-CN"/>
                    </w:rPr>
                  </w:pPr>
                </w:p>
              </w:tc>
              <w:tc>
                <w:tcPr>
                  <w:tcW w:w="963" w:type="pct"/>
                  <w:tcBorders>
                    <w:tl2br w:val="nil"/>
                    <w:tr2bl w:val="nil"/>
                  </w:tcBorders>
                  <w:noWrap w:val="0"/>
                  <w:vAlign w:val="center"/>
                </w:tcPr>
                <w:p>
                  <w:pPr>
                    <w:pStyle w:val="86"/>
                    <w:widowControl w:val="0"/>
                    <w:rPr>
                      <w:rFonts w:hint="default"/>
                      <w:color w:val="auto"/>
                      <w:kern w:val="0"/>
                      <w:highlight w:val="none"/>
                      <w:lang w:val="en-US" w:eastAsia="zh-CN"/>
                    </w:rPr>
                  </w:pPr>
                </w:p>
              </w:tc>
              <w:tc>
                <w:tcPr>
                  <w:tcW w:w="515" w:type="pct"/>
                  <w:tcBorders>
                    <w:tl2br w:val="nil"/>
                    <w:tr2bl w:val="nil"/>
                  </w:tcBorders>
                  <w:noWrap w:val="0"/>
                  <w:vAlign w:val="center"/>
                </w:tcPr>
                <w:p>
                  <w:pPr>
                    <w:pStyle w:val="86"/>
                    <w:widowControl w:val="0"/>
                    <w:rPr>
                      <w:rFonts w:hint="default"/>
                      <w:color w:val="auto"/>
                      <w:kern w:val="0"/>
                      <w:highlight w:val="none"/>
                      <w:lang w:val="en-US" w:eastAsia="zh-CN"/>
                    </w:rPr>
                  </w:pP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b/>
                <w:color w:val="auto"/>
                <w:sz w:val="24"/>
                <w:highlight w:val="none"/>
                <w:lang w:val="en-US" w:eastAsia="zh-CN"/>
              </w:rPr>
            </w:pPr>
            <w:r>
              <w:rPr>
                <w:rFonts w:hint="eastAsia"/>
                <w:color w:val="auto"/>
                <w:kern w:val="0"/>
                <w:sz w:val="24"/>
                <w:szCs w:val="24"/>
                <w:highlight w:val="none"/>
              </w:rPr>
              <w:t>根据</w:t>
            </w:r>
            <w:r>
              <w:rPr>
                <w:rFonts w:hint="eastAsia"/>
                <w:color w:val="auto"/>
                <w:kern w:val="0"/>
                <w:sz w:val="24"/>
                <w:szCs w:val="24"/>
                <w:highlight w:val="none"/>
                <w:lang w:val="en-US" w:eastAsia="zh-CN"/>
              </w:rPr>
              <w:t>表3-2</w:t>
            </w:r>
            <w:r>
              <w:rPr>
                <w:rFonts w:hint="eastAsia"/>
                <w:color w:val="auto"/>
                <w:kern w:val="0"/>
                <w:sz w:val="24"/>
                <w:szCs w:val="24"/>
                <w:highlight w:val="none"/>
              </w:rPr>
              <w:t>监测结果，评价区域环境空气中TVOC浓度符合</w:t>
            </w:r>
            <w:r>
              <w:rPr>
                <w:rFonts w:ascii="Times New Roman" w:hAnsi="Times New Roman" w:eastAsia="宋体" w:cs="Times New Roman"/>
                <w:color w:val="auto"/>
                <w:sz w:val="24"/>
                <w:highlight w:val="none"/>
              </w:rPr>
              <w:t>《环境影响评价技术导则大气环境》(HJ2.2-2018)</w:t>
            </w:r>
            <w:r>
              <w:rPr>
                <w:rFonts w:hint="eastAsia" w:ascii="Times New Roman" w:hAnsi="Times New Roman" w:eastAsia="宋体" w:cs="Times New Roman"/>
                <w:color w:val="auto"/>
                <w:sz w:val="24"/>
                <w:highlight w:val="none"/>
              </w:rPr>
              <w:t>附录D的总挥发性有机物限值(0.6mg/m</w:t>
            </w:r>
            <w:r>
              <w:rPr>
                <w:rFonts w:hint="eastAsia" w:ascii="Times New Roman" w:hAnsi="Times New Roman" w:eastAsia="宋体" w:cs="Times New Roman"/>
                <w:color w:val="auto"/>
                <w:sz w:val="24"/>
                <w:highlight w:val="none"/>
                <w:vertAlign w:val="superscript"/>
              </w:rPr>
              <w:t>3</w:t>
            </w:r>
            <w:r>
              <w:rPr>
                <w:rFonts w:hint="eastAsia" w:ascii="Times New Roman" w:hAnsi="Times New Roman" w:eastAsia="宋体" w:cs="Times New Roman"/>
                <w:color w:val="auto"/>
                <w:sz w:val="24"/>
                <w:highlight w:val="none"/>
              </w:rPr>
              <w:t>)的要求</w:t>
            </w:r>
            <w:r>
              <w:rPr>
                <w:rFonts w:hint="eastAsia"/>
                <w:color w:val="auto"/>
                <w:kern w:val="0"/>
                <w:sz w:val="24"/>
                <w:highlight w:val="none"/>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color w:val="auto"/>
                <w:sz w:val="28"/>
                <w:szCs w:val="28"/>
                <w:highlight w:val="none"/>
              </w:rPr>
            </w:pPr>
            <w:r>
              <w:rPr>
                <w:rFonts w:hint="eastAsia" w:ascii="Times New Roman" w:hAnsi="Times New Roman" w:eastAsia="宋体" w:cs="Times New Roman"/>
                <w:b/>
                <w:color w:val="auto"/>
                <w:sz w:val="28"/>
                <w:szCs w:val="28"/>
                <w:highlight w:val="none"/>
                <w:lang w:val="en-US" w:eastAsia="zh-CN"/>
              </w:rPr>
              <w:t>3</w:t>
            </w:r>
            <w:r>
              <w:rPr>
                <w:rFonts w:hint="eastAsia" w:cs="Times New Roman"/>
                <w:b/>
                <w:color w:val="auto"/>
                <w:sz w:val="28"/>
                <w:szCs w:val="28"/>
                <w:highlight w:val="none"/>
                <w:lang w:val="en-US" w:eastAsia="zh-CN"/>
              </w:rPr>
              <w:t>.3</w:t>
            </w:r>
            <w:r>
              <w:rPr>
                <w:rFonts w:hint="eastAsia" w:ascii="Times New Roman" w:hAnsi="Times New Roman" w:eastAsia="宋体" w:cs="Times New Roman"/>
                <w:b/>
                <w:color w:val="auto"/>
                <w:sz w:val="28"/>
                <w:szCs w:val="28"/>
                <w:highlight w:val="none"/>
                <w:lang w:val="en-US" w:eastAsia="zh-CN"/>
              </w:rPr>
              <w:t>、</w:t>
            </w:r>
            <w:r>
              <w:rPr>
                <w:rFonts w:hint="default" w:ascii="Times New Roman" w:hAnsi="Times New Roman" w:eastAsia="宋体" w:cs="Times New Roman"/>
                <w:b/>
                <w:color w:val="auto"/>
                <w:sz w:val="28"/>
                <w:szCs w:val="28"/>
                <w:highlight w:val="none"/>
              </w:rPr>
              <w:t>声环境质量现状</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该公司委托</w:t>
            </w:r>
            <w:r>
              <w:rPr>
                <w:rFonts w:hint="default" w:ascii="Times New Roman" w:hAnsi="Times New Roman" w:eastAsia="宋体" w:cs="Times New Roman"/>
                <w:color w:val="auto"/>
                <w:sz w:val="24"/>
                <w:highlight w:val="none"/>
                <w:lang w:val="en-US" w:eastAsia="zh-CN"/>
              </w:rPr>
              <w:t>福建绿家检测技术</w:t>
            </w:r>
            <w:r>
              <w:rPr>
                <w:rFonts w:hint="default" w:ascii="Times New Roman" w:hAnsi="Times New Roman" w:eastAsia="宋体" w:cs="Times New Roman"/>
                <w:color w:val="auto"/>
                <w:sz w:val="24"/>
                <w:highlight w:val="none"/>
                <w:lang w:eastAsia="zh-CN"/>
              </w:rPr>
              <w:t>有限公司</w:t>
            </w:r>
            <w:r>
              <w:rPr>
                <w:rFonts w:hint="default" w:ascii="Times New Roman" w:hAnsi="Times New Roman" w:eastAsia="宋体" w:cs="Times New Roman"/>
                <w:color w:val="auto"/>
                <w:sz w:val="24"/>
                <w:highlight w:val="none"/>
              </w:rPr>
              <w:t>于</w:t>
            </w:r>
            <w:r>
              <w:rPr>
                <w:rFonts w:hint="default" w:ascii="Times New Roman" w:hAnsi="Times New Roman" w:eastAsia="宋体" w:cs="Times New Roman"/>
                <w:color w:val="auto"/>
                <w:sz w:val="24"/>
                <w:highlight w:val="none"/>
                <w:lang w:val="en-US" w:eastAsia="zh-CN"/>
              </w:rPr>
              <w:t>202</w:t>
            </w:r>
            <w:r>
              <w:rPr>
                <w:rFonts w:hint="eastAsia" w:cs="Times New Roman"/>
                <w:color w:val="auto"/>
                <w:sz w:val="24"/>
                <w:highlight w:val="none"/>
                <w:lang w:val="en-US" w:eastAsia="zh-CN"/>
              </w:rPr>
              <w:t>3</w:t>
            </w:r>
            <w:r>
              <w:rPr>
                <w:rFonts w:hint="default" w:ascii="Times New Roman" w:hAnsi="Times New Roman" w:eastAsia="宋体" w:cs="Times New Roman"/>
                <w:color w:val="auto"/>
                <w:sz w:val="24"/>
                <w:highlight w:val="none"/>
              </w:rPr>
              <w:t>年</w:t>
            </w: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rPr>
              <w:t>月</w:t>
            </w:r>
            <w:r>
              <w:rPr>
                <w:rFonts w:hint="eastAsia" w:cs="Times New Roman"/>
                <w:color w:val="auto"/>
                <w:sz w:val="24"/>
                <w:highlight w:val="none"/>
                <w:lang w:val="en-US" w:eastAsia="zh-CN"/>
              </w:rPr>
              <w:t>24</w:t>
            </w:r>
            <w:r>
              <w:rPr>
                <w:rFonts w:hint="default" w:ascii="Times New Roman" w:hAnsi="Times New Roman" w:eastAsia="宋体" w:cs="Times New Roman"/>
                <w:color w:val="auto"/>
                <w:sz w:val="24"/>
                <w:highlight w:val="none"/>
              </w:rPr>
              <w:t>日对项目厂界噪声现状进行监测（监测点位见附图2），监测结果见表</w:t>
            </w:r>
            <w:r>
              <w:rPr>
                <w:rFonts w:hint="eastAsia" w:ascii="Times New Roman" w:hAnsi="Times New Roman" w:eastAsia="宋体" w:cs="Times New Roman"/>
                <w:color w:val="auto"/>
                <w:sz w:val="24"/>
                <w:highlight w:val="none"/>
                <w:lang w:val="en-US" w:eastAsia="zh-CN"/>
              </w:rPr>
              <w:t>3</w:t>
            </w:r>
            <w:r>
              <w:rPr>
                <w:rFonts w:hint="eastAsia" w:cs="Times New Roman"/>
                <w:color w:val="auto"/>
                <w:sz w:val="24"/>
                <w:highlight w:val="none"/>
                <w:lang w:val="en-US" w:eastAsia="zh-CN"/>
              </w:rPr>
              <w:t>.3</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1</w:t>
            </w:r>
            <w:r>
              <w:rPr>
                <w:rFonts w:hint="default" w:ascii="Times New Roman" w:hAnsi="Times New Roman" w:eastAsia="宋体" w:cs="Times New Roman"/>
                <w:color w:val="auto"/>
                <w:sz w:val="24"/>
                <w:highlight w:val="none"/>
              </w:rPr>
              <w:t>和监测报告详见附件</w:t>
            </w:r>
            <w:r>
              <w:rPr>
                <w:rFonts w:hint="eastAsia" w:cs="Times New Roman"/>
                <w:color w:val="auto"/>
                <w:sz w:val="24"/>
                <w:highlight w:val="none"/>
                <w:lang w:val="en-US" w:eastAsia="zh-CN"/>
              </w:rPr>
              <w:t>5</w:t>
            </w:r>
            <w:r>
              <w:rPr>
                <w:rFonts w:hint="default" w:ascii="Times New Roman" w:hAnsi="Times New Roman" w:eastAsia="宋体" w:cs="Times New Roman"/>
                <w:color w:val="auto"/>
                <w:sz w:val="24"/>
                <w:highlight w:val="none"/>
              </w:rPr>
              <w:t>。</w:t>
            </w:r>
          </w:p>
          <w:p>
            <w:pPr>
              <w:spacing w:before="120" w:beforeLines="50" w:line="360" w:lineRule="auto"/>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表3</w:t>
            </w:r>
            <w:r>
              <w:rPr>
                <w:rFonts w:hint="eastAsia" w:cs="Times New Roman"/>
                <w:b/>
                <w:bCs/>
                <w:color w:val="auto"/>
                <w:sz w:val="24"/>
                <w:highlight w:val="none"/>
                <w:lang w:val="en-US" w:eastAsia="zh-CN"/>
              </w:rPr>
              <w:t>.3</w:t>
            </w:r>
            <w:r>
              <w:rPr>
                <w:rFonts w:hint="eastAsia" w:ascii="Times New Roman" w:hAnsi="Times New Roman" w:eastAsia="宋体" w:cs="Times New Roman"/>
                <w:b/>
                <w:bCs/>
                <w:color w:val="auto"/>
                <w:sz w:val="24"/>
                <w:highlight w:val="none"/>
                <w:lang w:val="en-US" w:eastAsia="zh-CN"/>
              </w:rPr>
              <w:t>-</w:t>
            </w:r>
            <w:r>
              <w:rPr>
                <w:rFonts w:hint="eastAsia"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rPr>
              <w:t xml:space="preserve">  项目</w:t>
            </w:r>
            <w:r>
              <w:rPr>
                <w:rFonts w:hint="default" w:ascii="Times New Roman" w:hAnsi="Times New Roman" w:eastAsia="宋体" w:cs="Times New Roman"/>
                <w:b/>
                <w:bCs/>
                <w:color w:val="auto"/>
                <w:sz w:val="24"/>
                <w:highlight w:val="none"/>
                <w:lang w:val="en-US" w:eastAsia="zh-CN"/>
              </w:rPr>
              <w:t>现状</w:t>
            </w:r>
            <w:r>
              <w:rPr>
                <w:rFonts w:hint="default" w:ascii="Times New Roman" w:hAnsi="Times New Roman" w:eastAsia="宋体" w:cs="Times New Roman"/>
                <w:b/>
                <w:bCs/>
                <w:color w:val="auto"/>
                <w:sz w:val="24"/>
                <w:highlight w:val="none"/>
              </w:rPr>
              <w:t>噪声监测结果一览表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967"/>
              <w:gridCol w:w="1710"/>
              <w:gridCol w:w="1608"/>
              <w:gridCol w:w="689"/>
              <w:gridCol w:w="1152"/>
              <w:gridCol w:w="226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exact"/>
                <w:jc w:val="center"/>
              </w:trPr>
              <w:tc>
                <w:tcPr>
                  <w:tcW w:w="967" w:type="dxa"/>
                  <w:noWrap w:val="0"/>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监测日期</w:t>
                  </w:r>
                </w:p>
              </w:tc>
              <w:tc>
                <w:tcPr>
                  <w:tcW w:w="1710" w:type="dxa"/>
                  <w:noWrap w:val="0"/>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监测点位</w:t>
                  </w:r>
                </w:p>
              </w:tc>
              <w:tc>
                <w:tcPr>
                  <w:tcW w:w="1608" w:type="dxa"/>
                  <w:noWrap w:val="0"/>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监测时间</w:t>
                  </w:r>
                </w:p>
              </w:tc>
              <w:tc>
                <w:tcPr>
                  <w:tcW w:w="689" w:type="dxa"/>
                  <w:noWrap w:val="0"/>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时段</w:t>
                  </w:r>
                </w:p>
              </w:tc>
              <w:tc>
                <w:tcPr>
                  <w:tcW w:w="1152" w:type="dxa"/>
                  <w:noWrap w:val="0"/>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主要声源</w:t>
                  </w:r>
                </w:p>
              </w:tc>
              <w:tc>
                <w:tcPr>
                  <w:tcW w:w="2266" w:type="dxa"/>
                  <w:noWrap w:val="0"/>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监测结果L</w:t>
                  </w:r>
                  <w:r>
                    <w:rPr>
                      <w:rFonts w:hint="default" w:ascii="Times New Roman" w:hAnsi="Times New Roman" w:eastAsia="宋体" w:cs="Times New Roman"/>
                      <w:b/>
                      <w:color w:val="auto"/>
                      <w:szCs w:val="21"/>
                      <w:highlight w:val="none"/>
                      <w:vertAlign w:val="subscript"/>
                    </w:rPr>
                    <w:t>eq</w:t>
                  </w:r>
                  <w:r>
                    <w:rPr>
                      <w:rFonts w:hint="default" w:ascii="Times New Roman" w:hAnsi="Times New Roman" w:eastAsia="宋体" w:cs="Times New Roman"/>
                      <w:b/>
                      <w:color w:val="auto"/>
                      <w:szCs w:val="21"/>
                      <w:highlight w:val="none"/>
                    </w:rPr>
                    <w:t xml:space="preserve"> 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exact"/>
                <w:jc w:val="center"/>
              </w:trPr>
              <w:tc>
                <w:tcPr>
                  <w:tcW w:w="967" w:type="dxa"/>
                  <w:vMerge w:val="restart"/>
                  <w:noWrap w:val="0"/>
                  <w:vAlign w:val="center"/>
                </w:tcPr>
                <w:p>
                  <w:pPr>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2023.02.</w:t>
                  </w:r>
                </w:p>
                <w:p>
                  <w:pPr>
                    <w:jc w:val="center"/>
                    <w:rPr>
                      <w:rFonts w:hint="default"/>
                      <w:color w:val="auto"/>
                      <w:highlight w:val="none"/>
                      <w:lang w:val="en-US"/>
                    </w:rPr>
                  </w:pPr>
                  <w:r>
                    <w:rPr>
                      <w:rFonts w:hint="eastAsia" w:cs="Times New Roman"/>
                      <w:color w:val="auto"/>
                      <w:szCs w:val="21"/>
                      <w:highlight w:val="none"/>
                      <w:lang w:val="en-US" w:eastAsia="zh-CN"/>
                    </w:rPr>
                    <w:t>24</w:t>
                  </w:r>
                </w:p>
              </w:tc>
              <w:tc>
                <w:tcPr>
                  <w:tcW w:w="1710"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N1</w:t>
                  </w:r>
                </w:p>
              </w:tc>
              <w:tc>
                <w:tcPr>
                  <w:tcW w:w="1608"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16:07</w:t>
                  </w:r>
                  <w:r>
                    <w:rPr>
                      <w:rFonts w:hint="default" w:ascii="Times New Roman" w:hAnsi="Times New Roman" w:eastAsia="宋体" w:cs="Times New Roman"/>
                      <w:color w:val="auto"/>
                      <w:szCs w:val="21"/>
                      <w:highlight w:val="none"/>
                    </w:rPr>
                    <w:t>~</w:t>
                  </w:r>
                  <w:r>
                    <w:rPr>
                      <w:rFonts w:hint="eastAsia" w:cs="Times New Roman"/>
                      <w:color w:val="auto"/>
                      <w:szCs w:val="21"/>
                      <w:highlight w:val="none"/>
                      <w:lang w:val="en-US" w:eastAsia="zh-CN"/>
                    </w:rPr>
                    <w:t>16:17</w:t>
                  </w:r>
                </w:p>
              </w:tc>
              <w:tc>
                <w:tcPr>
                  <w:tcW w:w="689"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昼间</w:t>
                  </w:r>
                </w:p>
              </w:tc>
              <w:tc>
                <w:tcPr>
                  <w:tcW w:w="1152"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eastAsia="zh-CN"/>
                    </w:rPr>
                    <w:t>环境</w:t>
                  </w:r>
                  <w:r>
                    <w:rPr>
                      <w:rFonts w:hint="default" w:ascii="Times New Roman" w:hAnsi="Times New Roman" w:eastAsia="宋体" w:cs="Times New Roman"/>
                      <w:color w:val="auto"/>
                      <w:szCs w:val="21"/>
                      <w:highlight w:val="none"/>
                    </w:rPr>
                    <w:t>噪声</w:t>
                  </w:r>
                </w:p>
              </w:tc>
              <w:tc>
                <w:tcPr>
                  <w:tcW w:w="2266"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56.4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exact"/>
                <w:jc w:val="center"/>
              </w:trPr>
              <w:tc>
                <w:tcPr>
                  <w:tcW w:w="967"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1710"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N2</w:t>
                  </w:r>
                </w:p>
              </w:tc>
              <w:tc>
                <w:tcPr>
                  <w:tcW w:w="1608"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16:21</w:t>
                  </w:r>
                  <w:r>
                    <w:rPr>
                      <w:rFonts w:hint="default" w:ascii="Times New Roman" w:hAnsi="Times New Roman" w:eastAsia="宋体" w:cs="Times New Roman"/>
                      <w:color w:val="auto"/>
                      <w:szCs w:val="21"/>
                      <w:highlight w:val="none"/>
                    </w:rPr>
                    <w:t>~</w:t>
                  </w:r>
                  <w:r>
                    <w:rPr>
                      <w:rFonts w:hint="eastAsia" w:cs="Times New Roman"/>
                      <w:color w:val="auto"/>
                      <w:szCs w:val="21"/>
                      <w:highlight w:val="none"/>
                      <w:lang w:val="en-US" w:eastAsia="zh-CN"/>
                    </w:rPr>
                    <w:t>16:31</w:t>
                  </w:r>
                </w:p>
              </w:tc>
              <w:tc>
                <w:tcPr>
                  <w:tcW w:w="689" w:type="dxa"/>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color w:val="auto"/>
                      <w:szCs w:val="21"/>
                      <w:highlight w:val="none"/>
                    </w:rPr>
                    <w:t>昼间</w:t>
                  </w:r>
                </w:p>
              </w:tc>
              <w:tc>
                <w:tcPr>
                  <w:tcW w:w="1152" w:type="dxa"/>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color w:val="auto"/>
                      <w:szCs w:val="21"/>
                      <w:highlight w:val="none"/>
                      <w:lang w:eastAsia="zh-CN"/>
                    </w:rPr>
                    <w:t>环境</w:t>
                  </w:r>
                  <w:r>
                    <w:rPr>
                      <w:rFonts w:hint="default" w:ascii="Times New Roman" w:hAnsi="Times New Roman" w:eastAsia="宋体" w:cs="Times New Roman"/>
                      <w:color w:val="auto"/>
                      <w:szCs w:val="21"/>
                      <w:highlight w:val="none"/>
                    </w:rPr>
                    <w:t>噪声</w:t>
                  </w:r>
                </w:p>
              </w:tc>
              <w:tc>
                <w:tcPr>
                  <w:tcW w:w="2266" w:type="dxa"/>
                  <w:noWrap w:val="0"/>
                  <w:vAlign w:val="center"/>
                </w:tcPr>
                <w:p>
                  <w:pPr>
                    <w:jc w:val="center"/>
                    <w:rPr>
                      <w:rFonts w:hint="default" w:ascii="Times New Roman" w:hAnsi="Times New Roman" w:eastAsia="宋体" w:cs="Times New Roman"/>
                      <w:b/>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57.</w:t>
                  </w:r>
                  <w:r>
                    <w:rPr>
                      <w:rFonts w:hint="eastAsia" w:cs="Times New Roman"/>
                      <w:color w:val="auto"/>
                      <w:szCs w:val="21"/>
                      <w:highlight w:val="no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exact"/>
                <w:jc w:val="center"/>
              </w:trPr>
              <w:tc>
                <w:tcPr>
                  <w:tcW w:w="967"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1710"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N3</w:t>
                  </w:r>
                </w:p>
              </w:tc>
              <w:tc>
                <w:tcPr>
                  <w:tcW w:w="1608"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16:36</w:t>
                  </w:r>
                  <w:r>
                    <w:rPr>
                      <w:rFonts w:hint="default" w:ascii="Times New Roman" w:hAnsi="Times New Roman" w:eastAsia="宋体" w:cs="Times New Roman"/>
                      <w:color w:val="auto"/>
                      <w:szCs w:val="21"/>
                      <w:highlight w:val="none"/>
                    </w:rPr>
                    <w:t>~</w:t>
                  </w:r>
                  <w:r>
                    <w:rPr>
                      <w:rFonts w:hint="eastAsia" w:cs="Times New Roman"/>
                      <w:color w:val="auto"/>
                      <w:szCs w:val="21"/>
                      <w:highlight w:val="none"/>
                      <w:lang w:val="en-US" w:eastAsia="zh-CN"/>
                    </w:rPr>
                    <w:t>16:46</w:t>
                  </w:r>
                </w:p>
              </w:tc>
              <w:tc>
                <w:tcPr>
                  <w:tcW w:w="689"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昼间</w:t>
                  </w:r>
                </w:p>
              </w:tc>
              <w:tc>
                <w:tcPr>
                  <w:tcW w:w="1152" w:type="dxa"/>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环境</w:t>
                  </w:r>
                  <w:r>
                    <w:rPr>
                      <w:rFonts w:hint="default" w:ascii="Times New Roman" w:hAnsi="Times New Roman" w:eastAsia="宋体" w:cs="Times New Roman"/>
                      <w:color w:val="auto"/>
                      <w:szCs w:val="21"/>
                      <w:highlight w:val="none"/>
                    </w:rPr>
                    <w:t>噪声</w:t>
                  </w:r>
                </w:p>
              </w:tc>
              <w:tc>
                <w:tcPr>
                  <w:tcW w:w="2266"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57.3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exact"/>
                <w:jc w:val="center"/>
              </w:trPr>
              <w:tc>
                <w:tcPr>
                  <w:tcW w:w="967"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1710"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N4</w:t>
                  </w:r>
                </w:p>
              </w:tc>
              <w:tc>
                <w:tcPr>
                  <w:tcW w:w="1608"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16:52</w:t>
                  </w:r>
                  <w:r>
                    <w:rPr>
                      <w:rFonts w:hint="default" w:ascii="Times New Roman" w:hAnsi="Times New Roman" w:eastAsia="宋体" w:cs="Times New Roman"/>
                      <w:color w:val="auto"/>
                      <w:szCs w:val="21"/>
                      <w:highlight w:val="none"/>
                    </w:rPr>
                    <w:t>~</w:t>
                  </w:r>
                  <w:r>
                    <w:rPr>
                      <w:rFonts w:hint="eastAsia" w:cs="Times New Roman"/>
                      <w:color w:val="auto"/>
                      <w:szCs w:val="21"/>
                      <w:highlight w:val="none"/>
                      <w:lang w:val="en-US" w:eastAsia="zh-CN"/>
                    </w:rPr>
                    <w:t>17:02</w:t>
                  </w:r>
                </w:p>
              </w:tc>
              <w:tc>
                <w:tcPr>
                  <w:tcW w:w="689"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昼间</w:t>
                  </w:r>
                </w:p>
              </w:tc>
              <w:tc>
                <w:tcPr>
                  <w:tcW w:w="1152" w:type="dxa"/>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环境</w:t>
                  </w:r>
                  <w:r>
                    <w:rPr>
                      <w:rFonts w:hint="default" w:ascii="Times New Roman" w:hAnsi="Times New Roman" w:eastAsia="宋体" w:cs="Times New Roman"/>
                      <w:color w:val="auto"/>
                      <w:szCs w:val="21"/>
                      <w:highlight w:val="none"/>
                    </w:rPr>
                    <w:t>噪声</w:t>
                  </w:r>
                </w:p>
              </w:tc>
              <w:tc>
                <w:tcPr>
                  <w:tcW w:w="2266"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57.5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exact"/>
                <w:jc w:val="center"/>
              </w:trPr>
              <w:tc>
                <w:tcPr>
                  <w:tcW w:w="967"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1710"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N1</w:t>
                  </w:r>
                </w:p>
              </w:tc>
              <w:tc>
                <w:tcPr>
                  <w:tcW w:w="1608"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23:08</w:t>
                  </w:r>
                  <w:r>
                    <w:rPr>
                      <w:rFonts w:hint="default" w:ascii="Times New Roman" w:hAnsi="Times New Roman" w:eastAsia="宋体" w:cs="Times New Roman"/>
                      <w:color w:val="auto"/>
                      <w:szCs w:val="21"/>
                      <w:highlight w:val="none"/>
                    </w:rPr>
                    <w:t>~</w:t>
                  </w:r>
                  <w:r>
                    <w:rPr>
                      <w:rFonts w:hint="eastAsia" w:cs="Times New Roman"/>
                      <w:color w:val="auto"/>
                      <w:szCs w:val="21"/>
                      <w:highlight w:val="none"/>
                      <w:lang w:val="en-US" w:eastAsia="zh-CN"/>
                    </w:rPr>
                    <w:t>23:18</w:t>
                  </w:r>
                </w:p>
              </w:tc>
              <w:tc>
                <w:tcPr>
                  <w:tcW w:w="689"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夜</w:t>
                  </w:r>
                  <w:r>
                    <w:rPr>
                      <w:rFonts w:hint="default" w:ascii="Times New Roman" w:hAnsi="Times New Roman" w:eastAsia="宋体" w:cs="Times New Roman"/>
                      <w:color w:val="auto"/>
                      <w:szCs w:val="21"/>
                      <w:highlight w:val="none"/>
                    </w:rPr>
                    <w:t>间</w:t>
                  </w:r>
                </w:p>
              </w:tc>
              <w:tc>
                <w:tcPr>
                  <w:tcW w:w="1152" w:type="dxa"/>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环境</w:t>
                  </w:r>
                  <w:r>
                    <w:rPr>
                      <w:rFonts w:hint="default" w:ascii="Times New Roman" w:hAnsi="Times New Roman" w:eastAsia="宋体" w:cs="Times New Roman"/>
                      <w:color w:val="auto"/>
                      <w:szCs w:val="21"/>
                      <w:highlight w:val="none"/>
                    </w:rPr>
                    <w:t>噪声</w:t>
                  </w:r>
                </w:p>
              </w:tc>
              <w:tc>
                <w:tcPr>
                  <w:tcW w:w="2266"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47.4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exact"/>
                <w:jc w:val="center"/>
              </w:trPr>
              <w:tc>
                <w:tcPr>
                  <w:tcW w:w="967"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1710"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N2</w:t>
                  </w:r>
                </w:p>
              </w:tc>
              <w:tc>
                <w:tcPr>
                  <w:tcW w:w="1608"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23:23</w:t>
                  </w:r>
                  <w:r>
                    <w:rPr>
                      <w:rFonts w:hint="default" w:ascii="Times New Roman" w:hAnsi="Times New Roman" w:eastAsia="宋体" w:cs="Times New Roman"/>
                      <w:color w:val="auto"/>
                      <w:szCs w:val="21"/>
                      <w:highlight w:val="none"/>
                    </w:rPr>
                    <w:t>~</w:t>
                  </w:r>
                  <w:r>
                    <w:rPr>
                      <w:rFonts w:hint="eastAsia" w:cs="Times New Roman"/>
                      <w:color w:val="auto"/>
                      <w:szCs w:val="21"/>
                      <w:highlight w:val="none"/>
                      <w:lang w:val="en-US" w:eastAsia="zh-CN"/>
                    </w:rPr>
                    <w:t>23:33</w:t>
                  </w:r>
                </w:p>
              </w:tc>
              <w:tc>
                <w:tcPr>
                  <w:tcW w:w="689" w:type="dxa"/>
                  <w:noWrap w:val="0"/>
                  <w:vAlign w:val="center"/>
                </w:tcPr>
                <w:p>
                  <w:pPr>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夜</w:t>
                  </w:r>
                  <w:r>
                    <w:rPr>
                      <w:rFonts w:hint="default" w:ascii="Times New Roman" w:hAnsi="Times New Roman" w:eastAsia="宋体" w:cs="Times New Roman"/>
                      <w:color w:val="auto"/>
                      <w:szCs w:val="21"/>
                      <w:highlight w:val="none"/>
                    </w:rPr>
                    <w:t>间</w:t>
                  </w:r>
                </w:p>
              </w:tc>
              <w:tc>
                <w:tcPr>
                  <w:tcW w:w="1152" w:type="dxa"/>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环境</w:t>
                  </w:r>
                  <w:r>
                    <w:rPr>
                      <w:rFonts w:hint="default" w:ascii="Times New Roman" w:hAnsi="Times New Roman" w:eastAsia="宋体" w:cs="Times New Roman"/>
                      <w:color w:val="auto"/>
                      <w:szCs w:val="21"/>
                      <w:highlight w:val="none"/>
                    </w:rPr>
                    <w:t>噪声</w:t>
                  </w:r>
                </w:p>
              </w:tc>
              <w:tc>
                <w:tcPr>
                  <w:tcW w:w="2266"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47.1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exact"/>
                <w:jc w:val="center"/>
              </w:trPr>
              <w:tc>
                <w:tcPr>
                  <w:tcW w:w="967" w:type="dxa"/>
                  <w:vMerge w:val="continue"/>
                  <w:noWrap w:val="0"/>
                  <w:vAlign w:val="center"/>
                </w:tcPr>
                <w:p>
                  <w:pPr>
                    <w:pStyle w:val="13"/>
                    <w:rPr>
                      <w:rFonts w:hint="default"/>
                      <w:color w:val="auto"/>
                      <w:highlight w:val="none"/>
                    </w:rPr>
                  </w:pPr>
                </w:p>
              </w:tc>
              <w:tc>
                <w:tcPr>
                  <w:tcW w:w="1710"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N3</w:t>
                  </w:r>
                </w:p>
              </w:tc>
              <w:tc>
                <w:tcPr>
                  <w:tcW w:w="1608"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23:36</w:t>
                  </w:r>
                  <w:r>
                    <w:rPr>
                      <w:rFonts w:hint="default" w:ascii="Times New Roman" w:hAnsi="Times New Roman" w:eastAsia="宋体" w:cs="Times New Roman"/>
                      <w:color w:val="auto"/>
                      <w:szCs w:val="21"/>
                      <w:highlight w:val="none"/>
                    </w:rPr>
                    <w:t>~</w:t>
                  </w:r>
                  <w:r>
                    <w:rPr>
                      <w:rFonts w:hint="eastAsia" w:cs="Times New Roman"/>
                      <w:color w:val="auto"/>
                      <w:szCs w:val="21"/>
                      <w:highlight w:val="none"/>
                      <w:lang w:val="en-US" w:eastAsia="zh-CN"/>
                    </w:rPr>
                    <w:t>23:46</w:t>
                  </w:r>
                </w:p>
              </w:tc>
              <w:tc>
                <w:tcPr>
                  <w:tcW w:w="689"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夜</w:t>
                  </w:r>
                  <w:r>
                    <w:rPr>
                      <w:rFonts w:hint="default" w:ascii="Times New Roman" w:hAnsi="Times New Roman" w:eastAsia="宋体" w:cs="Times New Roman"/>
                      <w:color w:val="auto"/>
                      <w:szCs w:val="21"/>
                      <w:highlight w:val="none"/>
                    </w:rPr>
                    <w:t>间</w:t>
                  </w:r>
                </w:p>
              </w:tc>
              <w:tc>
                <w:tcPr>
                  <w:tcW w:w="1152" w:type="dxa"/>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环境</w:t>
                  </w:r>
                  <w:r>
                    <w:rPr>
                      <w:rFonts w:hint="default" w:ascii="Times New Roman" w:hAnsi="Times New Roman" w:eastAsia="宋体" w:cs="Times New Roman"/>
                      <w:color w:val="auto"/>
                      <w:szCs w:val="21"/>
                      <w:highlight w:val="none"/>
                    </w:rPr>
                    <w:t>噪声</w:t>
                  </w:r>
                </w:p>
              </w:tc>
              <w:tc>
                <w:tcPr>
                  <w:tcW w:w="2266"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46.2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exact"/>
                <w:jc w:val="center"/>
              </w:trPr>
              <w:tc>
                <w:tcPr>
                  <w:tcW w:w="967" w:type="dxa"/>
                  <w:vMerge w:val="continue"/>
                  <w:noWrap w:val="0"/>
                  <w:vAlign w:val="center"/>
                </w:tcPr>
                <w:p>
                  <w:pPr>
                    <w:pStyle w:val="13"/>
                    <w:rPr>
                      <w:rFonts w:hint="default"/>
                      <w:color w:val="auto"/>
                      <w:highlight w:val="none"/>
                    </w:rPr>
                  </w:pPr>
                </w:p>
              </w:tc>
              <w:tc>
                <w:tcPr>
                  <w:tcW w:w="1710" w:type="dxa"/>
                  <w:noWrap w:val="0"/>
                  <w:vAlign w:val="center"/>
                </w:tcPr>
                <w:p>
                  <w:pPr>
                    <w:jc w:val="center"/>
                    <w:rPr>
                      <w:rFonts w:hint="default" w:ascii="Times New Roman" w:hAnsi="Times New Roman" w:eastAsia="宋体" w:cs="Times New Roman"/>
                      <w:color w:val="auto"/>
                      <w:szCs w:val="21"/>
                      <w:highlight w:val="none"/>
                      <w:lang w:val="en-US"/>
                    </w:rPr>
                  </w:pP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N4</w:t>
                  </w:r>
                </w:p>
              </w:tc>
              <w:tc>
                <w:tcPr>
                  <w:tcW w:w="1608"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23:49</w:t>
                  </w:r>
                  <w:r>
                    <w:rPr>
                      <w:rFonts w:hint="default" w:ascii="Times New Roman" w:hAnsi="Times New Roman" w:eastAsia="宋体" w:cs="Times New Roman"/>
                      <w:color w:val="auto"/>
                      <w:szCs w:val="21"/>
                      <w:highlight w:val="none"/>
                    </w:rPr>
                    <w:t>~</w:t>
                  </w:r>
                  <w:r>
                    <w:rPr>
                      <w:rFonts w:hint="eastAsia" w:cs="Times New Roman"/>
                      <w:color w:val="auto"/>
                      <w:szCs w:val="21"/>
                      <w:highlight w:val="none"/>
                      <w:lang w:val="en-US" w:eastAsia="zh-CN"/>
                    </w:rPr>
                    <w:t>23:59</w:t>
                  </w:r>
                </w:p>
              </w:tc>
              <w:tc>
                <w:tcPr>
                  <w:tcW w:w="689"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夜</w:t>
                  </w:r>
                  <w:r>
                    <w:rPr>
                      <w:rFonts w:hint="default" w:ascii="Times New Roman" w:hAnsi="Times New Roman" w:eastAsia="宋体" w:cs="Times New Roman"/>
                      <w:color w:val="auto"/>
                      <w:szCs w:val="21"/>
                      <w:highlight w:val="none"/>
                    </w:rPr>
                    <w:t>间</w:t>
                  </w:r>
                </w:p>
              </w:tc>
              <w:tc>
                <w:tcPr>
                  <w:tcW w:w="1152" w:type="dxa"/>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环境</w:t>
                  </w:r>
                  <w:r>
                    <w:rPr>
                      <w:rFonts w:hint="default" w:ascii="Times New Roman" w:hAnsi="Times New Roman" w:eastAsia="宋体" w:cs="Times New Roman"/>
                      <w:color w:val="auto"/>
                      <w:szCs w:val="21"/>
                      <w:highlight w:val="none"/>
                    </w:rPr>
                    <w:t>噪声</w:t>
                  </w:r>
                </w:p>
              </w:tc>
              <w:tc>
                <w:tcPr>
                  <w:tcW w:w="2266"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46.6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exact"/>
                <w:jc w:val="center"/>
              </w:trPr>
              <w:tc>
                <w:tcPr>
                  <w:tcW w:w="8392" w:type="dxa"/>
                  <w:gridSpan w:val="6"/>
                  <w:noWrap w:val="0"/>
                  <w:vAlign w:val="center"/>
                </w:tcPr>
                <w:p>
                  <w:pPr>
                    <w:jc w:val="both"/>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注：天气情况：</w:t>
                  </w:r>
                  <w:r>
                    <w:rPr>
                      <w:rFonts w:hint="eastAsia" w:cs="Times New Roman"/>
                      <w:color w:val="auto"/>
                      <w:szCs w:val="21"/>
                      <w:highlight w:val="none"/>
                      <w:lang w:val="en-US" w:eastAsia="zh-CN"/>
                    </w:rPr>
                    <w:t>晴</w:t>
                  </w:r>
                  <w:r>
                    <w:rPr>
                      <w:rFonts w:hint="default" w:ascii="Times New Roman" w:hAnsi="Times New Roman" w:eastAsia="宋体" w:cs="Times New Roman"/>
                      <w:color w:val="auto"/>
                      <w:szCs w:val="21"/>
                      <w:highlight w:val="none"/>
                      <w:lang w:val="en-US" w:eastAsia="zh-CN"/>
                    </w:rPr>
                    <w:t>；气温：</w:t>
                  </w:r>
                  <w:r>
                    <w:rPr>
                      <w:rFonts w:hint="eastAsia" w:cs="Times New Roman"/>
                      <w:color w:val="auto"/>
                      <w:szCs w:val="21"/>
                      <w:highlight w:val="none"/>
                      <w:lang w:val="en-US" w:eastAsia="zh-CN"/>
                    </w:rPr>
                    <w:t>15.8</w:t>
                  </w:r>
                  <w:r>
                    <w:rPr>
                      <w:rFonts w:hint="default" w:ascii="Times New Roman" w:hAnsi="Times New Roman" w:eastAsia="宋体" w:cs="Times New Roman"/>
                      <w:color w:val="auto"/>
                      <w:szCs w:val="21"/>
                      <w:highlight w:val="none"/>
                      <w:lang w:val="en-US" w:eastAsia="zh-CN"/>
                    </w:rPr>
                    <w:t>℃；风速：</w:t>
                  </w:r>
                  <w:r>
                    <w:rPr>
                      <w:rFonts w:hint="eastAsia" w:cs="Times New Roman"/>
                      <w:color w:val="auto"/>
                      <w:szCs w:val="21"/>
                      <w:highlight w:val="none"/>
                      <w:lang w:val="en-US" w:eastAsia="zh-CN"/>
                    </w:rPr>
                    <w:t>0.6-2.8</w:t>
                  </w:r>
                  <w:r>
                    <w:rPr>
                      <w:rFonts w:hint="default" w:ascii="Times New Roman" w:hAnsi="Times New Roman" w:eastAsia="宋体" w:cs="Times New Roman"/>
                      <w:color w:val="auto"/>
                      <w:szCs w:val="21"/>
                      <w:highlight w:val="none"/>
                      <w:lang w:val="en-US" w:eastAsia="zh-CN"/>
                    </w:rPr>
                    <w:t>m/s</w:t>
                  </w:r>
                </w:p>
              </w:tc>
            </w:tr>
          </w:tbl>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highlight w:val="none"/>
                <w:lang w:eastAsia="zh-CN"/>
              </w:rPr>
            </w:pPr>
            <w:r>
              <w:rPr>
                <w:rFonts w:hint="default" w:ascii="Times New Roman" w:hAnsi="Times New Roman" w:eastAsia="宋体" w:cs="Times New Roman"/>
                <w:color w:val="auto"/>
                <w:kern w:val="0"/>
                <w:sz w:val="24"/>
                <w:highlight w:val="none"/>
              </w:rPr>
              <w:t>由表</w:t>
            </w:r>
            <w:r>
              <w:rPr>
                <w:rFonts w:hint="eastAsia" w:ascii="Times New Roman" w:hAnsi="Times New Roman" w:eastAsia="宋体" w:cs="Times New Roman"/>
                <w:color w:val="auto"/>
                <w:kern w:val="0"/>
                <w:sz w:val="24"/>
                <w:highlight w:val="none"/>
                <w:lang w:val="en-US" w:eastAsia="zh-CN"/>
              </w:rPr>
              <w:t>3</w:t>
            </w:r>
            <w:r>
              <w:rPr>
                <w:rFonts w:hint="eastAsia" w:cs="Times New Roman"/>
                <w:color w:val="auto"/>
                <w:kern w:val="0"/>
                <w:sz w:val="24"/>
                <w:highlight w:val="none"/>
                <w:lang w:val="en-US" w:eastAsia="zh-CN"/>
              </w:rPr>
              <w:t>.3</w:t>
            </w:r>
            <w:r>
              <w:rPr>
                <w:rFonts w:hint="eastAsia" w:ascii="Times New Roman" w:hAnsi="Times New Roman" w:eastAsia="宋体" w:cs="Times New Roman"/>
                <w:color w:val="auto"/>
                <w:kern w:val="0"/>
                <w:sz w:val="24"/>
                <w:highlight w:val="none"/>
                <w:lang w:val="en-US" w:eastAsia="zh-CN"/>
              </w:rPr>
              <w:t>-</w:t>
            </w:r>
            <w:r>
              <w:rPr>
                <w:rFonts w:hint="eastAsia" w:cs="Times New Roman"/>
                <w:color w:val="auto"/>
                <w:kern w:val="0"/>
                <w:sz w:val="24"/>
                <w:highlight w:val="none"/>
                <w:lang w:val="en-US" w:eastAsia="zh-CN"/>
              </w:rPr>
              <w:t>1</w:t>
            </w:r>
            <w:r>
              <w:rPr>
                <w:rFonts w:hint="default" w:ascii="Times New Roman" w:hAnsi="Times New Roman" w:eastAsia="宋体" w:cs="Times New Roman"/>
                <w:color w:val="auto"/>
                <w:kern w:val="0"/>
                <w:sz w:val="24"/>
                <w:highlight w:val="none"/>
              </w:rPr>
              <w:t>可知，项目</w:t>
            </w:r>
            <w:r>
              <w:rPr>
                <w:rFonts w:hint="default" w:ascii="Times New Roman" w:hAnsi="Times New Roman" w:eastAsia="宋体" w:cs="Times New Roman"/>
                <w:color w:val="auto"/>
                <w:kern w:val="0"/>
                <w:sz w:val="24"/>
                <w:highlight w:val="none"/>
                <w:lang w:val="en-US" w:eastAsia="zh-CN"/>
              </w:rPr>
              <w:t>所在区域</w:t>
            </w:r>
            <w:r>
              <w:rPr>
                <w:rFonts w:hint="default" w:ascii="Times New Roman" w:hAnsi="Times New Roman" w:eastAsia="宋体" w:cs="Times New Roman"/>
                <w:color w:val="auto"/>
                <w:kern w:val="0"/>
                <w:sz w:val="24"/>
                <w:highlight w:val="none"/>
              </w:rPr>
              <w:t>环境</w:t>
            </w:r>
            <w:r>
              <w:rPr>
                <w:rFonts w:hint="default" w:ascii="Times New Roman" w:hAnsi="Times New Roman" w:eastAsia="宋体" w:cs="Times New Roman"/>
                <w:color w:val="auto"/>
                <w:kern w:val="0"/>
                <w:sz w:val="24"/>
                <w:highlight w:val="none"/>
                <w:lang w:val="en-US" w:eastAsia="zh-CN"/>
              </w:rPr>
              <w:t>噪声</w:t>
            </w:r>
            <w:r>
              <w:rPr>
                <w:rFonts w:hint="default" w:ascii="Times New Roman" w:hAnsi="Times New Roman" w:eastAsia="宋体" w:cs="Times New Roman"/>
                <w:color w:val="auto"/>
                <w:kern w:val="0"/>
                <w:sz w:val="24"/>
                <w:highlight w:val="none"/>
              </w:rPr>
              <w:t>可符合《声环境质量标准》(GB3096-2008)中的</w:t>
            </w:r>
            <w:r>
              <w:rPr>
                <w:rFonts w:hint="eastAsia" w:cs="Times New Roman"/>
                <w:color w:val="auto"/>
                <w:kern w:val="0"/>
                <w:sz w:val="24"/>
                <w:highlight w:val="none"/>
                <w:lang w:val="en-US" w:eastAsia="zh-CN"/>
              </w:rPr>
              <w:t>3</w:t>
            </w:r>
            <w:r>
              <w:rPr>
                <w:rFonts w:hint="default" w:ascii="Times New Roman" w:hAnsi="Times New Roman" w:eastAsia="宋体" w:cs="Times New Roman"/>
                <w:color w:val="auto"/>
                <w:kern w:val="0"/>
                <w:sz w:val="24"/>
                <w:highlight w:val="none"/>
              </w:rPr>
              <w:t>类标准</w:t>
            </w:r>
            <w:r>
              <w:rPr>
                <w:rFonts w:hint="eastAsia" w:cs="Times New Roman"/>
                <w:color w:val="auto"/>
                <w:kern w:val="0"/>
                <w:sz w:val="24"/>
                <w:highlight w:val="none"/>
                <w:lang w:eastAsia="zh-CN"/>
              </w:rPr>
              <w:t>（</w:t>
            </w:r>
            <w:r>
              <w:rPr>
                <w:rFonts w:hint="default" w:ascii="Times New Roman" w:hAnsi="Times New Roman" w:eastAsia="宋体" w:cs="Times New Roman"/>
                <w:color w:val="auto"/>
                <w:kern w:val="0"/>
                <w:sz w:val="24"/>
                <w:szCs w:val="24"/>
                <w:highlight w:val="none"/>
                <w:lang w:val="en-US" w:eastAsia="zh-CN" w:bidi="ar"/>
              </w:rPr>
              <w:t>即昼间≤6</w:t>
            </w:r>
            <w:r>
              <w:rPr>
                <w:rFonts w:hint="eastAsia"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val="en-US" w:eastAsia="zh-CN" w:bidi="ar"/>
              </w:rPr>
              <w:t>dB，夜间≤5</w:t>
            </w:r>
            <w:r>
              <w:rPr>
                <w:rFonts w:hint="eastAsia"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val="en-US" w:eastAsia="zh-CN" w:bidi="ar"/>
              </w:rPr>
              <w:t>dB</w:t>
            </w:r>
            <w:r>
              <w:rPr>
                <w:rFonts w:hint="eastAsia" w:cs="Times New Roman"/>
                <w:color w:val="auto"/>
                <w:kern w:val="0"/>
                <w:sz w:val="24"/>
                <w:highlight w:val="none"/>
                <w:lang w:eastAsia="zh-CN"/>
              </w:rPr>
              <w:t>）。</w:t>
            </w:r>
          </w:p>
          <w:p>
            <w:pPr>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color w:val="auto"/>
                <w:kern w:val="0"/>
                <w:sz w:val="28"/>
                <w:szCs w:val="28"/>
                <w:highlight w:val="none"/>
              </w:rPr>
            </w:pPr>
            <w:r>
              <w:rPr>
                <w:rFonts w:hint="eastAsia" w:cs="Times New Roman"/>
                <w:b/>
                <w:color w:val="auto"/>
                <w:kern w:val="0"/>
                <w:sz w:val="28"/>
                <w:szCs w:val="28"/>
                <w:highlight w:val="none"/>
                <w:lang w:val="en-US" w:eastAsia="zh-CN"/>
              </w:rPr>
              <w:t>3.</w:t>
            </w:r>
            <w:r>
              <w:rPr>
                <w:rFonts w:hint="eastAsia" w:ascii="Times New Roman" w:hAnsi="Times New Roman" w:eastAsia="宋体" w:cs="Times New Roman"/>
                <w:b/>
                <w:color w:val="auto"/>
                <w:kern w:val="0"/>
                <w:sz w:val="28"/>
                <w:szCs w:val="28"/>
                <w:highlight w:val="none"/>
                <w:lang w:val="en-US" w:eastAsia="zh-CN"/>
              </w:rPr>
              <w:t>4、</w:t>
            </w:r>
            <w:r>
              <w:rPr>
                <w:rFonts w:hint="default" w:ascii="Times New Roman" w:hAnsi="Times New Roman" w:eastAsia="宋体" w:cs="Times New Roman"/>
                <w:b/>
                <w:color w:val="auto"/>
                <w:kern w:val="0"/>
                <w:sz w:val="28"/>
                <w:szCs w:val="28"/>
                <w:highlight w:val="none"/>
              </w:rPr>
              <w:t>生态环境现状</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本项目位于</w:t>
            </w:r>
            <w:r>
              <w:rPr>
                <w:rFonts w:hint="eastAsia"/>
                <w:bCs/>
                <w:color w:val="auto"/>
                <w:sz w:val="24"/>
                <w:highlight w:val="none"/>
                <w:lang w:eastAsia="zh-CN"/>
              </w:rPr>
              <w:t>福建省南安市美林街道茂盛路1288号</w:t>
            </w:r>
            <w:r>
              <w:rPr>
                <w:rFonts w:hint="eastAsia"/>
                <w:bCs/>
                <w:color w:val="auto"/>
                <w:sz w:val="24"/>
                <w:highlight w:val="none"/>
              </w:rPr>
              <w:t>（</w:t>
            </w:r>
            <w:r>
              <w:rPr>
                <w:rFonts w:hint="eastAsia"/>
                <w:bCs/>
                <w:color w:val="auto"/>
                <w:sz w:val="24"/>
                <w:highlight w:val="none"/>
                <w:lang w:eastAsia="zh-CN"/>
              </w:rPr>
              <w:t>南安经济开发区扶茂工业园中心片区内</w:t>
            </w:r>
            <w:r>
              <w:rPr>
                <w:rFonts w:hint="eastAsia"/>
                <w:bCs/>
                <w:color w:val="auto"/>
                <w:sz w:val="24"/>
                <w:highlight w:val="none"/>
              </w:rPr>
              <w:t>）</w:t>
            </w:r>
            <w:r>
              <w:rPr>
                <w:rFonts w:hint="eastAsia" w:ascii="宋体" w:hAnsi="宋体" w:eastAsia="宋体" w:cs="宋体"/>
                <w:color w:val="auto"/>
                <w:kern w:val="0"/>
                <w:sz w:val="24"/>
                <w:szCs w:val="24"/>
                <w:highlight w:val="none"/>
                <w:lang w:val="en-US" w:eastAsia="zh-CN" w:bidi="ar"/>
              </w:rPr>
              <w:t>，用地类型为工业用地，不涉及基本农田保护区和生态公益林等生态环境保护区，故不进行生态环境影响评价。</w:t>
            </w:r>
          </w:p>
          <w:p>
            <w:pPr>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color w:val="auto"/>
                <w:kern w:val="0"/>
                <w:sz w:val="28"/>
                <w:szCs w:val="28"/>
                <w:highlight w:val="none"/>
              </w:rPr>
            </w:pPr>
            <w:r>
              <w:rPr>
                <w:rFonts w:hint="eastAsia" w:cs="Times New Roman"/>
                <w:b/>
                <w:color w:val="auto"/>
                <w:kern w:val="0"/>
                <w:sz w:val="28"/>
                <w:szCs w:val="28"/>
                <w:highlight w:val="none"/>
                <w:lang w:val="en-US" w:eastAsia="zh-CN"/>
              </w:rPr>
              <w:t>3.</w:t>
            </w:r>
            <w:r>
              <w:rPr>
                <w:rFonts w:hint="default" w:ascii="Times New Roman" w:hAnsi="Times New Roman" w:eastAsia="宋体" w:cs="Times New Roman"/>
                <w:b/>
                <w:color w:val="auto"/>
                <w:kern w:val="0"/>
                <w:sz w:val="28"/>
                <w:szCs w:val="28"/>
                <w:highlight w:val="none"/>
              </w:rPr>
              <w:t>5</w:t>
            </w:r>
            <w:r>
              <w:rPr>
                <w:rFonts w:hint="eastAsia" w:ascii="Times New Roman" w:hAnsi="Times New Roman" w:eastAsia="宋体" w:cs="Times New Roman"/>
                <w:b/>
                <w:color w:val="auto"/>
                <w:kern w:val="0"/>
                <w:sz w:val="28"/>
                <w:szCs w:val="28"/>
                <w:highlight w:val="none"/>
                <w:lang w:eastAsia="zh-CN"/>
              </w:rPr>
              <w:t>、</w:t>
            </w:r>
            <w:r>
              <w:rPr>
                <w:rFonts w:hint="default" w:ascii="Times New Roman" w:hAnsi="Times New Roman" w:eastAsia="宋体" w:cs="Times New Roman"/>
                <w:b/>
                <w:color w:val="auto"/>
                <w:kern w:val="0"/>
                <w:sz w:val="28"/>
                <w:szCs w:val="28"/>
                <w:highlight w:val="none"/>
              </w:rPr>
              <w:t>电磁辐射现状</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本项目不涉及广播电台、差转台、电视塔台、卫星地球上行站、雷达等电磁辐射，不对电磁辐射现状进行评价。</w:t>
            </w:r>
          </w:p>
          <w:p>
            <w:pPr>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color w:val="auto"/>
                <w:kern w:val="0"/>
                <w:sz w:val="28"/>
                <w:szCs w:val="28"/>
                <w:highlight w:val="none"/>
              </w:rPr>
            </w:pPr>
            <w:r>
              <w:rPr>
                <w:rFonts w:hint="eastAsia" w:cs="Times New Roman"/>
                <w:b/>
                <w:color w:val="auto"/>
                <w:kern w:val="0"/>
                <w:sz w:val="28"/>
                <w:szCs w:val="28"/>
                <w:highlight w:val="none"/>
                <w:lang w:val="en-US" w:eastAsia="zh-CN"/>
              </w:rPr>
              <w:t>3.</w:t>
            </w:r>
            <w:r>
              <w:rPr>
                <w:rFonts w:hint="default" w:ascii="Times New Roman" w:hAnsi="Times New Roman" w:eastAsia="宋体" w:cs="Times New Roman"/>
                <w:b/>
                <w:color w:val="auto"/>
                <w:kern w:val="0"/>
                <w:sz w:val="28"/>
                <w:szCs w:val="28"/>
                <w:highlight w:val="none"/>
                <w:lang w:val="en-US" w:eastAsia="zh-CN"/>
              </w:rPr>
              <w:t>6</w:t>
            </w:r>
            <w:r>
              <w:rPr>
                <w:rFonts w:hint="eastAsia" w:ascii="Times New Roman" w:hAnsi="Times New Roman" w:eastAsia="宋体" w:cs="Times New Roman"/>
                <w:b/>
                <w:color w:val="auto"/>
                <w:kern w:val="0"/>
                <w:sz w:val="28"/>
                <w:szCs w:val="28"/>
                <w:highlight w:val="none"/>
                <w:lang w:val="en-US" w:eastAsia="zh-CN"/>
              </w:rPr>
              <w:t>、</w:t>
            </w:r>
            <w:r>
              <w:rPr>
                <w:rFonts w:hint="default" w:ascii="Times New Roman" w:hAnsi="Times New Roman" w:eastAsia="宋体" w:cs="Times New Roman"/>
                <w:b/>
                <w:color w:val="auto"/>
                <w:kern w:val="0"/>
                <w:sz w:val="28"/>
                <w:szCs w:val="28"/>
                <w:highlight w:val="none"/>
              </w:rPr>
              <w:t>地下水、土壤环境现状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rFonts w:hint="default" w:ascii="Times New Roman" w:hAnsi="Times New Roman" w:eastAsia="宋体" w:cs="Times New Roman"/>
                <w:color w:val="auto"/>
                <w:kern w:val="0"/>
                <w:sz w:val="24"/>
                <w:highlight w:val="none"/>
                <w:lang w:val="en-US" w:eastAsia="zh-CN"/>
              </w:rPr>
              <w:t>项目</w:t>
            </w:r>
            <w:r>
              <w:rPr>
                <w:rFonts w:hint="eastAsia" w:cs="Times New Roman"/>
                <w:color w:val="auto"/>
                <w:kern w:val="0"/>
                <w:sz w:val="24"/>
                <w:highlight w:val="none"/>
                <w:lang w:val="en-US" w:eastAsia="zh-CN"/>
              </w:rPr>
              <w:t>建成后</w:t>
            </w:r>
            <w:r>
              <w:rPr>
                <w:rFonts w:hint="default" w:ascii="Times New Roman" w:hAnsi="Times New Roman" w:eastAsia="宋体" w:cs="Times New Roman"/>
                <w:color w:val="auto"/>
                <w:kern w:val="0"/>
                <w:sz w:val="24"/>
                <w:highlight w:val="none"/>
                <w:lang w:val="en-US" w:eastAsia="zh-CN"/>
              </w:rPr>
              <w:t>厂区地面均已进行硬化，不存在土壤、地下水环境污染途径，同时根据“关于印发《建设项目环境影响报告表》内容、格式及编制技术指南的通知”（环办环评【2020】33号），原则上不开展土壤和地下水环境现状调查</w:t>
            </w:r>
            <w:r>
              <w:rPr>
                <w:rFonts w:hint="default" w:ascii="Times New Roman" w:hAnsi="Times New Roman" w:eastAsia="宋体" w:cs="Times New Roman"/>
                <w:color w:val="auto"/>
                <w:kern w:val="0"/>
                <w:sz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dxa"/>
            <w:vAlign w:val="center"/>
          </w:tcPr>
          <w:p>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环境</w:t>
            </w:r>
          </w:p>
          <w:p>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保护</w:t>
            </w:r>
          </w:p>
          <w:p>
            <w:pPr>
              <w:adjustRightInd w:val="0"/>
              <w:snapToGrid w:val="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目标</w:t>
            </w:r>
          </w:p>
        </w:tc>
        <w:tc>
          <w:tcPr>
            <w:tcW w:w="8608" w:type="dxa"/>
            <w:vAlign w:val="top"/>
          </w:tcPr>
          <w:p>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eastAsia="宋体" w:cs="Times New Roman"/>
                <w:b/>
                <w:color w:val="auto"/>
                <w:kern w:val="0"/>
                <w:sz w:val="28"/>
                <w:szCs w:val="28"/>
                <w:highlight w:val="none"/>
                <w:lang w:val="en-US" w:eastAsia="zh-CN"/>
              </w:rPr>
            </w:pPr>
            <w:r>
              <w:rPr>
                <w:rFonts w:hint="eastAsia" w:ascii="Times New Roman" w:hAnsi="Times New Roman" w:eastAsia="宋体" w:cs="Times New Roman"/>
                <w:b/>
                <w:color w:val="auto"/>
                <w:kern w:val="0"/>
                <w:sz w:val="28"/>
                <w:szCs w:val="28"/>
                <w:highlight w:val="none"/>
                <w:lang w:val="en-US" w:eastAsia="zh-CN"/>
              </w:rPr>
              <w:t>3.7环境保护目标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根据现场调查，</w:t>
            </w:r>
            <w:r>
              <w:rPr>
                <w:rFonts w:hint="default" w:ascii="Times New Roman" w:hAnsi="Times New Roman" w:eastAsia="宋体" w:cs="Times New Roman"/>
                <w:color w:val="auto"/>
                <w:kern w:val="0"/>
                <w:sz w:val="24"/>
                <w:highlight w:val="none"/>
              </w:rPr>
              <w:t>项目</w:t>
            </w:r>
            <w:r>
              <w:rPr>
                <w:rFonts w:hint="eastAsia" w:ascii="Times New Roman" w:eastAsia="宋体" w:cs="Times New Roman"/>
                <w:color w:val="auto"/>
                <w:kern w:val="0"/>
                <w:sz w:val="24"/>
                <w:highlight w:val="none"/>
                <w:lang w:val="en-US" w:eastAsia="zh-CN"/>
              </w:rPr>
              <w:t>北</w:t>
            </w:r>
            <w:r>
              <w:rPr>
                <w:rFonts w:hint="default" w:ascii="Times New Roman" w:hAnsi="Times New Roman" w:eastAsia="宋体" w:cs="Times New Roman"/>
                <w:color w:val="auto"/>
                <w:kern w:val="0"/>
                <w:sz w:val="24"/>
                <w:highlight w:val="none"/>
              </w:rPr>
              <w:t>侧为</w:t>
            </w:r>
            <w:r>
              <w:rPr>
                <w:rFonts w:hint="eastAsia" w:cs="Times New Roman"/>
                <w:color w:val="auto"/>
                <w:kern w:val="0"/>
                <w:sz w:val="24"/>
                <w:highlight w:val="none"/>
                <w:lang w:val="en-US" w:eastAsia="zh-CN"/>
              </w:rPr>
              <w:t>特一阀门用地</w:t>
            </w:r>
            <w:r>
              <w:rPr>
                <w:rFonts w:hint="default" w:ascii="Times New Roman" w:hAnsi="Times New Roman" w:eastAsia="宋体" w:cs="Times New Roman"/>
                <w:color w:val="auto"/>
                <w:kern w:val="0"/>
                <w:sz w:val="24"/>
                <w:highlight w:val="none"/>
              </w:rPr>
              <w:t>，东侧为</w:t>
            </w:r>
            <w:r>
              <w:rPr>
                <w:rFonts w:hint="eastAsia" w:cs="Times New Roman"/>
                <w:color w:val="auto"/>
                <w:kern w:val="0"/>
                <w:sz w:val="24"/>
                <w:highlight w:val="none"/>
                <w:lang w:val="en-US" w:eastAsia="zh-CN"/>
              </w:rPr>
              <w:t>空地和中轻和成股份有限公司</w:t>
            </w:r>
            <w:r>
              <w:rPr>
                <w:rFonts w:hint="default" w:ascii="Times New Roman" w:hAnsi="Times New Roman" w:eastAsia="宋体" w:cs="Times New Roman"/>
                <w:color w:val="auto"/>
                <w:kern w:val="0"/>
                <w:sz w:val="24"/>
                <w:highlight w:val="none"/>
              </w:rPr>
              <w:t>，</w:t>
            </w:r>
            <w:r>
              <w:rPr>
                <w:rFonts w:hint="eastAsia" w:ascii="Times New Roman" w:eastAsia="宋体" w:cs="Times New Roman"/>
                <w:color w:val="auto"/>
                <w:kern w:val="0"/>
                <w:sz w:val="24"/>
                <w:highlight w:val="none"/>
                <w:lang w:val="en-US" w:eastAsia="zh-CN"/>
              </w:rPr>
              <w:t>南侧</w:t>
            </w:r>
            <w:r>
              <w:rPr>
                <w:rFonts w:hint="eastAsia" w:cs="Times New Roman"/>
                <w:color w:val="auto"/>
                <w:kern w:val="0"/>
                <w:sz w:val="24"/>
                <w:highlight w:val="none"/>
                <w:lang w:val="en-US" w:eastAsia="zh-CN"/>
              </w:rPr>
              <w:t>隔茂盛中路为科牧卫浴集团</w:t>
            </w:r>
            <w:r>
              <w:rPr>
                <w:rFonts w:hint="default" w:ascii="Times New Roman" w:hAnsi="Times New Roman" w:eastAsia="宋体" w:cs="Times New Roman"/>
                <w:color w:val="auto"/>
                <w:kern w:val="0"/>
                <w:sz w:val="24"/>
                <w:highlight w:val="none"/>
              </w:rPr>
              <w:t>，</w:t>
            </w:r>
            <w:r>
              <w:rPr>
                <w:rFonts w:hint="eastAsia" w:ascii="Times New Roman" w:eastAsia="宋体" w:cs="Times New Roman"/>
                <w:color w:val="auto"/>
                <w:kern w:val="0"/>
                <w:sz w:val="24"/>
                <w:highlight w:val="none"/>
                <w:lang w:val="en-US" w:eastAsia="zh-CN"/>
              </w:rPr>
              <w:t>西</w:t>
            </w:r>
            <w:r>
              <w:rPr>
                <w:rFonts w:hint="default" w:ascii="Times New Roman" w:hAnsi="Times New Roman" w:eastAsia="宋体" w:cs="Times New Roman"/>
                <w:color w:val="auto"/>
                <w:kern w:val="0"/>
                <w:sz w:val="24"/>
                <w:highlight w:val="none"/>
              </w:rPr>
              <w:t>侧为</w:t>
            </w:r>
            <w:r>
              <w:rPr>
                <w:rFonts w:hint="eastAsia" w:cs="Times New Roman"/>
                <w:color w:val="auto"/>
                <w:kern w:val="0"/>
                <w:sz w:val="24"/>
                <w:highlight w:val="none"/>
                <w:lang w:val="en-US" w:eastAsia="zh-CN"/>
              </w:rPr>
              <w:t>鸿乾五金用地</w:t>
            </w:r>
            <w:r>
              <w:rPr>
                <w:rFonts w:hint="default" w:ascii="Times New Roman" w:hAnsi="Times New Roman" w:eastAsia="宋体" w:cs="Times New Roman"/>
                <w:color w:val="auto"/>
                <w:kern w:val="0"/>
                <w:sz w:val="24"/>
                <w:szCs w:val="24"/>
                <w:highlight w:val="none"/>
                <w:lang w:val="en-US" w:eastAsia="zh-CN" w:bidi="ar"/>
              </w:rPr>
              <w:t>，离项目</w:t>
            </w:r>
            <w:r>
              <w:rPr>
                <w:rFonts w:hint="eastAsia" w:ascii="Times New Roman" w:eastAsia="宋体" w:cs="Times New Roman"/>
                <w:color w:val="auto"/>
                <w:kern w:val="0"/>
                <w:sz w:val="24"/>
                <w:szCs w:val="24"/>
                <w:highlight w:val="none"/>
                <w:lang w:val="en-US" w:eastAsia="zh-CN" w:bidi="ar"/>
              </w:rPr>
              <w:t>较</w:t>
            </w:r>
            <w:r>
              <w:rPr>
                <w:rFonts w:hint="default" w:ascii="Times New Roman" w:hAnsi="Times New Roman" w:eastAsia="宋体" w:cs="Times New Roman"/>
                <w:color w:val="auto"/>
                <w:kern w:val="0"/>
                <w:sz w:val="24"/>
                <w:szCs w:val="24"/>
                <w:highlight w:val="none"/>
                <w:lang w:val="en-US" w:eastAsia="zh-CN" w:bidi="ar"/>
              </w:rPr>
              <w:t>近</w:t>
            </w:r>
            <w:r>
              <w:rPr>
                <w:rFonts w:hint="eastAsia" w:ascii="Times New Roman" w:eastAsia="宋体" w:cs="Times New Roman"/>
                <w:color w:val="auto"/>
                <w:kern w:val="0"/>
                <w:sz w:val="24"/>
                <w:szCs w:val="24"/>
                <w:highlight w:val="none"/>
                <w:lang w:val="en-US" w:eastAsia="zh-CN" w:bidi="ar"/>
              </w:rPr>
              <w:t>的</w:t>
            </w:r>
            <w:r>
              <w:rPr>
                <w:rFonts w:hint="default" w:ascii="Times New Roman" w:hAnsi="Times New Roman" w:eastAsia="宋体" w:cs="Times New Roman"/>
                <w:color w:val="auto"/>
                <w:kern w:val="0"/>
                <w:sz w:val="24"/>
                <w:szCs w:val="24"/>
                <w:highlight w:val="none"/>
                <w:lang w:val="en-US" w:eastAsia="zh-CN" w:bidi="ar"/>
              </w:rPr>
              <w:t>环境保护目标为</w:t>
            </w:r>
            <w:r>
              <w:rPr>
                <w:rFonts w:hint="eastAsia" w:cs="Times New Roman"/>
                <w:color w:val="auto"/>
                <w:kern w:val="0"/>
                <w:sz w:val="24"/>
                <w:szCs w:val="24"/>
                <w:highlight w:val="none"/>
                <w:lang w:val="en-US" w:eastAsia="zh-CN" w:bidi="ar"/>
              </w:rPr>
              <w:t>西北</w:t>
            </w:r>
            <w:r>
              <w:rPr>
                <w:rFonts w:hint="eastAsia" w:ascii="Times New Roman" w:eastAsia="宋体" w:cs="Times New Roman"/>
                <w:color w:val="auto"/>
                <w:kern w:val="0"/>
                <w:sz w:val="24"/>
                <w:szCs w:val="24"/>
                <w:highlight w:val="none"/>
                <w:lang w:val="en-US" w:eastAsia="zh-CN" w:bidi="ar"/>
              </w:rPr>
              <w:t>侧</w:t>
            </w:r>
            <w:r>
              <w:rPr>
                <w:rFonts w:hint="eastAsia" w:cs="Times New Roman"/>
                <w:color w:val="auto"/>
                <w:kern w:val="0"/>
                <w:sz w:val="24"/>
                <w:szCs w:val="24"/>
                <w:highlight w:val="none"/>
                <w:lang w:val="en-US" w:eastAsia="zh-CN" w:bidi="ar"/>
              </w:rPr>
              <w:t>146</w:t>
            </w:r>
            <w:r>
              <w:rPr>
                <w:rFonts w:hint="default" w:ascii="Times New Roman" w:hAnsi="Times New Roman" w:eastAsia="宋体" w:cs="Times New Roman"/>
                <w:color w:val="auto"/>
                <w:kern w:val="0"/>
                <w:sz w:val="24"/>
                <w:szCs w:val="24"/>
                <w:highlight w:val="none"/>
                <w:lang w:val="en-US" w:eastAsia="zh-CN" w:bidi="ar"/>
              </w:rPr>
              <w:t>m处</w:t>
            </w:r>
            <w:r>
              <w:rPr>
                <w:rFonts w:hint="eastAsia" w:ascii="Times New Roman" w:eastAsia="宋体" w:cs="Times New Roman"/>
                <w:color w:val="auto"/>
                <w:kern w:val="0"/>
                <w:sz w:val="24"/>
                <w:szCs w:val="24"/>
                <w:highlight w:val="none"/>
                <w:lang w:val="en-US" w:eastAsia="zh-CN" w:bidi="ar"/>
              </w:rPr>
              <w:t>的</w:t>
            </w:r>
            <w:r>
              <w:rPr>
                <w:rFonts w:hint="eastAsia" w:cs="Times New Roman"/>
                <w:color w:val="auto"/>
                <w:kern w:val="0"/>
                <w:sz w:val="24"/>
                <w:szCs w:val="24"/>
                <w:highlight w:val="none"/>
                <w:lang w:val="en-US" w:eastAsia="zh-CN" w:bidi="ar"/>
              </w:rPr>
              <w:t>溪洲村</w:t>
            </w:r>
            <w:r>
              <w:rPr>
                <w:rFonts w:hint="eastAsia" w:ascii="Times New Roman" w:eastAsia="宋体" w:cs="Times New Roman"/>
                <w:color w:val="auto"/>
                <w:kern w:val="0"/>
                <w:sz w:val="24"/>
                <w:szCs w:val="24"/>
                <w:highlight w:val="none"/>
                <w:lang w:val="en-US" w:eastAsia="zh-CN" w:bidi="ar"/>
              </w:rPr>
              <w:t>居民</w:t>
            </w:r>
            <w:r>
              <w:rPr>
                <w:rFonts w:hint="eastAsia" w:cs="Times New Roman"/>
                <w:color w:val="auto"/>
                <w:kern w:val="0"/>
                <w:sz w:val="24"/>
                <w:szCs w:val="24"/>
                <w:highlight w:val="none"/>
                <w:lang w:val="en-US" w:eastAsia="zh-CN" w:bidi="ar"/>
              </w:rPr>
              <w:t>区</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rPr>
              <w:t>周围环境保护目标主要见表</w:t>
            </w:r>
            <w:r>
              <w:rPr>
                <w:rFonts w:hint="eastAsia" w:ascii="Times New Roman" w:hAnsi="Times New Roman" w:eastAsia="宋体" w:cs="Times New Roman"/>
                <w:color w:val="auto"/>
                <w:sz w:val="24"/>
                <w:highlight w:val="none"/>
                <w:lang w:val="en-US" w:eastAsia="zh-CN"/>
              </w:rPr>
              <w:t>3</w:t>
            </w:r>
            <w:r>
              <w:rPr>
                <w:rFonts w:hint="eastAsia" w:cs="Times New Roman"/>
                <w:color w:val="auto"/>
                <w:sz w:val="24"/>
                <w:highlight w:val="none"/>
                <w:lang w:val="en-US" w:eastAsia="zh-CN"/>
              </w:rPr>
              <w:t>.7</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1</w:t>
            </w:r>
            <w:r>
              <w:rPr>
                <w:rFonts w:hint="default" w:ascii="Times New Roman" w:hAnsi="Times New Roman" w:eastAsia="宋体" w:cs="Times New Roman"/>
                <w:color w:val="auto"/>
                <w:sz w:val="24"/>
                <w:highlight w:val="none"/>
              </w:rPr>
              <w:t>及附图5。</w:t>
            </w:r>
          </w:p>
          <w:p>
            <w:pPr>
              <w:spacing w:before="120" w:beforeLines="50" w:line="360" w:lineRule="auto"/>
              <w:jc w:val="center"/>
              <w:rPr>
                <w:rFonts w:hint="default"/>
                <w:color w:val="auto"/>
                <w:highlight w:val="none"/>
              </w:rPr>
            </w:pPr>
            <w:r>
              <w:rPr>
                <w:rFonts w:hint="default" w:ascii="Times New Roman" w:hAnsi="Times New Roman" w:eastAsia="宋体" w:cs="Times New Roman"/>
                <w:b/>
                <w:bCs/>
                <w:color w:val="auto"/>
                <w:sz w:val="24"/>
                <w:highlight w:val="none"/>
              </w:rPr>
              <w:t>表</w:t>
            </w:r>
            <w:r>
              <w:rPr>
                <w:rFonts w:hint="eastAsia" w:ascii="Times New Roman" w:hAnsi="Times New Roman" w:eastAsia="宋体" w:cs="Times New Roman"/>
                <w:b/>
                <w:bCs/>
                <w:color w:val="auto"/>
                <w:sz w:val="24"/>
                <w:highlight w:val="none"/>
                <w:lang w:val="en-US" w:eastAsia="zh-CN"/>
              </w:rPr>
              <w:t>3</w:t>
            </w:r>
            <w:r>
              <w:rPr>
                <w:rFonts w:hint="eastAsia" w:cs="Times New Roman"/>
                <w:b/>
                <w:bCs/>
                <w:color w:val="auto"/>
                <w:sz w:val="24"/>
                <w:highlight w:val="none"/>
                <w:lang w:val="en-US" w:eastAsia="zh-CN"/>
              </w:rPr>
              <w:t>.7</w:t>
            </w:r>
            <w:r>
              <w:rPr>
                <w:rFonts w:hint="eastAsia" w:ascii="Times New Roman" w:hAnsi="Times New Roman" w:eastAsia="宋体" w:cs="Times New Roman"/>
                <w:b/>
                <w:bCs/>
                <w:color w:val="auto"/>
                <w:sz w:val="24"/>
                <w:highlight w:val="none"/>
                <w:lang w:val="en-US" w:eastAsia="zh-CN"/>
              </w:rPr>
              <w:t>-</w:t>
            </w:r>
            <w:r>
              <w:rPr>
                <w:rFonts w:hint="eastAsia" w:cs="Times New Roman"/>
                <w:b/>
                <w:bCs/>
                <w:color w:val="auto"/>
                <w:sz w:val="24"/>
                <w:highlight w:val="none"/>
                <w:lang w:val="en-US" w:eastAsia="zh-CN"/>
              </w:rPr>
              <w:t xml:space="preserve">1 </w:t>
            </w:r>
            <w:r>
              <w:rPr>
                <w:rFonts w:hint="default" w:ascii="Times New Roman" w:hAnsi="Times New Roman" w:eastAsia="宋体" w:cs="Times New Roman"/>
                <w:b/>
                <w:bCs/>
                <w:color w:val="auto"/>
                <w:sz w:val="24"/>
                <w:highlight w:val="none"/>
              </w:rPr>
              <w:t>环境保护目标一览表</w:t>
            </w:r>
          </w:p>
          <w:tbl>
            <w:tblPr>
              <w:tblStyle w:val="28"/>
              <w:tblW w:w="84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4"/>
              <w:gridCol w:w="1498"/>
              <w:gridCol w:w="954"/>
              <w:gridCol w:w="936"/>
              <w:gridCol w:w="1144"/>
              <w:gridCol w:w="1179"/>
              <w:gridCol w:w="23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50" w:type="pct"/>
                  <w:noWrap w:val="0"/>
                  <w:vAlign w:val="center"/>
                </w:tcPr>
                <w:p>
                  <w:pPr>
                    <w:pStyle w:val="71"/>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885" w:type="pct"/>
                  <w:noWrap w:val="0"/>
                  <w:vAlign w:val="center"/>
                </w:tcPr>
                <w:p>
                  <w:pPr>
                    <w:pStyle w:val="71"/>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环境要素</w:t>
                  </w:r>
                </w:p>
              </w:tc>
              <w:tc>
                <w:tcPr>
                  <w:tcW w:w="563" w:type="pct"/>
                  <w:noWrap w:val="0"/>
                  <w:vAlign w:val="center"/>
                </w:tcPr>
                <w:p>
                  <w:pPr>
                    <w:pStyle w:val="71"/>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保护</w:t>
                  </w:r>
                </w:p>
                <w:p>
                  <w:pPr>
                    <w:pStyle w:val="71"/>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目标</w:t>
                  </w:r>
                </w:p>
              </w:tc>
              <w:tc>
                <w:tcPr>
                  <w:tcW w:w="553" w:type="pct"/>
                  <w:noWrap w:val="0"/>
                  <w:vAlign w:val="center"/>
                </w:tcPr>
                <w:p>
                  <w:pPr>
                    <w:pStyle w:val="71"/>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相对项目厂区方位</w:t>
                  </w:r>
                </w:p>
              </w:tc>
              <w:tc>
                <w:tcPr>
                  <w:tcW w:w="676" w:type="pct"/>
                  <w:noWrap w:val="0"/>
                  <w:vAlign w:val="center"/>
                </w:tcPr>
                <w:p>
                  <w:pPr>
                    <w:pStyle w:val="71"/>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eastAsia="zh-CN"/>
                    </w:rPr>
                    <w:t>距</w:t>
                  </w:r>
                  <w:r>
                    <w:rPr>
                      <w:rFonts w:hint="default" w:ascii="Times New Roman" w:hAnsi="Times New Roman" w:eastAsia="宋体" w:cs="Times New Roman"/>
                      <w:b/>
                      <w:color w:val="auto"/>
                      <w:sz w:val="21"/>
                      <w:szCs w:val="21"/>
                      <w:highlight w:val="none"/>
                    </w:rPr>
                    <w:t>拟建项目</w:t>
                  </w:r>
                  <w:r>
                    <w:rPr>
                      <w:rFonts w:hint="eastAsia" w:cs="Times New Roman"/>
                      <w:b/>
                      <w:color w:val="auto"/>
                      <w:sz w:val="21"/>
                      <w:szCs w:val="21"/>
                      <w:highlight w:val="none"/>
                      <w:lang w:val="en-US" w:eastAsia="zh-CN"/>
                    </w:rPr>
                    <w:t>最近</w:t>
                  </w:r>
                  <w:r>
                    <w:rPr>
                      <w:rFonts w:hint="default" w:ascii="Times New Roman" w:hAnsi="Times New Roman" w:eastAsia="宋体" w:cs="Times New Roman"/>
                      <w:b/>
                      <w:color w:val="auto"/>
                      <w:sz w:val="21"/>
                      <w:szCs w:val="21"/>
                      <w:highlight w:val="none"/>
                    </w:rPr>
                    <w:t>距离(m)</w:t>
                  </w:r>
                </w:p>
              </w:tc>
              <w:tc>
                <w:tcPr>
                  <w:tcW w:w="696" w:type="pct"/>
                  <w:noWrap w:val="0"/>
                  <w:vAlign w:val="center"/>
                </w:tcPr>
                <w:p>
                  <w:pPr>
                    <w:pStyle w:val="71"/>
                    <w:rPr>
                      <w:rFonts w:hint="default" w:ascii="Times New Roman" w:hAnsi="Times New Roman" w:eastAsia="宋体" w:cs="Times New Roman"/>
                      <w:b/>
                      <w:color w:val="auto"/>
                      <w:sz w:val="21"/>
                      <w:szCs w:val="21"/>
                      <w:highlight w:val="none"/>
                      <w:lang w:val="en-US" w:eastAsia="zh-CN"/>
                    </w:rPr>
                  </w:pPr>
                  <w:r>
                    <w:rPr>
                      <w:rFonts w:hint="eastAsia" w:cs="Times New Roman"/>
                      <w:b/>
                      <w:color w:val="auto"/>
                      <w:sz w:val="21"/>
                      <w:szCs w:val="21"/>
                      <w:highlight w:val="none"/>
                      <w:lang w:val="en-US" w:eastAsia="zh-CN"/>
                    </w:rPr>
                    <w:t>规模</w:t>
                  </w:r>
                </w:p>
              </w:tc>
              <w:tc>
                <w:tcPr>
                  <w:tcW w:w="1373" w:type="pct"/>
                  <w:noWrap w:val="0"/>
                  <w:vAlign w:val="center"/>
                </w:tcPr>
                <w:p>
                  <w:pPr>
                    <w:pStyle w:val="71"/>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保护级别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50" w:type="pct"/>
                  <w:vMerge w:val="restart"/>
                  <w:noWrap w:val="0"/>
                  <w:vAlign w:val="center"/>
                </w:tcPr>
                <w:p>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885" w:type="pct"/>
                  <w:vMerge w:val="restart"/>
                  <w:noWrap w:val="0"/>
                  <w:vAlign w:val="center"/>
                </w:tcPr>
                <w:p>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w:t>
                  </w:r>
                </w:p>
                <w:p>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（厂界外500m范围内）</w:t>
                  </w:r>
                </w:p>
              </w:tc>
              <w:tc>
                <w:tcPr>
                  <w:tcW w:w="563" w:type="pct"/>
                  <w:noWrap w:val="0"/>
                  <w:vAlign w:val="center"/>
                </w:tcPr>
                <w:p>
                  <w:pPr>
                    <w:pStyle w:val="71"/>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0"/>
                      <w:sz w:val="21"/>
                      <w:szCs w:val="21"/>
                      <w:highlight w:val="none"/>
                      <w:lang w:val="en-US" w:eastAsia="zh-CN" w:bidi="ar"/>
                    </w:rPr>
                    <w:t>溪洲村</w:t>
                  </w:r>
                  <w:r>
                    <w:rPr>
                      <w:rFonts w:hint="eastAsia"/>
                      <w:color w:val="auto"/>
                      <w:sz w:val="21"/>
                      <w:szCs w:val="21"/>
                      <w:highlight w:val="none"/>
                    </w:rPr>
                    <w:t>居民区</w:t>
                  </w:r>
                </w:p>
              </w:tc>
              <w:tc>
                <w:tcPr>
                  <w:tcW w:w="553" w:type="pct"/>
                  <w:noWrap w:val="0"/>
                  <w:vAlign w:val="center"/>
                </w:tcPr>
                <w:p>
                  <w:pPr>
                    <w:pStyle w:val="71"/>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WS</w:t>
                  </w:r>
                </w:p>
              </w:tc>
              <w:tc>
                <w:tcPr>
                  <w:tcW w:w="676" w:type="pct"/>
                  <w:noWrap w:val="0"/>
                  <w:vAlign w:val="center"/>
                </w:tcPr>
                <w:p>
                  <w:pPr>
                    <w:pStyle w:val="71"/>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195</w:t>
                  </w:r>
                </w:p>
              </w:tc>
              <w:tc>
                <w:tcPr>
                  <w:tcW w:w="696" w:type="pct"/>
                  <w:noWrap w:val="0"/>
                  <w:vAlign w:val="center"/>
                </w:tcPr>
                <w:p>
                  <w:pPr>
                    <w:pStyle w:val="71"/>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1196户，6645人</w:t>
                  </w:r>
                </w:p>
              </w:tc>
              <w:tc>
                <w:tcPr>
                  <w:tcW w:w="1373" w:type="pct"/>
                  <w:vMerge w:val="restart"/>
                  <w:noWrap w:val="0"/>
                  <w:vAlign w:val="center"/>
                </w:tcPr>
                <w:p>
                  <w:pPr>
                    <w:pStyle w:val="71"/>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《环境空气质量标准》（GB3095-2012）及其修改单的二级标准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50" w:type="pct"/>
                  <w:vMerge w:val="continue"/>
                  <w:noWrap w:val="0"/>
                  <w:vAlign w:val="center"/>
                </w:tcPr>
                <w:p>
                  <w:pPr>
                    <w:pStyle w:val="9"/>
                    <w:rPr>
                      <w:rFonts w:hint="default" w:ascii="Times New Roman" w:hAnsi="Times New Roman" w:eastAsia="宋体" w:cs="Times New Roman"/>
                      <w:color w:val="auto"/>
                      <w:sz w:val="21"/>
                      <w:szCs w:val="21"/>
                      <w:highlight w:val="none"/>
                    </w:rPr>
                  </w:pPr>
                </w:p>
              </w:tc>
              <w:tc>
                <w:tcPr>
                  <w:tcW w:w="885" w:type="pct"/>
                  <w:vMerge w:val="continue"/>
                  <w:noWrap w:val="0"/>
                  <w:vAlign w:val="center"/>
                </w:tcPr>
                <w:p>
                  <w:pPr>
                    <w:pStyle w:val="9"/>
                    <w:rPr>
                      <w:rFonts w:hint="default" w:ascii="Times New Roman" w:hAnsi="Times New Roman" w:eastAsia="宋体" w:cs="Times New Roman"/>
                      <w:color w:val="auto"/>
                      <w:sz w:val="21"/>
                      <w:szCs w:val="21"/>
                      <w:highlight w:val="none"/>
                    </w:rPr>
                  </w:pPr>
                </w:p>
              </w:tc>
              <w:tc>
                <w:tcPr>
                  <w:tcW w:w="563" w:type="pct"/>
                  <w:noWrap w:val="0"/>
                  <w:vAlign w:val="center"/>
                </w:tcPr>
                <w:p>
                  <w:pPr>
                    <w:pStyle w:val="71"/>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九牧</w:t>
                  </w:r>
                </w:p>
                <w:p>
                  <w:pPr>
                    <w:pStyle w:val="71"/>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宿舍区</w:t>
                  </w:r>
                </w:p>
              </w:tc>
              <w:tc>
                <w:tcPr>
                  <w:tcW w:w="553" w:type="pct"/>
                  <w:noWrap w:val="0"/>
                  <w:vAlign w:val="center"/>
                </w:tcPr>
                <w:p>
                  <w:pPr>
                    <w:pStyle w:val="71"/>
                    <w:rPr>
                      <w:rFonts w:hint="default"/>
                      <w:color w:val="auto"/>
                      <w:sz w:val="21"/>
                      <w:szCs w:val="21"/>
                      <w:highlight w:val="none"/>
                      <w:lang w:val="en-US" w:eastAsia="zh-CN"/>
                    </w:rPr>
                  </w:pPr>
                  <w:r>
                    <w:rPr>
                      <w:rFonts w:hint="eastAsia"/>
                      <w:color w:val="auto"/>
                      <w:sz w:val="21"/>
                      <w:szCs w:val="21"/>
                      <w:highlight w:val="none"/>
                      <w:lang w:val="en-US" w:eastAsia="zh-CN"/>
                    </w:rPr>
                    <w:t>WN</w:t>
                  </w:r>
                </w:p>
              </w:tc>
              <w:tc>
                <w:tcPr>
                  <w:tcW w:w="676" w:type="pct"/>
                  <w:noWrap w:val="0"/>
                  <w:vAlign w:val="center"/>
                </w:tcPr>
                <w:p>
                  <w:pPr>
                    <w:pStyle w:val="71"/>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146</w:t>
                  </w:r>
                </w:p>
              </w:tc>
              <w:tc>
                <w:tcPr>
                  <w:tcW w:w="696" w:type="pct"/>
                  <w:noWrap w:val="0"/>
                  <w:vAlign w:val="center"/>
                </w:tcPr>
                <w:p>
                  <w:pPr>
                    <w:pStyle w:val="71"/>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450人</w:t>
                  </w:r>
                </w:p>
              </w:tc>
              <w:tc>
                <w:tcPr>
                  <w:tcW w:w="1373" w:type="pct"/>
                  <w:vMerge w:val="continue"/>
                  <w:noWrap w:val="0"/>
                  <w:vAlign w:val="center"/>
                </w:tcPr>
                <w:p>
                  <w:pPr>
                    <w:pStyle w:val="71"/>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250" w:type="pct"/>
                  <w:noWrap w:val="0"/>
                  <w:vAlign w:val="center"/>
                </w:tcPr>
                <w:p>
                  <w:pPr>
                    <w:pStyle w:val="9"/>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2</w:t>
                  </w:r>
                </w:p>
              </w:tc>
              <w:tc>
                <w:tcPr>
                  <w:tcW w:w="885" w:type="pct"/>
                  <w:noWrap w:val="0"/>
                  <w:vAlign w:val="center"/>
                </w:tcPr>
                <w:p>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w:t>
                  </w:r>
                </w:p>
                <w:p>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（厂界外50m范围内）</w:t>
                  </w:r>
                </w:p>
              </w:tc>
              <w:tc>
                <w:tcPr>
                  <w:tcW w:w="3863" w:type="pct"/>
                  <w:gridSpan w:val="5"/>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kern w:val="2"/>
                      <w:sz w:val="21"/>
                      <w:szCs w:val="21"/>
                      <w:highlight w:val="none"/>
                      <w:lang w:val="en-US" w:eastAsia="zh-CN" w:bidi="ar-SA"/>
                    </w:rPr>
                    <w:t xml:space="preserve">厂界外 </w:t>
                  </w:r>
                  <w:r>
                    <w:rPr>
                      <w:rFonts w:hint="default" w:ascii="Times New Roman" w:hAnsi="Times New Roman" w:eastAsia="宋体" w:cs="Times New Roman"/>
                      <w:color w:val="auto"/>
                      <w:kern w:val="2"/>
                      <w:sz w:val="21"/>
                      <w:szCs w:val="21"/>
                      <w:highlight w:val="none"/>
                      <w:lang w:val="en-US" w:eastAsia="zh-CN" w:bidi="ar-SA"/>
                    </w:rPr>
                    <w:t xml:space="preserve">50 </w:t>
                  </w:r>
                  <w:r>
                    <w:rPr>
                      <w:rFonts w:hint="eastAsia" w:ascii="Times New Roman" w:hAnsi="Times New Roman" w:eastAsia="宋体" w:cs="Times New Roman"/>
                      <w:color w:val="auto"/>
                      <w:kern w:val="2"/>
                      <w:sz w:val="21"/>
                      <w:szCs w:val="21"/>
                      <w:highlight w:val="none"/>
                      <w:lang w:val="en-US" w:eastAsia="zh-CN" w:bidi="ar-SA"/>
                    </w:rPr>
                    <w:t>米范围内无声环境保护目标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50" w:type="pct"/>
                  <w:noWrap w:val="0"/>
                  <w:vAlign w:val="center"/>
                </w:tcPr>
                <w:p>
                  <w:pPr>
                    <w:pStyle w:val="9"/>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3</w:t>
                  </w:r>
                </w:p>
              </w:tc>
              <w:tc>
                <w:tcPr>
                  <w:tcW w:w="885" w:type="pct"/>
                  <w:noWrap w:val="0"/>
                  <w:vAlign w:val="center"/>
                </w:tcPr>
                <w:p>
                  <w:pPr>
                    <w:pStyle w:val="9"/>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地下水</w:t>
                  </w:r>
                  <w:r>
                    <w:rPr>
                      <w:rFonts w:hint="eastAsia" w:cs="Times New Roman"/>
                      <w:color w:val="auto"/>
                      <w:sz w:val="21"/>
                      <w:szCs w:val="21"/>
                      <w:highlight w:val="none"/>
                      <w:lang w:val="en-US" w:eastAsia="zh-CN"/>
                    </w:rPr>
                    <w:t>环境</w:t>
                  </w:r>
                </w:p>
              </w:tc>
              <w:tc>
                <w:tcPr>
                  <w:tcW w:w="3863" w:type="pct"/>
                  <w:gridSpan w:val="5"/>
                  <w:noWrap w:val="0"/>
                  <w:vAlign w:val="center"/>
                </w:tcPr>
                <w:p>
                  <w:pPr>
                    <w:pStyle w:val="71"/>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厂界外500m范围内无地下水集中式饮用水水源和热水、矿泉水、温泉等特殊地下水资源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250" w:type="pct"/>
                  <w:noWrap w:val="0"/>
                  <w:vAlign w:val="center"/>
                </w:tcPr>
                <w:p>
                  <w:pPr>
                    <w:pStyle w:val="9"/>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4</w:t>
                  </w:r>
                </w:p>
              </w:tc>
              <w:tc>
                <w:tcPr>
                  <w:tcW w:w="885" w:type="pct"/>
                  <w:noWrap w:val="0"/>
                  <w:vAlign w:val="center"/>
                </w:tcPr>
                <w:p>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生态环境</w:t>
                  </w:r>
                </w:p>
              </w:tc>
              <w:tc>
                <w:tcPr>
                  <w:tcW w:w="3863" w:type="pct"/>
                  <w:gridSpan w:val="5"/>
                  <w:noWrap w:val="0"/>
                  <w:vAlign w:val="center"/>
                </w:tcPr>
                <w:p>
                  <w:pPr>
                    <w:keepNext w:val="0"/>
                    <w:keepLines w:val="0"/>
                    <w:widowControl/>
                    <w:suppressLineNumbers w:val="0"/>
                    <w:jc w:val="left"/>
                    <w:rPr>
                      <w:rFonts w:hint="eastAsia" w:ascii="Times New Roman" w:hAnsi="Times New Roman" w:eastAsia="宋体" w:cs="Times New Roman"/>
                      <w:color w:val="auto"/>
                      <w:sz w:val="21"/>
                      <w:szCs w:val="21"/>
                      <w:highlight w:val="none"/>
                      <w:lang w:val="en-US" w:eastAsia="zh-CN"/>
                    </w:rPr>
                  </w:pPr>
                  <w:r>
                    <w:rPr>
                      <w:rFonts w:hint="eastAsia" w:ascii="宋体" w:hAnsi="宋体" w:eastAsia="宋体" w:cs="宋体"/>
                      <w:color w:val="auto"/>
                      <w:kern w:val="0"/>
                      <w:sz w:val="21"/>
                      <w:szCs w:val="21"/>
                      <w:lang w:val="en-US" w:eastAsia="zh-CN" w:bidi="ar"/>
                    </w:rPr>
                    <w:t>项目用地类型为工业用地，不涉及基本农田保护区和生态公益林等生态环境保护区，用地范围内无生态环境保护目标。</w:t>
                  </w:r>
                </w:p>
              </w:tc>
            </w:tr>
          </w:tbl>
          <w:p>
            <w:pPr>
              <w:spacing w:line="360" w:lineRule="auto"/>
              <w:ind w:firstLine="480" w:firstLineChars="0"/>
              <w:rPr>
                <w:rFonts w:hint="default" w:ascii="Times New Roman" w:hAnsi="Times New Roman" w:eastAsia="宋体" w:cs="Times New Roman"/>
                <w:color w:val="auto"/>
                <w:kern w:val="0"/>
                <w:sz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dxa"/>
            <w:vAlign w:val="center"/>
          </w:tcPr>
          <w:p>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污染</w:t>
            </w:r>
          </w:p>
          <w:p>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物排</w:t>
            </w:r>
          </w:p>
          <w:p>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放控</w:t>
            </w:r>
          </w:p>
          <w:p>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制标</w:t>
            </w:r>
          </w:p>
          <w:p>
            <w:pPr>
              <w:adjustRightInd w:val="0"/>
              <w:snapToGrid w:val="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准</w:t>
            </w:r>
          </w:p>
        </w:tc>
        <w:tc>
          <w:tcPr>
            <w:tcW w:w="8608" w:type="dxa"/>
            <w:vAlign w:val="center"/>
          </w:tcPr>
          <w:p>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eastAsia="宋体"/>
                <w:b/>
                <w:color w:val="auto"/>
                <w:sz w:val="28"/>
                <w:szCs w:val="28"/>
                <w:highlight w:val="none"/>
                <w:lang w:val="en-US" w:eastAsia="zh-CN"/>
              </w:rPr>
            </w:pPr>
            <w:r>
              <w:rPr>
                <w:rFonts w:hint="eastAsia"/>
                <w:b/>
                <w:color w:val="auto"/>
                <w:sz w:val="28"/>
                <w:szCs w:val="28"/>
                <w:highlight w:val="none"/>
                <w:lang w:val="en-US" w:eastAsia="zh-CN"/>
              </w:rPr>
              <w:t>3.8污染物排放标准</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b/>
                <w:color w:val="auto"/>
                <w:sz w:val="24"/>
                <w:highlight w:val="none"/>
              </w:rPr>
            </w:pPr>
            <w:r>
              <w:rPr>
                <w:rFonts w:hint="eastAsia"/>
                <w:b/>
                <w:color w:val="auto"/>
                <w:sz w:val="24"/>
                <w:highlight w:val="none"/>
                <w:lang w:val="en-US" w:eastAsia="zh-CN"/>
              </w:rPr>
              <w:t>3.8.1</w:t>
            </w:r>
            <w:r>
              <w:rPr>
                <w:b/>
                <w:color w:val="auto"/>
                <w:sz w:val="24"/>
                <w:highlight w:val="none"/>
              </w:rPr>
              <w:t>废水</w:t>
            </w:r>
          </w:p>
          <w:p>
            <w:pPr>
              <w:pStyle w:val="67"/>
              <w:autoSpaceDE w:val="0"/>
              <w:autoSpaceDN w:val="0"/>
              <w:spacing w:line="360" w:lineRule="auto"/>
              <w:ind w:firstLine="480" w:firstLineChars="200"/>
              <w:jc w:val="both"/>
              <w:rPr>
                <w:rFonts w:hint="default" w:ascii="Times New Roman" w:hAnsi="Times New Roman" w:cs="Times New Roman"/>
                <w:b/>
                <w:bCs/>
                <w:color w:val="auto"/>
                <w:sz w:val="24"/>
                <w:szCs w:val="24"/>
                <w:highlight w:val="none"/>
              </w:rPr>
            </w:pPr>
            <w:r>
              <w:rPr>
                <w:rFonts w:hint="eastAsia" w:ascii="Times New Roman" w:hAnsi="Times New Roman" w:cs="Times New Roman"/>
                <w:color w:val="auto"/>
                <w:sz w:val="24"/>
                <w:highlight w:val="none"/>
              </w:rPr>
              <w:t>生产用水：</w:t>
            </w:r>
            <w:r>
              <w:rPr>
                <w:rFonts w:ascii="Times New Roman" w:hAnsi="Times New Roman" w:cs="Times New Roman"/>
                <w:color w:val="auto"/>
                <w:sz w:val="24"/>
                <w:highlight w:val="none"/>
              </w:rPr>
              <w:t>项目运营期</w:t>
            </w:r>
            <w:r>
              <w:rPr>
                <w:rFonts w:hint="eastAsia" w:ascii="Times New Roman" w:hAnsi="Times New Roman" w:cs="Times New Roman"/>
                <w:color w:val="auto"/>
                <w:sz w:val="24"/>
                <w:highlight w:val="none"/>
                <w:lang w:val="en-US" w:eastAsia="zh-CN"/>
              </w:rPr>
              <w:t>无</w:t>
            </w:r>
            <w:r>
              <w:rPr>
                <w:rFonts w:ascii="Times New Roman" w:hAnsi="Times New Roman" w:cs="Times New Roman"/>
                <w:color w:val="auto"/>
                <w:sz w:val="24"/>
                <w:highlight w:val="none"/>
              </w:rPr>
              <w:t>生产废水</w:t>
            </w:r>
            <w:r>
              <w:rPr>
                <w:rFonts w:hint="eastAsia" w:ascii="Times New Roman" w:hAnsi="Times New Roman" w:cs="Times New Roman"/>
                <w:color w:val="auto"/>
                <w:sz w:val="24"/>
                <w:highlight w:val="none"/>
                <w:lang w:val="en-US" w:eastAsia="zh-CN"/>
              </w:rPr>
              <w:t>外排；外排废水主要为食堂废水及生活污水，项目</w:t>
            </w:r>
            <w:r>
              <w:rPr>
                <w:rFonts w:hint="eastAsia" w:ascii="Times New Roman" w:hAnsi="Times New Roman" w:eastAsia="宋体" w:cs="Times New Roman"/>
                <w:color w:val="auto"/>
                <w:sz w:val="24"/>
                <w:highlight w:val="none"/>
              </w:rPr>
              <w:t>食堂废水经隔油池处理后，汇同职工日常生活污水一起纳入化粪池处理</w:t>
            </w:r>
            <w:r>
              <w:rPr>
                <w:rFonts w:hint="default" w:ascii="Times New Roman" w:hAnsi="Times New Roman" w:cs="Times New Roman"/>
                <w:color w:val="auto"/>
                <w:sz w:val="24"/>
                <w:szCs w:val="24"/>
                <w:highlight w:val="none"/>
              </w:rPr>
              <w:t>达《污水综合排放标准》（GB8978-1996）表4 三级标准</w:t>
            </w:r>
            <w:r>
              <w:rPr>
                <w:rFonts w:hint="default" w:ascii="Times New Roman" w:hAnsi="Times New Roman" w:eastAsia="宋体" w:cs="Times New Roman"/>
                <w:color w:val="auto"/>
                <w:sz w:val="24"/>
                <w:szCs w:val="24"/>
                <w:highlight w:val="none"/>
              </w:rPr>
              <w:t>（其中NH</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-N指标参考《污水排入城镇下水道水质标准》（GB/T31962-2015）表1中B等级标准“45mg/L”）</w:t>
            </w:r>
            <w:r>
              <w:rPr>
                <w:rFonts w:hint="eastAsia" w:ascii="Times New Roman" w:hAnsi="Times New Roman" w:eastAsia="宋体" w:cs="Times New Roman"/>
                <w:color w:val="auto"/>
                <w:sz w:val="24"/>
                <w:szCs w:val="24"/>
                <w:highlight w:val="none"/>
                <w:lang w:val="en-US" w:eastAsia="zh-CN"/>
              </w:rPr>
              <w:t>后</w:t>
            </w:r>
            <w:r>
              <w:rPr>
                <w:rFonts w:hint="default" w:ascii="Times New Roman" w:hAnsi="Times New Roman" w:cs="Times New Roman"/>
                <w:color w:val="auto"/>
                <w:sz w:val="24"/>
                <w:szCs w:val="24"/>
                <w:highlight w:val="none"/>
              </w:rPr>
              <w:t>通过市政污水管网纳入</w:t>
            </w:r>
            <w:r>
              <w:rPr>
                <w:color w:val="auto"/>
                <w:sz w:val="24"/>
                <w:highlight w:val="none"/>
              </w:rPr>
              <w:t>南安市污水处理厂</w:t>
            </w:r>
            <w:r>
              <w:rPr>
                <w:rFonts w:hint="default" w:ascii="Times New Roman" w:hAnsi="Times New Roman" w:cs="Times New Roman"/>
                <w:color w:val="auto"/>
                <w:sz w:val="24"/>
                <w:szCs w:val="24"/>
                <w:highlight w:val="none"/>
              </w:rPr>
              <w:t>集中处理达《城镇污水处理厂污染物排放标准》（GB18918-2002）中表1一级</w:t>
            </w:r>
            <w:r>
              <w:rPr>
                <w:rFonts w:hint="eastAsia" w:ascii="Times New Roman" w:hAnsi="Times New Roman" w:cs="Times New Roman"/>
                <w:color w:val="auto"/>
                <w:sz w:val="24"/>
                <w:szCs w:val="24"/>
                <w:highlight w:val="none"/>
                <w:lang w:val="en-US" w:eastAsia="zh-CN"/>
              </w:rPr>
              <w:t>A</w:t>
            </w:r>
            <w:r>
              <w:rPr>
                <w:rFonts w:hint="default" w:ascii="Times New Roman" w:hAnsi="Times New Roman" w:cs="Times New Roman"/>
                <w:color w:val="auto"/>
                <w:sz w:val="24"/>
                <w:szCs w:val="24"/>
                <w:highlight w:val="none"/>
              </w:rPr>
              <w:t>标准后排入</w:t>
            </w:r>
            <w:r>
              <w:rPr>
                <w:rFonts w:hint="eastAsia" w:cs="Times New Roman"/>
                <w:color w:val="auto"/>
                <w:sz w:val="24"/>
                <w:szCs w:val="24"/>
                <w:highlight w:val="none"/>
                <w:lang w:val="en-US" w:eastAsia="zh-CN"/>
              </w:rPr>
              <w:t>西溪</w:t>
            </w:r>
            <w:r>
              <w:rPr>
                <w:rFonts w:hint="default" w:ascii="Times New Roman" w:hAnsi="Times New Roman"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default"/>
                <w:b/>
                <w:bCs/>
                <w:color w:val="auto"/>
                <w:sz w:val="24"/>
                <w:highlight w:val="none"/>
                <w:lang w:val="en-US" w:eastAsia="zh-CN"/>
              </w:rPr>
            </w:pPr>
            <w:r>
              <w:rPr>
                <w:rFonts w:hint="default"/>
                <w:b/>
                <w:bCs/>
                <w:color w:val="auto"/>
                <w:sz w:val="24"/>
                <w:highlight w:val="none"/>
                <w:lang w:val="en-US" w:eastAsia="zh-CN"/>
              </w:rPr>
              <w:t>表 3</w:t>
            </w:r>
            <w:r>
              <w:rPr>
                <w:rFonts w:hint="eastAsia"/>
                <w:b/>
                <w:bCs/>
                <w:color w:val="auto"/>
                <w:sz w:val="24"/>
                <w:highlight w:val="none"/>
                <w:lang w:val="en-US" w:eastAsia="zh-CN"/>
              </w:rPr>
              <w:t>.8-1</w:t>
            </w:r>
            <w:r>
              <w:rPr>
                <w:rFonts w:hint="default"/>
                <w:b/>
                <w:bCs/>
                <w:color w:val="auto"/>
                <w:sz w:val="24"/>
                <w:highlight w:val="none"/>
                <w:lang w:val="en-US" w:eastAsia="zh-CN"/>
              </w:rPr>
              <w:t>生活污水排放执行标准 (摘录)</w:t>
            </w:r>
          </w:p>
          <w:tbl>
            <w:tblPr>
              <w:tblStyle w:val="28"/>
              <w:tblW w:w="8416"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452"/>
              <w:gridCol w:w="1017"/>
              <w:gridCol w:w="675"/>
              <w:gridCol w:w="705"/>
              <w:gridCol w:w="660"/>
              <w:gridCol w:w="645"/>
              <w:gridCol w:w="126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3452" w:type="dxa"/>
                  <w:tcBorders>
                    <w:left w:val="nil"/>
                    <w:bottom w:val="single" w:color="000000" w:sz="6" w:space="0"/>
                    <w:right w:val="single" w:color="000000" w:sz="6" w:space="0"/>
                  </w:tcBorders>
                  <w:noWrap w:val="0"/>
                  <w:vAlign w:val="center"/>
                </w:tcPr>
                <w:p>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执行标准</w:t>
                  </w:r>
                </w:p>
              </w:tc>
              <w:tc>
                <w:tcPr>
                  <w:tcW w:w="1017" w:type="dxa"/>
                  <w:tcBorders>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pH</w:t>
                  </w:r>
                </w:p>
                <w:p>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（无量纲）</w:t>
                  </w:r>
                </w:p>
              </w:tc>
              <w:tc>
                <w:tcPr>
                  <w:tcW w:w="675" w:type="dxa"/>
                  <w:tcBorders>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COD</w:t>
                  </w:r>
                </w:p>
                <w:p>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(mg/L)</w:t>
                  </w:r>
                </w:p>
              </w:tc>
              <w:tc>
                <w:tcPr>
                  <w:tcW w:w="705" w:type="dxa"/>
                  <w:tcBorders>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b/>
                      <w:bCs/>
                      <w:color w:val="auto"/>
                      <w:highlight w:val="none"/>
                      <w:vertAlign w:val="subscript"/>
                    </w:rPr>
                  </w:pPr>
                  <w:r>
                    <w:rPr>
                      <w:rFonts w:hint="default" w:ascii="Times New Roman" w:hAnsi="Times New Roman" w:cs="Times New Roman"/>
                      <w:b/>
                      <w:bCs/>
                      <w:color w:val="auto"/>
                      <w:highlight w:val="none"/>
                    </w:rPr>
                    <w:t>BOD</w:t>
                  </w:r>
                  <w:r>
                    <w:rPr>
                      <w:rFonts w:hint="default" w:ascii="Times New Roman" w:hAnsi="Times New Roman" w:cs="Times New Roman"/>
                      <w:b/>
                      <w:bCs/>
                      <w:color w:val="auto"/>
                      <w:highlight w:val="none"/>
                      <w:vertAlign w:val="subscript"/>
                    </w:rPr>
                    <w:t>5</w:t>
                  </w:r>
                </w:p>
                <w:p>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(mg/L)</w:t>
                  </w:r>
                </w:p>
              </w:tc>
              <w:tc>
                <w:tcPr>
                  <w:tcW w:w="660" w:type="dxa"/>
                  <w:tcBorders>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SS</w:t>
                  </w:r>
                </w:p>
                <w:p>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(mg/L)</w:t>
                  </w:r>
                </w:p>
              </w:tc>
              <w:tc>
                <w:tcPr>
                  <w:tcW w:w="645" w:type="dxa"/>
                  <w:tcBorders>
                    <w:left w:val="single" w:color="000000" w:sz="6" w:space="0"/>
                    <w:bottom w:val="single" w:color="000000" w:sz="6" w:space="0"/>
                    <w:right w:val="nil"/>
                  </w:tcBorders>
                  <w:noWrap w:val="0"/>
                  <w:vAlign w:val="center"/>
                </w:tcPr>
                <w:p>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NH</w:t>
                  </w:r>
                  <w:r>
                    <w:rPr>
                      <w:rFonts w:hint="default" w:ascii="Times New Roman" w:hAnsi="Times New Roman" w:cs="Times New Roman"/>
                      <w:b/>
                      <w:bCs/>
                      <w:color w:val="auto"/>
                      <w:highlight w:val="none"/>
                      <w:vertAlign w:val="subscript"/>
                    </w:rPr>
                    <w:t>3</w:t>
                  </w:r>
                  <w:r>
                    <w:rPr>
                      <w:rFonts w:hint="default" w:ascii="Times New Roman" w:hAnsi="Times New Roman" w:cs="Times New Roman"/>
                      <w:b/>
                      <w:bCs/>
                      <w:color w:val="auto"/>
                      <w:highlight w:val="none"/>
                    </w:rPr>
                    <w:t>-N</w:t>
                  </w:r>
                </w:p>
                <w:p>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(mg/L)</w:t>
                  </w:r>
                </w:p>
              </w:tc>
              <w:tc>
                <w:tcPr>
                  <w:tcW w:w="1262" w:type="dxa"/>
                  <w:tcBorders>
                    <w:left w:val="single" w:color="000000" w:sz="6" w:space="0"/>
                    <w:bottom w:val="single" w:color="000000" w:sz="6" w:space="0"/>
                    <w:right w:val="nil"/>
                  </w:tcBorders>
                  <w:noWrap w:val="0"/>
                  <w:vAlign w:val="center"/>
                </w:tcPr>
                <w:p>
                  <w:pPr>
                    <w:jc w:val="center"/>
                    <w:rPr>
                      <w:rFonts w:hint="default" w:ascii="Times New Roman" w:hAnsi="Times New Roman" w:cs="Times New Roman"/>
                      <w:b/>
                      <w:bCs/>
                      <w:color w:val="auto"/>
                      <w:highlight w:val="none"/>
                    </w:rPr>
                  </w:pPr>
                  <w:r>
                    <w:rPr>
                      <w:rFonts w:hint="eastAsia" w:ascii="Times New Roman" w:hAnsi="Times New Roman" w:cs="Times New Roman"/>
                      <w:b/>
                      <w:bCs/>
                      <w:color w:val="auto"/>
                      <w:highlight w:val="none"/>
                      <w:lang w:eastAsia="zh-CN"/>
                    </w:rPr>
                    <w:t>动植物油</w:t>
                  </w:r>
                  <w:r>
                    <w:rPr>
                      <w:rFonts w:hint="default" w:ascii="Times New Roman" w:hAnsi="Times New Roman" w:cs="Times New Roman"/>
                      <w:b/>
                      <w:bCs/>
                      <w:color w:val="auto"/>
                      <w:highlight w:val="none"/>
                    </w:rPr>
                    <w:t>(mg/L)</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3452" w:type="dxa"/>
                  <w:tcBorders>
                    <w:top w:val="single" w:color="000000" w:sz="6" w:space="0"/>
                    <w:left w:val="nil"/>
                    <w:bottom w:val="single" w:color="000000" w:sz="6" w:space="0"/>
                    <w:right w:val="single" w:color="000000" w:sz="6" w:space="0"/>
                  </w:tcBorders>
                  <w:noWrap w:val="0"/>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《污水综合排放标准》(GB8978-1996)表4 三级标准</w:t>
                  </w:r>
                </w:p>
              </w:tc>
              <w:tc>
                <w:tcPr>
                  <w:tcW w:w="1017"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6-9</w:t>
                  </w:r>
                </w:p>
              </w:tc>
              <w:tc>
                <w:tcPr>
                  <w:tcW w:w="675"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500</w:t>
                  </w:r>
                </w:p>
              </w:tc>
              <w:tc>
                <w:tcPr>
                  <w:tcW w:w="705"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300</w:t>
                  </w:r>
                </w:p>
              </w:tc>
              <w:tc>
                <w:tcPr>
                  <w:tcW w:w="660"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400</w:t>
                  </w:r>
                </w:p>
              </w:tc>
              <w:tc>
                <w:tcPr>
                  <w:tcW w:w="645" w:type="dxa"/>
                  <w:tcBorders>
                    <w:top w:val="single" w:color="000000" w:sz="6" w:space="0"/>
                    <w:left w:val="single" w:color="000000" w:sz="6" w:space="0"/>
                    <w:bottom w:val="single" w:color="000000" w:sz="6" w:space="0"/>
                    <w:right w:val="nil"/>
                  </w:tcBorders>
                  <w:noWrap w:val="0"/>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45*</w:t>
                  </w:r>
                </w:p>
              </w:tc>
              <w:tc>
                <w:tcPr>
                  <w:tcW w:w="1262" w:type="dxa"/>
                  <w:tcBorders>
                    <w:top w:val="single" w:color="000000" w:sz="6" w:space="0"/>
                    <w:left w:val="single" w:color="000000" w:sz="6" w:space="0"/>
                    <w:bottom w:val="single" w:color="000000" w:sz="6" w:space="0"/>
                    <w:right w:val="nil"/>
                  </w:tcBorders>
                  <w:noWrap w:val="0"/>
                  <w:vAlign w:val="center"/>
                </w:tcPr>
                <w:p>
                  <w:pPr>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3452" w:type="dxa"/>
                  <w:tcBorders>
                    <w:top w:val="single" w:color="000000" w:sz="6" w:space="0"/>
                    <w:left w:val="nil"/>
                    <w:bottom w:val="single" w:color="000000" w:sz="6" w:space="0"/>
                    <w:right w:val="single" w:color="000000" w:sz="6" w:space="0"/>
                  </w:tcBorders>
                  <w:noWrap w:val="0"/>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《城镇污水处理厂污染物排放标准》</w:t>
                  </w:r>
                </w:p>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(GB18918-2002)一级标准中的</w:t>
                  </w:r>
                  <w:r>
                    <w:rPr>
                      <w:rFonts w:hint="eastAsia" w:ascii="Times New Roman" w:hAnsi="Times New Roman" w:cs="Times New Roman"/>
                      <w:color w:val="auto"/>
                      <w:highlight w:val="none"/>
                      <w:lang w:val="en-US" w:eastAsia="zh-CN"/>
                    </w:rPr>
                    <w:t>A</w:t>
                  </w:r>
                  <w:r>
                    <w:rPr>
                      <w:rFonts w:hint="default" w:ascii="Times New Roman" w:hAnsi="Times New Roman" w:cs="Times New Roman"/>
                      <w:color w:val="auto"/>
                      <w:highlight w:val="none"/>
                    </w:rPr>
                    <w:t>标准</w:t>
                  </w:r>
                </w:p>
              </w:tc>
              <w:tc>
                <w:tcPr>
                  <w:tcW w:w="1017"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6-9</w:t>
                  </w:r>
                </w:p>
              </w:tc>
              <w:tc>
                <w:tcPr>
                  <w:tcW w:w="675"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color w:val="auto"/>
                      <w:highlight w:val="none"/>
                      <w:lang w:val="en-US"/>
                    </w:rPr>
                  </w:pPr>
                  <w:r>
                    <w:rPr>
                      <w:rFonts w:hint="eastAsia" w:ascii="Times New Roman" w:hAnsi="Times New Roman" w:cs="Times New Roman"/>
                      <w:color w:val="auto"/>
                      <w:highlight w:val="none"/>
                      <w:lang w:val="en-US" w:eastAsia="zh-CN"/>
                    </w:rPr>
                    <w:t>50</w:t>
                  </w:r>
                </w:p>
              </w:tc>
              <w:tc>
                <w:tcPr>
                  <w:tcW w:w="705"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color w:val="auto"/>
                      <w:highlight w:val="none"/>
                      <w:lang w:val="en-US"/>
                    </w:rPr>
                  </w:pPr>
                  <w:r>
                    <w:rPr>
                      <w:rFonts w:hint="eastAsia" w:ascii="Times New Roman" w:hAnsi="Times New Roman" w:cs="Times New Roman"/>
                      <w:color w:val="auto"/>
                      <w:highlight w:val="none"/>
                      <w:lang w:val="en-US" w:eastAsia="zh-CN"/>
                    </w:rPr>
                    <w:t>10</w:t>
                  </w:r>
                </w:p>
              </w:tc>
              <w:tc>
                <w:tcPr>
                  <w:tcW w:w="660"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color w:val="auto"/>
                      <w:highlight w:val="none"/>
                      <w:lang w:val="en-US"/>
                    </w:rPr>
                  </w:pPr>
                  <w:r>
                    <w:rPr>
                      <w:rFonts w:hint="eastAsia" w:ascii="Times New Roman" w:hAnsi="Times New Roman" w:cs="Times New Roman"/>
                      <w:color w:val="auto"/>
                      <w:highlight w:val="none"/>
                      <w:lang w:val="en-US" w:eastAsia="zh-CN"/>
                    </w:rPr>
                    <w:t>10</w:t>
                  </w:r>
                </w:p>
              </w:tc>
              <w:tc>
                <w:tcPr>
                  <w:tcW w:w="645" w:type="dxa"/>
                  <w:tcBorders>
                    <w:top w:val="single" w:color="000000" w:sz="6" w:space="0"/>
                    <w:left w:val="single" w:color="000000" w:sz="6" w:space="0"/>
                    <w:bottom w:val="single" w:color="000000" w:sz="6" w:space="0"/>
                    <w:right w:val="nil"/>
                  </w:tcBorders>
                  <w:noWrap w:val="0"/>
                  <w:vAlign w:val="center"/>
                </w:tcPr>
                <w:p>
                  <w:pPr>
                    <w:jc w:val="center"/>
                    <w:rPr>
                      <w:rFonts w:hint="default" w:ascii="Times New Roman" w:hAnsi="Times New Roman" w:eastAsia="宋体" w:cs="Times New Roman"/>
                      <w:color w:val="auto"/>
                      <w:highlight w:val="none"/>
                      <w:lang w:eastAsia="zh-CN"/>
                    </w:rPr>
                  </w:pPr>
                  <w:r>
                    <w:rPr>
                      <w:rFonts w:hint="eastAsia" w:ascii="Times New Roman" w:hAnsi="Times New Roman" w:cs="Times New Roman"/>
                      <w:color w:val="auto"/>
                      <w:highlight w:val="none"/>
                      <w:lang w:val="en-US" w:eastAsia="zh-CN"/>
                    </w:rPr>
                    <w:t>5</w:t>
                  </w:r>
                </w:p>
              </w:tc>
              <w:tc>
                <w:tcPr>
                  <w:tcW w:w="1262" w:type="dxa"/>
                  <w:tcBorders>
                    <w:top w:val="single" w:color="000000" w:sz="6" w:space="0"/>
                    <w:left w:val="single" w:color="000000" w:sz="6" w:space="0"/>
                    <w:bottom w:val="single" w:color="000000" w:sz="6" w:space="0"/>
                    <w:right w:val="nil"/>
                  </w:tcBorders>
                  <w:noWrap w:val="0"/>
                  <w:vAlign w:val="center"/>
                </w:tcPr>
                <w:p>
                  <w:pPr>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8416" w:type="dxa"/>
                  <w:gridSpan w:val="7"/>
                  <w:tcBorders>
                    <w:top w:val="single" w:color="000000" w:sz="6" w:space="0"/>
                    <w:left w:val="nil"/>
                    <w:right w:val="nil"/>
                  </w:tcBorders>
                  <w:noWrap w:val="0"/>
                  <w:vAlign w:val="center"/>
                </w:tcPr>
                <w:p>
                  <w:pPr>
                    <w:jc w:val="both"/>
                    <w:rPr>
                      <w:rFonts w:hint="default" w:ascii="Times New Roman" w:hAnsi="Times New Roman" w:cs="Times New Roman"/>
                      <w:color w:val="auto"/>
                      <w:highlight w:val="none"/>
                    </w:rPr>
                  </w:pPr>
                  <w:r>
                    <w:rPr>
                      <w:rFonts w:hint="default" w:ascii="Times New Roman" w:hAnsi="Times New Roman" w:eastAsia="宋体" w:cs="Times New Roman"/>
                      <w:snapToGrid w:val="0"/>
                      <w:color w:val="auto"/>
                      <w:sz w:val="18"/>
                      <w:szCs w:val="18"/>
                      <w:highlight w:val="none"/>
                      <w:lang w:val="en-US" w:eastAsia="zh-CN"/>
                    </w:rPr>
                    <w:t>*：</w:t>
                  </w:r>
                  <w:r>
                    <w:rPr>
                      <w:rFonts w:hint="default" w:ascii="Times New Roman" w:hAnsi="Times New Roman" w:cs="Times New Roman"/>
                      <w:color w:val="auto"/>
                      <w:sz w:val="20"/>
                      <w:szCs w:val="22"/>
                      <w:highlight w:val="none"/>
                      <w:lang w:val="en-US" w:eastAsia="zh-CN"/>
                    </w:rPr>
                    <w:t>NH</w:t>
                  </w:r>
                  <w:r>
                    <w:rPr>
                      <w:rFonts w:hint="default" w:ascii="Times New Roman" w:hAnsi="Times New Roman" w:cs="Times New Roman"/>
                      <w:color w:val="auto"/>
                      <w:sz w:val="20"/>
                      <w:szCs w:val="22"/>
                      <w:highlight w:val="none"/>
                      <w:vertAlign w:val="subscript"/>
                      <w:lang w:val="en-US" w:eastAsia="zh-CN"/>
                    </w:rPr>
                    <w:t>3</w:t>
                  </w:r>
                  <w:r>
                    <w:rPr>
                      <w:rFonts w:hint="default" w:ascii="Times New Roman" w:hAnsi="Times New Roman" w:cs="Times New Roman"/>
                      <w:color w:val="auto"/>
                      <w:sz w:val="20"/>
                      <w:szCs w:val="22"/>
                      <w:highlight w:val="none"/>
                      <w:lang w:val="en-US" w:eastAsia="zh-CN"/>
                    </w:rPr>
                    <w:t>-N 执行《污水排入城镇下水道水质标准》（GB/T31962-2015）表 1 中 B 等级标准</w:t>
                  </w:r>
                </w:p>
              </w:tc>
            </w:tr>
          </w:tbl>
          <w:p>
            <w:pPr>
              <w:pStyle w:val="63"/>
              <w:keepNext w:val="0"/>
              <w:keepLines w:val="0"/>
              <w:pageBreakBefore w:val="0"/>
              <w:widowControl/>
              <w:kinsoku/>
              <w:wordWrap/>
              <w:overflowPunct/>
              <w:topLinePunct w:val="0"/>
              <w:autoSpaceDE/>
              <w:autoSpaceDN/>
              <w:bidi w:val="0"/>
              <w:adjustRightInd w:val="0"/>
              <w:snapToGrid/>
              <w:spacing w:before="157" w:beforeLines="50" w:line="360" w:lineRule="auto"/>
              <w:ind w:left="0" w:leftChars="0" w:right="0" w:firstLine="0" w:firstLineChars="0"/>
              <w:textAlignment w:val="auto"/>
              <w:rPr>
                <w:rFonts w:ascii="Times New Roman" w:eastAsia="宋体"/>
                <w:b/>
                <w:color w:val="auto"/>
                <w:sz w:val="24"/>
                <w:szCs w:val="24"/>
                <w:highlight w:val="none"/>
              </w:rPr>
            </w:pPr>
            <w:r>
              <w:rPr>
                <w:rFonts w:hint="eastAsia" w:ascii="Times New Roman" w:eastAsia="宋体"/>
                <w:b/>
                <w:color w:val="auto"/>
                <w:sz w:val="24"/>
                <w:szCs w:val="24"/>
                <w:highlight w:val="none"/>
                <w:lang w:val="en-US" w:eastAsia="zh-CN"/>
              </w:rPr>
              <w:t>3.8.2</w:t>
            </w:r>
            <w:r>
              <w:rPr>
                <w:rFonts w:ascii="Times New Roman" w:eastAsia="宋体"/>
                <w:b/>
                <w:color w:val="auto"/>
                <w:sz w:val="24"/>
                <w:szCs w:val="24"/>
                <w:highlight w:val="none"/>
              </w:rPr>
              <w:t>废气</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项目废气主要为</w:t>
            </w:r>
            <w:r>
              <w:rPr>
                <w:rFonts w:hint="eastAsia" w:cs="Times New Roman"/>
                <w:color w:val="auto"/>
                <w:kern w:val="0"/>
                <w:sz w:val="24"/>
                <w:szCs w:val="24"/>
                <w:highlight w:val="none"/>
                <w:lang w:val="en-US" w:eastAsia="zh-CN" w:bidi="ar"/>
              </w:rPr>
              <w:t>搅砂</w:t>
            </w:r>
            <w:r>
              <w:rPr>
                <w:rFonts w:hint="default" w:ascii="Times New Roman" w:hAnsi="Times New Roman" w:cs="Times New Roman"/>
                <w:color w:val="auto"/>
                <w:kern w:val="0"/>
                <w:sz w:val="24"/>
                <w:szCs w:val="24"/>
                <w:highlight w:val="none"/>
                <w:lang w:val="en-US" w:eastAsia="zh-CN" w:bidi="ar"/>
              </w:rPr>
              <w:t>制芯、</w:t>
            </w:r>
            <w:r>
              <w:rPr>
                <w:rFonts w:hint="default" w:ascii="Times New Roman" w:hAnsi="Times New Roman" w:eastAsia="宋体" w:cs="Times New Roman"/>
                <w:color w:val="auto"/>
                <w:kern w:val="0"/>
                <w:sz w:val="24"/>
                <w:szCs w:val="24"/>
                <w:highlight w:val="none"/>
                <w:lang w:val="en-US" w:eastAsia="zh-CN" w:bidi="ar"/>
              </w:rPr>
              <w:t>熔化、浇注、落砂、抛丸、抛光、锻造、压铸、焊接、</w:t>
            </w:r>
            <w:r>
              <w:rPr>
                <w:rFonts w:hint="eastAsia" w:cs="Times New Roman"/>
                <w:color w:val="auto"/>
                <w:kern w:val="0"/>
                <w:sz w:val="24"/>
                <w:szCs w:val="24"/>
                <w:highlight w:val="none"/>
                <w:lang w:val="en-US" w:eastAsia="zh-CN" w:bidi="ar"/>
              </w:rPr>
              <w:t>注塑、喷漆烘干、压合封边、</w:t>
            </w:r>
            <w:r>
              <w:rPr>
                <w:rFonts w:hint="default" w:ascii="Times New Roman" w:hAnsi="Times New Roman" w:eastAsia="宋体" w:cs="Times New Roman"/>
                <w:color w:val="auto"/>
                <w:kern w:val="0"/>
                <w:sz w:val="24"/>
                <w:szCs w:val="24"/>
                <w:highlight w:val="none"/>
                <w:lang w:val="en-US" w:eastAsia="zh-CN" w:bidi="ar"/>
              </w:rPr>
              <w:t>开料磨光机加工</w:t>
            </w:r>
            <w:r>
              <w:rPr>
                <w:rFonts w:hint="eastAsia" w:ascii="Times New Roman" w:hAnsi="Times New Roman" w:eastAsia="宋体" w:cs="Times New Roman"/>
                <w:color w:val="auto"/>
                <w:kern w:val="0"/>
                <w:sz w:val="24"/>
                <w:szCs w:val="24"/>
                <w:highlight w:val="none"/>
                <w:lang w:val="en-US" w:eastAsia="zh-CN" w:bidi="ar"/>
              </w:rPr>
              <w:t>、</w:t>
            </w:r>
            <w:r>
              <w:rPr>
                <w:rFonts w:hint="eastAsia" w:ascii="Times New Roman" w:hAnsi="Times New Roman" w:cs="Times New Roman"/>
                <w:color w:val="auto"/>
                <w:kern w:val="0"/>
                <w:sz w:val="24"/>
                <w:szCs w:val="24"/>
                <w:highlight w:val="none"/>
                <w:lang w:val="en-US" w:eastAsia="zh-CN" w:bidi="ar"/>
              </w:rPr>
              <w:t>油烟</w:t>
            </w:r>
            <w:r>
              <w:rPr>
                <w:rFonts w:hint="eastAsia" w:ascii="Times New Roman" w:hAnsi="Times New Roman" w:eastAsia="宋体" w:cs="Times New Roman"/>
                <w:color w:val="auto"/>
                <w:kern w:val="0"/>
                <w:sz w:val="24"/>
                <w:szCs w:val="24"/>
                <w:highlight w:val="none"/>
                <w:lang w:val="en-US" w:eastAsia="zh-CN" w:bidi="ar"/>
              </w:rPr>
              <w:t>的</w:t>
            </w:r>
            <w:r>
              <w:rPr>
                <w:rFonts w:hint="default" w:ascii="Times New Roman" w:hAnsi="Times New Roman" w:eastAsia="宋体" w:cs="Times New Roman"/>
                <w:color w:val="auto"/>
                <w:kern w:val="0"/>
                <w:sz w:val="24"/>
                <w:szCs w:val="24"/>
                <w:highlight w:val="none"/>
                <w:lang w:val="en-US" w:eastAsia="zh-CN" w:bidi="ar"/>
              </w:rPr>
              <w:t>废气</w:t>
            </w:r>
            <w:r>
              <w:rPr>
                <w:rFonts w:hint="eastAsia" w:cs="Times New Roman"/>
                <w:color w:val="auto"/>
                <w:kern w:val="0"/>
                <w:sz w:val="24"/>
                <w:szCs w:val="24"/>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项目所使用的热芯盒树脂为脲醛树脂，不涉及苯乙烯、三甲胺等《恶臭污染物排放标准》（</w:t>
            </w:r>
            <w:r>
              <w:rPr>
                <w:rFonts w:hint="default" w:ascii="Times New Roman" w:hAnsi="Times New Roman" w:eastAsia="宋体" w:cs="Times New Roman"/>
                <w:color w:val="auto"/>
                <w:kern w:val="0"/>
                <w:sz w:val="24"/>
                <w:szCs w:val="24"/>
                <w:highlight w:val="none"/>
                <w:lang w:val="en-US" w:eastAsia="zh-CN" w:bidi="ar"/>
              </w:rPr>
              <w:t>GB14553-93</w:t>
            </w:r>
            <w:r>
              <w:rPr>
                <w:rFonts w:hint="eastAsia" w:ascii="宋体" w:hAnsi="宋体" w:eastAsia="宋体" w:cs="宋体"/>
                <w:color w:val="auto"/>
                <w:kern w:val="0"/>
                <w:sz w:val="24"/>
                <w:szCs w:val="24"/>
                <w:highlight w:val="none"/>
                <w:lang w:val="en-US" w:eastAsia="zh-CN" w:bidi="ar"/>
              </w:rPr>
              <w:t>）中的物质，没有恶臭气体的产生，项目浇注、搅砂制芯工序产生的非甲烷总烃排放执行</w:t>
            </w:r>
            <w:r>
              <w:rPr>
                <w:rFonts w:hint="default" w:ascii="Times New Roman" w:hAnsi="Times New Roman" w:eastAsia="宋体" w:cs="Times New Roman"/>
                <w:color w:val="auto"/>
                <w:kern w:val="0"/>
                <w:sz w:val="24"/>
                <w:szCs w:val="24"/>
                <w:highlight w:val="none"/>
                <w:lang w:val="en-US" w:eastAsia="zh-CN" w:bidi="ar"/>
              </w:rPr>
              <w:t>GB39726-2020</w:t>
            </w:r>
            <w:r>
              <w:rPr>
                <w:rFonts w:hint="eastAsia" w:ascii="宋体" w:hAnsi="宋体" w:eastAsia="宋体" w:cs="宋体"/>
                <w:color w:val="auto"/>
                <w:kern w:val="0"/>
                <w:sz w:val="24"/>
                <w:szCs w:val="24"/>
                <w:highlight w:val="none"/>
                <w:lang w:val="en-US" w:eastAsia="zh-CN" w:bidi="ar"/>
              </w:rPr>
              <w:t>《铸造工业大气污染物排放标准》中表</w:t>
            </w:r>
            <w:r>
              <w:rPr>
                <w:rFonts w:hint="default" w:ascii="Times New Roman" w:hAnsi="Times New Roman" w:eastAsia="宋体" w:cs="Times New Roman"/>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标准；</w:t>
            </w:r>
            <w:r>
              <w:rPr>
                <w:rFonts w:hint="default" w:ascii="Times New Roman" w:hAnsi="Times New Roman" w:eastAsia="宋体" w:cs="Times New Roman"/>
                <w:color w:val="auto"/>
                <w:kern w:val="0"/>
                <w:sz w:val="24"/>
                <w:szCs w:val="24"/>
                <w:highlight w:val="none"/>
                <w:lang w:val="en-US" w:eastAsia="zh-CN" w:bidi="ar"/>
              </w:rPr>
              <w:t>熔化、浇注、</w:t>
            </w:r>
            <w:r>
              <w:rPr>
                <w:rFonts w:hint="eastAsia" w:ascii="宋体" w:hAnsi="宋体" w:eastAsia="宋体" w:cs="宋体"/>
                <w:color w:val="auto"/>
                <w:kern w:val="0"/>
                <w:sz w:val="24"/>
                <w:szCs w:val="24"/>
                <w:highlight w:val="none"/>
                <w:lang w:val="en-US" w:eastAsia="zh-CN" w:bidi="ar"/>
              </w:rPr>
              <w:t>搅砂及制芯</w:t>
            </w:r>
            <w:r>
              <w:rPr>
                <w:rFonts w:hint="default" w:ascii="Times New Roman" w:hAnsi="Times New Roman"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落砂、抛丸、抛光、锻造、压铸</w:t>
            </w:r>
            <w:r>
              <w:rPr>
                <w:rFonts w:hint="eastAsia" w:cs="Times New Roman"/>
                <w:color w:val="auto"/>
                <w:kern w:val="0"/>
                <w:sz w:val="24"/>
                <w:szCs w:val="24"/>
                <w:highlight w:val="none"/>
                <w:lang w:val="en-US" w:eastAsia="zh-CN" w:bidi="ar"/>
              </w:rPr>
              <w:t>工序</w:t>
            </w:r>
            <w:r>
              <w:rPr>
                <w:rFonts w:hint="eastAsia" w:ascii="宋体" w:hAnsi="宋体" w:eastAsia="宋体" w:cs="宋体"/>
                <w:color w:val="auto"/>
                <w:kern w:val="0"/>
                <w:sz w:val="24"/>
                <w:szCs w:val="24"/>
                <w:highlight w:val="none"/>
                <w:lang w:val="en-US" w:eastAsia="zh-CN" w:bidi="ar"/>
              </w:rPr>
              <w:t>产生的颗粒物执行</w:t>
            </w:r>
            <w:r>
              <w:rPr>
                <w:rFonts w:hint="default" w:ascii="Times New Roman" w:hAnsi="Times New Roman" w:eastAsia="宋体" w:cs="Times New Roman"/>
                <w:color w:val="auto"/>
                <w:kern w:val="0"/>
                <w:sz w:val="24"/>
                <w:szCs w:val="24"/>
                <w:highlight w:val="none"/>
                <w:lang w:val="en-US" w:eastAsia="zh-CN" w:bidi="ar"/>
              </w:rPr>
              <w:t>GB39726-2020</w:t>
            </w:r>
            <w:r>
              <w:rPr>
                <w:rFonts w:hint="eastAsia" w:ascii="宋体" w:hAnsi="宋体" w:eastAsia="宋体" w:cs="宋体"/>
                <w:color w:val="auto"/>
                <w:kern w:val="0"/>
                <w:sz w:val="24"/>
                <w:szCs w:val="24"/>
                <w:highlight w:val="none"/>
                <w:lang w:val="en-US" w:eastAsia="zh-CN" w:bidi="ar"/>
              </w:rPr>
              <w:t>《铸造工业大气污染物排放标准》中表</w:t>
            </w:r>
            <w:r>
              <w:rPr>
                <w:rFonts w:hint="default" w:ascii="Times New Roman" w:hAnsi="Times New Roman" w:eastAsia="宋体" w:cs="Times New Roman"/>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标准；</w:t>
            </w:r>
            <w:r>
              <w:rPr>
                <w:rFonts w:hint="default" w:ascii="Times New Roman" w:hAnsi="Times New Roman" w:eastAsia="宋体" w:cs="Times New Roman"/>
                <w:color w:val="auto"/>
                <w:kern w:val="0"/>
                <w:sz w:val="24"/>
                <w:szCs w:val="24"/>
                <w:highlight w:val="none"/>
                <w:lang w:val="en-US" w:eastAsia="zh-CN" w:bidi="ar"/>
              </w:rPr>
              <w:t>烘干</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压合封边</w:t>
            </w:r>
            <w:r>
              <w:rPr>
                <w:rFonts w:hint="default" w:ascii="Times New Roman" w:hAnsi="Times New Roman" w:eastAsia="宋体" w:cs="Times New Roman"/>
                <w:color w:val="auto"/>
                <w:kern w:val="0"/>
                <w:sz w:val="24"/>
                <w:szCs w:val="24"/>
                <w:highlight w:val="none"/>
                <w:lang w:val="en-US" w:eastAsia="zh-CN" w:bidi="ar"/>
              </w:rPr>
              <w:t>工序</w:t>
            </w:r>
            <w:r>
              <w:rPr>
                <w:rFonts w:hint="eastAsia" w:ascii="宋体" w:hAnsi="宋体" w:eastAsia="宋体" w:cs="宋体"/>
                <w:color w:val="auto"/>
                <w:kern w:val="0"/>
                <w:sz w:val="24"/>
                <w:szCs w:val="24"/>
                <w:highlight w:val="none"/>
                <w:lang w:val="en-US" w:eastAsia="zh-CN" w:bidi="ar"/>
              </w:rPr>
              <w:t>产生的非甲烷总烃排放执行《工业涂装工序挥发性有机物排放标准》（</w:t>
            </w:r>
            <w:r>
              <w:rPr>
                <w:rFonts w:hint="default" w:ascii="Times New Roman" w:hAnsi="Times New Roman" w:eastAsia="宋体" w:cs="Times New Roman"/>
                <w:color w:val="auto"/>
                <w:kern w:val="0"/>
                <w:sz w:val="24"/>
                <w:szCs w:val="24"/>
                <w:highlight w:val="none"/>
                <w:lang w:val="en-US" w:eastAsia="zh-CN" w:bidi="ar"/>
              </w:rPr>
              <w:t>DB35/1783-2018</w:t>
            </w:r>
            <w:r>
              <w:rPr>
                <w:rFonts w:hint="eastAsia" w:ascii="宋体" w:hAnsi="宋体" w:eastAsia="宋体" w:cs="宋体"/>
                <w:color w:val="auto"/>
                <w:kern w:val="0"/>
                <w:sz w:val="24"/>
                <w:szCs w:val="24"/>
                <w:highlight w:val="none"/>
                <w:lang w:val="en-US" w:eastAsia="zh-CN" w:bidi="ar"/>
              </w:rPr>
              <w:t>）表</w:t>
            </w:r>
            <w:r>
              <w:rPr>
                <w:rFonts w:hint="default" w:ascii="Times New Roman" w:hAnsi="Times New Roman" w:eastAsia="宋体" w:cs="Times New Roman"/>
                <w:color w:val="auto"/>
                <w:kern w:val="0"/>
                <w:sz w:val="24"/>
                <w:szCs w:val="24"/>
                <w:highlight w:val="none"/>
                <w:lang w:val="en-US" w:eastAsia="zh-CN" w:bidi="ar"/>
              </w:rPr>
              <w:t>1</w:t>
            </w:r>
            <w:r>
              <w:rPr>
                <w:rFonts w:hint="eastAsia" w:ascii="Times New Roman" w:hAnsi="Times New Roman" w:eastAsia="宋体" w:cs="Times New Roman"/>
                <w:color w:val="auto"/>
                <w:kern w:val="0"/>
                <w:sz w:val="24"/>
                <w:szCs w:val="24"/>
                <w:highlight w:val="none"/>
                <w:lang w:val="en-US" w:eastAsia="zh-CN" w:bidi="ar"/>
              </w:rPr>
              <w:t>家具制造行业</w:t>
            </w:r>
            <w:r>
              <w:rPr>
                <w:rFonts w:hint="eastAsia" w:ascii="宋体" w:hAnsi="宋体" w:eastAsia="宋体" w:cs="宋体"/>
                <w:color w:val="auto"/>
                <w:kern w:val="0"/>
                <w:sz w:val="24"/>
                <w:szCs w:val="24"/>
                <w:highlight w:val="none"/>
                <w:lang w:val="en-US" w:eastAsia="zh-CN" w:bidi="ar"/>
              </w:rPr>
              <w:t xml:space="preserve">标准限值；喷漆工序产生的漆雾为颗粒物，排放执行《大气污染物综合排放标准》 </w:t>
            </w:r>
            <w:r>
              <w:rPr>
                <w:rFonts w:hint="default" w:ascii="Times New Roman" w:hAnsi="Times New Roman" w:eastAsia="宋体" w:cs="Times New Roman"/>
                <w:color w:val="auto"/>
                <w:kern w:val="0"/>
                <w:sz w:val="24"/>
                <w:szCs w:val="24"/>
                <w:highlight w:val="none"/>
                <w:lang w:val="en-US" w:eastAsia="zh-CN" w:bidi="ar"/>
              </w:rPr>
              <w:t>(GB16297-1996)</w:t>
            </w:r>
            <w:r>
              <w:rPr>
                <w:rFonts w:hint="eastAsia" w:ascii="宋体" w:hAnsi="宋体" w:eastAsia="宋体" w:cs="宋体"/>
                <w:color w:val="auto"/>
                <w:kern w:val="0"/>
                <w:sz w:val="24"/>
                <w:szCs w:val="24"/>
                <w:highlight w:val="none"/>
                <w:lang w:val="en-US" w:eastAsia="zh-CN" w:bidi="ar"/>
              </w:rPr>
              <w:t>表</w:t>
            </w:r>
            <w:r>
              <w:rPr>
                <w:rFonts w:hint="default" w:ascii="Times New Roman" w:hAnsi="Times New Roman" w:eastAsia="宋体" w:cs="Times New Roman"/>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排放监控浓度限值；注塑</w:t>
            </w:r>
            <w:r>
              <w:rPr>
                <w:rFonts w:hint="eastAsia" w:ascii="Times New Roman" w:hAnsi="Times New Roman" w:eastAsia="宋体" w:cs="Times New Roman"/>
                <w:color w:val="auto"/>
                <w:kern w:val="0"/>
                <w:sz w:val="24"/>
                <w:highlight w:val="none"/>
                <w:lang w:val="en-US" w:eastAsia="zh-CN"/>
              </w:rPr>
              <w:t>工序产生的</w:t>
            </w:r>
            <w:r>
              <w:rPr>
                <w:rFonts w:hint="eastAsia" w:ascii="宋体" w:hAnsi="宋体" w:eastAsia="宋体" w:cs="宋体"/>
                <w:color w:val="auto"/>
                <w:kern w:val="0"/>
                <w:sz w:val="24"/>
                <w:szCs w:val="24"/>
                <w:highlight w:val="none"/>
                <w:lang w:val="en-US" w:eastAsia="zh-CN" w:bidi="ar"/>
              </w:rPr>
              <w:t>非甲烷总烃</w:t>
            </w:r>
            <w:r>
              <w:rPr>
                <w:rFonts w:hint="default" w:ascii="Times New Roman" w:hAnsi="Times New Roman" w:eastAsia="宋体" w:cs="Times New Roman"/>
                <w:color w:val="auto"/>
                <w:kern w:val="0"/>
                <w:sz w:val="24"/>
                <w:highlight w:val="none"/>
              </w:rPr>
              <w:t>排放执行《合成树脂工业污染物排放标准》(GB31572-2015)表4标准限值</w:t>
            </w:r>
            <w:r>
              <w:rPr>
                <w:rFonts w:hint="eastAsia" w:ascii="Times New Roman" w:hAnsi="Times New Roman" w:eastAsia="宋体" w:cs="Times New Roman"/>
                <w:color w:val="auto"/>
                <w:kern w:val="0"/>
                <w:sz w:val="24"/>
                <w:highlight w:val="none"/>
                <w:lang w:eastAsia="zh-CN"/>
              </w:rPr>
              <w:t>，</w:t>
            </w:r>
            <w:r>
              <w:rPr>
                <w:rFonts w:hint="eastAsia" w:ascii="宋体" w:hAnsi="宋体" w:eastAsia="宋体" w:cs="宋体"/>
                <w:color w:val="auto"/>
                <w:kern w:val="0"/>
                <w:sz w:val="24"/>
                <w:szCs w:val="24"/>
                <w:highlight w:val="none"/>
                <w:lang w:val="en-US" w:eastAsia="zh-CN" w:bidi="ar"/>
              </w:rPr>
              <w:t>单位产品非甲烷总烃排放量限值执行《合成树脂工业污染物排放标准》（</w:t>
            </w:r>
            <w:r>
              <w:rPr>
                <w:rFonts w:hint="default" w:ascii="Times New Roman" w:hAnsi="Times New Roman" w:eastAsia="宋体" w:cs="Times New Roman"/>
                <w:color w:val="auto"/>
                <w:kern w:val="0"/>
                <w:sz w:val="24"/>
                <w:szCs w:val="24"/>
                <w:highlight w:val="none"/>
                <w:lang w:val="en-US" w:eastAsia="zh-CN" w:bidi="ar"/>
              </w:rPr>
              <w:t>GB31572-2015</w:t>
            </w:r>
            <w:r>
              <w:rPr>
                <w:rFonts w:hint="eastAsia" w:ascii="宋体" w:hAnsi="宋体" w:eastAsia="宋体" w:cs="宋体"/>
                <w:color w:val="auto"/>
                <w:kern w:val="0"/>
                <w:sz w:val="24"/>
                <w:szCs w:val="24"/>
                <w:highlight w:val="none"/>
                <w:lang w:val="en-US" w:eastAsia="zh-CN" w:bidi="ar"/>
              </w:rPr>
              <w:t>）表</w:t>
            </w:r>
            <w:r>
              <w:rPr>
                <w:rFonts w:hint="default" w:ascii="Times New Roman" w:hAnsi="Times New Roman" w:eastAsia="宋体" w:cs="Times New Roman"/>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val="en-US" w:eastAsia="zh-CN" w:bidi="ar"/>
              </w:rPr>
              <w:t>中的排放标准。</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color w:val="auto"/>
                <w:sz w:val="24"/>
                <w:highlight w:val="none"/>
              </w:rPr>
            </w:pPr>
            <w:r>
              <w:rPr>
                <w:rFonts w:hint="default" w:ascii="Times New Roman" w:hAnsi="Times New Roman" w:eastAsia="宋体" w:cs="Times New Roman"/>
                <w:color w:val="auto"/>
                <w:kern w:val="0"/>
                <w:sz w:val="24"/>
                <w:szCs w:val="24"/>
                <w:lang w:val="en-US" w:eastAsia="zh-CN" w:bidi="ar"/>
              </w:rPr>
              <w:t>无组织非甲烷总烃厂区内排放执行《工业涂装工序挥发性有机物排放标准》（DB35/1783-2018）中表3及《铸造工业大气污染物排放标准》(GB39726-2020)附表A</w:t>
            </w:r>
            <w:r>
              <w:rPr>
                <w:rFonts w:hint="eastAsia" w:cs="Times New Roman"/>
                <w:color w:val="auto"/>
                <w:kern w:val="0"/>
                <w:sz w:val="24"/>
                <w:szCs w:val="24"/>
                <w:lang w:val="en-US" w:eastAsia="zh-CN" w:bidi="ar"/>
              </w:rPr>
              <w:t>.1</w:t>
            </w:r>
            <w:r>
              <w:rPr>
                <w:rFonts w:hint="default" w:ascii="Times New Roman" w:hAnsi="Times New Roman" w:eastAsia="宋体" w:cs="Times New Roman"/>
                <w:color w:val="auto"/>
                <w:kern w:val="0"/>
                <w:sz w:val="24"/>
                <w:szCs w:val="24"/>
                <w:lang w:val="en-US" w:eastAsia="zh-CN" w:bidi="ar"/>
              </w:rPr>
              <w:t>规定的排放限值中</w:t>
            </w:r>
            <w:r>
              <w:rPr>
                <w:rFonts w:hint="eastAsia" w:ascii="Times New Roman" w:hAnsi="Times New Roman" w:cs="Times New Roman"/>
                <w:color w:val="auto"/>
                <w:kern w:val="0"/>
                <w:sz w:val="24"/>
                <w:szCs w:val="24"/>
                <w:lang w:val="en-US" w:eastAsia="zh-CN" w:bidi="ar"/>
              </w:rPr>
              <w:t>的</w:t>
            </w:r>
            <w:r>
              <w:rPr>
                <w:rFonts w:hint="default" w:ascii="Times New Roman" w:hAnsi="Times New Roman" w:eastAsia="宋体" w:cs="Times New Roman"/>
                <w:color w:val="auto"/>
                <w:kern w:val="0"/>
                <w:sz w:val="24"/>
                <w:szCs w:val="24"/>
                <w:lang w:val="en-US" w:eastAsia="zh-CN" w:bidi="ar"/>
              </w:rPr>
              <w:t>较严者</w:t>
            </w:r>
            <w:r>
              <w:rPr>
                <w:rFonts w:hint="eastAsia" w:cs="Times New Roman"/>
                <w:color w:val="auto"/>
                <w:kern w:val="0"/>
                <w:sz w:val="24"/>
                <w:szCs w:val="24"/>
                <w:lang w:val="en-US" w:eastAsia="zh-CN" w:bidi="ar"/>
              </w:rPr>
              <w:t>，</w:t>
            </w:r>
            <w:r>
              <w:rPr>
                <w:rFonts w:hint="eastAsia" w:ascii="Times New Roman" w:hAnsi="Times New Roman" w:eastAsia="宋体" w:cs="Times New Roman"/>
                <w:color w:val="0000FF"/>
                <w:kern w:val="0"/>
                <w:sz w:val="24"/>
                <w:szCs w:val="24"/>
                <w:lang w:val="en-US" w:eastAsia="zh-CN" w:bidi="ar"/>
              </w:rPr>
              <w:t>即</w:t>
            </w:r>
            <w:r>
              <w:rPr>
                <w:rFonts w:hint="default" w:ascii="Times New Roman" w:hAnsi="Times New Roman" w:eastAsia="宋体" w:cs="Times New Roman"/>
                <w:color w:val="0000FF"/>
                <w:kern w:val="0"/>
                <w:sz w:val="24"/>
                <w:szCs w:val="24"/>
                <w:lang w:val="en-US" w:eastAsia="zh-CN" w:bidi="ar"/>
              </w:rPr>
              <w:t>无组织非甲烷总烃厂区内监控点处1h平均浓度值排放执行《工业涂装工序挥发性有机物排放标准》（DB35/1783-2018）中表3</w:t>
            </w:r>
            <w:r>
              <w:rPr>
                <w:rFonts w:hint="eastAsia" w:cs="Times New Roman"/>
                <w:color w:val="0000FF"/>
                <w:kern w:val="0"/>
                <w:sz w:val="24"/>
                <w:szCs w:val="24"/>
                <w:lang w:val="en-US" w:eastAsia="zh-CN" w:bidi="ar"/>
              </w:rPr>
              <w:t>限值，</w:t>
            </w:r>
            <w:r>
              <w:rPr>
                <w:rFonts w:hint="default" w:ascii="Times New Roman" w:hAnsi="Times New Roman" w:eastAsia="宋体" w:cs="Times New Roman"/>
                <w:color w:val="0000FF"/>
                <w:kern w:val="0"/>
                <w:sz w:val="24"/>
                <w:szCs w:val="24"/>
                <w:lang w:val="en-US" w:eastAsia="zh-CN" w:bidi="ar"/>
              </w:rPr>
              <w:t>无组织非甲烷总烃厂区内监控点处任意一次浓度值排放执行《铸造工业大气污染物排放标准》(GB39726-2020)附表A</w:t>
            </w:r>
            <w:r>
              <w:rPr>
                <w:rFonts w:hint="eastAsia" w:ascii="Times New Roman" w:hAnsi="Times New Roman" w:eastAsia="宋体" w:cs="Times New Roman"/>
                <w:color w:val="0000FF"/>
                <w:kern w:val="0"/>
                <w:sz w:val="24"/>
                <w:szCs w:val="24"/>
                <w:lang w:val="en-US" w:eastAsia="zh-CN" w:bidi="ar"/>
              </w:rPr>
              <w:t>.1</w:t>
            </w:r>
            <w:r>
              <w:rPr>
                <w:rFonts w:hint="default" w:ascii="Times New Roman" w:hAnsi="Times New Roman" w:eastAsia="宋体" w:cs="Times New Roman"/>
                <w:color w:val="0000FF"/>
                <w:kern w:val="0"/>
                <w:sz w:val="24"/>
                <w:szCs w:val="24"/>
                <w:lang w:val="en-US" w:eastAsia="zh-CN" w:bidi="ar"/>
              </w:rPr>
              <w:t>规定的排放限</w:t>
            </w:r>
            <w:r>
              <w:rPr>
                <w:rFonts w:hint="eastAsia" w:cs="Times New Roman"/>
                <w:color w:val="0000FF"/>
                <w:kern w:val="0"/>
                <w:sz w:val="24"/>
                <w:szCs w:val="24"/>
                <w:lang w:val="en-US" w:eastAsia="zh-CN" w:bidi="ar"/>
              </w:rPr>
              <w:t>值</w:t>
            </w:r>
            <w:r>
              <w:rPr>
                <w:rFonts w:hint="eastAsia" w:ascii="Times New Roman" w:hAnsi="Times New Roman" w:eastAsia="宋体" w:cs="Times New Roman"/>
                <w:color w:val="0000FF"/>
                <w:kern w:val="0"/>
                <w:sz w:val="24"/>
                <w:szCs w:val="24"/>
                <w:lang w:val="en-US" w:eastAsia="zh-CN" w:bidi="ar"/>
              </w:rPr>
              <w:t>；</w:t>
            </w:r>
            <w:r>
              <w:rPr>
                <w:rFonts w:hint="default" w:ascii="Times New Roman" w:hAnsi="Times New Roman" w:eastAsia="宋体" w:cs="Times New Roman"/>
                <w:color w:val="auto"/>
                <w:kern w:val="0"/>
                <w:sz w:val="24"/>
                <w:szCs w:val="24"/>
                <w:highlight w:val="none"/>
                <w:lang w:val="en-US" w:eastAsia="zh-CN" w:bidi="ar"/>
              </w:rPr>
              <w:t>颗粒物厂界无组织监控点浓度</w:t>
            </w:r>
            <w:r>
              <w:rPr>
                <w:rFonts w:hint="eastAsia" w:cs="Times New Roman"/>
                <w:color w:val="auto"/>
                <w:kern w:val="0"/>
                <w:sz w:val="24"/>
                <w:szCs w:val="24"/>
                <w:highlight w:val="none"/>
                <w:lang w:val="en-US" w:eastAsia="zh-CN" w:bidi="ar"/>
              </w:rPr>
              <w:t>参照</w:t>
            </w:r>
            <w:r>
              <w:rPr>
                <w:rFonts w:hint="default" w:ascii="Times New Roman" w:hAnsi="Times New Roman" w:eastAsia="宋体" w:cs="Times New Roman"/>
                <w:color w:val="auto"/>
                <w:kern w:val="0"/>
                <w:sz w:val="24"/>
                <w:szCs w:val="24"/>
                <w:highlight w:val="none"/>
                <w:lang w:val="en-US" w:eastAsia="zh-CN" w:bidi="ar"/>
              </w:rPr>
              <w:t>《大气污染物综合排放标准》（GB16297-1996）</w:t>
            </w:r>
            <w:r>
              <w:rPr>
                <w:rFonts w:hint="eastAsia" w:cs="Times New Roman"/>
                <w:color w:val="auto"/>
                <w:kern w:val="0"/>
                <w:sz w:val="24"/>
                <w:szCs w:val="24"/>
                <w:highlight w:val="none"/>
                <w:lang w:val="en-US" w:eastAsia="zh-CN" w:bidi="ar"/>
              </w:rPr>
              <w:t>表2</w:t>
            </w:r>
            <w:r>
              <w:rPr>
                <w:rFonts w:hint="default" w:ascii="Times New Roman" w:hAnsi="Times New Roman" w:eastAsia="宋体" w:cs="Times New Roman"/>
                <w:color w:val="auto"/>
                <w:kern w:val="0"/>
                <w:sz w:val="24"/>
                <w:szCs w:val="24"/>
                <w:highlight w:val="none"/>
                <w:lang w:val="en-US" w:eastAsia="zh-CN" w:bidi="ar"/>
              </w:rPr>
              <w:t>中规定的</w:t>
            </w:r>
            <w:r>
              <w:rPr>
                <w:rFonts w:hint="eastAsia" w:cs="Times New Roman"/>
                <w:color w:val="auto"/>
                <w:kern w:val="0"/>
                <w:sz w:val="24"/>
                <w:szCs w:val="24"/>
                <w:highlight w:val="none"/>
                <w:lang w:val="en-US" w:eastAsia="zh-CN" w:bidi="ar"/>
              </w:rPr>
              <w:t>无组织</w:t>
            </w:r>
            <w:r>
              <w:rPr>
                <w:rFonts w:hint="default" w:ascii="Times New Roman" w:hAnsi="Times New Roman" w:eastAsia="宋体" w:cs="Times New Roman"/>
                <w:color w:val="auto"/>
                <w:kern w:val="0"/>
                <w:sz w:val="24"/>
                <w:szCs w:val="24"/>
                <w:highlight w:val="none"/>
                <w:lang w:val="en-US" w:eastAsia="zh-CN" w:bidi="ar"/>
              </w:rPr>
              <w:t>排放限值执行；颗粒物</w:t>
            </w:r>
            <w:r>
              <w:rPr>
                <w:rFonts w:hint="eastAsia" w:cs="Times New Roman"/>
                <w:color w:val="auto"/>
                <w:kern w:val="0"/>
                <w:sz w:val="24"/>
                <w:szCs w:val="24"/>
                <w:highlight w:val="none"/>
                <w:lang w:val="en-US" w:eastAsia="zh-CN" w:bidi="ar"/>
              </w:rPr>
              <w:t>厂区内</w:t>
            </w:r>
            <w:r>
              <w:rPr>
                <w:rFonts w:hint="default" w:ascii="Times New Roman" w:hAnsi="Times New Roman" w:eastAsia="宋体" w:cs="Times New Roman"/>
                <w:color w:val="auto"/>
                <w:kern w:val="0"/>
                <w:sz w:val="24"/>
                <w:szCs w:val="24"/>
                <w:highlight w:val="none"/>
                <w:lang w:val="en-US" w:eastAsia="zh-CN" w:bidi="ar"/>
              </w:rPr>
              <w:t>无组织监控点浓度</w:t>
            </w:r>
            <w:r>
              <w:rPr>
                <w:rFonts w:hint="eastAsia" w:cs="Times New Roman"/>
                <w:color w:val="auto"/>
                <w:kern w:val="0"/>
                <w:sz w:val="24"/>
                <w:szCs w:val="24"/>
                <w:highlight w:val="none"/>
                <w:lang w:val="en-US" w:eastAsia="zh-CN" w:bidi="ar"/>
              </w:rPr>
              <w:t>按</w:t>
            </w:r>
            <w:r>
              <w:rPr>
                <w:rFonts w:hint="default" w:ascii="Times New Roman" w:hAnsi="Times New Roman" w:eastAsia="宋体" w:cs="Times New Roman"/>
                <w:color w:val="auto"/>
                <w:kern w:val="0"/>
                <w:sz w:val="24"/>
                <w:szCs w:val="24"/>
                <w:lang w:val="en-US" w:eastAsia="zh-CN" w:bidi="ar"/>
              </w:rPr>
              <w:t>《铸造工业大气污染物排放标准》(GB39726-2020)附表A</w:t>
            </w:r>
            <w:r>
              <w:rPr>
                <w:rFonts w:hint="eastAsia" w:cs="Times New Roman"/>
                <w:color w:val="auto"/>
                <w:kern w:val="0"/>
                <w:sz w:val="24"/>
                <w:szCs w:val="24"/>
                <w:lang w:val="en-US" w:eastAsia="zh-CN" w:bidi="ar"/>
              </w:rPr>
              <w:t>.1</w:t>
            </w:r>
            <w:r>
              <w:rPr>
                <w:rFonts w:hint="default" w:ascii="Times New Roman" w:hAnsi="Times New Roman" w:eastAsia="宋体" w:cs="Times New Roman"/>
                <w:color w:val="auto"/>
                <w:kern w:val="0"/>
                <w:sz w:val="24"/>
                <w:szCs w:val="24"/>
                <w:lang w:val="en-US" w:eastAsia="zh-CN" w:bidi="ar"/>
              </w:rPr>
              <w:t>规定的排放限值</w:t>
            </w:r>
            <w:r>
              <w:rPr>
                <w:rFonts w:hint="default" w:ascii="Times New Roman" w:hAnsi="Times New Roman" w:eastAsia="宋体" w:cs="Times New Roman"/>
                <w:color w:val="auto"/>
                <w:kern w:val="0"/>
                <w:sz w:val="24"/>
                <w:szCs w:val="24"/>
                <w:highlight w:val="none"/>
                <w:lang w:val="en-US" w:eastAsia="zh-CN" w:bidi="ar"/>
              </w:rPr>
              <w:t>执行；非甲烷总烃厂界无组织监控点浓度</w:t>
            </w:r>
            <w:r>
              <w:rPr>
                <w:rFonts w:hint="eastAsia" w:cs="Times New Roman"/>
                <w:color w:val="auto"/>
                <w:kern w:val="0"/>
                <w:sz w:val="24"/>
                <w:szCs w:val="24"/>
                <w:highlight w:val="none"/>
                <w:lang w:val="en-US" w:eastAsia="zh-CN" w:bidi="ar"/>
              </w:rPr>
              <w:t>参照</w:t>
            </w:r>
            <w:r>
              <w:rPr>
                <w:rFonts w:hint="default" w:ascii="Times New Roman" w:hAnsi="Times New Roman" w:eastAsia="宋体" w:cs="Times New Roman"/>
                <w:color w:val="auto"/>
                <w:kern w:val="0"/>
                <w:sz w:val="24"/>
                <w:szCs w:val="24"/>
                <w:highlight w:val="none"/>
                <w:lang w:val="en-US" w:eastAsia="zh-CN" w:bidi="ar"/>
              </w:rPr>
              <w:t>《工业涂装工序挥发性有机物排放标准》（DB35/1783-2018）中表4规定的排放限值执行</w:t>
            </w:r>
            <w:r>
              <w:rPr>
                <w:rFonts w:hint="eastAsia" w:ascii="Times New Roman" w:hAnsi="Times New Roman" w:eastAsia="宋体" w:cs="Times New Roman"/>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具体执行标准限值</w:t>
            </w:r>
            <w:r>
              <w:rPr>
                <w:color w:val="auto"/>
                <w:sz w:val="24"/>
                <w:highlight w:val="none"/>
              </w:rPr>
              <w:t>详见表</w:t>
            </w:r>
            <w:r>
              <w:rPr>
                <w:rFonts w:hint="eastAsia"/>
                <w:color w:val="auto"/>
                <w:sz w:val="24"/>
                <w:highlight w:val="none"/>
                <w:lang w:val="en-US" w:eastAsia="zh-CN"/>
              </w:rPr>
              <w:t>3.8-2</w:t>
            </w:r>
            <w:r>
              <w:rPr>
                <w:color w:val="auto"/>
                <w:sz w:val="24"/>
                <w:highlight w:val="none"/>
              </w:rPr>
              <w:t>、表</w:t>
            </w:r>
            <w:r>
              <w:rPr>
                <w:rFonts w:hint="eastAsia"/>
                <w:color w:val="auto"/>
                <w:sz w:val="24"/>
                <w:highlight w:val="none"/>
                <w:lang w:val="en-US" w:eastAsia="zh-CN"/>
              </w:rPr>
              <w:t>3.8-3</w:t>
            </w:r>
            <w:r>
              <w:rPr>
                <w:rFonts w:hint="eastAsia"/>
                <w:color w:val="auto"/>
                <w:sz w:val="24"/>
                <w:highlight w:val="none"/>
              </w:rPr>
              <w:t>。</w:t>
            </w:r>
          </w:p>
          <w:p>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jc w:val="center"/>
              <w:textAlignment w:val="auto"/>
              <w:rPr>
                <w:b/>
                <w:bCs/>
                <w:color w:val="auto"/>
                <w:sz w:val="24"/>
                <w:highlight w:val="none"/>
                <w:lang w:val="en-US" w:eastAsia="zh-CN"/>
              </w:rPr>
            </w:pPr>
            <w:r>
              <w:rPr>
                <w:b/>
                <w:bCs/>
                <w:color w:val="auto"/>
                <w:sz w:val="24"/>
                <w:highlight w:val="none"/>
                <w:lang w:val="en-US" w:eastAsia="zh-CN"/>
              </w:rPr>
              <w:t>表3</w:t>
            </w:r>
            <w:r>
              <w:rPr>
                <w:rFonts w:hint="eastAsia"/>
                <w:b/>
                <w:bCs/>
                <w:color w:val="auto"/>
                <w:sz w:val="24"/>
                <w:highlight w:val="none"/>
                <w:lang w:val="en-US" w:eastAsia="zh-CN"/>
              </w:rPr>
              <w:t>.8-2</w:t>
            </w:r>
            <w:r>
              <w:rPr>
                <w:rFonts w:hint="eastAsia" w:ascii="宋体" w:hAnsi="宋体" w:eastAsia="宋体" w:cs="宋体"/>
                <w:b/>
                <w:bCs/>
                <w:color w:val="auto"/>
                <w:kern w:val="0"/>
                <w:sz w:val="24"/>
                <w:szCs w:val="24"/>
                <w:highlight w:val="none"/>
                <w:lang w:val="en-US" w:eastAsia="zh-CN" w:bidi="ar"/>
              </w:rPr>
              <w:t>有组织废气及厂界废气污染物排放限值要求</w:t>
            </w:r>
          </w:p>
          <w:tbl>
            <w:tblPr>
              <w:tblStyle w:val="28"/>
              <w:tblW w:w="867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2"/>
              <w:gridCol w:w="889"/>
              <w:gridCol w:w="4"/>
              <w:gridCol w:w="2834"/>
              <w:gridCol w:w="5"/>
              <w:gridCol w:w="1582"/>
              <w:gridCol w:w="2"/>
              <w:gridCol w:w="5"/>
              <w:gridCol w:w="2185"/>
              <w:gridCol w:w="2"/>
              <w:gridCol w:w="5"/>
              <w:gridCol w:w="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32" w:type="pct"/>
                <w:trHeight w:val="227" w:hRule="atLeast"/>
                <w:jc w:val="center"/>
              </w:trPr>
              <w:tc>
                <w:tcPr>
                  <w:tcW w:w="635" w:type="pct"/>
                  <w:vAlign w:val="center"/>
                </w:tcPr>
                <w:p>
                  <w:pPr>
                    <w:keepNext w:val="0"/>
                    <w:keepLines w:val="0"/>
                    <w:pageBreakBefore w:val="0"/>
                    <w:widowControl/>
                    <w:suppressLineNumbers w:val="0"/>
                    <w:kinsoku/>
                    <w:wordWrap/>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highlight w:val="none"/>
                    </w:rPr>
                  </w:pPr>
                  <w:r>
                    <w:rPr>
                      <w:rFonts w:hint="eastAsia" w:ascii="宋体" w:hAnsi="宋体" w:eastAsia="宋体" w:cs="宋体"/>
                      <w:b/>
                      <w:bCs/>
                      <w:color w:val="auto"/>
                      <w:kern w:val="0"/>
                      <w:sz w:val="21"/>
                      <w:szCs w:val="21"/>
                      <w:highlight w:val="none"/>
                      <w:lang w:val="en-US" w:eastAsia="zh-CN" w:bidi="ar"/>
                    </w:rPr>
                    <w:t>生产工序</w:t>
                  </w:r>
                </w:p>
              </w:tc>
              <w:tc>
                <w:tcPr>
                  <w:tcW w:w="514" w:type="pct"/>
                  <w:gridSpan w:val="2"/>
                  <w:vAlign w:val="center"/>
                </w:tcPr>
                <w:p>
                  <w:pPr>
                    <w:keepNext w:val="0"/>
                    <w:keepLines w:val="0"/>
                    <w:pageBreakBefore w:val="0"/>
                    <w:widowControl/>
                    <w:suppressLineNumbers w:val="0"/>
                    <w:kinsoku/>
                    <w:wordWrap/>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eastAsia" w:ascii="宋体" w:hAnsi="宋体" w:eastAsia="宋体" w:cs="宋体"/>
                      <w:b/>
                      <w:bCs/>
                      <w:color w:val="auto"/>
                      <w:kern w:val="0"/>
                      <w:sz w:val="21"/>
                      <w:szCs w:val="21"/>
                      <w:highlight w:val="none"/>
                      <w:lang w:val="en-US" w:eastAsia="zh-CN" w:bidi="ar"/>
                    </w:rPr>
                    <w:t>污染物</w:t>
                  </w:r>
                </w:p>
              </w:tc>
              <w:tc>
                <w:tcPr>
                  <w:tcW w:w="2552" w:type="pct"/>
                  <w:gridSpan w:val="5"/>
                  <w:vAlign w:val="center"/>
                </w:tcPr>
                <w:p>
                  <w:pPr>
                    <w:keepNext w:val="0"/>
                    <w:keepLines w:val="0"/>
                    <w:pageBreakBefore w:val="0"/>
                    <w:widowControl/>
                    <w:suppressLineNumbers w:val="0"/>
                    <w:kinsoku/>
                    <w:wordWrap/>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eastAsia" w:ascii="宋体" w:hAnsi="宋体" w:eastAsia="宋体" w:cs="宋体"/>
                      <w:b/>
                      <w:bCs/>
                      <w:color w:val="auto"/>
                      <w:kern w:val="0"/>
                      <w:sz w:val="21"/>
                      <w:szCs w:val="21"/>
                      <w:highlight w:val="none"/>
                      <w:lang w:val="en-US" w:eastAsia="zh-CN" w:bidi="ar"/>
                    </w:rPr>
                    <w:t>标准值</w:t>
                  </w:r>
                </w:p>
              </w:tc>
              <w:tc>
                <w:tcPr>
                  <w:tcW w:w="1264" w:type="pct"/>
                  <w:gridSpan w:val="3"/>
                  <w:vAlign w:val="center"/>
                </w:tcPr>
                <w:p>
                  <w:pPr>
                    <w:keepNext w:val="0"/>
                    <w:keepLines w:val="0"/>
                    <w:pageBreakBefore w:val="0"/>
                    <w:widowControl/>
                    <w:suppressLineNumbers w:val="0"/>
                    <w:kinsoku/>
                    <w:wordWrap/>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eastAsia" w:ascii="宋体" w:hAnsi="宋体" w:eastAsia="宋体" w:cs="宋体"/>
                      <w:b/>
                      <w:bCs/>
                      <w:color w:val="auto"/>
                      <w:kern w:val="0"/>
                      <w:sz w:val="21"/>
                      <w:szCs w:val="21"/>
                      <w:highlight w:val="none"/>
                      <w:lang w:val="en-US" w:eastAsia="zh-CN" w:bidi="ar"/>
                    </w:rPr>
                    <w:t>评价标准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3"/>
                <w:wAfter w:w="32" w:type="pct"/>
                <w:trHeight w:val="229" w:hRule="atLeast"/>
                <w:jc w:val="center"/>
              </w:trPr>
              <w:tc>
                <w:tcPr>
                  <w:tcW w:w="635" w:type="pct"/>
                  <w:vMerge w:val="restart"/>
                  <w:vAlign w:val="center"/>
                </w:tcPr>
                <w:p>
                  <w:pPr>
                    <w:pStyle w:val="34"/>
                    <w:keepLines w:val="0"/>
                    <w:pageBreakBefore w:val="0"/>
                    <w:widowControl w:val="0"/>
                    <w:kinsoku/>
                    <w:wordWrap/>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宋体" w:hAnsi="宋体" w:eastAsia="宋体" w:cs="宋体"/>
                      <w:color w:val="auto"/>
                      <w:kern w:val="0"/>
                      <w:sz w:val="21"/>
                      <w:szCs w:val="21"/>
                      <w:lang w:val="en-US" w:eastAsia="zh-CN" w:bidi="ar"/>
                    </w:rPr>
                    <w:t>制芯、熔化、浇注、落砂、抛丸、抛光、锻造、压铸</w:t>
                  </w:r>
                  <w:r>
                    <w:rPr>
                      <w:rFonts w:hint="eastAsia" w:cs="Times New Roman"/>
                      <w:color w:val="auto"/>
                      <w:kern w:val="0"/>
                      <w:sz w:val="21"/>
                      <w:szCs w:val="21"/>
                      <w:highlight w:val="none"/>
                      <w:lang w:val="en-US" w:eastAsia="zh-CN" w:bidi="ar"/>
                    </w:rPr>
                    <w:t>工序</w:t>
                  </w:r>
                </w:p>
              </w:tc>
              <w:tc>
                <w:tcPr>
                  <w:tcW w:w="514" w:type="pct"/>
                  <w:gridSpan w:val="2"/>
                  <w:vMerge w:val="restart"/>
                  <w:vAlign w:val="center"/>
                </w:tcPr>
                <w:p>
                  <w:pPr>
                    <w:pStyle w:val="5"/>
                    <w:keepLines w:val="0"/>
                    <w:pageBreakBefore w:val="0"/>
                    <w:widowControl w:val="0"/>
                    <w:numPr>
                      <w:ilvl w:val="2"/>
                      <w:numId w:val="0"/>
                    </w:numPr>
                    <w:kinsoku/>
                    <w:wordWrap/>
                    <w:topLinePunct w:val="0"/>
                    <w:autoSpaceDE/>
                    <w:autoSpaceDN/>
                    <w:bidi w:val="0"/>
                    <w:adjustRightInd w:val="0"/>
                    <w:snapToGrid w:val="0"/>
                    <w:spacing w:before="0" w:after="0" w:line="240" w:lineRule="auto"/>
                    <w:ind w:left="0" w:leftChars="0"/>
                    <w:jc w:val="center"/>
                    <w:textAlignment w:val="auto"/>
                    <w:rPr>
                      <w:rFonts w:hint="eastAsia" w:ascii="Times New Roman" w:hAnsi="Times New Roman" w:eastAsia="宋体" w:cs="Times New Roman"/>
                      <w:b w:val="0"/>
                      <w:bCs w:val="0"/>
                      <w:color w:val="auto"/>
                      <w:sz w:val="21"/>
                      <w:szCs w:val="21"/>
                      <w:highlight w:val="none"/>
                      <w:lang w:eastAsia="zh-CN"/>
                    </w:rPr>
                  </w:pPr>
                  <w:r>
                    <w:rPr>
                      <w:rFonts w:hint="eastAsia" w:eastAsia="宋体" w:cs="Times New Roman"/>
                      <w:b w:val="0"/>
                      <w:bCs w:val="0"/>
                      <w:color w:val="auto"/>
                      <w:sz w:val="21"/>
                      <w:szCs w:val="21"/>
                      <w:highlight w:val="none"/>
                      <w:lang w:val="en-US" w:eastAsia="zh-CN"/>
                    </w:rPr>
                    <w:t>颗粒物</w:t>
                  </w:r>
                </w:p>
              </w:tc>
              <w:tc>
                <w:tcPr>
                  <w:tcW w:w="1636" w:type="pct"/>
                  <w:gridSpan w:val="2"/>
                  <w:vAlign w:val="center"/>
                </w:tcPr>
                <w:p>
                  <w:pPr>
                    <w:pStyle w:val="5"/>
                    <w:keepLines w:val="0"/>
                    <w:pageBreakBefore w:val="0"/>
                    <w:widowControl w:val="0"/>
                    <w:numPr>
                      <w:ilvl w:val="2"/>
                      <w:numId w:val="0"/>
                    </w:numPr>
                    <w:kinsoku/>
                    <w:wordWrap/>
                    <w:topLinePunct w:val="0"/>
                    <w:autoSpaceDE/>
                    <w:autoSpaceDN/>
                    <w:bidi w:val="0"/>
                    <w:adjustRightInd w:val="0"/>
                    <w:snapToGrid w:val="0"/>
                    <w:spacing w:before="0"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最高允许排放浓度（mg/m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rPr>
                    <w:t>）</w:t>
                  </w:r>
                </w:p>
              </w:tc>
              <w:tc>
                <w:tcPr>
                  <w:tcW w:w="915" w:type="pct"/>
                  <w:gridSpan w:val="2"/>
                  <w:vAlign w:val="center"/>
                </w:tcPr>
                <w:p>
                  <w:pPr>
                    <w:pStyle w:val="5"/>
                    <w:keepNext/>
                    <w:keepLines w:val="0"/>
                    <w:pageBreakBefore w:val="0"/>
                    <w:widowControl w:val="0"/>
                    <w:numPr>
                      <w:ilvl w:val="2"/>
                      <w:numId w:val="0"/>
                    </w:numPr>
                    <w:kinsoku/>
                    <w:wordWrap/>
                    <w:overflowPunct w:val="0"/>
                    <w:topLinePunct w:val="0"/>
                    <w:autoSpaceDE/>
                    <w:autoSpaceDN/>
                    <w:bidi w:val="0"/>
                    <w:adjustRightInd w:val="0"/>
                    <w:snapToGrid w:val="0"/>
                    <w:spacing w:before="0" w:after="0" w:line="240" w:lineRule="auto"/>
                    <w:ind w:left="0" w:leftChars="0" w:firstLine="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eastAsia="宋体" w:cs="Times New Roman"/>
                      <w:b w:val="0"/>
                      <w:bCs w:val="0"/>
                      <w:color w:val="auto"/>
                      <w:sz w:val="21"/>
                      <w:szCs w:val="21"/>
                      <w:highlight w:val="none"/>
                      <w:lang w:val="en-US" w:eastAsia="zh-CN"/>
                    </w:rPr>
                    <w:t>30</w:t>
                  </w:r>
                </w:p>
              </w:tc>
              <w:tc>
                <w:tcPr>
                  <w:tcW w:w="1264" w:type="pct"/>
                  <w:gridSpan w:val="3"/>
                  <w:vMerge w:val="restart"/>
                  <w:vAlign w:val="center"/>
                </w:tcPr>
                <w:p>
                  <w:pPr>
                    <w:keepNext w:val="0"/>
                    <w:keepLines w:val="0"/>
                    <w:pageBreakBefore w:val="0"/>
                    <w:widowControl/>
                    <w:suppressLineNumbers w:val="0"/>
                    <w:kinsoku/>
                    <w:wordWrap/>
                    <w:topLinePunct w:val="0"/>
                    <w:autoSpaceDE/>
                    <w:autoSpaceDN/>
                    <w:bidi w:val="0"/>
                    <w:adjustRightInd w:val="0"/>
                    <w:snapToGrid w:val="0"/>
                    <w:jc w:val="center"/>
                    <w:textAlignment w:val="auto"/>
                    <w:rPr>
                      <w:color w:val="auto"/>
                      <w:sz w:val="21"/>
                      <w:szCs w:val="21"/>
                      <w:highlight w:val="none"/>
                    </w:rPr>
                  </w:pPr>
                  <w:r>
                    <w:rPr>
                      <w:rFonts w:hint="eastAsia" w:ascii="宋体" w:hAnsi="宋体" w:eastAsia="宋体" w:cs="宋体"/>
                      <w:color w:val="auto"/>
                      <w:kern w:val="0"/>
                      <w:sz w:val="21"/>
                      <w:szCs w:val="21"/>
                      <w:highlight w:val="none"/>
                      <w:lang w:val="en-US" w:eastAsia="zh-CN" w:bidi="ar"/>
                    </w:rPr>
                    <w:t>《铸造工业大气污染物排放标准》（</w:t>
                  </w:r>
                  <w:r>
                    <w:rPr>
                      <w:rFonts w:hint="default" w:ascii="Times New Roman" w:hAnsi="Times New Roman" w:eastAsia="宋体" w:cs="Times New Roman"/>
                      <w:color w:val="auto"/>
                      <w:kern w:val="0"/>
                      <w:sz w:val="21"/>
                      <w:szCs w:val="21"/>
                      <w:highlight w:val="none"/>
                      <w:lang w:val="en-US" w:eastAsia="zh-CN" w:bidi="ar"/>
                    </w:rPr>
                    <w:t>GB39726-2020</w:t>
                  </w:r>
                  <w:r>
                    <w:rPr>
                      <w:rFonts w:hint="eastAsia" w:ascii="宋体" w:hAnsi="宋体" w:eastAsia="宋体" w:cs="宋体"/>
                      <w:color w:val="auto"/>
                      <w:kern w:val="0"/>
                      <w:sz w:val="21"/>
                      <w:szCs w:val="21"/>
                      <w:highlight w:val="none"/>
                      <w:lang w:val="en-US" w:eastAsia="zh-CN" w:bidi="ar"/>
                    </w:rPr>
                    <w:t>）、</w:t>
                  </w:r>
                </w:p>
                <w:p>
                  <w:pPr>
                    <w:keepNext w:val="0"/>
                    <w:keepLines w:val="0"/>
                    <w:pageBreakBefore w:val="0"/>
                    <w:widowControl/>
                    <w:suppressLineNumbers w:val="0"/>
                    <w:kinsoku/>
                    <w:wordWrap/>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rPr>
                  </w:pPr>
                  <w:r>
                    <w:rPr>
                      <w:rFonts w:hint="eastAsia" w:ascii="宋体" w:hAnsi="宋体" w:eastAsia="宋体" w:cs="宋体"/>
                      <w:color w:val="auto"/>
                      <w:kern w:val="0"/>
                      <w:sz w:val="21"/>
                      <w:szCs w:val="21"/>
                      <w:highlight w:val="none"/>
                      <w:lang w:val="en-US" w:eastAsia="zh-CN" w:bidi="ar"/>
                    </w:rPr>
                    <w:t>《大气污染物综合排放标准》（</w:t>
                  </w:r>
                  <w:r>
                    <w:rPr>
                      <w:rFonts w:hint="default" w:ascii="Times New Roman" w:hAnsi="Times New Roman" w:eastAsia="宋体" w:cs="Times New Roman"/>
                      <w:color w:val="auto"/>
                      <w:kern w:val="0"/>
                      <w:sz w:val="21"/>
                      <w:szCs w:val="21"/>
                      <w:highlight w:val="none"/>
                      <w:lang w:val="en-US" w:eastAsia="zh-CN" w:bidi="ar"/>
                    </w:rPr>
                    <w:t>GB16297-1996</w:t>
                  </w:r>
                  <w:r>
                    <w:rPr>
                      <w:rFonts w:hint="eastAsia" w:ascii="宋体" w:hAnsi="宋体" w:eastAsia="宋体" w:cs="宋体"/>
                      <w:color w:val="auto"/>
                      <w:kern w:val="0"/>
                      <w:sz w:val="21"/>
                      <w:szCs w:val="21"/>
                      <w:highlight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3"/>
                <w:wAfter w:w="32" w:type="pct"/>
                <w:trHeight w:val="237" w:hRule="atLeast"/>
                <w:jc w:val="center"/>
              </w:trPr>
              <w:tc>
                <w:tcPr>
                  <w:tcW w:w="635" w:type="pct"/>
                  <w:vMerge w:val="continue"/>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pPr>
                </w:p>
              </w:tc>
              <w:tc>
                <w:tcPr>
                  <w:tcW w:w="514" w:type="pct"/>
                  <w:gridSpan w:val="2"/>
                  <w:vMerge w:val="continue"/>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pPr>
                </w:p>
              </w:tc>
              <w:tc>
                <w:tcPr>
                  <w:tcW w:w="1636" w:type="pct"/>
                  <w:gridSpan w:val="2"/>
                  <w:vAlign w:val="center"/>
                </w:tcPr>
                <w:p>
                  <w:pPr>
                    <w:pStyle w:val="5"/>
                    <w:keepLines w:val="0"/>
                    <w:pageBreakBefore w:val="0"/>
                    <w:widowControl w:val="0"/>
                    <w:numPr>
                      <w:ilvl w:val="2"/>
                      <w:numId w:val="0"/>
                    </w:numPr>
                    <w:kinsoku/>
                    <w:wordWrap/>
                    <w:topLinePunct w:val="0"/>
                    <w:autoSpaceDE/>
                    <w:autoSpaceDN/>
                    <w:bidi w:val="0"/>
                    <w:adjustRightInd w:val="0"/>
                    <w:snapToGrid w:val="0"/>
                    <w:spacing w:before="0" w:after="0" w:line="240" w:lineRule="auto"/>
                    <w:ind w:left="0" w:leftChars="0"/>
                    <w:jc w:val="center"/>
                    <w:textAlignment w:val="auto"/>
                    <w:rPr>
                      <w:rFonts w:hint="eastAsia"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最高允许排放速率（kg/h）</w:t>
                  </w:r>
                </w:p>
              </w:tc>
              <w:tc>
                <w:tcPr>
                  <w:tcW w:w="915" w:type="pct"/>
                  <w:gridSpan w:val="2"/>
                  <w:vAlign w:val="center"/>
                </w:tcPr>
                <w:p>
                  <w:pPr>
                    <w:pStyle w:val="5"/>
                    <w:keepNext/>
                    <w:keepLines w:val="0"/>
                    <w:pageBreakBefore w:val="0"/>
                    <w:widowControl w:val="0"/>
                    <w:kinsoku/>
                    <w:wordWrap/>
                    <w:overflowPunct w:val="0"/>
                    <w:topLinePunct w:val="0"/>
                    <w:autoSpaceDE/>
                    <w:autoSpaceDN/>
                    <w:bidi w:val="0"/>
                    <w:adjustRightInd w:val="0"/>
                    <w:snapToGrid w:val="0"/>
                    <w:spacing w:before="0" w:after="0" w:line="240" w:lineRule="auto"/>
                    <w:ind w:left="0" w:leftChars="0" w:firstLine="0"/>
                    <w:jc w:val="center"/>
                    <w:textAlignment w:val="auto"/>
                    <w:rPr>
                      <w:rFonts w:hint="default" w:eastAsia="宋体" w:cs="Times New Roman"/>
                      <w:b w:val="0"/>
                      <w:bCs w:val="0"/>
                      <w:color w:val="auto"/>
                      <w:sz w:val="21"/>
                      <w:szCs w:val="21"/>
                      <w:highlight w:val="none"/>
                      <w:lang w:val="en-US" w:eastAsia="zh-CN"/>
                    </w:rPr>
                  </w:pPr>
                  <w:r>
                    <w:rPr>
                      <w:rFonts w:hint="eastAsia" w:eastAsia="宋体" w:cs="Times New Roman"/>
                      <w:b w:val="0"/>
                      <w:bCs w:val="0"/>
                      <w:color w:val="auto"/>
                      <w:sz w:val="21"/>
                      <w:szCs w:val="21"/>
                      <w:highlight w:val="none"/>
                      <w:lang w:val="en-US" w:eastAsia="zh-CN"/>
                    </w:rPr>
                    <w:t>/</w:t>
                  </w:r>
                </w:p>
              </w:tc>
              <w:tc>
                <w:tcPr>
                  <w:tcW w:w="1264" w:type="pct"/>
                  <w:gridSpan w:val="3"/>
                  <w:vMerge w:val="continue"/>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rPr>
                      <w:rFonts w:hint="eastAsia" w:eastAsia="宋体" w:cs="Times New Roman"/>
                      <w:b w:val="0"/>
                      <w:bCs w:val="0"/>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3"/>
                <w:wAfter w:w="32" w:type="pct"/>
                <w:trHeight w:val="642" w:hRule="atLeast"/>
                <w:jc w:val="center"/>
              </w:trPr>
              <w:tc>
                <w:tcPr>
                  <w:tcW w:w="635" w:type="pct"/>
                  <w:vMerge w:val="continue"/>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pPr>
                </w:p>
              </w:tc>
              <w:tc>
                <w:tcPr>
                  <w:tcW w:w="514" w:type="pct"/>
                  <w:gridSpan w:val="2"/>
                  <w:vMerge w:val="continue"/>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pPr>
                </w:p>
              </w:tc>
              <w:tc>
                <w:tcPr>
                  <w:tcW w:w="1636" w:type="pct"/>
                  <w:gridSpan w:val="2"/>
                  <w:vAlign w:val="center"/>
                </w:tcPr>
                <w:p>
                  <w:pPr>
                    <w:pStyle w:val="5"/>
                    <w:keepLines w:val="0"/>
                    <w:pageBreakBefore w:val="0"/>
                    <w:widowControl w:val="0"/>
                    <w:numPr>
                      <w:ilvl w:val="2"/>
                      <w:numId w:val="0"/>
                    </w:numPr>
                    <w:kinsoku/>
                    <w:wordWrap/>
                    <w:topLinePunct w:val="0"/>
                    <w:autoSpaceDE/>
                    <w:autoSpaceDN/>
                    <w:bidi w:val="0"/>
                    <w:adjustRightInd w:val="0"/>
                    <w:snapToGrid w:val="0"/>
                    <w:spacing w:before="0" w:after="0" w:line="240" w:lineRule="auto"/>
                    <w:ind w:left="0" w:leftChars="0"/>
                    <w:jc w:val="center"/>
                    <w:textAlignment w:val="auto"/>
                    <w:rPr>
                      <w:rFonts w:hint="eastAsia"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企业边界监控点浓度限值（mg/m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rPr>
                    <w:t>）</w:t>
                  </w:r>
                </w:p>
              </w:tc>
              <w:tc>
                <w:tcPr>
                  <w:tcW w:w="915" w:type="pct"/>
                  <w:gridSpan w:val="2"/>
                  <w:vAlign w:val="center"/>
                </w:tcPr>
                <w:p>
                  <w:pPr>
                    <w:pStyle w:val="5"/>
                    <w:keepNext/>
                    <w:keepLines w:val="0"/>
                    <w:pageBreakBefore w:val="0"/>
                    <w:widowControl w:val="0"/>
                    <w:kinsoku/>
                    <w:wordWrap/>
                    <w:overflowPunct w:val="0"/>
                    <w:topLinePunct w:val="0"/>
                    <w:autoSpaceDE/>
                    <w:autoSpaceDN/>
                    <w:bidi w:val="0"/>
                    <w:adjustRightInd w:val="0"/>
                    <w:snapToGrid w:val="0"/>
                    <w:spacing w:before="0" w:after="0" w:line="240" w:lineRule="auto"/>
                    <w:ind w:left="0" w:leftChars="0" w:firstLine="0"/>
                    <w:jc w:val="center"/>
                    <w:textAlignment w:val="auto"/>
                    <w:rPr>
                      <w:rFonts w:hint="default" w:eastAsia="宋体" w:cs="Times New Roman"/>
                      <w:b w:val="0"/>
                      <w:bCs w:val="0"/>
                      <w:color w:val="auto"/>
                      <w:sz w:val="21"/>
                      <w:szCs w:val="21"/>
                      <w:highlight w:val="none"/>
                      <w:lang w:val="en-US" w:eastAsia="zh-CN"/>
                    </w:rPr>
                  </w:pPr>
                  <w:r>
                    <w:rPr>
                      <w:rFonts w:hint="eastAsia" w:eastAsia="宋体" w:cs="Times New Roman"/>
                      <w:b w:val="0"/>
                      <w:bCs w:val="0"/>
                      <w:color w:val="auto"/>
                      <w:sz w:val="21"/>
                      <w:szCs w:val="21"/>
                      <w:highlight w:val="none"/>
                      <w:lang w:val="en-US" w:eastAsia="zh-CN"/>
                    </w:rPr>
                    <w:t>1.0</w:t>
                  </w:r>
                </w:p>
              </w:tc>
              <w:tc>
                <w:tcPr>
                  <w:tcW w:w="1264" w:type="pct"/>
                  <w:gridSpan w:val="3"/>
                  <w:vMerge w:val="continue"/>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rPr>
                      <w:rFonts w:hint="eastAsia" w:eastAsia="宋体" w:cs="Times New Roman"/>
                      <w:b w:val="0"/>
                      <w:bCs w:val="0"/>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3"/>
                <w:wAfter w:w="32" w:type="pct"/>
                <w:trHeight w:val="190" w:hRule="atLeast"/>
                <w:jc w:val="center"/>
              </w:trPr>
              <w:tc>
                <w:tcPr>
                  <w:tcW w:w="635" w:type="pct"/>
                  <w:vMerge w:val="restart"/>
                  <w:vAlign w:val="center"/>
                </w:tcPr>
                <w:p>
                  <w:pPr>
                    <w:pStyle w:val="34"/>
                    <w:keepLines w:val="0"/>
                    <w:pageBreakBefore w:val="0"/>
                    <w:widowControl w:val="0"/>
                    <w:kinsoku/>
                    <w:wordWrap/>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喷漆、烘干</w:t>
                  </w:r>
                  <w:r>
                    <w:rPr>
                      <w:rFonts w:hint="eastAsia" w:ascii="Times New Roman" w:hAnsi="Times New Roman" w:cs="Times New Roman"/>
                      <w:color w:val="auto"/>
                      <w:kern w:val="0"/>
                      <w:sz w:val="21"/>
                      <w:szCs w:val="21"/>
                      <w:highlight w:val="none"/>
                      <w:lang w:val="en-US" w:eastAsia="zh-CN" w:bidi="ar"/>
                    </w:rPr>
                    <w:t>、压合、封边</w:t>
                  </w:r>
                </w:p>
                <w:p>
                  <w:pPr>
                    <w:pStyle w:val="34"/>
                    <w:keepLines w:val="0"/>
                    <w:pageBreakBefore w:val="0"/>
                    <w:widowControl w:val="0"/>
                    <w:kinsoku/>
                    <w:wordWrap/>
                    <w:topLinePunct w:val="0"/>
                    <w:autoSpaceDE/>
                    <w:autoSpaceDN/>
                    <w:bidi w:val="0"/>
                    <w:adjustRightInd w:val="0"/>
                    <w:snapToGrid w:val="0"/>
                    <w:spacing w:after="0" w:line="24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工序</w:t>
                  </w:r>
                </w:p>
              </w:tc>
              <w:tc>
                <w:tcPr>
                  <w:tcW w:w="514" w:type="pct"/>
                  <w:gridSpan w:val="2"/>
                  <w:vMerge w:val="restart"/>
                  <w:vAlign w:val="center"/>
                </w:tcPr>
                <w:p>
                  <w:pPr>
                    <w:keepNext w:val="0"/>
                    <w:keepLines w:val="0"/>
                    <w:pageBreakBefore w:val="0"/>
                    <w:widowControl/>
                    <w:suppressLineNumbers w:val="0"/>
                    <w:kinsoku/>
                    <w:wordWrap/>
                    <w:topLinePunct w:val="0"/>
                    <w:autoSpaceDE/>
                    <w:autoSpaceDN/>
                    <w:bidi w:val="0"/>
                    <w:adjustRightInd w:val="0"/>
                    <w:snapToGrid w:val="0"/>
                    <w:jc w:val="center"/>
                    <w:textAlignment w:val="auto"/>
                    <w:rPr>
                      <w:color w:val="auto"/>
                      <w:sz w:val="21"/>
                      <w:szCs w:val="21"/>
                      <w:highlight w:val="none"/>
                    </w:rPr>
                  </w:pPr>
                  <w:r>
                    <w:rPr>
                      <w:rFonts w:hint="eastAsia" w:ascii="宋体" w:hAnsi="宋体" w:eastAsia="宋体" w:cs="宋体"/>
                      <w:color w:val="auto"/>
                      <w:kern w:val="0"/>
                      <w:sz w:val="21"/>
                      <w:szCs w:val="21"/>
                      <w:highlight w:val="none"/>
                      <w:lang w:val="en-US" w:eastAsia="zh-CN" w:bidi="ar"/>
                    </w:rPr>
                    <w:t>非甲烷</w:t>
                  </w:r>
                </w:p>
                <w:p>
                  <w:pPr>
                    <w:keepNext w:val="0"/>
                    <w:keepLines w:val="0"/>
                    <w:pageBreakBefore w:val="0"/>
                    <w:widowControl/>
                    <w:suppressLineNumbers w:val="0"/>
                    <w:kinsoku/>
                    <w:wordWrap/>
                    <w:topLinePunct w:val="0"/>
                    <w:autoSpaceDE/>
                    <w:autoSpaceDN/>
                    <w:bidi w:val="0"/>
                    <w:adjustRightInd w:val="0"/>
                    <w:snapToGrid w:val="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总烃</w:t>
                  </w:r>
                </w:p>
              </w:tc>
              <w:tc>
                <w:tcPr>
                  <w:tcW w:w="1636" w:type="pct"/>
                  <w:gridSpan w:val="2"/>
                  <w:vAlign w:val="center"/>
                </w:tcPr>
                <w:p>
                  <w:pPr>
                    <w:pStyle w:val="5"/>
                    <w:keepLines w:val="0"/>
                    <w:pageBreakBefore w:val="0"/>
                    <w:widowControl w:val="0"/>
                    <w:numPr>
                      <w:ilvl w:val="2"/>
                      <w:numId w:val="0"/>
                    </w:numPr>
                    <w:kinsoku/>
                    <w:wordWrap/>
                    <w:topLinePunct w:val="0"/>
                    <w:autoSpaceDE/>
                    <w:autoSpaceDN/>
                    <w:bidi w:val="0"/>
                    <w:adjustRightInd w:val="0"/>
                    <w:snapToGrid w:val="0"/>
                    <w:spacing w:before="0" w:after="0" w:line="240" w:lineRule="auto"/>
                    <w:ind w:left="0" w:leftChars="0" w:firstLine="0" w:firstLineChars="0"/>
                    <w:jc w:val="center"/>
                    <w:textAlignment w:val="auto"/>
                    <w:rPr>
                      <w:rFonts w:hint="default"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最高允许排放浓度（mg/m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rPr>
                    <w:t>）</w:t>
                  </w:r>
                </w:p>
              </w:tc>
              <w:tc>
                <w:tcPr>
                  <w:tcW w:w="915" w:type="pct"/>
                  <w:gridSpan w:val="2"/>
                  <w:vAlign w:val="center"/>
                </w:tcPr>
                <w:p>
                  <w:pPr>
                    <w:pStyle w:val="5"/>
                    <w:keepNext/>
                    <w:keepLines w:val="0"/>
                    <w:pageBreakBefore w:val="0"/>
                    <w:widowControl w:val="0"/>
                    <w:numPr>
                      <w:ilvl w:val="2"/>
                      <w:numId w:val="0"/>
                    </w:numPr>
                    <w:kinsoku/>
                    <w:wordWrap/>
                    <w:overflowPunct w:val="0"/>
                    <w:topLinePunct w:val="0"/>
                    <w:autoSpaceDE/>
                    <w:autoSpaceDN/>
                    <w:bidi w:val="0"/>
                    <w:adjustRightInd w:val="0"/>
                    <w:snapToGrid w:val="0"/>
                    <w:spacing w:before="0" w:after="0" w:line="240" w:lineRule="auto"/>
                    <w:ind w:left="0" w:leftChars="0" w:firstLine="0"/>
                    <w:jc w:val="center"/>
                    <w:textAlignment w:val="auto"/>
                    <w:rPr>
                      <w:rFonts w:hint="default" w:eastAsia="宋体" w:cs="Times New Roman"/>
                      <w:b w:val="0"/>
                      <w:bCs w:val="0"/>
                      <w:color w:val="auto"/>
                      <w:sz w:val="21"/>
                      <w:szCs w:val="21"/>
                      <w:highlight w:val="none"/>
                      <w:lang w:val="en-US" w:eastAsia="zh-CN"/>
                    </w:rPr>
                  </w:pPr>
                  <w:r>
                    <w:rPr>
                      <w:rFonts w:hint="eastAsia" w:eastAsia="宋体" w:cs="Times New Roman"/>
                      <w:b w:val="0"/>
                      <w:bCs w:val="0"/>
                      <w:color w:val="auto"/>
                      <w:sz w:val="21"/>
                      <w:szCs w:val="21"/>
                      <w:highlight w:val="none"/>
                      <w:lang w:val="en-US" w:eastAsia="zh-CN"/>
                    </w:rPr>
                    <w:t>50</w:t>
                  </w:r>
                </w:p>
              </w:tc>
              <w:tc>
                <w:tcPr>
                  <w:tcW w:w="1264" w:type="pct"/>
                  <w:gridSpan w:val="3"/>
                  <w:vMerge w:val="restart"/>
                  <w:vAlign w:val="center"/>
                </w:tcPr>
                <w:p>
                  <w:pPr>
                    <w:keepNext w:val="0"/>
                    <w:keepLines w:val="0"/>
                    <w:pageBreakBefore w:val="0"/>
                    <w:widowControl/>
                    <w:suppressLineNumbers w:val="0"/>
                    <w:kinsoku/>
                    <w:wordWrap/>
                    <w:topLinePunct w:val="0"/>
                    <w:autoSpaceDE/>
                    <w:autoSpaceDN/>
                    <w:bidi w:val="0"/>
                    <w:adjustRightInd w:val="0"/>
                    <w:snapToGrid w:val="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《工业涂装工序挥发性有机物排放标准》 （</w:t>
                  </w:r>
                  <w:r>
                    <w:rPr>
                      <w:rFonts w:hint="default" w:ascii="Times New Roman" w:hAnsi="Times New Roman" w:eastAsia="宋体" w:cs="Times New Roman"/>
                      <w:color w:val="auto"/>
                      <w:kern w:val="0"/>
                      <w:sz w:val="21"/>
                      <w:szCs w:val="21"/>
                      <w:highlight w:val="none"/>
                      <w:lang w:val="en-US" w:eastAsia="zh-CN" w:bidi="ar"/>
                    </w:rPr>
                    <w:t>DB35/1783-2018</w:t>
                  </w:r>
                  <w:r>
                    <w:rPr>
                      <w:rFonts w:hint="eastAsia" w:ascii="宋体" w:hAnsi="宋体" w:eastAsia="宋体" w:cs="宋体"/>
                      <w:color w:val="auto"/>
                      <w:kern w:val="0"/>
                      <w:sz w:val="21"/>
                      <w:szCs w:val="21"/>
                      <w:highlight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3"/>
                <w:wAfter w:w="32" w:type="pct"/>
                <w:trHeight w:val="190" w:hRule="atLeast"/>
                <w:jc w:val="center"/>
              </w:trPr>
              <w:tc>
                <w:tcPr>
                  <w:tcW w:w="635" w:type="pct"/>
                  <w:vMerge w:val="continue"/>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pPr>
                </w:p>
              </w:tc>
              <w:tc>
                <w:tcPr>
                  <w:tcW w:w="514" w:type="pct"/>
                  <w:gridSpan w:val="2"/>
                  <w:vMerge w:val="continue"/>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pPr>
                </w:p>
              </w:tc>
              <w:tc>
                <w:tcPr>
                  <w:tcW w:w="1636" w:type="pct"/>
                  <w:gridSpan w:val="2"/>
                  <w:vAlign w:val="center"/>
                </w:tcPr>
                <w:p>
                  <w:pPr>
                    <w:pStyle w:val="5"/>
                    <w:keepLines w:val="0"/>
                    <w:pageBreakBefore w:val="0"/>
                    <w:widowControl w:val="0"/>
                    <w:numPr>
                      <w:ilvl w:val="2"/>
                      <w:numId w:val="0"/>
                    </w:numPr>
                    <w:kinsoku/>
                    <w:wordWrap/>
                    <w:topLinePunct w:val="0"/>
                    <w:autoSpaceDE/>
                    <w:autoSpaceDN/>
                    <w:bidi w:val="0"/>
                    <w:adjustRightInd w:val="0"/>
                    <w:snapToGrid w:val="0"/>
                    <w:spacing w:before="0" w:after="0" w:line="240" w:lineRule="auto"/>
                    <w:ind w:left="0" w:leftChars="0"/>
                    <w:jc w:val="center"/>
                    <w:textAlignment w:val="auto"/>
                    <w:rPr>
                      <w:rFonts w:hint="eastAsia"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最高允许排放速率（kg/h）</w:t>
                  </w:r>
                </w:p>
              </w:tc>
              <w:tc>
                <w:tcPr>
                  <w:tcW w:w="915" w:type="pct"/>
                  <w:gridSpan w:val="2"/>
                  <w:vAlign w:val="center"/>
                </w:tcPr>
                <w:p>
                  <w:pPr>
                    <w:pStyle w:val="5"/>
                    <w:keepNext/>
                    <w:keepLines w:val="0"/>
                    <w:pageBreakBefore w:val="0"/>
                    <w:widowControl w:val="0"/>
                    <w:kinsoku/>
                    <w:wordWrap/>
                    <w:overflowPunct w:val="0"/>
                    <w:topLinePunct w:val="0"/>
                    <w:autoSpaceDE/>
                    <w:autoSpaceDN/>
                    <w:bidi w:val="0"/>
                    <w:adjustRightInd w:val="0"/>
                    <w:snapToGrid w:val="0"/>
                    <w:spacing w:before="0" w:after="0" w:line="240" w:lineRule="auto"/>
                    <w:ind w:left="0" w:leftChars="0" w:firstLine="0"/>
                    <w:jc w:val="center"/>
                    <w:textAlignment w:val="auto"/>
                    <w:rPr>
                      <w:rFonts w:hint="default" w:eastAsia="宋体" w:cs="Times New Roman"/>
                      <w:b w:val="0"/>
                      <w:bCs w:val="0"/>
                      <w:color w:val="auto"/>
                      <w:sz w:val="21"/>
                      <w:szCs w:val="21"/>
                      <w:highlight w:val="none"/>
                      <w:lang w:val="en-US" w:eastAsia="zh-CN"/>
                    </w:rPr>
                  </w:pPr>
                  <w:r>
                    <w:rPr>
                      <w:rFonts w:hint="eastAsia" w:eastAsia="宋体" w:cs="Times New Roman"/>
                      <w:b w:val="0"/>
                      <w:bCs w:val="0"/>
                      <w:color w:val="auto"/>
                      <w:sz w:val="21"/>
                      <w:szCs w:val="21"/>
                      <w:highlight w:val="none"/>
                      <w:lang w:val="en-US" w:eastAsia="zh-CN"/>
                    </w:rPr>
                    <w:t>2.9</w:t>
                  </w:r>
                </w:p>
              </w:tc>
              <w:tc>
                <w:tcPr>
                  <w:tcW w:w="1264" w:type="pct"/>
                  <w:gridSpan w:val="3"/>
                  <w:vMerge w:val="continue"/>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rPr>
                      <w:rFonts w:hint="eastAsia" w:eastAsia="宋体" w:cs="Times New Roman"/>
                      <w:b w:val="0"/>
                      <w:bCs w:val="0"/>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3"/>
                <w:wAfter w:w="32" w:type="pct"/>
                <w:trHeight w:val="373" w:hRule="atLeast"/>
                <w:jc w:val="center"/>
              </w:trPr>
              <w:tc>
                <w:tcPr>
                  <w:tcW w:w="635" w:type="pct"/>
                  <w:vMerge w:val="continue"/>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rPr>
                      <w:rFonts w:hint="eastAsia" w:eastAsia="宋体" w:cs="Times New Roman"/>
                      <w:b w:val="0"/>
                      <w:bCs w:val="0"/>
                      <w:color w:val="auto"/>
                      <w:sz w:val="21"/>
                      <w:szCs w:val="21"/>
                      <w:highlight w:val="none"/>
                      <w:lang w:val="en-US" w:eastAsia="zh-CN"/>
                    </w:rPr>
                  </w:pPr>
                </w:p>
              </w:tc>
              <w:tc>
                <w:tcPr>
                  <w:tcW w:w="514" w:type="pct"/>
                  <w:gridSpan w:val="2"/>
                  <w:vMerge w:val="continue"/>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rPr>
                      <w:rFonts w:hint="eastAsia" w:eastAsia="宋体" w:cs="Times New Roman"/>
                      <w:b w:val="0"/>
                      <w:bCs w:val="0"/>
                      <w:color w:val="auto"/>
                      <w:sz w:val="21"/>
                      <w:szCs w:val="21"/>
                      <w:highlight w:val="none"/>
                      <w:lang w:val="en-US" w:eastAsia="zh-CN"/>
                    </w:rPr>
                  </w:pPr>
                </w:p>
              </w:tc>
              <w:tc>
                <w:tcPr>
                  <w:tcW w:w="1636" w:type="pct"/>
                  <w:gridSpan w:val="2"/>
                  <w:vAlign w:val="center"/>
                </w:tcPr>
                <w:p>
                  <w:pPr>
                    <w:pStyle w:val="5"/>
                    <w:keepLines w:val="0"/>
                    <w:pageBreakBefore w:val="0"/>
                    <w:widowControl w:val="0"/>
                    <w:numPr>
                      <w:ilvl w:val="2"/>
                      <w:numId w:val="0"/>
                    </w:numPr>
                    <w:kinsoku/>
                    <w:wordWrap/>
                    <w:topLinePunct w:val="0"/>
                    <w:autoSpaceDE/>
                    <w:autoSpaceDN/>
                    <w:bidi w:val="0"/>
                    <w:adjustRightInd w:val="0"/>
                    <w:snapToGrid w:val="0"/>
                    <w:spacing w:before="0" w:after="0" w:line="240" w:lineRule="auto"/>
                    <w:ind w:left="0" w:leftChars="0" w:firstLine="0" w:firstLineChars="0"/>
                    <w:jc w:val="center"/>
                    <w:textAlignment w:val="auto"/>
                    <w:rPr>
                      <w:rFonts w:hint="eastAsia"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企业边界监控点浓度限值（mg/m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rPr>
                    <w:t>）</w:t>
                  </w:r>
                </w:p>
              </w:tc>
              <w:tc>
                <w:tcPr>
                  <w:tcW w:w="915" w:type="pct"/>
                  <w:gridSpan w:val="2"/>
                  <w:vAlign w:val="center"/>
                </w:tcPr>
                <w:p>
                  <w:pPr>
                    <w:pStyle w:val="5"/>
                    <w:keepNext/>
                    <w:keepLines w:val="0"/>
                    <w:pageBreakBefore w:val="0"/>
                    <w:widowControl w:val="0"/>
                    <w:kinsoku/>
                    <w:wordWrap/>
                    <w:overflowPunct w:val="0"/>
                    <w:topLinePunct w:val="0"/>
                    <w:autoSpaceDE/>
                    <w:autoSpaceDN/>
                    <w:bidi w:val="0"/>
                    <w:adjustRightInd w:val="0"/>
                    <w:snapToGrid w:val="0"/>
                    <w:spacing w:before="0" w:after="0" w:line="240" w:lineRule="auto"/>
                    <w:ind w:left="0" w:leftChars="0" w:firstLine="0"/>
                    <w:jc w:val="center"/>
                    <w:textAlignment w:val="auto"/>
                    <w:rPr>
                      <w:rFonts w:hint="default" w:eastAsia="宋体" w:cs="Times New Roman"/>
                      <w:b w:val="0"/>
                      <w:bCs w:val="0"/>
                      <w:color w:val="auto"/>
                      <w:sz w:val="21"/>
                      <w:szCs w:val="21"/>
                      <w:highlight w:val="none"/>
                      <w:lang w:val="en-US" w:eastAsia="zh-CN"/>
                    </w:rPr>
                  </w:pPr>
                  <w:r>
                    <w:rPr>
                      <w:rFonts w:hint="eastAsia" w:eastAsia="宋体" w:cs="Times New Roman"/>
                      <w:b w:val="0"/>
                      <w:bCs w:val="0"/>
                      <w:color w:val="auto"/>
                      <w:sz w:val="21"/>
                      <w:szCs w:val="21"/>
                      <w:highlight w:val="none"/>
                      <w:lang w:val="en-US" w:eastAsia="zh-CN"/>
                    </w:rPr>
                    <w:t>2.0</w:t>
                  </w:r>
                </w:p>
              </w:tc>
              <w:tc>
                <w:tcPr>
                  <w:tcW w:w="1264" w:type="pct"/>
                  <w:gridSpan w:val="3"/>
                  <w:vMerge w:val="continue"/>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rPr>
                      <w:rFonts w:hint="eastAsia" w:eastAsia="宋体" w:cs="Times New Roman"/>
                      <w:b w:val="0"/>
                      <w:bCs w:val="0"/>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3"/>
                <w:wAfter w:w="32" w:type="pct"/>
                <w:trHeight w:val="190" w:hRule="atLeast"/>
                <w:jc w:val="center"/>
              </w:trPr>
              <w:tc>
                <w:tcPr>
                  <w:tcW w:w="635" w:type="pct"/>
                  <w:vMerge w:val="continue"/>
                  <w:vAlign w:val="center"/>
                </w:tcPr>
                <w:p>
                  <w:pPr>
                    <w:pStyle w:val="34"/>
                    <w:keepLines w:val="0"/>
                    <w:pageBreakBefore w:val="0"/>
                    <w:widowControl w:val="0"/>
                    <w:kinsoku/>
                    <w:wordWrap/>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514" w:type="pct"/>
                  <w:gridSpan w:val="2"/>
                  <w:vMerge w:val="restart"/>
                  <w:vAlign w:val="center"/>
                </w:tcPr>
                <w:p>
                  <w:pPr>
                    <w:keepNext w:val="0"/>
                    <w:keepLines w:val="0"/>
                    <w:pageBreakBefore w:val="0"/>
                    <w:widowControl/>
                    <w:suppressLineNumbers w:val="0"/>
                    <w:kinsoku/>
                    <w:wordWrap/>
                    <w:topLinePunct w:val="0"/>
                    <w:autoSpaceDE/>
                    <w:autoSpaceDN/>
                    <w:bidi w:val="0"/>
                    <w:adjustRightInd w:val="0"/>
                    <w:snapToGrid w:val="0"/>
                    <w:jc w:val="center"/>
                    <w:textAlignment w:val="auto"/>
                    <w:rPr>
                      <w:rFonts w:hint="eastAsia" w:ascii="宋体" w:hAnsi="宋体" w:eastAsia="宋体" w:cs="宋体"/>
                      <w:color w:val="auto"/>
                      <w:kern w:val="0"/>
                      <w:sz w:val="21"/>
                      <w:szCs w:val="21"/>
                      <w:highlight w:val="none"/>
                      <w:lang w:val="en-US" w:eastAsia="zh-CN" w:bidi="ar"/>
                    </w:rPr>
                  </w:pPr>
                  <w:r>
                    <w:rPr>
                      <w:rFonts w:hint="eastAsia" w:eastAsia="宋体" w:cs="Times New Roman"/>
                      <w:b w:val="0"/>
                      <w:bCs w:val="0"/>
                      <w:color w:val="auto"/>
                      <w:sz w:val="21"/>
                      <w:szCs w:val="21"/>
                      <w:highlight w:val="none"/>
                      <w:lang w:val="en-US" w:eastAsia="zh-CN"/>
                    </w:rPr>
                    <w:t>颗粒物</w:t>
                  </w:r>
                </w:p>
              </w:tc>
              <w:tc>
                <w:tcPr>
                  <w:tcW w:w="1636" w:type="pct"/>
                  <w:gridSpan w:val="2"/>
                  <w:vAlign w:val="center"/>
                </w:tcPr>
                <w:p>
                  <w:pPr>
                    <w:pStyle w:val="5"/>
                    <w:keepLines w:val="0"/>
                    <w:pageBreakBefore w:val="0"/>
                    <w:widowControl w:val="0"/>
                    <w:numPr>
                      <w:ilvl w:val="2"/>
                      <w:numId w:val="0"/>
                    </w:numPr>
                    <w:kinsoku/>
                    <w:wordWrap/>
                    <w:topLinePunct w:val="0"/>
                    <w:autoSpaceDE/>
                    <w:autoSpaceDN/>
                    <w:bidi w:val="0"/>
                    <w:adjustRightInd w:val="0"/>
                    <w:snapToGrid w:val="0"/>
                    <w:spacing w:before="0" w:after="0" w:line="240" w:lineRule="auto"/>
                    <w:ind w:left="0" w:leftChars="0" w:firstLine="0" w:firstLineChars="0"/>
                    <w:jc w:val="center"/>
                    <w:textAlignment w:val="auto"/>
                    <w:rPr>
                      <w:rFonts w:hint="default"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最高允许排放浓度（mg/m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rPr>
                    <w:t>）</w:t>
                  </w:r>
                </w:p>
              </w:tc>
              <w:tc>
                <w:tcPr>
                  <w:tcW w:w="915" w:type="pct"/>
                  <w:gridSpan w:val="2"/>
                  <w:vAlign w:val="center"/>
                </w:tcPr>
                <w:p>
                  <w:pPr>
                    <w:pStyle w:val="5"/>
                    <w:keepNext/>
                    <w:keepLines w:val="0"/>
                    <w:pageBreakBefore w:val="0"/>
                    <w:widowControl w:val="0"/>
                    <w:numPr>
                      <w:ilvl w:val="2"/>
                      <w:numId w:val="0"/>
                    </w:numPr>
                    <w:kinsoku/>
                    <w:wordWrap/>
                    <w:overflowPunct w:val="0"/>
                    <w:topLinePunct w:val="0"/>
                    <w:autoSpaceDE/>
                    <w:autoSpaceDN/>
                    <w:bidi w:val="0"/>
                    <w:adjustRightInd w:val="0"/>
                    <w:snapToGrid w:val="0"/>
                    <w:spacing w:before="0" w:after="0" w:line="240" w:lineRule="auto"/>
                    <w:ind w:left="0" w:leftChars="0" w:firstLine="0"/>
                    <w:jc w:val="center"/>
                    <w:textAlignment w:val="auto"/>
                    <w:rPr>
                      <w:rFonts w:hint="default" w:eastAsia="宋体" w:cs="Times New Roman"/>
                      <w:b w:val="0"/>
                      <w:bCs w:val="0"/>
                      <w:color w:val="auto"/>
                      <w:sz w:val="21"/>
                      <w:szCs w:val="21"/>
                      <w:highlight w:val="none"/>
                      <w:lang w:val="en-US" w:eastAsia="zh-CN"/>
                    </w:rPr>
                  </w:pPr>
                  <w:r>
                    <w:rPr>
                      <w:rFonts w:hint="eastAsia" w:eastAsia="宋体" w:cs="Times New Roman"/>
                      <w:b w:val="0"/>
                      <w:bCs w:val="0"/>
                      <w:color w:val="auto"/>
                      <w:sz w:val="21"/>
                      <w:szCs w:val="21"/>
                      <w:highlight w:val="none"/>
                      <w:lang w:val="en-US" w:eastAsia="zh-CN"/>
                    </w:rPr>
                    <w:t>120</w:t>
                  </w:r>
                </w:p>
              </w:tc>
              <w:tc>
                <w:tcPr>
                  <w:tcW w:w="1264" w:type="pct"/>
                  <w:gridSpan w:val="3"/>
                  <w:vMerge w:val="restart"/>
                  <w:vAlign w:val="center"/>
                </w:tcPr>
                <w:p>
                  <w:pPr>
                    <w:keepNext w:val="0"/>
                    <w:keepLines w:val="0"/>
                    <w:pageBreakBefore w:val="0"/>
                    <w:widowControl/>
                    <w:suppressLineNumbers w:val="0"/>
                    <w:kinsoku/>
                    <w:wordWrap/>
                    <w:topLinePunct w:val="0"/>
                    <w:autoSpaceDE/>
                    <w:autoSpaceDN/>
                    <w:bidi w:val="0"/>
                    <w:adjustRightInd w:val="0"/>
                    <w:snapToGrid w:val="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《大气污染物综合排放标准》（</w:t>
                  </w:r>
                  <w:r>
                    <w:rPr>
                      <w:rFonts w:hint="default" w:ascii="Times New Roman" w:hAnsi="Times New Roman" w:eastAsia="宋体" w:cs="Times New Roman"/>
                      <w:color w:val="auto"/>
                      <w:kern w:val="0"/>
                      <w:sz w:val="21"/>
                      <w:szCs w:val="21"/>
                      <w:highlight w:val="none"/>
                      <w:lang w:val="en-US" w:eastAsia="zh-CN" w:bidi="ar"/>
                    </w:rPr>
                    <w:t>GB16297-1996</w:t>
                  </w:r>
                  <w:r>
                    <w:rPr>
                      <w:rFonts w:hint="eastAsia" w:ascii="宋体" w:hAnsi="宋体" w:eastAsia="宋体" w:cs="宋体"/>
                      <w:color w:val="auto"/>
                      <w:kern w:val="0"/>
                      <w:sz w:val="21"/>
                      <w:szCs w:val="21"/>
                      <w:highlight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3"/>
                <w:wAfter w:w="32" w:type="pct"/>
                <w:trHeight w:val="190" w:hRule="atLeast"/>
                <w:jc w:val="center"/>
              </w:trPr>
              <w:tc>
                <w:tcPr>
                  <w:tcW w:w="635" w:type="pct"/>
                  <w:vMerge w:val="continue"/>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pPr>
                </w:p>
              </w:tc>
              <w:tc>
                <w:tcPr>
                  <w:tcW w:w="514" w:type="pct"/>
                  <w:gridSpan w:val="2"/>
                  <w:vMerge w:val="continue"/>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pPr>
                </w:p>
              </w:tc>
              <w:tc>
                <w:tcPr>
                  <w:tcW w:w="1636" w:type="pct"/>
                  <w:gridSpan w:val="2"/>
                  <w:vAlign w:val="center"/>
                </w:tcPr>
                <w:p>
                  <w:pPr>
                    <w:pStyle w:val="5"/>
                    <w:keepLines w:val="0"/>
                    <w:pageBreakBefore w:val="0"/>
                    <w:widowControl w:val="0"/>
                    <w:numPr>
                      <w:ilvl w:val="2"/>
                      <w:numId w:val="0"/>
                    </w:numPr>
                    <w:kinsoku/>
                    <w:wordWrap/>
                    <w:topLinePunct w:val="0"/>
                    <w:autoSpaceDE/>
                    <w:autoSpaceDN/>
                    <w:bidi w:val="0"/>
                    <w:adjustRightInd w:val="0"/>
                    <w:snapToGrid w:val="0"/>
                    <w:spacing w:before="0" w:after="0" w:line="240" w:lineRule="auto"/>
                    <w:ind w:left="0" w:leftChars="0"/>
                    <w:jc w:val="center"/>
                    <w:textAlignment w:val="auto"/>
                    <w:rPr>
                      <w:rFonts w:hint="eastAsia"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最高允许排放速率（kg/h）</w:t>
                  </w:r>
                </w:p>
              </w:tc>
              <w:tc>
                <w:tcPr>
                  <w:tcW w:w="915" w:type="pct"/>
                  <w:gridSpan w:val="2"/>
                  <w:vAlign w:val="center"/>
                </w:tcPr>
                <w:p>
                  <w:pPr>
                    <w:pStyle w:val="5"/>
                    <w:keepNext/>
                    <w:keepLines w:val="0"/>
                    <w:pageBreakBefore w:val="0"/>
                    <w:widowControl w:val="0"/>
                    <w:kinsoku/>
                    <w:wordWrap/>
                    <w:overflowPunct w:val="0"/>
                    <w:topLinePunct w:val="0"/>
                    <w:autoSpaceDE/>
                    <w:autoSpaceDN/>
                    <w:bidi w:val="0"/>
                    <w:adjustRightInd w:val="0"/>
                    <w:snapToGrid w:val="0"/>
                    <w:spacing w:before="0" w:after="0" w:line="240" w:lineRule="auto"/>
                    <w:ind w:left="0" w:leftChars="0" w:firstLine="0"/>
                    <w:jc w:val="center"/>
                    <w:textAlignment w:val="auto"/>
                    <w:rPr>
                      <w:rFonts w:hint="default" w:eastAsia="宋体" w:cs="Times New Roman"/>
                      <w:b w:val="0"/>
                      <w:bCs w:val="0"/>
                      <w:color w:val="auto"/>
                      <w:sz w:val="21"/>
                      <w:szCs w:val="21"/>
                      <w:highlight w:val="none"/>
                      <w:lang w:val="en-US" w:eastAsia="zh-CN"/>
                    </w:rPr>
                  </w:pPr>
                  <w:r>
                    <w:rPr>
                      <w:rFonts w:hint="eastAsia" w:eastAsia="宋体" w:cs="Times New Roman"/>
                      <w:b w:val="0"/>
                      <w:bCs w:val="0"/>
                      <w:color w:val="auto"/>
                      <w:sz w:val="21"/>
                      <w:szCs w:val="21"/>
                      <w:highlight w:val="none"/>
                      <w:lang w:val="en-US" w:eastAsia="zh-CN"/>
                    </w:rPr>
                    <w:t>3.5</w:t>
                  </w:r>
                </w:p>
              </w:tc>
              <w:tc>
                <w:tcPr>
                  <w:tcW w:w="1264" w:type="pct"/>
                  <w:gridSpan w:val="3"/>
                  <w:vMerge w:val="continue"/>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rPr>
                      <w:rFonts w:hint="eastAsia" w:eastAsia="宋体" w:cs="Times New Roman"/>
                      <w:b w:val="0"/>
                      <w:bCs w:val="0"/>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3"/>
                <w:wAfter w:w="32" w:type="pct"/>
                <w:trHeight w:val="373" w:hRule="atLeast"/>
                <w:jc w:val="center"/>
              </w:trPr>
              <w:tc>
                <w:tcPr>
                  <w:tcW w:w="635" w:type="pct"/>
                  <w:vMerge w:val="continue"/>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rPr>
                      <w:rFonts w:hint="eastAsia" w:eastAsia="宋体" w:cs="Times New Roman"/>
                      <w:b w:val="0"/>
                      <w:bCs w:val="0"/>
                      <w:color w:val="auto"/>
                      <w:sz w:val="21"/>
                      <w:szCs w:val="21"/>
                      <w:highlight w:val="none"/>
                      <w:lang w:val="en-US" w:eastAsia="zh-CN"/>
                    </w:rPr>
                  </w:pPr>
                </w:p>
              </w:tc>
              <w:tc>
                <w:tcPr>
                  <w:tcW w:w="514" w:type="pct"/>
                  <w:gridSpan w:val="2"/>
                  <w:vMerge w:val="continue"/>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rPr>
                      <w:rFonts w:hint="eastAsia" w:eastAsia="宋体" w:cs="Times New Roman"/>
                      <w:b w:val="0"/>
                      <w:bCs w:val="0"/>
                      <w:color w:val="auto"/>
                      <w:sz w:val="21"/>
                      <w:szCs w:val="21"/>
                      <w:highlight w:val="none"/>
                      <w:lang w:val="en-US" w:eastAsia="zh-CN"/>
                    </w:rPr>
                  </w:pPr>
                </w:p>
              </w:tc>
              <w:tc>
                <w:tcPr>
                  <w:tcW w:w="1636" w:type="pct"/>
                  <w:gridSpan w:val="2"/>
                  <w:vAlign w:val="center"/>
                </w:tcPr>
                <w:p>
                  <w:pPr>
                    <w:pStyle w:val="5"/>
                    <w:keepLines w:val="0"/>
                    <w:pageBreakBefore w:val="0"/>
                    <w:widowControl w:val="0"/>
                    <w:numPr>
                      <w:ilvl w:val="2"/>
                      <w:numId w:val="0"/>
                    </w:numPr>
                    <w:kinsoku/>
                    <w:wordWrap/>
                    <w:topLinePunct w:val="0"/>
                    <w:autoSpaceDE/>
                    <w:autoSpaceDN/>
                    <w:bidi w:val="0"/>
                    <w:adjustRightInd w:val="0"/>
                    <w:snapToGrid w:val="0"/>
                    <w:spacing w:before="0" w:after="0" w:line="240" w:lineRule="auto"/>
                    <w:ind w:left="0" w:leftChars="0" w:firstLine="0" w:firstLineChars="0"/>
                    <w:jc w:val="center"/>
                    <w:textAlignment w:val="auto"/>
                    <w:rPr>
                      <w:rFonts w:hint="eastAsia"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企业边界监控点浓度限值（mg/m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rPr>
                    <w:t>）</w:t>
                  </w:r>
                </w:p>
              </w:tc>
              <w:tc>
                <w:tcPr>
                  <w:tcW w:w="915" w:type="pct"/>
                  <w:gridSpan w:val="2"/>
                  <w:vAlign w:val="center"/>
                </w:tcPr>
                <w:p>
                  <w:pPr>
                    <w:pStyle w:val="5"/>
                    <w:keepNext/>
                    <w:keepLines w:val="0"/>
                    <w:pageBreakBefore w:val="0"/>
                    <w:widowControl w:val="0"/>
                    <w:kinsoku/>
                    <w:wordWrap/>
                    <w:overflowPunct w:val="0"/>
                    <w:topLinePunct w:val="0"/>
                    <w:autoSpaceDE/>
                    <w:autoSpaceDN/>
                    <w:bidi w:val="0"/>
                    <w:adjustRightInd w:val="0"/>
                    <w:snapToGrid w:val="0"/>
                    <w:spacing w:before="0" w:after="0" w:line="240" w:lineRule="auto"/>
                    <w:ind w:left="0" w:leftChars="0" w:firstLine="0"/>
                    <w:jc w:val="center"/>
                    <w:textAlignment w:val="auto"/>
                    <w:rPr>
                      <w:rFonts w:hint="default" w:eastAsia="宋体" w:cs="Times New Roman"/>
                      <w:b w:val="0"/>
                      <w:bCs w:val="0"/>
                      <w:color w:val="auto"/>
                      <w:sz w:val="21"/>
                      <w:szCs w:val="21"/>
                      <w:highlight w:val="none"/>
                      <w:lang w:val="en-US" w:eastAsia="zh-CN"/>
                    </w:rPr>
                  </w:pPr>
                  <w:r>
                    <w:rPr>
                      <w:rFonts w:hint="eastAsia" w:eastAsia="宋体" w:cs="Times New Roman"/>
                      <w:b w:val="0"/>
                      <w:bCs w:val="0"/>
                      <w:color w:val="auto"/>
                      <w:sz w:val="21"/>
                      <w:szCs w:val="21"/>
                      <w:highlight w:val="none"/>
                      <w:lang w:val="en-US" w:eastAsia="zh-CN"/>
                    </w:rPr>
                    <w:t>1.0</w:t>
                  </w:r>
                </w:p>
              </w:tc>
              <w:tc>
                <w:tcPr>
                  <w:tcW w:w="1264" w:type="pct"/>
                  <w:gridSpan w:val="3"/>
                  <w:vMerge w:val="continue"/>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rPr>
                      <w:rFonts w:hint="eastAsia" w:eastAsia="宋体" w:cs="Times New Roman"/>
                      <w:b w:val="0"/>
                      <w:bCs w:val="0"/>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3"/>
                <w:wAfter w:w="32" w:type="pct"/>
                <w:trHeight w:val="190" w:hRule="atLeast"/>
                <w:jc w:val="center"/>
              </w:trPr>
              <w:tc>
                <w:tcPr>
                  <w:tcW w:w="635" w:type="pct"/>
                  <w:vMerge w:val="continue"/>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rPr>
                      <w:rFonts w:hint="eastAsia" w:eastAsia="宋体" w:cs="Times New Roman"/>
                      <w:b w:val="0"/>
                      <w:bCs w:val="0"/>
                      <w:color w:val="auto"/>
                      <w:sz w:val="21"/>
                      <w:szCs w:val="21"/>
                      <w:highlight w:val="none"/>
                      <w:lang w:val="en-US" w:eastAsia="zh-CN"/>
                    </w:rPr>
                  </w:pPr>
                </w:p>
              </w:tc>
              <w:tc>
                <w:tcPr>
                  <w:tcW w:w="514" w:type="pct"/>
                  <w:gridSpan w:val="2"/>
                  <w:vMerge w:val="continue"/>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rPr>
                      <w:rFonts w:hint="eastAsia" w:eastAsia="宋体" w:cs="Times New Roman"/>
                      <w:b w:val="0"/>
                      <w:bCs w:val="0"/>
                      <w:color w:val="auto"/>
                      <w:sz w:val="21"/>
                      <w:szCs w:val="21"/>
                      <w:highlight w:val="none"/>
                      <w:lang w:val="en-US" w:eastAsia="zh-CN"/>
                    </w:rPr>
                  </w:pPr>
                </w:p>
              </w:tc>
              <w:tc>
                <w:tcPr>
                  <w:tcW w:w="1636" w:type="pct"/>
                  <w:gridSpan w:val="2"/>
                  <w:vAlign w:val="center"/>
                </w:tcPr>
                <w:p>
                  <w:pPr>
                    <w:pStyle w:val="5"/>
                    <w:keepLines w:val="0"/>
                    <w:pageBreakBefore w:val="0"/>
                    <w:widowControl w:val="0"/>
                    <w:numPr>
                      <w:ilvl w:val="2"/>
                      <w:numId w:val="0"/>
                    </w:numPr>
                    <w:kinsoku/>
                    <w:wordWrap/>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排气筒高度</w:t>
                  </w:r>
                </w:p>
              </w:tc>
              <w:tc>
                <w:tcPr>
                  <w:tcW w:w="915" w:type="pct"/>
                  <w:gridSpan w:val="2"/>
                  <w:vAlign w:val="center"/>
                </w:tcPr>
                <w:p>
                  <w:pPr>
                    <w:pStyle w:val="5"/>
                    <w:keepNext/>
                    <w:keepLines w:val="0"/>
                    <w:pageBreakBefore w:val="0"/>
                    <w:widowControl w:val="0"/>
                    <w:kinsoku/>
                    <w:wordWrap/>
                    <w:overflowPunct w:val="0"/>
                    <w:topLinePunct w:val="0"/>
                    <w:autoSpaceDE/>
                    <w:autoSpaceDN/>
                    <w:bidi w:val="0"/>
                    <w:adjustRightInd w:val="0"/>
                    <w:snapToGrid w:val="0"/>
                    <w:spacing w:before="0" w:after="0" w:line="240" w:lineRule="auto"/>
                    <w:ind w:left="0" w:leftChars="0" w:firstLine="0"/>
                    <w:jc w:val="center"/>
                    <w:textAlignment w:val="auto"/>
                    <w:rPr>
                      <w:rFonts w:hint="default"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不低于15m</w:t>
                  </w:r>
                  <w:r>
                    <w:rPr>
                      <w:rFonts w:hint="default" w:ascii="Times New Roman" w:hAnsi="Times New Roman" w:eastAsia="宋体" w:cs="Times New Roman"/>
                      <w:b w:val="0"/>
                      <w:bCs w:val="0"/>
                      <w:color w:val="auto"/>
                      <w:sz w:val="24"/>
                      <w:szCs w:val="24"/>
                      <w:highlight w:val="none"/>
                      <w:vertAlign w:val="superscript"/>
                    </w:rPr>
                    <w:t>①</w:t>
                  </w:r>
                </w:p>
              </w:tc>
              <w:tc>
                <w:tcPr>
                  <w:tcW w:w="1264" w:type="pct"/>
                  <w:gridSpan w:val="3"/>
                  <w:vMerge w:val="continue"/>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rPr>
                      <w:rFonts w:hint="eastAsia" w:eastAsia="宋体" w:cs="Times New Roman"/>
                      <w:b w:val="0"/>
                      <w:bCs w:val="0"/>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635" w:type="pct"/>
                  <w:gridSpan w:val="2"/>
                  <w:vMerge w:val="restart"/>
                  <w:vAlign w:val="center"/>
                </w:tcPr>
                <w:p>
                  <w:pPr>
                    <w:pStyle w:val="34"/>
                    <w:keepLines w:val="0"/>
                    <w:pageBreakBefore w:val="0"/>
                    <w:widowControl w:val="0"/>
                    <w:kinsoku/>
                    <w:wordWrap/>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注塑</w:t>
                  </w:r>
                </w:p>
              </w:tc>
              <w:tc>
                <w:tcPr>
                  <w:tcW w:w="514" w:type="pct"/>
                  <w:gridSpan w:val="2"/>
                  <w:vMerge w:val="restart"/>
                  <w:vAlign w:val="center"/>
                </w:tcPr>
                <w:p>
                  <w:pPr>
                    <w:keepNext w:val="0"/>
                    <w:keepLines w:val="0"/>
                    <w:pageBreakBefore w:val="0"/>
                    <w:widowControl/>
                    <w:suppressLineNumbers w:val="0"/>
                    <w:kinsoku/>
                    <w:wordWrap/>
                    <w:topLinePunct w:val="0"/>
                    <w:autoSpaceDE/>
                    <w:autoSpaceDN/>
                    <w:bidi w:val="0"/>
                    <w:adjustRightInd w:val="0"/>
                    <w:snapToGrid w:val="0"/>
                    <w:jc w:val="center"/>
                    <w:textAlignment w:val="auto"/>
                    <w:rPr>
                      <w:color w:val="auto"/>
                      <w:sz w:val="21"/>
                      <w:szCs w:val="21"/>
                      <w:highlight w:val="none"/>
                    </w:rPr>
                  </w:pPr>
                  <w:r>
                    <w:rPr>
                      <w:rFonts w:hint="eastAsia" w:ascii="宋体" w:hAnsi="宋体" w:eastAsia="宋体" w:cs="宋体"/>
                      <w:color w:val="auto"/>
                      <w:kern w:val="0"/>
                      <w:sz w:val="21"/>
                      <w:szCs w:val="21"/>
                      <w:highlight w:val="none"/>
                      <w:lang w:val="en-US" w:eastAsia="zh-CN" w:bidi="ar"/>
                    </w:rPr>
                    <w:t>非甲烷</w:t>
                  </w:r>
                </w:p>
                <w:p>
                  <w:pPr>
                    <w:keepNext w:val="0"/>
                    <w:keepLines w:val="0"/>
                    <w:pageBreakBefore w:val="0"/>
                    <w:widowControl/>
                    <w:suppressLineNumbers w:val="0"/>
                    <w:kinsoku/>
                    <w:wordWrap/>
                    <w:topLinePunct w:val="0"/>
                    <w:autoSpaceDE/>
                    <w:autoSpaceDN/>
                    <w:bidi w:val="0"/>
                    <w:adjustRightInd w:val="0"/>
                    <w:snapToGrid w:val="0"/>
                    <w:jc w:val="center"/>
                    <w:textAlignment w:val="auto"/>
                    <w:rPr>
                      <w:rFonts w:hint="eastAsia" w:eastAsia="宋体" w:cs="Times New Roman"/>
                      <w:b w:val="0"/>
                      <w:bCs w:val="0"/>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总烃</w:t>
                  </w:r>
                </w:p>
              </w:tc>
              <w:tc>
                <w:tcPr>
                  <w:tcW w:w="1636" w:type="pct"/>
                  <w:gridSpan w:val="2"/>
                  <w:vAlign w:val="center"/>
                </w:tcPr>
                <w:p>
                  <w:pPr>
                    <w:pStyle w:val="5"/>
                    <w:keepLines w:val="0"/>
                    <w:pageBreakBefore w:val="0"/>
                    <w:widowControl w:val="0"/>
                    <w:numPr>
                      <w:ilvl w:val="2"/>
                      <w:numId w:val="0"/>
                    </w:numPr>
                    <w:kinsoku/>
                    <w:wordWrap/>
                    <w:topLinePunct w:val="0"/>
                    <w:autoSpaceDE/>
                    <w:autoSpaceDN/>
                    <w:bidi w:val="0"/>
                    <w:adjustRightInd w:val="0"/>
                    <w:snapToGrid w:val="0"/>
                    <w:spacing w:before="0" w:after="0" w:line="240" w:lineRule="auto"/>
                    <w:ind w:left="0" w:leftChars="0" w:firstLine="0" w:firstLineChars="0"/>
                    <w:jc w:val="center"/>
                    <w:textAlignment w:val="auto"/>
                    <w:rPr>
                      <w:rFonts w:hint="default"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最高允许排放浓度（mg/m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rPr>
                    <w:t>）</w:t>
                  </w:r>
                </w:p>
              </w:tc>
              <w:tc>
                <w:tcPr>
                  <w:tcW w:w="915" w:type="pct"/>
                  <w:gridSpan w:val="3"/>
                  <w:vAlign w:val="center"/>
                </w:tcPr>
                <w:p>
                  <w:pPr>
                    <w:pStyle w:val="5"/>
                    <w:keepLines w:val="0"/>
                    <w:pageBreakBefore w:val="0"/>
                    <w:widowControl w:val="0"/>
                    <w:numPr>
                      <w:ilvl w:val="2"/>
                      <w:numId w:val="0"/>
                    </w:numPr>
                    <w:kinsoku/>
                    <w:wordWrap/>
                    <w:topLinePunct w:val="0"/>
                    <w:autoSpaceDE/>
                    <w:autoSpaceDN/>
                    <w:bidi w:val="0"/>
                    <w:adjustRightInd w:val="0"/>
                    <w:snapToGrid w:val="0"/>
                    <w:spacing w:before="0" w:after="0" w:line="240" w:lineRule="auto"/>
                    <w:ind w:left="0" w:leftChars="0"/>
                    <w:jc w:val="center"/>
                    <w:textAlignment w:val="auto"/>
                    <w:rPr>
                      <w:rFonts w:hint="default" w:eastAsia="宋体" w:cs="Times New Roman"/>
                      <w:b w:val="0"/>
                      <w:bCs w:val="0"/>
                      <w:color w:val="auto"/>
                      <w:sz w:val="21"/>
                      <w:szCs w:val="21"/>
                      <w:highlight w:val="none"/>
                      <w:lang w:val="en-US" w:eastAsia="zh-CN"/>
                    </w:rPr>
                  </w:pPr>
                  <w:r>
                    <w:rPr>
                      <w:rFonts w:hint="eastAsia" w:eastAsia="宋体" w:cs="Times New Roman"/>
                      <w:b w:val="0"/>
                      <w:bCs w:val="0"/>
                      <w:color w:val="auto"/>
                      <w:sz w:val="21"/>
                      <w:szCs w:val="21"/>
                      <w:highlight w:val="none"/>
                      <w:lang w:val="en-US" w:eastAsia="zh-CN"/>
                    </w:rPr>
                    <w:t>100</w:t>
                  </w:r>
                </w:p>
              </w:tc>
              <w:tc>
                <w:tcPr>
                  <w:tcW w:w="1296" w:type="pct"/>
                  <w:gridSpan w:val="4"/>
                  <w:vMerge w:val="restart"/>
                  <w:vAlign w:val="center"/>
                </w:tcPr>
                <w:p>
                  <w:pPr>
                    <w:keepNext w:val="0"/>
                    <w:keepLines w:val="0"/>
                    <w:pageBreakBefore w:val="0"/>
                    <w:widowControl/>
                    <w:suppressLineNumbers w:val="0"/>
                    <w:kinsoku/>
                    <w:wordWrap/>
                    <w:topLinePunct w:val="0"/>
                    <w:autoSpaceDE/>
                    <w:autoSpaceDN/>
                    <w:bidi w:val="0"/>
                    <w:adjustRightInd w:val="0"/>
                    <w:snapToGrid w:val="0"/>
                    <w:jc w:val="center"/>
                    <w:textAlignment w:val="auto"/>
                    <w:rPr>
                      <w:rFonts w:hint="eastAsia" w:ascii="宋体" w:hAnsi="宋体" w:eastAsia="宋体" w:cs="宋体"/>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rPr>
                    <w:t>《合成树脂工业污染物排放标准》(GB31572-2015)</w:t>
                  </w:r>
                  <w:r>
                    <w:rPr>
                      <w:rFonts w:hint="default" w:ascii="Times New Roman" w:hAnsi="Times New Roman" w:eastAsia="宋体" w:cs="Times New Roman"/>
                      <w:b w:val="0"/>
                      <w:bCs w:val="0"/>
                      <w:color w:val="auto"/>
                      <w:kern w:val="0"/>
                      <w:sz w:val="24"/>
                      <w:szCs w:val="24"/>
                      <w:highlight w:val="none"/>
                      <w:vertAlign w:val="superscript"/>
                    </w:rPr>
                    <w:t>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635" w:type="pct"/>
                  <w:gridSpan w:val="2"/>
                  <w:vMerge w:val="continue"/>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pPr>
                </w:p>
              </w:tc>
              <w:tc>
                <w:tcPr>
                  <w:tcW w:w="514" w:type="pct"/>
                  <w:gridSpan w:val="2"/>
                  <w:vMerge w:val="continue"/>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pPr>
                </w:p>
              </w:tc>
              <w:tc>
                <w:tcPr>
                  <w:tcW w:w="1636" w:type="pct"/>
                  <w:gridSpan w:val="2"/>
                  <w:vAlign w:val="center"/>
                </w:tcPr>
                <w:p>
                  <w:pPr>
                    <w:pStyle w:val="5"/>
                    <w:keepLines w:val="0"/>
                    <w:pageBreakBefore w:val="0"/>
                    <w:widowControl w:val="0"/>
                    <w:numPr>
                      <w:ilvl w:val="2"/>
                      <w:numId w:val="0"/>
                    </w:numPr>
                    <w:kinsoku/>
                    <w:wordWrap/>
                    <w:topLinePunct w:val="0"/>
                    <w:autoSpaceDE/>
                    <w:autoSpaceDN/>
                    <w:bidi w:val="0"/>
                    <w:adjustRightInd w:val="0"/>
                    <w:snapToGrid w:val="0"/>
                    <w:spacing w:before="0" w:after="0" w:line="240" w:lineRule="auto"/>
                    <w:ind w:left="0" w:leftChars="0" w:firstLine="0" w:firstLineChars="0"/>
                    <w:jc w:val="center"/>
                    <w:textAlignment w:val="auto"/>
                    <w:rPr>
                      <w:rFonts w:hint="eastAsia"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最高允许排放速率（kg/h）</w:t>
                  </w:r>
                </w:p>
              </w:tc>
              <w:tc>
                <w:tcPr>
                  <w:tcW w:w="915" w:type="pct"/>
                  <w:gridSpan w:val="3"/>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rPr>
                      <w:rFonts w:hint="default" w:eastAsia="宋体" w:cs="Times New Roman"/>
                      <w:b w:val="0"/>
                      <w:bCs w:val="0"/>
                      <w:color w:val="auto"/>
                      <w:sz w:val="21"/>
                      <w:szCs w:val="21"/>
                      <w:highlight w:val="none"/>
                      <w:lang w:val="en-US" w:eastAsia="zh-CN"/>
                    </w:rPr>
                  </w:pPr>
                  <w:r>
                    <w:rPr>
                      <w:rFonts w:hint="eastAsia" w:eastAsia="宋体" w:cs="Times New Roman"/>
                      <w:b w:val="0"/>
                      <w:bCs w:val="0"/>
                      <w:color w:val="auto"/>
                      <w:sz w:val="21"/>
                      <w:szCs w:val="21"/>
                      <w:highlight w:val="none"/>
                      <w:lang w:val="en-US" w:eastAsia="zh-CN"/>
                    </w:rPr>
                    <w:t>/</w:t>
                  </w:r>
                </w:p>
              </w:tc>
              <w:tc>
                <w:tcPr>
                  <w:tcW w:w="1296" w:type="pct"/>
                  <w:gridSpan w:val="4"/>
                  <w:vMerge w:val="continue"/>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rPr>
                      <w:rFonts w:hint="eastAsia" w:eastAsia="宋体" w:cs="Times New Roman"/>
                      <w:b w:val="0"/>
                      <w:bCs w:val="0"/>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635" w:type="pct"/>
                  <w:gridSpan w:val="2"/>
                  <w:vMerge w:val="continue"/>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rPr>
                      <w:rFonts w:hint="eastAsia" w:eastAsia="宋体" w:cs="Times New Roman"/>
                      <w:b w:val="0"/>
                      <w:bCs w:val="0"/>
                      <w:color w:val="auto"/>
                      <w:sz w:val="21"/>
                      <w:szCs w:val="21"/>
                      <w:highlight w:val="none"/>
                      <w:lang w:val="en-US" w:eastAsia="zh-CN"/>
                    </w:rPr>
                  </w:pPr>
                </w:p>
              </w:tc>
              <w:tc>
                <w:tcPr>
                  <w:tcW w:w="514" w:type="pct"/>
                  <w:gridSpan w:val="2"/>
                  <w:vMerge w:val="continue"/>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rPr>
                      <w:rFonts w:hint="eastAsia" w:eastAsia="宋体" w:cs="Times New Roman"/>
                      <w:b w:val="0"/>
                      <w:bCs w:val="0"/>
                      <w:color w:val="auto"/>
                      <w:sz w:val="21"/>
                      <w:szCs w:val="21"/>
                      <w:highlight w:val="none"/>
                      <w:lang w:val="en-US" w:eastAsia="zh-CN"/>
                    </w:rPr>
                  </w:pPr>
                </w:p>
              </w:tc>
              <w:tc>
                <w:tcPr>
                  <w:tcW w:w="1636" w:type="pct"/>
                  <w:gridSpan w:val="2"/>
                  <w:vAlign w:val="center"/>
                </w:tcPr>
                <w:p>
                  <w:pPr>
                    <w:pStyle w:val="5"/>
                    <w:keepLines w:val="0"/>
                    <w:pageBreakBefore w:val="0"/>
                    <w:widowControl w:val="0"/>
                    <w:numPr>
                      <w:ilvl w:val="2"/>
                      <w:numId w:val="0"/>
                    </w:numPr>
                    <w:kinsoku/>
                    <w:wordWrap/>
                    <w:topLinePunct w:val="0"/>
                    <w:autoSpaceDE/>
                    <w:autoSpaceDN/>
                    <w:bidi w:val="0"/>
                    <w:adjustRightInd w:val="0"/>
                    <w:snapToGrid w:val="0"/>
                    <w:spacing w:before="0" w:after="0" w:line="240" w:lineRule="auto"/>
                    <w:ind w:left="0" w:leftChars="0" w:firstLine="0" w:firstLineChars="0"/>
                    <w:jc w:val="center"/>
                    <w:textAlignment w:val="auto"/>
                    <w:rPr>
                      <w:rFonts w:hint="eastAsia"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企业边界监控点浓度限值（mg/m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rPr>
                    <w:t>）</w:t>
                  </w:r>
                </w:p>
              </w:tc>
              <w:tc>
                <w:tcPr>
                  <w:tcW w:w="915" w:type="pct"/>
                  <w:gridSpan w:val="3"/>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rPr>
                      <w:rFonts w:hint="default" w:eastAsia="宋体" w:cs="Times New Roman"/>
                      <w:b w:val="0"/>
                      <w:bCs w:val="0"/>
                      <w:color w:val="auto"/>
                      <w:sz w:val="21"/>
                      <w:szCs w:val="21"/>
                      <w:highlight w:val="none"/>
                      <w:lang w:val="en-US" w:eastAsia="zh-CN"/>
                    </w:rPr>
                  </w:pPr>
                  <w:r>
                    <w:rPr>
                      <w:rFonts w:hint="eastAsia" w:eastAsia="宋体" w:cs="Times New Roman"/>
                      <w:b w:val="0"/>
                      <w:bCs w:val="0"/>
                      <w:color w:val="auto"/>
                      <w:sz w:val="21"/>
                      <w:szCs w:val="21"/>
                      <w:highlight w:val="none"/>
                      <w:lang w:val="en-US" w:eastAsia="zh-CN"/>
                    </w:rPr>
                    <w:t>4.0</w:t>
                  </w:r>
                </w:p>
              </w:tc>
              <w:tc>
                <w:tcPr>
                  <w:tcW w:w="1296" w:type="pct"/>
                  <w:gridSpan w:val="4"/>
                  <w:vMerge w:val="continue"/>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rPr>
                      <w:rFonts w:hint="eastAsia" w:eastAsia="宋体" w:cs="Times New Roman"/>
                      <w:b w:val="0"/>
                      <w:bCs w:val="0"/>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2" w:type="pct"/>
                <w:trHeight w:val="316" w:hRule="atLeast"/>
                <w:jc w:val="center"/>
              </w:trPr>
              <w:tc>
                <w:tcPr>
                  <w:tcW w:w="4967" w:type="pct"/>
                  <w:gridSpan w:val="12"/>
                  <w:vAlign w:val="center"/>
                </w:tcPr>
                <w:p>
                  <w:pPr>
                    <w:keepNext w:val="0"/>
                    <w:keepLines w:val="0"/>
                    <w:widowControl/>
                    <w:suppressLineNumbers w:val="0"/>
                    <w:jc w:val="left"/>
                    <w:rPr>
                      <w:rFonts w:hint="default" w:ascii="Times New Roman" w:hAnsi="Times New Roman" w:eastAsia="宋体" w:cs="Times New Roman"/>
                      <w:b/>
                      <w:bCs/>
                      <w:color w:val="0000FF"/>
                      <w:kern w:val="0"/>
                      <w:sz w:val="21"/>
                      <w:szCs w:val="21"/>
                      <w:highlight w:val="none"/>
                      <w:lang w:val="en-US" w:eastAsia="zh-CN" w:bidi="ar"/>
                    </w:rPr>
                  </w:pPr>
                  <w:r>
                    <w:rPr>
                      <w:rFonts w:hint="default" w:ascii="Times New Roman" w:hAnsi="Times New Roman" w:eastAsia="宋体" w:cs="Times New Roman"/>
                      <w:b/>
                      <w:bCs/>
                      <w:color w:val="0000FF"/>
                      <w:kern w:val="0"/>
                      <w:sz w:val="21"/>
                      <w:szCs w:val="21"/>
                      <w:highlight w:val="none"/>
                      <w:lang w:val="en-US" w:eastAsia="zh-CN" w:bidi="ar"/>
                    </w:rPr>
                    <w:t>注：①项目设计</w:t>
                  </w:r>
                  <w:r>
                    <w:rPr>
                      <w:rFonts w:hint="default" w:ascii="Times New Roman" w:hAnsi="Times New Roman" w:eastAsia="宋体" w:cs="Times New Roman"/>
                      <w:b/>
                      <w:bCs/>
                      <w:color w:val="0000FF"/>
                      <w:kern w:val="0"/>
                      <w:sz w:val="21"/>
                      <w:szCs w:val="21"/>
                      <w:lang w:val="en-US" w:eastAsia="zh-CN" w:bidi="ar"/>
                    </w:rPr>
                    <w:t>排气筒不低于15m，还应高出周围200m半径范围的建筑5m以上，</w:t>
                  </w:r>
                  <w:r>
                    <w:rPr>
                      <w:rFonts w:hint="eastAsia" w:ascii="Times New Roman" w:hAnsi="Times New Roman" w:eastAsia="宋体" w:cs="Times New Roman"/>
                      <w:b/>
                      <w:bCs/>
                      <w:color w:val="0000FF"/>
                      <w:kern w:val="0"/>
                      <w:sz w:val="21"/>
                      <w:szCs w:val="21"/>
                      <w:lang w:val="en-US" w:eastAsia="zh-CN" w:bidi="ar"/>
                    </w:rPr>
                    <w:t>若</w:t>
                  </w:r>
                  <w:r>
                    <w:rPr>
                      <w:rFonts w:hint="default" w:ascii="Times New Roman" w:hAnsi="Times New Roman" w:eastAsia="宋体" w:cs="Times New Roman"/>
                      <w:b/>
                      <w:bCs/>
                      <w:color w:val="0000FF"/>
                      <w:kern w:val="0"/>
                      <w:sz w:val="21"/>
                      <w:szCs w:val="21"/>
                      <w:lang w:val="en-US" w:eastAsia="zh-CN" w:bidi="ar"/>
                    </w:rPr>
                    <w:t>不能达到该要求的排气筒，应按其高度对应的排放速率标准值严格50%执行；</w:t>
                  </w:r>
                </w:p>
                <w:p>
                  <w:pPr>
                    <w:keepNext w:val="0"/>
                    <w:keepLines w:val="0"/>
                    <w:widowControl/>
                    <w:suppressLineNumbers w:val="0"/>
                    <w:jc w:val="left"/>
                    <w:rPr>
                      <w:rFonts w:hint="default"/>
                    </w:rPr>
                  </w:pPr>
                  <w:r>
                    <w:rPr>
                      <w:rFonts w:hint="default" w:ascii="Times New Roman" w:hAnsi="Times New Roman" w:eastAsia="宋体" w:cs="Times New Roman"/>
                      <w:b/>
                      <w:bCs/>
                      <w:color w:val="0000FF"/>
                      <w:kern w:val="0"/>
                      <w:sz w:val="21"/>
                      <w:szCs w:val="21"/>
                      <w:highlight w:val="none"/>
                      <w:lang w:val="en-US" w:eastAsia="zh-CN" w:bidi="ar"/>
                    </w:rPr>
                    <w:t>②参照《合成树脂工业污染物排放标准》（GB31572-2015），注塑工序单位产品非甲烷总烃排放量限值为0.5kg/t产品</w:t>
                  </w:r>
                  <w:r>
                    <w:rPr>
                      <w:rFonts w:hint="eastAsia" w:ascii="Times New Roman" w:hAnsi="Times New Roman" w:eastAsia="宋体" w:cs="Times New Roman"/>
                      <w:b/>
                      <w:bCs/>
                      <w:color w:val="0000FF"/>
                      <w:kern w:val="0"/>
                      <w:sz w:val="21"/>
                      <w:szCs w:val="21"/>
                      <w:highlight w:val="none"/>
                      <w:lang w:val="en-US" w:eastAsia="zh-CN" w:bidi="ar"/>
                    </w:rPr>
                    <w:t>。</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center"/>
              <w:textAlignment w:val="auto"/>
              <w:rPr>
                <w:b/>
                <w:bCs/>
                <w:color w:val="auto"/>
                <w:sz w:val="24"/>
                <w:highlight w:val="none"/>
                <w:lang w:val="en-US" w:eastAsia="zh-CN"/>
              </w:rPr>
            </w:pPr>
            <w:r>
              <w:rPr>
                <w:b/>
                <w:bCs/>
                <w:color w:val="auto"/>
                <w:sz w:val="24"/>
                <w:highlight w:val="none"/>
                <w:lang w:val="en-US" w:eastAsia="zh-CN"/>
              </w:rPr>
              <w:t>表3</w:t>
            </w:r>
            <w:r>
              <w:rPr>
                <w:rFonts w:hint="eastAsia"/>
                <w:b/>
                <w:bCs/>
                <w:color w:val="auto"/>
                <w:sz w:val="24"/>
                <w:highlight w:val="none"/>
                <w:lang w:val="en-US" w:eastAsia="zh-CN"/>
              </w:rPr>
              <w:t>.8-3废气厂区内无组织排放标准</w:t>
            </w:r>
          </w:p>
          <w:tbl>
            <w:tblPr>
              <w:tblStyle w:val="28"/>
              <w:tblW w:w="501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21"/>
              <w:gridCol w:w="1487"/>
              <w:gridCol w:w="3060"/>
              <w:gridCol w:w="22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962" w:type="pct"/>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污染物</w:t>
                  </w:r>
                </w:p>
              </w:tc>
              <w:tc>
                <w:tcPr>
                  <w:tcW w:w="883" w:type="pct"/>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排放限值</w:t>
                  </w:r>
                </w:p>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（mg/m</w:t>
                  </w:r>
                  <w:r>
                    <w:rPr>
                      <w:rFonts w:ascii="Times New Roman" w:hAnsi="Times New Roman"/>
                      <w:b/>
                      <w:bCs/>
                      <w:color w:val="auto"/>
                      <w:sz w:val="21"/>
                      <w:szCs w:val="21"/>
                      <w:highlight w:val="none"/>
                      <w:vertAlign w:val="superscript"/>
                    </w:rPr>
                    <w:t>3</w:t>
                  </w:r>
                  <w:r>
                    <w:rPr>
                      <w:rFonts w:ascii="Times New Roman" w:hAnsi="Times New Roman"/>
                      <w:b/>
                      <w:bCs/>
                      <w:color w:val="auto"/>
                      <w:sz w:val="21"/>
                      <w:szCs w:val="21"/>
                      <w:highlight w:val="none"/>
                    </w:rPr>
                    <w:t>）</w:t>
                  </w:r>
                </w:p>
              </w:tc>
              <w:tc>
                <w:tcPr>
                  <w:tcW w:w="1817" w:type="pct"/>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限值含义</w:t>
                  </w:r>
                </w:p>
              </w:tc>
              <w:tc>
                <w:tcPr>
                  <w:tcW w:w="1336" w:type="pct"/>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无组织排放</w:t>
                  </w:r>
                </w:p>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监控位置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962" w:type="pct"/>
                  <w:vMerge w:val="restart"/>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非甲烷总烃</w:t>
                  </w:r>
                </w:p>
              </w:tc>
              <w:tc>
                <w:tcPr>
                  <w:tcW w:w="883" w:type="pct"/>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0000FF"/>
                      <w:sz w:val="21"/>
                      <w:szCs w:val="21"/>
                      <w:highlight w:val="none"/>
                      <w:lang w:eastAsia="zh-CN"/>
                    </w:rPr>
                  </w:pPr>
                  <w:r>
                    <w:rPr>
                      <w:rFonts w:hint="eastAsia" w:ascii="Times New Roman" w:hAnsi="Times New Roman"/>
                      <w:color w:val="0000FF"/>
                      <w:sz w:val="21"/>
                      <w:szCs w:val="21"/>
                      <w:highlight w:val="none"/>
                      <w:lang w:val="en-US" w:eastAsia="zh-CN"/>
                    </w:rPr>
                    <w:t>8</w:t>
                  </w:r>
                </w:p>
              </w:tc>
              <w:tc>
                <w:tcPr>
                  <w:tcW w:w="1817" w:type="pct"/>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color w:val="0000FF"/>
                      <w:sz w:val="21"/>
                      <w:szCs w:val="21"/>
                      <w:highlight w:val="none"/>
                    </w:rPr>
                  </w:pPr>
                  <w:r>
                    <w:rPr>
                      <w:rFonts w:ascii="Times New Roman" w:hAnsi="Times New Roman"/>
                      <w:color w:val="0000FF"/>
                      <w:sz w:val="21"/>
                      <w:szCs w:val="21"/>
                      <w:highlight w:val="none"/>
                    </w:rPr>
                    <w:t>监控点处1h平均浓度值</w:t>
                  </w:r>
                </w:p>
              </w:tc>
              <w:tc>
                <w:tcPr>
                  <w:tcW w:w="1336" w:type="pct"/>
                  <w:vMerge w:val="restart"/>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在厂房外设置监控点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962" w:type="pct"/>
                  <w:vMerge w:val="continue"/>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color w:val="auto"/>
                      <w:sz w:val="21"/>
                      <w:szCs w:val="21"/>
                      <w:highlight w:val="none"/>
                    </w:rPr>
                  </w:pPr>
                </w:p>
              </w:tc>
              <w:tc>
                <w:tcPr>
                  <w:tcW w:w="883" w:type="pct"/>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30</w:t>
                  </w:r>
                </w:p>
              </w:tc>
              <w:tc>
                <w:tcPr>
                  <w:tcW w:w="1817" w:type="pct"/>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监控点处任意一次浓度值</w:t>
                  </w:r>
                </w:p>
              </w:tc>
              <w:tc>
                <w:tcPr>
                  <w:tcW w:w="1336" w:type="pct"/>
                  <w:vMerge w:val="continue"/>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962" w:type="pct"/>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颗粒物</w:t>
                  </w:r>
                </w:p>
              </w:tc>
              <w:tc>
                <w:tcPr>
                  <w:tcW w:w="883" w:type="pct"/>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5</w:t>
                  </w:r>
                </w:p>
              </w:tc>
              <w:tc>
                <w:tcPr>
                  <w:tcW w:w="1817" w:type="pct"/>
                  <w:vAlign w:val="center"/>
                </w:tcPr>
                <w:p>
                  <w:pPr>
                    <w:keepNext w:val="0"/>
                    <w:keepLines w:val="0"/>
                    <w:widowControl/>
                    <w:suppressLineNumbers w:val="0"/>
                    <w:jc w:val="center"/>
                    <w:rPr>
                      <w:rFonts w:ascii="Times New Roman" w:hAnsi="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监控点处 </w:t>
                  </w:r>
                  <w:r>
                    <w:rPr>
                      <w:rFonts w:hint="default" w:ascii="Times New Roman" w:hAnsi="Times New Roman" w:eastAsia="宋体" w:cs="Times New Roman"/>
                      <w:color w:val="auto"/>
                      <w:kern w:val="0"/>
                      <w:sz w:val="21"/>
                      <w:szCs w:val="21"/>
                      <w:highlight w:val="none"/>
                      <w:lang w:val="en-US" w:eastAsia="zh-CN" w:bidi="ar"/>
                    </w:rPr>
                    <w:t xml:space="preserve">1h </w:t>
                  </w:r>
                  <w:r>
                    <w:rPr>
                      <w:rFonts w:hint="eastAsia" w:ascii="宋体" w:hAnsi="宋体" w:eastAsia="宋体" w:cs="宋体"/>
                      <w:color w:val="auto"/>
                      <w:kern w:val="0"/>
                      <w:sz w:val="21"/>
                      <w:szCs w:val="21"/>
                      <w:highlight w:val="none"/>
                      <w:lang w:val="en-US" w:eastAsia="zh-CN" w:bidi="ar"/>
                    </w:rPr>
                    <w:t>平均浓度值</w:t>
                  </w:r>
                </w:p>
              </w:tc>
              <w:tc>
                <w:tcPr>
                  <w:tcW w:w="1336" w:type="pct"/>
                  <w:vAlign w:val="center"/>
                </w:tcPr>
                <w:p>
                  <w:pPr>
                    <w:keepNext w:val="0"/>
                    <w:keepLines w:val="0"/>
                    <w:widowControl/>
                    <w:suppressLineNumbers w:val="0"/>
                    <w:jc w:val="center"/>
                    <w:rPr>
                      <w:rFonts w:ascii="Times New Roman" w:hAnsi="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在厂房外设置监控点</w:t>
                  </w:r>
                </w:p>
              </w:tc>
            </w:tr>
          </w:tbl>
          <w:p>
            <w:pPr>
              <w:pStyle w:val="63"/>
              <w:keepNext w:val="0"/>
              <w:keepLines w:val="0"/>
              <w:pageBreakBefore w:val="0"/>
              <w:widowControl/>
              <w:kinsoku/>
              <w:wordWrap/>
              <w:overflowPunct/>
              <w:topLinePunct w:val="0"/>
              <w:autoSpaceDE/>
              <w:autoSpaceDN/>
              <w:bidi w:val="0"/>
              <w:adjustRightInd w:val="0"/>
              <w:snapToGrid w:val="0"/>
              <w:spacing w:before="157" w:beforeLines="50" w:line="360" w:lineRule="auto"/>
              <w:ind w:left="0" w:leftChars="0" w:right="0" w:firstLine="0" w:firstLineChars="0"/>
              <w:textAlignment w:val="auto"/>
              <w:rPr>
                <w:rFonts w:ascii="Times New Roman" w:eastAsia="宋体"/>
                <w:b/>
                <w:color w:val="auto"/>
                <w:sz w:val="24"/>
                <w:szCs w:val="24"/>
                <w:highlight w:val="none"/>
              </w:rPr>
            </w:pPr>
            <w:r>
              <w:rPr>
                <w:rFonts w:hint="eastAsia" w:ascii="Times New Roman" w:eastAsia="宋体"/>
                <w:b/>
                <w:color w:val="auto"/>
                <w:sz w:val="24"/>
                <w:szCs w:val="24"/>
                <w:highlight w:val="none"/>
              </w:rPr>
              <w:t>3</w:t>
            </w:r>
            <w:r>
              <w:rPr>
                <w:rFonts w:hint="eastAsia" w:ascii="Times New Roman" w:eastAsia="宋体"/>
                <w:b/>
                <w:color w:val="auto"/>
                <w:sz w:val="24"/>
                <w:szCs w:val="24"/>
                <w:highlight w:val="none"/>
                <w:lang w:val="en-US" w:eastAsia="zh-CN"/>
              </w:rPr>
              <w:t>.8.3</w:t>
            </w:r>
            <w:r>
              <w:rPr>
                <w:rFonts w:hint="eastAsia" w:ascii="Times New Roman" w:eastAsia="宋体"/>
                <w:b/>
                <w:color w:val="auto"/>
                <w:sz w:val="24"/>
                <w:szCs w:val="24"/>
                <w:highlight w:val="none"/>
              </w:rPr>
              <w:t>、</w:t>
            </w:r>
            <w:r>
              <w:rPr>
                <w:rFonts w:ascii="Times New Roman" w:eastAsia="宋体"/>
                <w:b/>
                <w:color w:val="auto"/>
                <w:sz w:val="24"/>
                <w:szCs w:val="24"/>
                <w:highlight w:val="none"/>
              </w:rPr>
              <w:t>噪声</w:t>
            </w:r>
          </w:p>
          <w:p>
            <w:pPr>
              <w:spacing w:line="360" w:lineRule="auto"/>
              <w:ind w:firstLine="480"/>
              <w:rPr>
                <w:color w:val="auto"/>
                <w:sz w:val="24"/>
                <w:highlight w:val="none"/>
              </w:rPr>
            </w:pPr>
            <w:r>
              <w:rPr>
                <w:rFonts w:hint="eastAsia"/>
                <w:color w:val="auto"/>
                <w:sz w:val="24"/>
                <w:highlight w:val="none"/>
              </w:rPr>
              <w:t>项目</w:t>
            </w:r>
            <w:r>
              <w:rPr>
                <w:color w:val="auto"/>
                <w:sz w:val="24"/>
                <w:highlight w:val="none"/>
              </w:rPr>
              <w:t>运营期</w:t>
            </w:r>
            <w:r>
              <w:rPr>
                <w:rFonts w:hint="eastAsia"/>
                <w:color w:val="auto"/>
                <w:sz w:val="24"/>
                <w:highlight w:val="none"/>
                <w:lang w:val="en-US" w:eastAsia="zh-CN"/>
              </w:rPr>
              <w:t>厂界</w:t>
            </w:r>
            <w:r>
              <w:rPr>
                <w:rFonts w:hint="eastAsia"/>
                <w:color w:val="auto"/>
                <w:sz w:val="24"/>
                <w:highlight w:val="none"/>
              </w:rPr>
              <w:t>噪声执行</w:t>
            </w:r>
            <w:r>
              <w:rPr>
                <w:color w:val="auto"/>
                <w:sz w:val="24"/>
                <w:highlight w:val="none"/>
              </w:rPr>
              <w:t>《工业企业</w:t>
            </w:r>
            <w:r>
              <w:rPr>
                <w:bCs/>
                <w:color w:val="auto"/>
                <w:sz w:val="24"/>
                <w:highlight w:val="none"/>
              </w:rPr>
              <w:t>厂界</w:t>
            </w:r>
            <w:r>
              <w:rPr>
                <w:color w:val="auto"/>
                <w:sz w:val="24"/>
                <w:highlight w:val="none"/>
              </w:rPr>
              <w:t>环境噪声排放标准》（GB12348-2008）</w:t>
            </w:r>
            <w:r>
              <w:rPr>
                <w:rFonts w:hint="eastAsia"/>
                <w:color w:val="auto"/>
                <w:sz w:val="24"/>
                <w:highlight w:val="none"/>
              </w:rPr>
              <w:t>3</w:t>
            </w:r>
            <w:r>
              <w:rPr>
                <w:color w:val="auto"/>
                <w:sz w:val="24"/>
                <w:highlight w:val="none"/>
              </w:rPr>
              <w:t>类标准</w:t>
            </w:r>
            <w:r>
              <w:rPr>
                <w:rFonts w:hint="eastAsia"/>
                <w:color w:val="auto"/>
                <w:sz w:val="24"/>
                <w:highlight w:val="none"/>
                <w:lang w:eastAsia="zh-CN"/>
              </w:rPr>
              <w:t>，</w:t>
            </w:r>
            <w:r>
              <w:rPr>
                <w:rFonts w:hint="eastAsia"/>
                <w:color w:val="auto"/>
                <w:sz w:val="24"/>
                <w:highlight w:val="none"/>
              </w:rPr>
              <w:t>详</w:t>
            </w:r>
            <w:r>
              <w:rPr>
                <w:color w:val="auto"/>
                <w:sz w:val="24"/>
                <w:highlight w:val="none"/>
              </w:rPr>
              <w:t>见表</w:t>
            </w:r>
            <w:r>
              <w:rPr>
                <w:rFonts w:hint="eastAsia"/>
                <w:color w:val="auto"/>
                <w:sz w:val="24"/>
                <w:highlight w:val="none"/>
                <w:lang w:val="en-US" w:eastAsia="zh-CN"/>
              </w:rPr>
              <w:t>3.8-4</w:t>
            </w:r>
            <w:r>
              <w:rPr>
                <w:color w:val="auto"/>
                <w:sz w:val="24"/>
                <w:highlight w:val="none"/>
              </w:rPr>
              <w:t>。</w:t>
            </w:r>
          </w:p>
          <w:p>
            <w:pPr>
              <w:spacing w:line="360" w:lineRule="auto"/>
              <w:jc w:val="center"/>
              <w:rPr>
                <w:b/>
                <w:color w:val="auto"/>
                <w:sz w:val="24"/>
                <w:highlight w:val="none"/>
              </w:rPr>
            </w:pPr>
            <w:r>
              <w:rPr>
                <w:b/>
                <w:color w:val="auto"/>
                <w:sz w:val="24"/>
                <w:highlight w:val="none"/>
              </w:rPr>
              <w:t>表</w:t>
            </w:r>
            <w:r>
              <w:rPr>
                <w:rFonts w:hint="eastAsia"/>
                <w:b/>
                <w:color w:val="auto"/>
                <w:sz w:val="24"/>
                <w:highlight w:val="none"/>
                <w:lang w:val="en-US" w:eastAsia="zh-CN"/>
              </w:rPr>
              <w:t>3.8-4</w:t>
            </w:r>
            <w:r>
              <w:rPr>
                <w:b/>
                <w:color w:val="auto"/>
                <w:sz w:val="24"/>
                <w:highlight w:val="none"/>
              </w:rPr>
              <w:t>厂界环境噪声排放标准单位：dB(A)</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16"/>
              <w:gridCol w:w="1883"/>
              <w:gridCol w:w="1883"/>
              <w:gridCol w:w="18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5" w:hRule="atLeast"/>
                <w:tblHeader/>
                <w:jc w:val="center"/>
              </w:trPr>
              <w:tc>
                <w:tcPr>
                  <w:tcW w:w="167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szCs w:val="21"/>
                      <w:highlight w:val="none"/>
                    </w:rPr>
                  </w:pPr>
                  <w:r>
                    <w:rPr>
                      <w:b/>
                      <w:bCs/>
                      <w:color w:val="auto"/>
                      <w:szCs w:val="21"/>
                      <w:highlight w:val="none"/>
                    </w:rPr>
                    <w:t>执行标准</w:t>
                  </w:r>
                </w:p>
              </w:tc>
              <w:tc>
                <w:tcPr>
                  <w:tcW w:w="112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szCs w:val="21"/>
                      <w:highlight w:val="none"/>
                    </w:rPr>
                  </w:pPr>
                  <w:r>
                    <w:rPr>
                      <w:b/>
                      <w:bCs/>
                      <w:color w:val="auto"/>
                      <w:szCs w:val="21"/>
                      <w:highlight w:val="none"/>
                    </w:rPr>
                    <w:t>类别</w:t>
                  </w:r>
                </w:p>
              </w:tc>
              <w:tc>
                <w:tcPr>
                  <w:tcW w:w="112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szCs w:val="21"/>
                      <w:highlight w:val="none"/>
                    </w:rPr>
                  </w:pPr>
                  <w:r>
                    <w:rPr>
                      <w:b/>
                      <w:bCs/>
                      <w:color w:val="auto"/>
                      <w:szCs w:val="21"/>
                      <w:highlight w:val="none"/>
                    </w:rPr>
                    <w:t>昼间</w:t>
                  </w:r>
                </w:p>
              </w:tc>
              <w:tc>
                <w:tcPr>
                  <w:tcW w:w="107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szCs w:val="21"/>
                      <w:highlight w:val="none"/>
                    </w:rPr>
                  </w:pPr>
                  <w:r>
                    <w:rPr>
                      <w:b/>
                      <w:bCs/>
                      <w:color w:val="auto"/>
                      <w:szCs w:val="21"/>
                      <w:highlight w:val="none"/>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7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highlight w:val="none"/>
                    </w:rPr>
                  </w:pPr>
                  <w:r>
                    <w:rPr>
                      <w:bCs/>
                      <w:color w:val="auto"/>
                      <w:szCs w:val="21"/>
                      <w:highlight w:val="none"/>
                    </w:rPr>
                    <w:t>工业企业厂界环境噪声排放标准》（GB12348-2008 ）</w:t>
                  </w:r>
                </w:p>
              </w:tc>
              <w:tc>
                <w:tcPr>
                  <w:tcW w:w="112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highlight w:val="none"/>
                    </w:rPr>
                  </w:pPr>
                  <w:r>
                    <w:rPr>
                      <w:rFonts w:hint="eastAsia"/>
                      <w:bCs/>
                      <w:color w:val="auto"/>
                      <w:szCs w:val="21"/>
                      <w:highlight w:val="none"/>
                    </w:rPr>
                    <w:t>3</w:t>
                  </w:r>
                  <w:r>
                    <w:rPr>
                      <w:bCs/>
                      <w:color w:val="auto"/>
                      <w:szCs w:val="21"/>
                      <w:highlight w:val="none"/>
                    </w:rPr>
                    <w:t>类标准</w:t>
                  </w:r>
                </w:p>
              </w:tc>
              <w:tc>
                <w:tcPr>
                  <w:tcW w:w="112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highlight w:val="none"/>
                    </w:rPr>
                  </w:pPr>
                  <w:r>
                    <w:rPr>
                      <w:bCs/>
                      <w:color w:val="auto"/>
                      <w:szCs w:val="21"/>
                      <w:highlight w:val="none"/>
                    </w:rPr>
                    <w:t>≤</w:t>
                  </w:r>
                  <w:r>
                    <w:rPr>
                      <w:color w:val="auto"/>
                      <w:szCs w:val="21"/>
                      <w:highlight w:val="none"/>
                    </w:rPr>
                    <w:t>6</w:t>
                  </w:r>
                  <w:r>
                    <w:rPr>
                      <w:rFonts w:hint="eastAsia"/>
                      <w:color w:val="auto"/>
                      <w:szCs w:val="21"/>
                      <w:highlight w:val="none"/>
                    </w:rPr>
                    <w:t>5</w:t>
                  </w:r>
                  <w:r>
                    <w:rPr>
                      <w:color w:val="auto"/>
                      <w:szCs w:val="21"/>
                      <w:highlight w:val="none"/>
                    </w:rPr>
                    <w:t>dB(A)</w:t>
                  </w:r>
                </w:p>
              </w:tc>
              <w:tc>
                <w:tcPr>
                  <w:tcW w:w="107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highlight w:val="none"/>
                    </w:rPr>
                  </w:pPr>
                  <w:r>
                    <w:rPr>
                      <w:bCs/>
                      <w:color w:val="auto"/>
                      <w:szCs w:val="21"/>
                      <w:highlight w:val="none"/>
                    </w:rPr>
                    <w:t>≤</w:t>
                  </w:r>
                  <w:r>
                    <w:rPr>
                      <w:color w:val="auto"/>
                      <w:szCs w:val="21"/>
                      <w:highlight w:val="none"/>
                    </w:rPr>
                    <w:t>5</w:t>
                  </w:r>
                  <w:r>
                    <w:rPr>
                      <w:rFonts w:hint="eastAsia"/>
                      <w:color w:val="auto"/>
                      <w:szCs w:val="21"/>
                      <w:highlight w:val="none"/>
                    </w:rPr>
                    <w:t>5</w:t>
                  </w:r>
                  <w:r>
                    <w:rPr>
                      <w:color w:val="auto"/>
                      <w:szCs w:val="21"/>
                      <w:highlight w:val="none"/>
                    </w:rPr>
                    <w:t>dB(A）</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cs="Times New Roman"/>
                <w:b/>
                <w:color w:val="auto"/>
                <w:kern w:val="0"/>
                <w:sz w:val="28"/>
                <w:szCs w:val="28"/>
                <w:highlight w:val="none"/>
              </w:rPr>
            </w:pPr>
            <w:r>
              <w:rPr>
                <w:rFonts w:hint="eastAsia" w:cs="Times New Roman"/>
                <w:b/>
                <w:color w:val="auto"/>
                <w:kern w:val="0"/>
                <w:sz w:val="28"/>
                <w:szCs w:val="28"/>
                <w:highlight w:val="none"/>
                <w:lang w:val="en-US" w:eastAsia="zh-CN"/>
              </w:rPr>
              <w:t>3.9</w:t>
            </w:r>
            <w:r>
              <w:rPr>
                <w:rFonts w:hint="default" w:ascii="Times New Roman" w:hAnsi="Times New Roman" w:cs="Times New Roman"/>
                <w:b/>
                <w:color w:val="auto"/>
                <w:kern w:val="0"/>
                <w:sz w:val="28"/>
                <w:szCs w:val="28"/>
                <w:highlight w:val="none"/>
              </w:rPr>
              <w:t>、固废</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lang w:val="en-US" w:eastAsia="zh-CN"/>
              </w:rPr>
              <w:t>项目</w:t>
            </w:r>
            <w:r>
              <w:rPr>
                <w:rFonts w:hint="default" w:ascii="Times New Roman" w:hAnsi="Times New Roman" w:eastAsia="宋体" w:cs="Times New Roman"/>
                <w:color w:val="auto"/>
                <w:kern w:val="0"/>
                <w:sz w:val="24"/>
                <w:highlight w:val="none"/>
              </w:rPr>
              <w:t>一般工业固体废物贮存和处置参照《一般工业固体废物贮存和填埋污染控制标准》(GB18599-2020)执行</w:t>
            </w:r>
            <w:r>
              <w:rPr>
                <w:rFonts w:hint="default"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sz w:val="24"/>
                <w:highlight w:val="none"/>
                <w:lang w:val="en-US" w:eastAsia="zh-CN"/>
              </w:rPr>
              <w:t>危</w:t>
            </w:r>
            <w:r>
              <w:rPr>
                <w:rFonts w:hint="default" w:ascii="Times New Roman" w:hAnsi="Times New Roman" w:eastAsia="宋体" w:cs="Times New Roman"/>
                <w:color w:val="auto"/>
                <w:sz w:val="24"/>
                <w:highlight w:val="none"/>
              </w:rPr>
              <w:t>险废物贮存参照《危险废物贮存污染控制标准》(GB18597-2023)</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公告2023年 第6号</w:t>
            </w:r>
            <w:r>
              <w:rPr>
                <w:rFonts w:hint="eastAsia" w:ascii="Times New Roman" w:hAnsi="Times New Roman" w:eastAsia="宋体" w:cs="Times New Roman"/>
                <w:color w:val="auto"/>
                <w:sz w:val="24"/>
                <w:highlight w:val="none"/>
                <w:lang w:eastAsia="zh-CN"/>
              </w:rPr>
              <w:t>）</w:t>
            </w:r>
            <w:r>
              <w:rPr>
                <w:rFonts w:hint="eastAsia" w:ascii="Times New Roman" w:hAnsi="Times New Roman" w:cs="Times New Roman"/>
                <w:color w:val="auto"/>
                <w:sz w:val="24"/>
                <w:highlight w:val="none"/>
                <w:lang w:eastAsia="zh-CN"/>
              </w:rPr>
              <w:t>、《危险废物识别标志设置技术规范》（HJ1276</w:t>
            </w:r>
            <w:r>
              <w:rPr>
                <w:rFonts w:hint="eastAsia" w:ascii="Times New Roman" w:hAnsi="Times New Roman" w:cs="Times New Roman"/>
                <w:color w:val="auto"/>
                <w:sz w:val="24"/>
                <w:highlight w:val="none"/>
                <w:lang w:val="en-US" w:eastAsia="zh-CN"/>
              </w:rPr>
              <w:t>-</w:t>
            </w:r>
            <w:r>
              <w:rPr>
                <w:rFonts w:hint="eastAsia" w:ascii="Times New Roman" w:hAnsi="Times New Roman" w:cs="Times New Roman"/>
                <w:color w:val="auto"/>
                <w:sz w:val="24"/>
                <w:highlight w:val="none"/>
                <w:lang w:eastAsia="zh-CN"/>
              </w:rPr>
              <w:t>2022）</w:t>
            </w:r>
            <w:r>
              <w:rPr>
                <w:rFonts w:hint="default" w:ascii="Times New Roman" w:hAnsi="Times New Roman" w:cs="Times New Roman"/>
                <w:color w:val="auto"/>
                <w:sz w:val="24"/>
                <w:highlight w:val="none"/>
              </w:rPr>
              <w:t>要求执行</w:t>
            </w:r>
            <w:r>
              <w:rPr>
                <w:rFonts w:hint="eastAsia" w:ascii="Times New Roman" w:hAnsi="Times New Roman" w:cs="Times New Roman"/>
                <w:color w:val="auto"/>
                <w:sz w:val="24"/>
                <w:highlight w:val="none"/>
                <w:lang w:eastAsia="zh-CN"/>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kern w:val="0"/>
                <w:sz w:val="24"/>
                <w:highlight w:val="none"/>
                <w:lang w:val="en-US" w:eastAsia="zh-CN"/>
              </w:rPr>
            </w:pPr>
          </w:p>
          <w:p>
            <w:pPr>
              <w:pStyle w:val="34"/>
              <w:rPr>
                <w:rFonts w:hint="default" w:ascii="Times New Roman" w:hAnsi="Times New Roman" w:eastAsia="宋体" w:cs="Times New Roman"/>
                <w:color w:val="auto"/>
                <w:kern w:val="0"/>
                <w:sz w:val="24"/>
                <w:highlight w:val="none"/>
                <w:lang w:val="en-US" w:eastAsia="zh-CN"/>
              </w:rPr>
            </w:pPr>
          </w:p>
          <w:p>
            <w:pPr>
              <w:pStyle w:val="24"/>
              <w:rPr>
                <w:rFonts w:hint="default" w:ascii="Times New Roman" w:hAnsi="Times New Roman" w:eastAsia="宋体" w:cs="Times New Roman"/>
                <w:color w:val="auto"/>
                <w:kern w:val="0"/>
                <w:sz w:val="24"/>
                <w:highlight w:val="none"/>
                <w:lang w:val="en-US" w:eastAsia="zh-CN"/>
              </w:rPr>
            </w:pPr>
          </w:p>
          <w:p>
            <w:pPr>
              <w:pStyle w:val="24"/>
              <w:rPr>
                <w:rFonts w:hint="default" w:ascii="Times New Roman" w:hAnsi="Times New Roman" w:eastAsia="宋体" w:cs="Times New Roman"/>
                <w:color w:val="auto"/>
                <w:kern w:val="0"/>
                <w:sz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58" w:hRule="atLeast"/>
          <w:jc w:val="center"/>
        </w:trPr>
        <w:tc>
          <w:tcPr>
            <w:tcW w:w="453" w:type="dxa"/>
            <w:tcMar>
              <w:left w:w="28" w:type="dxa"/>
              <w:right w:w="28" w:type="dxa"/>
            </w:tcMar>
            <w:vAlign w:val="center"/>
          </w:tcPr>
          <w:p>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总量</w:t>
            </w:r>
          </w:p>
          <w:p>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控制</w:t>
            </w:r>
          </w:p>
          <w:p>
            <w:pPr>
              <w:adjustRightInd w:val="0"/>
              <w:snapToGrid w:val="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指标</w:t>
            </w:r>
          </w:p>
        </w:tc>
        <w:tc>
          <w:tcPr>
            <w:tcW w:w="8608"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firstLine="480" w:firstLineChars="200"/>
              <w:textAlignment w:val="bottom"/>
              <w:rPr>
                <w:rFonts w:hint="default"/>
                <w:color w:val="auto"/>
                <w:sz w:val="24"/>
                <w:szCs w:val="24"/>
                <w:highlight w:val="none"/>
                <w:lang w:val="en-US" w:eastAsia="zh-CN"/>
              </w:rPr>
            </w:pPr>
            <w:r>
              <w:rPr>
                <w:rFonts w:hint="eastAsia"/>
                <w:color w:val="auto"/>
                <w:sz w:val="24"/>
                <w:szCs w:val="24"/>
                <w:highlight w:val="none"/>
                <w:lang w:val="en-US" w:eastAsia="zh-CN"/>
              </w:rPr>
              <w:t>根据《泉州市环保局关于全面实施排污权有偿使用和交易后做好建设项目总量指标管理工作有关意见的通知》（泉环保总量[2017]1号），项目总量控制项目为化学需氧量（</w:t>
            </w:r>
            <w:r>
              <w:rPr>
                <w:rFonts w:hint="default"/>
                <w:color w:val="auto"/>
                <w:sz w:val="24"/>
                <w:szCs w:val="24"/>
                <w:highlight w:val="none"/>
                <w:lang w:val="en-US" w:eastAsia="zh-CN"/>
              </w:rPr>
              <w:t>COD</w:t>
            </w:r>
            <w:r>
              <w:rPr>
                <w:rFonts w:hint="eastAsia"/>
                <w:color w:val="auto"/>
                <w:sz w:val="24"/>
                <w:szCs w:val="24"/>
                <w:highlight w:val="none"/>
                <w:lang w:val="en-US" w:eastAsia="zh-CN"/>
              </w:rPr>
              <w:t>）和氨氮（</w:t>
            </w:r>
            <w:r>
              <w:rPr>
                <w:rFonts w:hint="default"/>
                <w:color w:val="auto"/>
                <w:sz w:val="24"/>
                <w:szCs w:val="24"/>
                <w:highlight w:val="none"/>
                <w:lang w:val="en-US" w:eastAsia="zh-CN"/>
              </w:rPr>
              <w:t>NH</w:t>
            </w:r>
            <w:r>
              <w:rPr>
                <w:rFonts w:hint="default"/>
                <w:color w:val="auto"/>
                <w:sz w:val="24"/>
                <w:szCs w:val="24"/>
                <w:highlight w:val="none"/>
                <w:vertAlign w:val="subscript"/>
                <w:lang w:val="en-US" w:eastAsia="zh-CN"/>
              </w:rPr>
              <w:t>3</w:t>
            </w:r>
            <w:r>
              <w:rPr>
                <w:rFonts w:hint="default"/>
                <w:color w:val="auto"/>
                <w:sz w:val="24"/>
                <w:szCs w:val="24"/>
                <w:highlight w:val="none"/>
                <w:lang w:val="en-US" w:eastAsia="zh-CN"/>
              </w:rPr>
              <w:t>-N</w:t>
            </w:r>
            <w:r>
              <w:rPr>
                <w:rFonts w:hint="eastAsia"/>
                <w:color w:val="auto"/>
                <w:sz w:val="24"/>
                <w:szCs w:val="24"/>
                <w:highlight w:val="none"/>
                <w:lang w:val="en-US" w:eastAsia="zh-CN"/>
              </w:rPr>
              <w:t>）、二氧化硫（</w:t>
            </w:r>
            <w:r>
              <w:rPr>
                <w:rFonts w:hint="default"/>
                <w:color w:val="auto"/>
                <w:sz w:val="24"/>
                <w:szCs w:val="24"/>
                <w:highlight w:val="none"/>
                <w:lang w:val="en-US" w:eastAsia="zh-CN"/>
              </w:rPr>
              <w:t>SO</w:t>
            </w:r>
            <w:r>
              <w:rPr>
                <w:rFonts w:hint="default"/>
                <w:color w:val="auto"/>
                <w:sz w:val="24"/>
                <w:szCs w:val="24"/>
                <w:highlight w:val="none"/>
                <w:vertAlign w:val="subscript"/>
                <w:lang w:val="en-US" w:eastAsia="zh-CN"/>
              </w:rPr>
              <w:t>2</w:t>
            </w:r>
            <w:r>
              <w:rPr>
                <w:rFonts w:hint="eastAsia"/>
                <w:color w:val="auto"/>
                <w:sz w:val="24"/>
                <w:szCs w:val="24"/>
                <w:highlight w:val="none"/>
                <w:lang w:val="en-US" w:eastAsia="zh-CN"/>
              </w:rPr>
              <w:t>）、氮氧化物（</w:t>
            </w:r>
            <w:r>
              <w:rPr>
                <w:rFonts w:hint="default"/>
                <w:color w:val="auto"/>
                <w:sz w:val="24"/>
                <w:szCs w:val="24"/>
                <w:highlight w:val="none"/>
                <w:lang w:val="en-US" w:eastAsia="zh-CN"/>
              </w:rPr>
              <w:t>NOx</w:t>
            </w:r>
            <w:r>
              <w:rPr>
                <w:rFonts w:hint="eastAsia"/>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bottom"/>
              <w:rPr>
                <w:rFonts w:hint="default"/>
                <w:color w:val="auto"/>
                <w:sz w:val="24"/>
                <w:szCs w:val="24"/>
                <w:highlight w:val="none"/>
                <w:lang w:eastAsia="zh-CN"/>
              </w:rPr>
            </w:pPr>
            <w:r>
              <w:rPr>
                <w:rFonts w:hint="default"/>
                <w:color w:val="auto"/>
                <w:sz w:val="24"/>
                <w:szCs w:val="24"/>
                <w:highlight w:val="none"/>
                <w:lang w:eastAsia="zh-CN"/>
              </w:rPr>
              <w:t>（1）生活污水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bottom"/>
              <w:rPr>
                <w:rFonts w:hint="default"/>
                <w:color w:val="auto"/>
                <w:sz w:val="24"/>
                <w:szCs w:val="24"/>
                <w:highlight w:val="none"/>
                <w:lang w:eastAsia="zh-CN"/>
              </w:rPr>
            </w:pPr>
            <w:r>
              <w:rPr>
                <w:rFonts w:hint="default"/>
                <w:color w:val="auto"/>
                <w:sz w:val="24"/>
                <w:szCs w:val="24"/>
                <w:highlight w:val="none"/>
                <w:lang w:eastAsia="zh-CN"/>
              </w:rPr>
              <w:t>根据泉环保总量[2017]1号文件通知，项目生活污水不纳入排污权交易范畴，不需购买相应的排污交易权指标，不纳入建设项目主要污染物排放总量指标管理范围。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bottom"/>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w:t>
            </w:r>
            <w:r>
              <w:rPr>
                <w:rFonts w:hint="eastAsia" w:ascii="Times New Roman" w:hAnsi="Times New Roman" w:eastAsia="宋体" w:cs="Times New Roman"/>
                <w:color w:val="auto"/>
                <w:kern w:val="0"/>
                <w:sz w:val="24"/>
                <w:szCs w:val="24"/>
                <w:highlight w:val="none"/>
                <w:lang w:val="en-US" w:eastAsia="zh-CN" w:bidi="ar-SA"/>
              </w:rPr>
              <w:t>2</w:t>
            </w:r>
            <w:r>
              <w:rPr>
                <w:rFonts w:hint="default" w:ascii="Times New Roman" w:hAnsi="Times New Roman" w:eastAsia="宋体" w:cs="Times New Roman"/>
                <w:color w:val="auto"/>
                <w:kern w:val="0"/>
                <w:sz w:val="24"/>
                <w:szCs w:val="24"/>
                <w:highlight w:val="none"/>
                <w:lang w:val="en-US" w:eastAsia="zh-CN" w:bidi="ar-SA"/>
              </w:rPr>
              <w:t>）VOCs排放总量指标</w:t>
            </w:r>
          </w:p>
          <w:p>
            <w:pPr>
              <w:spacing w:line="348" w:lineRule="auto"/>
              <w:ind w:firstLine="480" w:firstLineChars="200"/>
              <w:jc w:val="both"/>
              <w:rPr>
                <w:rFonts w:hint="default"/>
                <w:color w:val="auto"/>
                <w:highlight w:val="none"/>
                <w:lang w:val="en-US"/>
              </w:rPr>
            </w:pPr>
            <w:r>
              <w:rPr>
                <w:rFonts w:hint="default" w:ascii="Times New Roman" w:hAnsi="Times New Roman" w:eastAsia="宋体" w:cs="Times New Roman"/>
                <w:color w:val="auto"/>
                <w:sz w:val="24"/>
                <w:szCs w:val="24"/>
                <w:highlight w:val="none"/>
                <w:lang w:val="en-US" w:eastAsia="zh-CN"/>
              </w:rPr>
              <w:t>根据《福建省人民政府关于实施</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三线一单</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生态环境分区管控的通知》（闽政【2020】12号）和《泉州市人民政府关于实施</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三线一单</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生态环境分区管控的通知》（泉政文〔2021〕50号），</w:t>
            </w:r>
            <w:r>
              <w:rPr>
                <w:rFonts w:hint="default" w:ascii="Times New Roman" w:hAnsi="Times New Roman" w:eastAsia="宋体" w:cs="Times New Roman"/>
                <w:color w:val="auto"/>
                <w:sz w:val="24"/>
                <w:szCs w:val="24"/>
                <w:highlight w:val="none"/>
              </w:rPr>
              <w:t>涉新增VOCs排放项目，实施区域内VOCs排放1.2倍削减替代</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项目</w:t>
            </w:r>
            <w:r>
              <w:rPr>
                <w:rFonts w:hint="default" w:ascii="Times New Roman" w:hAnsi="Times New Roman" w:eastAsia="宋体" w:cs="Times New Roman"/>
                <w:bCs/>
                <w:color w:val="auto"/>
                <w:sz w:val="24"/>
                <w:szCs w:val="24"/>
                <w:highlight w:val="none"/>
              </w:rPr>
              <w:t>挥发性有机物（</w:t>
            </w:r>
            <w:r>
              <w:rPr>
                <w:rFonts w:hint="default" w:ascii="Times New Roman" w:hAnsi="Times New Roman" w:eastAsia="宋体" w:cs="Times New Roman"/>
                <w:bCs/>
                <w:color w:val="auto"/>
                <w:sz w:val="24"/>
                <w:szCs w:val="24"/>
                <w:highlight w:val="none"/>
                <w:lang w:val="en-US" w:eastAsia="zh-CN"/>
              </w:rPr>
              <w:t>以</w:t>
            </w:r>
            <w:r>
              <w:rPr>
                <w:rFonts w:hint="default" w:ascii="Times New Roman" w:hAnsi="Times New Roman" w:eastAsia="宋体" w:cs="Times New Roman"/>
                <w:bCs/>
                <w:color w:val="auto"/>
                <w:sz w:val="24"/>
                <w:szCs w:val="24"/>
                <w:highlight w:val="none"/>
              </w:rPr>
              <w:t>非甲烷总烃</w:t>
            </w:r>
            <w:r>
              <w:rPr>
                <w:rFonts w:hint="default" w:ascii="Times New Roman" w:hAnsi="Times New Roman" w:eastAsia="宋体" w:cs="Times New Roman"/>
                <w:bCs/>
                <w:color w:val="auto"/>
                <w:sz w:val="24"/>
                <w:szCs w:val="24"/>
                <w:highlight w:val="none"/>
                <w:lang w:val="en-US" w:eastAsia="zh-CN"/>
              </w:rPr>
              <w:t>计</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bCs/>
                <w:color w:val="auto"/>
                <w:sz w:val="24"/>
                <w:szCs w:val="24"/>
                <w:highlight w:val="none"/>
                <w:lang w:val="en-US" w:eastAsia="zh-CN"/>
              </w:rPr>
              <w:t>有组织排放量为</w:t>
            </w:r>
            <w:r>
              <w:rPr>
                <w:rFonts w:hint="eastAsia" w:cs="Times New Roman"/>
                <w:bCs/>
                <w:color w:val="auto"/>
                <w:sz w:val="24"/>
                <w:szCs w:val="24"/>
                <w:highlight w:val="none"/>
                <w:lang w:val="en-US" w:eastAsia="zh-CN"/>
              </w:rPr>
              <w:t>1.2130</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bCs/>
                <w:color w:val="auto"/>
                <w:sz w:val="24"/>
                <w:szCs w:val="24"/>
                <w:highlight w:val="none"/>
              </w:rPr>
              <w:t>项目挥发性有机物（VOCs）总量指标</w:t>
            </w:r>
            <w:r>
              <w:rPr>
                <w:rFonts w:hint="default" w:ascii="Times New Roman" w:hAnsi="Times New Roman" w:eastAsia="宋体" w:cs="Times New Roman"/>
                <w:bCs/>
                <w:color w:val="auto"/>
                <w:sz w:val="24"/>
                <w:szCs w:val="24"/>
                <w:highlight w:val="none"/>
                <w:lang w:val="en-US" w:eastAsia="zh-CN"/>
              </w:rPr>
              <w:t>需</w:t>
            </w:r>
            <w:r>
              <w:rPr>
                <w:rFonts w:hint="default" w:ascii="Times New Roman" w:hAnsi="Times New Roman" w:eastAsia="宋体" w:cs="Times New Roman"/>
                <w:bCs/>
                <w:color w:val="auto"/>
                <w:sz w:val="24"/>
                <w:szCs w:val="24"/>
                <w:highlight w:val="none"/>
              </w:rPr>
              <w:t>由泉州市南安生态环境局以1.</w:t>
            </w:r>
            <w:r>
              <w:rPr>
                <w:rFonts w:hint="default" w:ascii="Times New Roman" w:hAnsi="Times New Roman" w:eastAsia="宋体" w:cs="Times New Roman"/>
                <w:bCs/>
                <w:color w:val="auto"/>
                <w:sz w:val="24"/>
                <w:szCs w:val="24"/>
                <w:highlight w:val="none"/>
                <w:lang w:val="en-US" w:eastAsia="zh-CN"/>
              </w:rPr>
              <w:t>2</w:t>
            </w:r>
            <w:r>
              <w:rPr>
                <w:rFonts w:hint="default" w:ascii="Times New Roman" w:hAnsi="Times New Roman" w:eastAsia="宋体" w:cs="Times New Roman"/>
                <w:bCs/>
                <w:color w:val="auto"/>
                <w:sz w:val="24"/>
                <w:szCs w:val="24"/>
                <w:highlight w:val="none"/>
              </w:rPr>
              <w:t>倍消减量调剂</w:t>
            </w:r>
            <w:r>
              <w:rPr>
                <w:rFonts w:hint="eastAsia" w:ascii="Times New Roman" w:hAnsi="Times New Roman" w:eastAsia="宋体" w:cs="Times New Roman"/>
                <w:bCs/>
                <w:color w:val="auto"/>
                <w:sz w:val="24"/>
                <w:szCs w:val="24"/>
                <w:highlight w:val="none"/>
                <w:lang w:eastAsia="zh-CN"/>
              </w:rPr>
              <w:t>。</w:t>
            </w:r>
            <w:r>
              <w:rPr>
                <w:rFonts w:hint="eastAsia" w:cs="Times New Roman"/>
                <w:bCs/>
                <w:color w:val="auto"/>
                <w:sz w:val="24"/>
                <w:szCs w:val="24"/>
                <w:highlight w:val="none"/>
                <w:lang w:val="en-US" w:eastAsia="zh-CN"/>
              </w:rPr>
              <w:t>项目已于2023年10月19日经泉州市南安生态环境局同意从福建西河卫浴科技有限公司减排量调剂1.4556t/a供本项目排污使用。</w:t>
            </w:r>
          </w:p>
        </w:tc>
      </w:tr>
    </w:tbl>
    <w:p>
      <w:pPr>
        <w:pStyle w:val="58"/>
        <w:keepNext w:val="0"/>
        <w:keepLines w:val="0"/>
        <w:pageBreakBefore w:val="0"/>
        <w:widowControl w:val="0"/>
        <w:kinsoku/>
        <w:wordWrap/>
        <w:overflowPunct/>
        <w:topLinePunct w:val="0"/>
        <w:autoSpaceDE/>
        <w:autoSpaceDN/>
        <w:bidi w:val="0"/>
        <w:adjustRightInd w:val="0"/>
        <w:snapToGrid w:val="0"/>
        <w:spacing w:before="0" w:after="0" w:line="240" w:lineRule="auto"/>
        <w:textAlignment w:val="auto"/>
        <w:rPr>
          <w:snapToGrid w:val="0"/>
          <w:color w:val="auto"/>
          <w:highlight w:val="none"/>
        </w:rPr>
      </w:pPr>
      <w:r>
        <w:rPr>
          <w:snapToGrid w:val="0"/>
          <w:color w:val="auto"/>
          <w:sz w:val="36"/>
          <w:szCs w:val="36"/>
          <w:highlight w:val="none"/>
        </w:rPr>
        <w:br w:type="page"/>
      </w:r>
      <w:r>
        <w:rPr>
          <w:rFonts w:hint="eastAsia"/>
          <w:snapToGrid w:val="0"/>
          <w:color w:val="auto"/>
          <w:highlight w:val="none"/>
        </w:rPr>
        <w:t>四、主要环境影响和保护措施</w:t>
      </w:r>
    </w:p>
    <w:tbl>
      <w:tblPr>
        <w:tblStyle w:val="28"/>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71"/>
        <w:gridCol w:w="851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2395" w:hRule="atLeast"/>
          <w:jc w:val="center"/>
        </w:trPr>
        <w:tc>
          <w:tcPr>
            <w:tcW w:w="471" w:type="dxa"/>
            <w:tcMar>
              <w:left w:w="28" w:type="dxa"/>
              <w:right w:w="28" w:type="dxa"/>
            </w:tcMar>
            <w:vAlign w:val="center"/>
          </w:tcPr>
          <w:p>
            <w:pPr>
              <w:pStyle w:val="24"/>
              <w:adjustRightInd w:val="0"/>
              <w:snapToGrid w:val="0"/>
              <w:spacing w:before="0" w:beforeAutospacing="0" w:after="0" w:afterAutospacing="0"/>
              <w:jc w:val="center"/>
              <w:rPr>
                <w:rFonts w:cs="宋体"/>
                <w:color w:val="auto"/>
                <w:kern w:val="2"/>
                <w:szCs w:val="24"/>
                <w:highlight w:val="none"/>
              </w:rPr>
            </w:pPr>
            <w:r>
              <w:rPr>
                <w:rFonts w:hint="eastAsia" w:cs="宋体"/>
                <w:color w:val="auto"/>
                <w:kern w:val="2"/>
                <w:szCs w:val="24"/>
                <w:highlight w:val="none"/>
              </w:rPr>
              <w:t>施工</w:t>
            </w:r>
          </w:p>
          <w:p>
            <w:pPr>
              <w:pStyle w:val="24"/>
              <w:adjustRightInd w:val="0"/>
              <w:snapToGrid w:val="0"/>
              <w:spacing w:before="0" w:beforeAutospacing="0" w:after="0" w:afterAutospacing="0"/>
              <w:jc w:val="center"/>
              <w:rPr>
                <w:rFonts w:cs="宋体"/>
                <w:color w:val="auto"/>
                <w:kern w:val="2"/>
                <w:szCs w:val="24"/>
                <w:highlight w:val="none"/>
              </w:rPr>
            </w:pPr>
            <w:r>
              <w:rPr>
                <w:rFonts w:hint="eastAsia" w:cs="宋体"/>
                <w:color w:val="auto"/>
                <w:kern w:val="2"/>
                <w:szCs w:val="24"/>
                <w:highlight w:val="none"/>
              </w:rPr>
              <w:t>期环</w:t>
            </w:r>
          </w:p>
          <w:p>
            <w:pPr>
              <w:pStyle w:val="24"/>
              <w:adjustRightInd w:val="0"/>
              <w:snapToGrid w:val="0"/>
              <w:spacing w:before="0" w:beforeAutospacing="0" w:after="0" w:afterAutospacing="0"/>
              <w:jc w:val="center"/>
              <w:rPr>
                <w:rFonts w:cs="宋体"/>
                <w:color w:val="auto"/>
                <w:kern w:val="2"/>
                <w:szCs w:val="24"/>
                <w:highlight w:val="none"/>
              </w:rPr>
            </w:pPr>
            <w:r>
              <w:rPr>
                <w:rFonts w:hint="eastAsia" w:cs="宋体"/>
                <w:color w:val="auto"/>
                <w:kern w:val="2"/>
                <w:szCs w:val="24"/>
                <w:highlight w:val="none"/>
              </w:rPr>
              <w:t>境保</w:t>
            </w:r>
          </w:p>
          <w:p>
            <w:pPr>
              <w:pStyle w:val="24"/>
              <w:adjustRightInd w:val="0"/>
              <w:snapToGrid w:val="0"/>
              <w:spacing w:before="0" w:beforeAutospacing="0" w:after="0" w:afterAutospacing="0"/>
              <w:jc w:val="center"/>
              <w:rPr>
                <w:rFonts w:cs="宋体"/>
                <w:color w:val="auto"/>
                <w:kern w:val="2"/>
                <w:szCs w:val="24"/>
                <w:highlight w:val="none"/>
              </w:rPr>
            </w:pPr>
            <w:r>
              <w:rPr>
                <w:rFonts w:hint="eastAsia" w:cs="宋体"/>
                <w:color w:val="auto"/>
                <w:kern w:val="2"/>
                <w:szCs w:val="24"/>
                <w:highlight w:val="none"/>
              </w:rPr>
              <w:t>护措</w:t>
            </w:r>
          </w:p>
          <w:p>
            <w:pPr>
              <w:pStyle w:val="24"/>
              <w:adjustRightInd w:val="0"/>
              <w:snapToGrid w:val="0"/>
              <w:spacing w:before="0" w:beforeAutospacing="0" w:after="0" w:afterAutospacing="0"/>
              <w:jc w:val="center"/>
              <w:rPr>
                <w:rFonts w:cs="宋体"/>
                <w:bCs/>
                <w:color w:val="auto"/>
                <w:kern w:val="2"/>
                <w:sz w:val="21"/>
                <w:szCs w:val="21"/>
                <w:highlight w:val="none"/>
              </w:rPr>
            </w:pPr>
            <w:r>
              <w:rPr>
                <w:rFonts w:hint="eastAsia" w:cs="宋体"/>
                <w:color w:val="auto"/>
                <w:kern w:val="2"/>
                <w:szCs w:val="24"/>
                <w:highlight w:val="none"/>
              </w:rPr>
              <w:t>施</w:t>
            </w:r>
          </w:p>
        </w:tc>
        <w:tc>
          <w:tcPr>
            <w:tcW w:w="8510" w:type="dxa"/>
            <w:vAlign w:val="center"/>
          </w:tcPr>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cs="Times New Roman"/>
                <w:b/>
                <w:bCs/>
                <w:color w:val="auto"/>
                <w:sz w:val="28"/>
                <w:szCs w:val="28"/>
                <w:highlight w:val="none"/>
                <w:lang w:val="en-US" w:eastAsia="zh-CN"/>
              </w:rPr>
            </w:pPr>
            <w:r>
              <w:rPr>
                <w:rFonts w:hint="eastAsia" w:cs="Times New Roman"/>
                <w:b/>
                <w:bCs/>
                <w:color w:val="auto"/>
                <w:sz w:val="28"/>
                <w:szCs w:val="28"/>
                <w:highlight w:val="none"/>
                <w:lang w:val="en-US" w:eastAsia="zh-CN"/>
              </w:rPr>
              <w:t>4.1施工期环境保护措施</w:t>
            </w:r>
          </w:p>
          <w:p>
            <w:pPr>
              <w:spacing w:line="360" w:lineRule="auto"/>
              <w:ind w:firstLine="480" w:firstLineChars="200"/>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目前</w:t>
            </w:r>
            <w:r>
              <w:rPr>
                <w:rFonts w:hint="default" w:ascii="Times New Roman" w:hAnsi="Times New Roman" w:cs="Times New Roman"/>
                <w:color w:val="auto"/>
                <w:sz w:val="24"/>
                <w:szCs w:val="24"/>
                <w:highlight w:val="none"/>
              </w:rPr>
              <w:t>项目</w:t>
            </w:r>
            <w:r>
              <w:rPr>
                <w:rFonts w:hint="eastAsia" w:ascii="Times New Roman" w:hAnsi="Times New Roman" w:cs="Times New Roman"/>
                <w:color w:val="auto"/>
                <w:sz w:val="24"/>
                <w:szCs w:val="24"/>
                <w:highlight w:val="none"/>
                <w:lang w:val="en-US" w:eastAsia="zh-CN"/>
              </w:rPr>
              <w:t>生产车间</w:t>
            </w:r>
            <w:r>
              <w:rPr>
                <w:rFonts w:hint="eastAsia" w:cs="Times New Roman"/>
                <w:color w:val="auto"/>
                <w:sz w:val="24"/>
                <w:szCs w:val="24"/>
                <w:highlight w:val="none"/>
                <w:lang w:val="en-US" w:eastAsia="zh-CN"/>
              </w:rPr>
              <w:t>、综合楼</w:t>
            </w:r>
            <w:r>
              <w:rPr>
                <w:rFonts w:hint="eastAsia" w:ascii="Times New Roman" w:hAnsi="Times New Roman" w:cs="Times New Roman"/>
                <w:color w:val="auto"/>
                <w:sz w:val="24"/>
                <w:szCs w:val="24"/>
                <w:highlight w:val="none"/>
                <w:lang w:val="en-US" w:eastAsia="zh-CN"/>
              </w:rPr>
              <w:t>未建，其</w:t>
            </w:r>
            <w:r>
              <w:rPr>
                <w:rFonts w:hint="default" w:ascii="Times New Roman" w:hAnsi="Times New Roman" w:cs="Times New Roman"/>
                <w:color w:val="auto"/>
                <w:sz w:val="24"/>
                <w:szCs w:val="24"/>
                <w:highlight w:val="none"/>
              </w:rPr>
              <w:t>施工期主要包括场地地面硬化、搭建</w:t>
            </w:r>
            <w:r>
              <w:rPr>
                <w:rFonts w:hint="eastAsia" w:ascii="Times New Roman" w:hAnsi="Times New Roman" w:cs="Times New Roman"/>
                <w:color w:val="auto"/>
                <w:sz w:val="24"/>
                <w:szCs w:val="24"/>
                <w:highlight w:val="none"/>
                <w:lang w:eastAsia="zh-CN"/>
              </w:rPr>
              <w:t>厂房</w:t>
            </w:r>
            <w:r>
              <w:rPr>
                <w:rFonts w:hint="default" w:ascii="Times New Roman" w:hAnsi="Times New Roman" w:cs="Times New Roman"/>
                <w:color w:val="auto"/>
                <w:sz w:val="24"/>
                <w:szCs w:val="24"/>
                <w:highlight w:val="none"/>
              </w:rPr>
              <w:t>、组装生产设备</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施工期</w:t>
            </w:r>
            <w:r>
              <w:rPr>
                <w:rFonts w:hint="eastAsia" w:ascii="Times New Roman" w:hAnsi="Times New Roman" w:cs="Times New Roman"/>
                <w:color w:val="auto"/>
                <w:sz w:val="24"/>
                <w:szCs w:val="24"/>
                <w:highlight w:val="none"/>
                <w:lang w:val="en-US" w:eastAsia="zh-CN"/>
              </w:rPr>
              <w:t>主要</w:t>
            </w:r>
            <w:r>
              <w:rPr>
                <w:rFonts w:hint="default" w:ascii="Times New Roman" w:hAnsi="Times New Roman" w:cs="Times New Roman"/>
                <w:color w:val="auto"/>
                <w:sz w:val="24"/>
                <w:szCs w:val="24"/>
                <w:highlight w:val="none"/>
              </w:rPr>
              <w:t>工艺流程如下：</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highlight w:val="none"/>
              </w:rPr>
              <w:drawing>
                <wp:inline distT="0" distB="0" distL="114300" distR="114300">
                  <wp:extent cx="4896485" cy="876300"/>
                  <wp:effectExtent l="0" t="0" r="18415" b="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19"/>
                          <a:stretch>
                            <a:fillRect/>
                          </a:stretch>
                        </pic:blipFill>
                        <pic:spPr>
                          <a:xfrm>
                            <a:off x="0" y="0"/>
                            <a:ext cx="4896485" cy="876300"/>
                          </a:xfrm>
                          <a:prstGeom prst="rect">
                            <a:avLst/>
                          </a:prstGeom>
                          <a:noFill/>
                          <a:ln>
                            <a:noFill/>
                          </a:ln>
                        </pic:spPr>
                      </pic:pic>
                    </a:graphicData>
                  </a:graphic>
                </wp:inline>
              </w:drawing>
            </w:r>
          </w:p>
          <w:p>
            <w:pPr>
              <w:pStyle w:val="34"/>
              <w:spacing w:after="0"/>
              <w:ind w:left="0" w:leftChars="0" w:firstLine="0" w:firstLineChars="0"/>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图4-1</w:t>
            </w:r>
            <w:r>
              <w:rPr>
                <w:rFonts w:hint="eastAsia" w:ascii="Times New Roman" w:hAnsi="Times New Roman" w:eastAsia="黑体" w:cs="Times New Roman"/>
                <w:color w:val="auto"/>
                <w:highlight w:val="none"/>
                <w:lang w:eastAsia="zh-CN"/>
              </w:rPr>
              <w:t>：</w:t>
            </w:r>
            <w:r>
              <w:rPr>
                <w:rFonts w:hint="default" w:ascii="Times New Roman" w:hAnsi="Times New Roman" w:eastAsia="黑体" w:cs="Times New Roman"/>
                <w:color w:val="auto"/>
                <w:highlight w:val="none"/>
              </w:rPr>
              <w:t>施工期工艺流程及产污节点图</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4.1.1</w:t>
            </w:r>
            <w:r>
              <w:rPr>
                <w:rFonts w:hint="eastAsia" w:ascii="Times New Roman" w:hAnsi="Times New Roman" w:cs="Times New Roman"/>
                <w:b/>
                <w:bCs/>
                <w:color w:val="auto"/>
                <w:sz w:val="24"/>
                <w:szCs w:val="24"/>
                <w:highlight w:val="none"/>
                <w:lang w:val="en-US" w:eastAsia="zh-CN"/>
              </w:rPr>
              <w:t>、</w:t>
            </w:r>
            <w:r>
              <w:rPr>
                <w:rFonts w:hint="default" w:ascii="Times New Roman" w:hAnsi="Times New Roman" w:cs="Times New Roman"/>
                <w:b/>
                <w:bCs/>
                <w:color w:val="auto"/>
                <w:sz w:val="24"/>
                <w:szCs w:val="24"/>
                <w:highlight w:val="none"/>
                <w:lang w:val="en-US" w:eastAsia="zh-CN"/>
              </w:rPr>
              <w:t>水污染源</w:t>
            </w:r>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（1）施工废水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项目施工废水主要来自场地硬化排水、车辆冲洗废水。项目施工废水量根据类比调查一般工程的测算，项目施工过程废水</w:t>
            </w:r>
            <w:r>
              <w:rPr>
                <w:rFonts w:hint="eastAsia" w:cs="Times New Roman"/>
                <w:color w:val="auto"/>
                <w:sz w:val="24"/>
                <w:szCs w:val="24"/>
                <w:highlight w:val="none"/>
                <w:lang w:eastAsia="zh-CN"/>
              </w:rPr>
              <w:t>产生量</w:t>
            </w:r>
            <w:r>
              <w:rPr>
                <w:rFonts w:hint="default" w:ascii="Times New Roman" w:hAnsi="Times New Roman" w:cs="Times New Roman"/>
                <w:color w:val="auto"/>
                <w:sz w:val="24"/>
                <w:szCs w:val="24"/>
                <w:highlight w:val="none"/>
              </w:rPr>
              <w:t>较少，施工废水中主要污染物为SS（浓度约400~1000mg/L）、pH（约6~8）及石油类（约20mg/L），不含有害物质和其他有机物。项目施工废水</w:t>
            </w:r>
            <w:r>
              <w:rPr>
                <w:rFonts w:hint="eastAsia" w:ascii="Times New Roman" w:hAnsi="Times New Roman" w:cs="Times New Roman"/>
                <w:color w:val="auto"/>
                <w:sz w:val="24"/>
                <w:szCs w:val="24"/>
                <w:highlight w:val="none"/>
                <w:lang w:val="en-US" w:eastAsia="zh-CN"/>
              </w:rPr>
              <w:t>经临时收集池收集沉淀后</w:t>
            </w:r>
            <w:r>
              <w:rPr>
                <w:rFonts w:hint="default" w:ascii="Times New Roman" w:hAnsi="Times New Roman" w:cs="Times New Roman"/>
                <w:color w:val="auto"/>
                <w:sz w:val="24"/>
                <w:szCs w:val="24"/>
                <w:highlight w:val="none"/>
              </w:rPr>
              <w:t>回用于施工场地内及道路洒水降尘、车辆冲洗用水，不外排。</w:t>
            </w:r>
            <w:r>
              <w:rPr>
                <w:rFonts w:hint="eastAsia" w:ascii="宋体" w:hAnsi="宋体" w:eastAsia="宋体" w:cs="宋体"/>
                <w:color w:val="auto"/>
                <w:kern w:val="0"/>
                <w:sz w:val="24"/>
                <w:szCs w:val="24"/>
                <w:highlight w:val="none"/>
                <w:lang w:val="en-US" w:eastAsia="zh-CN" w:bidi="ar"/>
              </w:rPr>
              <w:t>本项目施工作业废水不直接向地表水环境排放，对项目所在地的水环境影响较小。</w:t>
            </w:r>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（2）生活污水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highlight w:val="none"/>
              </w:rPr>
            </w:pPr>
            <w:r>
              <w:rPr>
                <w:rFonts w:hint="default" w:ascii="Times New Roman" w:hAnsi="Times New Roman" w:cs="Times New Roman"/>
                <w:color w:val="auto"/>
                <w:sz w:val="24"/>
                <w:szCs w:val="24"/>
                <w:highlight w:val="none"/>
              </w:rPr>
              <w:t>施工期废水主要为施工人员产生的生活污水，项目施工人员约</w:t>
            </w:r>
            <w:r>
              <w:rPr>
                <w:rFonts w:hint="eastAsia" w:cs="Times New Roman"/>
                <w:color w:val="auto"/>
                <w:sz w:val="24"/>
                <w:szCs w:val="24"/>
                <w:highlight w:val="none"/>
                <w:lang w:val="en-US" w:eastAsia="zh-CN"/>
              </w:rPr>
              <w:t>100</w:t>
            </w:r>
            <w:r>
              <w:rPr>
                <w:rFonts w:hint="default" w:ascii="Times New Roman" w:hAnsi="Times New Roman" w:cs="Times New Roman"/>
                <w:color w:val="auto"/>
                <w:sz w:val="24"/>
                <w:szCs w:val="24"/>
                <w:highlight w:val="none"/>
              </w:rPr>
              <w:t>人，施工人员不在厂内</w:t>
            </w:r>
            <w:r>
              <w:rPr>
                <w:rFonts w:hint="eastAsia" w:ascii="Times New Roman" w:hAnsi="Times New Roman" w:cs="Times New Roman"/>
                <w:color w:val="auto"/>
                <w:sz w:val="24"/>
                <w:szCs w:val="24"/>
                <w:highlight w:val="none"/>
                <w:lang w:eastAsia="zh-CN"/>
              </w:rPr>
              <w:t>食宿</w:t>
            </w:r>
            <w:r>
              <w:rPr>
                <w:rFonts w:hint="default" w:ascii="Times New Roman" w:hAnsi="Times New Roman" w:cs="Times New Roman"/>
                <w:color w:val="auto"/>
                <w:sz w:val="24"/>
                <w:szCs w:val="24"/>
                <w:highlight w:val="none"/>
              </w:rPr>
              <w:t>，参照《建筑给水排水设计规范》（GB50015-2003），施工人员用水定额按50L/（人日）计，则项目施工期日用水量</w:t>
            </w: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=100*50/1000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5</w:t>
            </w:r>
            <w:r>
              <w:rPr>
                <w:rFonts w:hint="default" w:ascii="Times New Roman" w:hAnsi="Times New Roman" w:cs="Times New Roman"/>
                <w:color w:val="auto"/>
                <w:sz w:val="24"/>
                <w:szCs w:val="24"/>
                <w:highlight w:val="none"/>
              </w:rPr>
              <w:fldChar w:fldCharType="end"/>
            </w:r>
            <w:r>
              <w:rPr>
                <w:rFonts w:hint="default" w:ascii="Times New Roman" w:hAnsi="Times New Roman" w:cs="Times New Roman"/>
                <w:color w:val="auto"/>
                <w:sz w:val="24"/>
                <w:szCs w:val="24"/>
                <w:highlight w:val="none"/>
              </w:rPr>
              <w:t>m</w:t>
            </w:r>
            <w:r>
              <w:rPr>
                <w:rFonts w:hint="eastAsia"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rPr>
              <w:t>；项目施工期为</w:t>
            </w:r>
            <w:r>
              <w:rPr>
                <w:rFonts w:hint="eastAsia" w:ascii="Times New Roman" w:hAnsi="Times New Roman" w:cs="Times New Roman"/>
                <w:color w:val="auto"/>
                <w:sz w:val="24"/>
                <w:szCs w:val="24"/>
                <w:highlight w:val="none"/>
                <w:lang w:val="en-US" w:eastAsia="zh-CN"/>
              </w:rPr>
              <w:t>30天</w:t>
            </w:r>
            <w:r>
              <w:rPr>
                <w:rFonts w:hint="default" w:ascii="Times New Roman" w:hAnsi="Times New Roman" w:cs="Times New Roman"/>
                <w:color w:val="auto"/>
                <w:sz w:val="24"/>
                <w:szCs w:val="24"/>
                <w:highlight w:val="none"/>
              </w:rPr>
              <w:t>，则施工生活用水总量为</w:t>
            </w:r>
            <w:r>
              <w:rPr>
                <w:rFonts w:hint="eastAsia" w:ascii="Times New Roman" w:hAnsi="Times New Roman" w:cs="Times New Roman"/>
                <w:color w:val="auto"/>
                <w:sz w:val="24"/>
                <w:szCs w:val="24"/>
                <w:highlight w:val="none"/>
                <w:lang w:val="en-US" w:eastAsia="zh-CN"/>
              </w:rPr>
              <w:t>15</w:t>
            </w:r>
            <w:r>
              <w:rPr>
                <w:rFonts w:hint="eastAsia" w:cs="Times New Roman"/>
                <w:color w:val="auto"/>
                <w:sz w:val="24"/>
                <w:szCs w:val="24"/>
                <w:highlight w:val="none"/>
                <w:lang w:val="en-US" w:eastAsia="zh-CN"/>
              </w:rPr>
              <w:t>0</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其污水排放系数按0.8计，则项目施工期</w:t>
            </w:r>
            <w:r>
              <w:rPr>
                <w:rFonts w:hint="eastAsia" w:ascii="Times New Roman" w:hAnsi="Times New Roman" w:cs="Times New Roman"/>
                <w:color w:val="auto"/>
                <w:sz w:val="24"/>
                <w:szCs w:val="24"/>
                <w:highlight w:val="none"/>
                <w:lang w:eastAsia="zh-CN"/>
              </w:rPr>
              <w:t>日</w:t>
            </w:r>
            <w:r>
              <w:rPr>
                <w:rFonts w:hint="default" w:ascii="Times New Roman" w:hAnsi="Times New Roman" w:cs="Times New Roman"/>
                <w:color w:val="auto"/>
                <w:sz w:val="24"/>
                <w:szCs w:val="24"/>
                <w:highlight w:val="none"/>
              </w:rPr>
              <w:t>排放污水量</w:t>
            </w:r>
            <w:r>
              <w:rPr>
                <w:rFonts w:hint="eastAsia"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施工期生活污水总量为</w:t>
            </w:r>
            <w:r>
              <w:rPr>
                <w:rFonts w:hint="eastAsia" w:ascii="Times New Roman" w:hAnsi="Times New Roman" w:cs="Times New Roman"/>
                <w:color w:val="auto"/>
                <w:sz w:val="24"/>
                <w:szCs w:val="24"/>
                <w:highlight w:val="none"/>
                <w:lang w:val="en-US" w:eastAsia="zh-CN"/>
              </w:rPr>
              <w:t>12</w:t>
            </w:r>
            <w:r>
              <w:rPr>
                <w:rFonts w:hint="eastAsia" w:cs="Times New Roman"/>
                <w:color w:val="auto"/>
                <w:sz w:val="24"/>
                <w:szCs w:val="24"/>
                <w:highlight w:val="none"/>
                <w:lang w:val="en-US" w:eastAsia="zh-CN"/>
              </w:rPr>
              <w:t>0</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eastAsia" w:ascii="Times New Roman" w:hAnsi="Times New Roman" w:cs="Times New Roman"/>
                <w:color w:val="auto"/>
                <w:sz w:val="24"/>
                <w:szCs w:val="24"/>
                <w:highlight w:val="none"/>
                <w:lang w:eastAsia="zh-CN"/>
              </w:rPr>
              <w:t>。</w:t>
            </w:r>
            <w:r>
              <w:rPr>
                <w:rFonts w:hint="eastAsia" w:ascii="宋体" w:hAnsi="宋体" w:eastAsia="宋体" w:cs="宋体"/>
                <w:color w:val="auto"/>
                <w:kern w:val="0"/>
                <w:sz w:val="24"/>
                <w:szCs w:val="24"/>
                <w:highlight w:val="none"/>
                <w:lang w:val="en-US" w:eastAsia="zh-CN" w:bidi="ar"/>
              </w:rPr>
              <w:t>项目施工人员租住于当地闲置民房，因而这部分施工人员产生的生活污水可依托当地现有的处置方式，纳入当地的生活污水系统处理。由于本工程施工人数相对较少，污染物产生量不大，且是临时性的，因而对当地收纳水体的影响较小，措施可行。</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4.1.2</w:t>
            </w:r>
            <w:r>
              <w:rPr>
                <w:rFonts w:hint="eastAsia" w:ascii="Times New Roman" w:hAnsi="Times New Roman" w:cs="Times New Roman"/>
                <w:b/>
                <w:bCs/>
                <w:color w:val="auto"/>
                <w:sz w:val="24"/>
                <w:szCs w:val="24"/>
                <w:highlight w:val="none"/>
                <w:lang w:val="en-US" w:eastAsia="zh-CN"/>
              </w:rPr>
              <w:t>、</w:t>
            </w:r>
            <w:r>
              <w:rPr>
                <w:rFonts w:hint="default" w:ascii="Times New Roman" w:hAnsi="Times New Roman" w:cs="Times New Roman"/>
                <w:b/>
                <w:bCs/>
                <w:color w:val="auto"/>
                <w:sz w:val="24"/>
                <w:szCs w:val="24"/>
                <w:highlight w:val="none"/>
                <w:lang w:val="en-US" w:eastAsia="zh-CN"/>
              </w:rPr>
              <w:t>大气污染源</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color w:val="auto"/>
                <w:sz w:val="24"/>
                <w:highlight w:val="none"/>
                <w:lang w:eastAsia="zh-CN" w:bidi="ar"/>
              </w:rPr>
            </w:pPr>
            <w:r>
              <w:rPr>
                <w:rFonts w:hint="default" w:ascii="Times New Roman" w:hAnsi="Times New Roman" w:cs="Times New Roman"/>
                <w:color w:val="auto"/>
                <w:sz w:val="24"/>
                <w:szCs w:val="24"/>
                <w:highlight w:val="none"/>
              </w:rPr>
              <w:t>项目施工过程产生的废气有施工扬尘</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主要包括施工场地扬尘和车辆行驶扬尘。施工期主要内容为原料堆场和临时产品堆场建设、设备安装、场地硬化等建设</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施工内容较简单，多以人工施工为主，辅以简单机械施工，且施工期较短，约</w:t>
            </w:r>
            <w:r>
              <w:rPr>
                <w:rFonts w:hint="eastAsia" w:ascii="Times New Roman" w:hAnsi="Times New Roman" w:cs="Times New Roman"/>
                <w:color w:val="auto"/>
                <w:sz w:val="24"/>
                <w:szCs w:val="24"/>
                <w:highlight w:val="none"/>
                <w:lang w:val="en-US" w:eastAsia="zh-CN"/>
              </w:rPr>
              <w:t>30</w:t>
            </w:r>
            <w:r>
              <w:rPr>
                <w:rFonts w:hint="default" w:ascii="Times New Roman" w:hAnsi="Times New Roman" w:cs="Times New Roman"/>
                <w:color w:val="auto"/>
                <w:sz w:val="24"/>
                <w:szCs w:val="24"/>
                <w:highlight w:val="none"/>
              </w:rPr>
              <w:t>天，</w:t>
            </w:r>
            <w:r>
              <w:rPr>
                <w:color w:val="auto"/>
                <w:sz w:val="24"/>
                <w:highlight w:val="none"/>
                <w:lang w:bidi="ar"/>
              </w:rPr>
              <w:t>建议项目施工过程</w:t>
            </w:r>
            <w:r>
              <w:rPr>
                <w:rFonts w:hint="eastAsia"/>
                <w:color w:val="auto"/>
                <w:sz w:val="24"/>
                <w:highlight w:val="none"/>
                <w:lang w:eastAsia="zh-CN" w:bidi="ar"/>
              </w:rPr>
              <w:t>采取以下</w:t>
            </w:r>
            <w:r>
              <w:rPr>
                <w:rFonts w:ascii="Times New Roman" w:hAnsi="Times New Roman" w:eastAsia="宋体" w:cs="Times New Roman"/>
                <w:color w:val="auto"/>
                <w:sz w:val="24"/>
                <w:highlight w:val="none"/>
                <w:lang w:val="en-US" w:eastAsia="zh-CN" w:bidi="ar"/>
              </w:rPr>
              <w:t>施工期扬尘防治措施</w:t>
            </w:r>
            <w:r>
              <w:rPr>
                <w:rFonts w:hint="eastAsia" w:ascii="Times New Roman" w:hAnsi="Times New Roman" w:eastAsia="宋体" w:cs="Times New Roman"/>
                <w:color w:val="auto"/>
                <w:sz w:val="24"/>
                <w:highlight w:val="none"/>
                <w:lang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color w:val="auto"/>
                <w:highlight w:val="none"/>
              </w:rPr>
            </w:pPr>
            <w:r>
              <w:rPr>
                <w:rFonts w:hint="default" w:ascii="Times New Roman" w:hAnsi="Times New Roman" w:eastAsia="宋体" w:cs="Times New Roman"/>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合理安排施工现场和施工时间，加强施工管理，建筑材料的堆场以及混凝土拌和处应定点定位，应远离敏感区堆放、保存，并加帆布等覆盖；施工现场进行围栏、围墙或设置屏障，在靠近</w:t>
            </w:r>
            <w:r>
              <w:rPr>
                <w:rFonts w:hint="eastAsia" w:ascii="宋体" w:hAnsi="宋体" w:cs="宋体"/>
                <w:color w:val="auto"/>
                <w:kern w:val="0"/>
                <w:sz w:val="24"/>
                <w:szCs w:val="24"/>
                <w:highlight w:val="none"/>
                <w:lang w:val="en-US" w:eastAsia="zh-CN" w:bidi="ar"/>
              </w:rPr>
              <w:t>环境保护目标</w:t>
            </w:r>
            <w:r>
              <w:rPr>
                <w:rFonts w:hint="eastAsia" w:ascii="宋体" w:hAnsi="宋体" w:eastAsia="宋体" w:cs="宋体"/>
                <w:color w:val="auto"/>
                <w:kern w:val="0"/>
                <w:sz w:val="24"/>
                <w:szCs w:val="24"/>
                <w:highlight w:val="none"/>
                <w:lang w:val="en-US" w:eastAsia="zh-CN" w:bidi="ar"/>
              </w:rPr>
              <w:t>一侧适当加高</w:t>
            </w:r>
            <w:r>
              <w:rPr>
                <w:rFonts w:hint="eastAsia" w:ascii="宋体" w:hAnsi="宋体" w:cs="宋体"/>
                <w:color w:val="auto"/>
                <w:kern w:val="0"/>
                <w:sz w:val="24"/>
                <w:szCs w:val="24"/>
                <w:highlight w:val="none"/>
                <w:lang w:val="en-US" w:eastAsia="zh-CN" w:bidi="ar"/>
              </w:rPr>
              <w:t>挡</w:t>
            </w:r>
            <w:r>
              <w:rPr>
                <w:rFonts w:hint="eastAsia" w:ascii="宋体" w:hAnsi="宋体" w:eastAsia="宋体" w:cs="宋体"/>
                <w:color w:val="auto"/>
                <w:kern w:val="0"/>
                <w:sz w:val="24"/>
                <w:szCs w:val="24"/>
                <w:highlight w:val="none"/>
                <w:lang w:val="en-US" w:eastAsia="zh-CN" w:bidi="ar"/>
              </w:rPr>
              <w:t>、屏障高度，以缩小施工扬尘扩散范围，当出现风速过大或不利天气状况时应停止施工作业，并对堆放的建筑材料进行遮盖。</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color w:val="auto"/>
                <w:highlight w:val="none"/>
              </w:rPr>
            </w:pPr>
            <w:r>
              <w:rPr>
                <w:rFonts w:hint="default" w:ascii="Times New Roman" w:hAnsi="Times New Roman" w:eastAsia="宋体" w:cs="Times New Roman"/>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水泥等粉状材料运输应装袋或罐装，禁止散装，并配备可靠的防扬尘措施，尽量减少搬运环节，搬运时要</w:t>
            </w:r>
            <w:r>
              <w:rPr>
                <w:rFonts w:hint="eastAsia" w:ascii="宋体" w:hAnsi="宋体" w:cs="宋体"/>
                <w:color w:val="auto"/>
                <w:kern w:val="0"/>
                <w:sz w:val="24"/>
                <w:szCs w:val="24"/>
                <w:highlight w:val="none"/>
                <w:lang w:val="en-US" w:eastAsia="zh-CN" w:bidi="ar"/>
              </w:rPr>
              <w:t>做到</w:t>
            </w:r>
            <w:r>
              <w:rPr>
                <w:rFonts w:hint="eastAsia" w:ascii="宋体" w:hAnsi="宋体" w:eastAsia="宋体" w:cs="宋体"/>
                <w:color w:val="auto"/>
                <w:kern w:val="0"/>
                <w:sz w:val="24"/>
                <w:szCs w:val="24"/>
                <w:highlight w:val="none"/>
                <w:lang w:val="en-US" w:eastAsia="zh-CN" w:bidi="ar"/>
              </w:rPr>
              <w:t>轻举轻放；土方及建筑垃圾及时利用，以防因长期堆放表面干燥而起尘。</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color w:val="auto"/>
                <w:highlight w:val="none"/>
              </w:rPr>
            </w:pPr>
            <w:r>
              <w:rPr>
                <w:rFonts w:hint="default" w:ascii="Times New Roman" w:hAnsi="Times New Roman" w:eastAsia="宋体" w:cs="Times New Roman"/>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val="en-US" w:eastAsia="zh-CN" w:bidi="ar"/>
              </w:rPr>
              <w:t>路面洒水，施工期间对施工场地采取定期洒水抑尘的措施，防止土方表面浮尘产生，在大风日加大洒水量及洒水次数。对运输车辆行驶路面也应经常洒水和清扫，保持车辆出入的路面清洁、湿润，则可减少行车时产生大量扬尘。</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b/>
                <w:bCs/>
                <w:color w:val="auto"/>
                <w:sz w:val="24"/>
                <w:szCs w:val="24"/>
                <w:highlight w:val="none"/>
              </w:rPr>
            </w:pPr>
            <w:r>
              <w:rPr>
                <w:rFonts w:hint="eastAsia" w:cs="Times New Roman"/>
                <w:b/>
                <w:bCs/>
                <w:color w:val="auto"/>
                <w:sz w:val="24"/>
                <w:szCs w:val="24"/>
                <w:highlight w:val="none"/>
                <w:lang w:val="en-US" w:eastAsia="zh-CN"/>
              </w:rPr>
              <w:t>4.1.3</w:t>
            </w:r>
            <w:r>
              <w:rPr>
                <w:rFonts w:hint="eastAsia" w:ascii="Times New Roman" w:hAnsi="Times New Roman" w:cs="Times New Roman"/>
                <w:b/>
                <w:bCs/>
                <w:color w:val="auto"/>
                <w:sz w:val="24"/>
                <w:szCs w:val="24"/>
                <w:highlight w:val="none"/>
                <w:lang w:val="en-US" w:eastAsia="zh-CN"/>
              </w:rPr>
              <w:t>、</w:t>
            </w:r>
            <w:r>
              <w:rPr>
                <w:rFonts w:hint="default" w:ascii="Times New Roman" w:hAnsi="Times New Roman" w:cs="Times New Roman"/>
                <w:b/>
                <w:bCs/>
                <w:color w:val="auto"/>
                <w:sz w:val="24"/>
                <w:szCs w:val="24"/>
                <w:highlight w:val="none"/>
              </w:rPr>
              <w:t>噪声污染源</w:t>
            </w:r>
          </w:p>
          <w:p>
            <w:pPr>
              <w:adjustRightInd w:val="0"/>
              <w:snapToGrid w:val="0"/>
              <w:spacing w:line="360" w:lineRule="auto"/>
              <w:ind w:firstLine="480" w:firstLineChars="200"/>
              <w:rPr>
                <w:rFonts w:hint="eastAsia"/>
                <w:color w:val="auto"/>
                <w:kern w:val="0"/>
                <w:sz w:val="24"/>
                <w:highlight w:val="none"/>
                <w:lang w:eastAsia="zh-CN"/>
              </w:rPr>
            </w:pPr>
            <w:r>
              <w:rPr>
                <w:rFonts w:hint="default" w:ascii="Times New Roman" w:hAnsi="Times New Roman" w:cs="Times New Roman"/>
                <w:color w:val="auto"/>
                <w:sz w:val="24"/>
                <w:szCs w:val="24"/>
                <w:highlight w:val="none"/>
              </w:rPr>
              <w:t>建筑施工场地的噪声源主要为施工现场的各类机械设备作业噪声和物料运输车辆造成的交通噪声，</w:t>
            </w:r>
            <w:r>
              <w:rPr>
                <w:rFonts w:hint="eastAsia"/>
                <w:color w:val="auto"/>
                <w:kern w:val="0"/>
                <w:sz w:val="24"/>
                <w:highlight w:val="none"/>
              </w:rPr>
              <w:t>建设单位需采取</w:t>
            </w:r>
            <w:r>
              <w:rPr>
                <w:rFonts w:hint="eastAsia"/>
                <w:color w:val="auto"/>
                <w:kern w:val="0"/>
                <w:sz w:val="24"/>
                <w:highlight w:val="none"/>
                <w:lang w:eastAsia="zh-CN"/>
              </w:rPr>
              <w:t>以下</w:t>
            </w:r>
            <w:r>
              <w:rPr>
                <w:rFonts w:hint="eastAsia"/>
                <w:color w:val="auto"/>
                <w:kern w:val="0"/>
                <w:sz w:val="24"/>
                <w:highlight w:val="none"/>
              </w:rPr>
              <w:t>有效措施将噪声控制在《建筑施工场界环境噪声排放标准》（GB12523-2011）所要求的噪声值内（昼间≤70dB(A)、夜间≤55dB(A)）</w:t>
            </w:r>
            <w:r>
              <w:rPr>
                <w:rFonts w:hint="eastAsia"/>
                <w:color w:val="auto"/>
                <w:kern w:val="0"/>
                <w:sz w:val="24"/>
                <w:highlight w:val="none"/>
                <w:lang w:eastAsia="zh-CN"/>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color w:val="auto"/>
                <w:highlight w:val="none"/>
              </w:rPr>
            </w:pPr>
            <w:r>
              <w:rPr>
                <w:rFonts w:hint="default" w:ascii="Times New Roman" w:hAnsi="Times New Roman" w:eastAsia="宋体" w:cs="Times New Roman"/>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 xml:space="preserve">合理安排施工时间。安排施工计划时，应尽可能避免大量的高噪声设备同时施工，避开周围环境对噪声的敏感时间，减少夜间施工量。尽量加快施工进度， 缩短整个工期。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color w:val="auto"/>
                <w:highlight w:val="none"/>
              </w:rPr>
            </w:pPr>
            <w:r>
              <w:rPr>
                <w:rFonts w:hint="default" w:ascii="Times New Roman" w:hAnsi="Times New Roman" w:eastAsia="宋体" w:cs="Times New Roman"/>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 xml:space="preserve">降低设备声级。尽量选用低噪声施工机械；对动力机械设备进行定期的维护、养护，维修不良的设备；闲置不用的设备应立即关闭；运输车辆进入现场应减速，并减少鸣笛。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color w:val="auto"/>
                <w:highlight w:val="none"/>
              </w:rPr>
            </w:pPr>
            <w:r>
              <w:rPr>
                <w:rFonts w:hint="default" w:ascii="Times New Roman" w:hAnsi="Times New Roman" w:eastAsia="宋体" w:cs="Times New Roman"/>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val="en-US" w:eastAsia="zh-CN" w:bidi="ar"/>
              </w:rPr>
              <w:t>合理布局、加强管理。在施工过程中应把高噪声工作安排在项目中央，并尽量远离周围</w:t>
            </w:r>
            <w:r>
              <w:rPr>
                <w:rFonts w:hint="eastAsia" w:ascii="宋体" w:hAnsi="宋体" w:cs="宋体"/>
                <w:color w:val="auto"/>
                <w:kern w:val="0"/>
                <w:sz w:val="24"/>
                <w:szCs w:val="24"/>
                <w:highlight w:val="none"/>
                <w:lang w:val="en-US" w:eastAsia="zh-CN" w:bidi="ar"/>
              </w:rPr>
              <w:t>环境保护目标</w:t>
            </w:r>
            <w:r>
              <w:rPr>
                <w:rFonts w:hint="eastAsia" w:ascii="宋体" w:hAnsi="宋体" w:eastAsia="宋体" w:cs="宋体"/>
                <w:color w:val="auto"/>
                <w:kern w:val="0"/>
                <w:sz w:val="24"/>
                <w:szCs w:val="24"/>
                <w:highlight w:val="none"/>
                <w:lang w:val="en-US" w:eastAsia="zh-CN" w:bidi="ar"/>
              </w:rPr>
              <w:t xml:space="preserve">，要加强一线操作人员的环境意识，对一些零星的手工作业，如拆装模板、装卸建材，尽可能做到轻拿轻放，并辅以一定的减缓措施。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color w:val="auto"/>
                <w:highlight w:val="none"/>
              </w:rPr>
            </w:pPr>
            <w:r>
              <w:rPr>
                <w:rFonts w:hint="default" w:ascii="Times New Roman" w:hAnsi="Times New Roman" w:eastAsia="宋体" w:cs="Times New Roman"/>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val="en-US" w:eastAsia="zh-CN" w:bidi="ar"/>
              </w:rPr>
              <w:t>主要建筑物施工场地周围建设围墙，设置单独出入口；选用低噪声施工设备；对产生高噪声的设备建议在其外加盖简易棚。</w:t>
            </w:r>
          </w:p>
          <w:p>
            <w:pPr>
              <w:adjustRightInd w:val="0"/>
              <w:snapToGrid w:val="0"/>
              <w:spacing w:line="360" w:lineRule="auto"/>
              <w:ind w:firstLine="480" w:firstLineChars="200"/>
              <w:rPr>
                <w:color w:val="auto"/>
                <w:sz w:val="24"/>
                <w:szCs w:val="24"/>
                <w:highlight w:val="none"/>
              </w:rPr>
            </w:pPr>
            <w:r>
              <w:rPr>
                <w:rFonts w:hint="eastAsia"/>
                <w:color w:val="auto"/>
                <w:kern w:val="0"/>
                <w:sz w:val="24"/>
                <w:highlight w:val="none"/>
              </w:rPr>
              <w:t>项目施工噪声对周围环境的影响是暂时的，随施工期的结束该噪声会自动消除</w:t>
            </w:r>
            <w:r>
              <w:rPr>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b/>
                <w:bCs/>
                <w:color w:val="auto"/>
                <w:sz w:val="24"/>
                <w:szCs w:val="24"/>
                <w:highlight w:val="none"/>
              </w:rPr>
            </w:pPr>
            <w:r>
              <w:rPr>
                <w:rFonts w:hint="eastAsia" w:cs="Times New Roman"/>
                <w:b/>
                <w:bCs/>
                <w:color w:val="auto"/>
                <w:sz w:val="24"/>
                <w:szCs w:val="24"/>
                <w:highlight w:val="none"/>
                <w:lang w:val="en-US" w:eastAsia="zh-CN"/>
              </w:rPr>
              <w:t>4.1.4</w:t>
            </w:r>
            <w:r>
              <w:rPr>
                <w:rFonts w:hint="eastAsia" w:ascii="Times New Roman" w:hAnsi="Times New Roman" w:cs="Times New Roman"/>
                <w:b/>
                <w:bCs/>
                <w:color w:val="auto"/>
                <w:sz w:val="24"/>
                <w:szCs w:val="24"/>
                <w:highlight w:val="none"/>
                <w:lang w:val="en-US" w:eastAsia="zh-CN"/>
              </w:rPr>
              <w:t>、</w:t>
            </w:r>
            <w:r>
              <w:rPr>
                <w:rFonts w:hint="default" w:ascii="Times New Roman" w:hAnsi="Times New Roman" w:cs="Times New Roman"/>
                <w:b/>
                <w:bCs/>
                <w:color w:val="auto"/>
                <w:sz w:val="24"/>
                <w:szCs w:val="24"/>
                <w:highlight w:val="none"/>
              </w:rPr>
              <w:t>固体废物污染源</w:t>
            </w:r>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项目施工过程中产生的固体废弃物主要为建筑垃圾及施工人员生活垃圾。</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（1）项目建筑垃圾包括原料堆场和临时成品堆场建设、设备安装等过程产生的建筑废料，如石块、水泥、铁丝等杂物，由于项目建筑面积较少，因此产生的建筑垃圾较少。</w:t>
            </w:r>
            <w:r>
              <w:rPr>
                <w:rFonts w:hint="eastAsia" w:ascii="Times New Roman" w:hAnsi="Times New Roman" w:eastAsia="宋体" w:cs="Times New Roman"/>
                <w:color w:val="auto"/>
                <w:sz w:val="24"/>
                <w:szCs w:val="24"/>
                <w:highlight w:val="none"/>
                <w:lang w:val="en-US" w:eastAsia="zh-CN"/>
              </w:rPr>
              <w:t>在施工现场应设置建筑废弃物临时堆场（树立</w:t>
            </w:r>
            <w:r>
              <w:rPr>
                <w:rFonts w:hint="eastAsia" w:cs="Times New Roman"/>
                <w:color w:val="auto"/>
                <w:sz w:val="24"/>
                <w:szCs w:val="24"/>
                <w:highlight w:val="none"/>
                <w:lang w:val="en-US" w:eastAsia="zh-CN"/>
              </w:rPr>
              <w:t>标识</w:t>
            </w:r>
            <w:r>
              <w:rPr>
                <w:rFonts w:hint="eastAsia" w:ascii="Times New Roman" w:hAnsi="Times New Roman" w:eastAsia="宋体" w:cs="Times New Roman"/>
                <w:color w:val="auto"/>
                <w:sz w:val="24"/>
                <w:szCs w:val="24"/>
                <w:highlight w:val="none"/>
                <w:lang w:val="en-US" w:eastAsia="zh-CN"/>
              </w:rPr>
              <w:t>牌）并进行防雨、防泄漏处理。施工生产的废料优先考虑回收利用，对钢筋、钢板、木材等下脚料可分类回收，交废物收购站处理。对不能回收的建筑垃圾，如混凝土废料、含砖、石、砂的杂土等应集中堆放，及时清运或回收利用，防止长期堆放后干燥而产生扬尘，以免影响环境质量。</w:t>
            </w:r>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（2）生活垃圾</w:t>
            </w:r>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施工时高峰期的工作人员约</w:t>
            </w:r>
            <w:r>
              <w:rPr>
                <w:rFonts w:hint="eastAsia" w:ascii="Times New Roman" w:hAnsi="Times New Roman" w:cs="Times New Roman"/>
                <w:color w:val="auto"/>
                <w:sz w:val="24"/>
                <w:szCs w:val="24"/>
                <w:highlight w:val="none"/>
                <w:lang w:val="en-US" w:eastAsia="zh-CN"/>
              </w:rPr>
              <w:t>10</w:t>
            </w:r>
            <w:r>
              <w:rPr>
                <w:rFonts w:hint="eastAsia" w:cs="Times New Roman"/>
                <w:color w:val="auto"/>
                <w:sz w:val="24"/>
                <w:szCs w:val="24"/>
                <w:highlight w:val="none"/>
                <w:lang w:val="en-US" w:eastAsia="zh-CN"/>
              </w:rPr>
              <w:t>0</w:t>
            </w:r>
            <w:r>
              <w:rPr>
                <w:rFonts w:hint="default" w:ascii="Times New Roman" w:hAnsi="Times New Roman" w:cs="Times New Roman"/>
                <w:color w:val="auto"/>
                <w:sz w:val="24"/>
                <w:szCs w:val="24"/>
                <w:highlight w:val="none"/>
              </w:rPr>
              <w:t>人，施工人员</w:t>
            </w:r>
            <w:r>
              <w:rPr>
                <w:rFonts w:hint="eastAsia" w:ascii="Times New Roman" w:hAnsi="Times New Roman" w:cs="Times New Roman"/>
                <w:color w:val="auto"/>
                <w:sz w:val="24"/>
                <w:szCs w:val="24"/>
                <w:highlight w:val="none"/>
                <w:lang w:eastAsia="zh-CN"/>
              </w:rPr>
              <w:t>不</w:t>
            </w:r>
            <w:r>
              <w:rPr>
                <w:rFonts w:hint="default" w:ascii="Times New Roman" w:hAnsi="Times New Roman" w:cs="Times New Roman"/>
                <w:color w:val="auto"/>
                <w:sz w:val="24"/>
                <w:szCs w:val="24"/>
                <w:highlight w:val="none"/>
              </w:rPr>
              <w:t>在厂内住宿</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生活垃圾以每人0.5kg/d计，则施工期生活垃圾产生量约</w:t>
            </w:r>
            <w:r>
              <w:rPr>
                <w:rFonts w:hint="eastAsia" w:ascii="Times New Roman" w:hAnsi="Times New Roman" w:cs="Times New Roman"/>
                <w:color w:val="auto"/>
                <w:sz w:val="24"/>
                <w:szCs w:val="24"/>
                <w:highlight w:val="none"/>
                <w:lang w:val="en-US" w:eastAsia="zh-CN"/>
              </w:rPr>
              <w:t>5</w:t>
            </w:r>
            <w:r>
              <w:rPr>
                <w:rFonts w:hint="eastAsia" w:cs="Times New Roman"/>
                <w:color w:val="auto"/>
                <w:sz w:val="24"/>
                <w:szCs w:val="24"/>
                <w:highlight w:val="none"/>
                <w:lang w:val="en-US" w:eastAsia="zh-CN"/>
              </w:rPr>
              <w:t>0</w:t>
            </w:r>
            <w:r>
              <w:rPr>
                <w:rFonts w:hint="default" w:ascii="Times New Roman" w:hAnsi="Times New Roman" w:cs="Times New Roman"/>
                <w:color w:val="auto"/>
                <w:sz w:val="24"/>
                <w:szCs w:val="24"/>
                <w:highlight w:val="none"/>
              </w:rPr>
              <w:t>kg/d，施工期为</w:t>
            </w:r>
            <w:r>
              <w:rPr>
                <w:rFonts w:hint="eastAsia" w:ascii="Times New Roman" w:hAnsi="Times New Roman" w:cs="Times New Roman"/>
                <w:color w:val="auto"/>
                <w:sz w:val="24"/>
                <w:szCs w:val="24"/>
                <w:highlight w:val="none"/>
                <w:lang w:val="en-US" w:eastAsia="zh-CN"/>
              </w:rPr>
              <w:t>30天</w:t>
            </w:r>
            <w:r>
              <w:rPr>
                <w:rFonts w:hint="default" w:ascii="Times New Roman" w:hAnsi="Times New Roman" w:cs="Times New Roman"/>
                <w:color w:val="auto"/>
                <w:sz w:val="24"/>
                <w:szCs w:val="24"/>
                <w:highlight w:val="none"/>
              </w:rPr>
              <w:t>，生活垃圾产生</w:t>
            </w:r>
            <w:r>
              <w:rPr>
                <w:rFonts w:hint="eastAsia" w:ascii="Times New Roman" w:hAnsi="Times New Roman" w:cs="Times New Roman"/>
                <w:color w:val="auto"/>
                <w:sz w:val="24"/>
                <w:szCs w:val="24"/>
                <w:highlight w:val="none"/>
                <w:lang w:eastAsia="zh-CN"/>
              </w:rPr>
              <w:t>总量为1</w:t>
            </w:r>
            <w:r>
              <w:rPr>
                <w:rFonts w:hint="eastAsia"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eastAsia="zh-CN"/>
              </w:rPr>
              <w:t>5</w:t>
            </w:r>
            <w:r>
              <w:rPr>
                <w:rFonts w:hint="default" w:ascii="Times New Roman" w:hAnsi="Times New Roman" w:cs="Times New Roman"/>
                <w:color w:val="auto"/>
                <w:sz w:val="24"/>
                <w:szCs w:val="24"/>
                <w:highlight w:val="none"/>
              </w:rPr>
              <w:t>t。项目生活垃圾集中收集后由环卫部门统一清运处理。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sz w:val="24"/>
                <w:szCs w:val="24"/>
                <w:highlight w:val="none"/>
              </w:rPr>
            </w:pPr>
            <w:r>
              <w:rPr>
                <w:rFonts w:hint="eastAsia" w:cs="Times New Roman"/>
                <w:b/>
                <w:bCs/>
                <w:color w:val="auto"/>
                <w:sz w:val="24"/>
                <w:szCs w:val="24"/>
                <w:highlight w:val="none"/>
                <w:lang w:val="en-US" w:eastAsia="zh-CN"/>
              </w:rPr>
              <w:t>4.1.5</w:t>
            </w:r>
            <w:r>
              <w:rPr>
                <w:rFonts w:hint="default" w:ascii="Times New Roman" w:hAnsi="Times New Roman" w:cs="Times New Roman"/>
                <w:b/>
                <w:bCs/>
                <w:color w:val="auto"/>
                <w:sz w:val="24"/>
                <w:szCs w:val="24"/>
                <w:highlight w:val="none"/>
              </w:rPr>
              <w:t>生态影响</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土地平整过程所需时间较短，一般情况下，土石方施工采取边挖、边运、边填、边压的方式，地面没有大量松散土长久存在，加上整地后地面较为平缓，周边又开挖排水沟，随即又进行建筑、绿化等施工而覆盖土面，因而不会产生持久的明显土壤侵蚀流失</w:t>
            </w:r>
            <w:r>
              <w:rPr>
                <w:rFonts w:hint="eastAsia" w:ascii="Times New Roman" w:hAnsi="Times New Roman" w:eastAsia="宋体" w:cs="Times New Roman"/>
                <w:color w:val="auto"/>
                <w:sz w:val="24"/>
                <w:szCs w:val="24"/>
                <w:highlight w:val="none"/>
                <w:lang w:val="en-US" w:eastAsia="zh-CN"/>
              </w:rPr>
              <w:t>的情况，</w:t>
            </w:r>
            <w:r>
              <w:rPr>
                <w:rFonts w:hint="default" w:ascii="Times New Roman" w:hAnsi="Times New Roman" w:eastAsia="宋体" w:cs="Times New Roman"/>
                <w:color w:val="auto"/>
                <w:sz w:val="24"/>
                <w:szCs w:val="24"/>
                <w:highlight w:val="none"/>
              </w:rPr>
              <w:t>对周围环境生态影响较小。</w:t>
            </w:r>
            <w:r>
              <w:rPr>
                <w:rFonts w:hint="eastAsia" w:ascii="Times New Roman" w:hAnsi="Times New Roman" w:eastAsia="宋体" w:cs="Times New Roman"/>
                <w:color w:val="auto"/>
                <w:sz w:val="24"/>
                <w:szCs w:val="24"/>
                <w:highlight w:val="none"/>
                <w:lang w:eastAsia="zh-CN"/>
              </w:rPr>
              <w:t>且</w:t>
            </w:r>
            <w:r>
              <w:rPr>
                <w:rFonts w:hint="eastAsia" w:ascii="Times New Roman" w:hAnsi="Times New Roman" w:eastAsia="宋体" w:cs="Times New Roman"/>
                <w:color w:val="auto"/>
                <w:sz w:val="24"/>
                <w:szCs w:val="24"/>
                <w:highlight w:val="none"/>
                <w:lang w:val="en-US" w:eastAsia="zh-CN"/>
              </w:rPr>
              <w:t>用地范围内无生态环境保护目 标，根据《建设项目环境影响报告表编制技术指南》（污染影响类）（试行）要求无需采取相应生态保护措施。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380" w:firstLineChars="200"/>
              <w:textAlignment w:val="auto"/>
              <w:rPr>
                <w:rFonts w:ascii="宋体" w:hAnsi="宋体" w:cs="宋体"/>
                <w:bCs/>
                <w:color w:val="auto"/>
                <w:spacing w:val="-10"/>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38" w:hRule="atLeast"/>
          <w:jc w:val="center"/>
        </w:trPr>
        <w:tc>
          <w:tcPr>
            <w:tcW w:w="471" w:type="dxa"/>
            <w:tcMar>
              <w:left w:w="28" w:type="dxa"/>
              <w:right w:w="28" w:type="dxa"/>
            </w:tcMar>
            <w:vAlign w:val="center"/>
          </w:tcPr>
          <w:p>
            <w:pPr>
              <w:adjustRightInd w:val="0"/>
              <w:snapToGrid w:val="0"/>
              <w:jc w:val="center"/>
              <w:rPr>
                <w:bCs/>
                <w:color w:val="auto"/>
                <w:szCs w:val="21"/>
                <w:highlight w:val="none"/>
              </w:rPr>
            </w:pPr>
            <w:r>
              <w:rPr>
                <w:bCs/>
                <w:color w:val="auto"/>
                <w:szCs w:val="21"/>
                <w:highlight w:val="none"/>
              </w:rPr>
              <w:t>运营</w:t>
            </w:r>
          </w:p>
          <w:p>
            <w:pPr>
              <w:adjustRightInd w:val="0"/>
              <w:snapToGrid w:val="0"/>
              <w:jc w:val="center"/>
              <w:rPr>
                <w:bCs/>
                <w:color w:val="auto"/>
                <w:szCs w:val="21"/>
                <w:highlight w:val="none"/>
              </w:rPr>
            </w:pPr>
            <w:r>
              <w:rPr>
                <w:bCs/>
                <w:color w:val="auto"/>
                <w:szCs w:val="21"/>
                <w:highlight w:val="none"/>
              </w:rPr>
              <w:t>期环</w:t>
            </w:r>
          </w:p>
          <w:p>
            <w:pPr>
              <w:adjustRightInd w:val="0"/>
              <w:snapToGrid w:val="0"/>
              <w:jc w:val="center"/>
              <w:rPr>
                <w:bCs/>
                <w:color w:val="auto"/>
                <w:szCs w:val="21"/>
                <w:highlight w:val="none"/>
              </w:rPr>
            </w:pPr>
            <w:r>
              <w:rPr>
                <w:bCs/>
                <w:color w:val="auto"/>
                <w:szCs w:val="21"/>
                <w:highlight w:val="none"/>
              </w:rPr>
              <w:t>境影</w:t>
            </w:r>
          </w:p>
          <w:p>
            <w:pPr>
              <w:adjustRightInd w:val="0"/>
              <w:snapToGrid w:val="0"/>
              <w:jc w:val="center"/>
              <w:rPr>
                <w:bCs/>
                <w:color w:val="auto"/>
                <w:szCs w:val="21"/>
                <w:highlight w:val="none"/>
              </w:rPr>
            </w:pPr>
            <w:r>
              <w:rPr>
                <w:bCs/>
                <w:color w:val="auto"/>
                <w:szCs w:val="21"/>
                <w:highlight w:val="none"/>
              </w:rPr>
              <w:t>响和</w:t>
            </w:r>
          </w:p>
          <w:p>
            <w:pPr>
              <w:adjustRightInd w:val="0"/>
              <w:snapToGrid w:val="0"/>
              <w:jc w:val="center"/>
              <w:rPr>
                <w:bCs/>
                <w:color w:val="auto"/>
                <w:szCs w:val="21"/>
                <w:highlight w:val="none"/>
              </w:rPr>
            </w:pPr>
            <w:r>
              <w:rPr>
                <w:bCs/>
                <w:color w:val="auto"/>
                <w:szCs w:val="21"/>
                <w:highlight w:val="none"/>
              </w:rPr>
              <w:t>保护</w:t>
            </w:r>
          </w:p>
          <w:p>
            <w:pPr>
              <w:adjustRightInd w:val="0"/>
              <w:snapToGrid w:val="0"/>
              <w:jc w:val="center"/>
              <w:rPr>
                <w:bCs/>
                <w:color w:val="auto"/>
                <w:szCs w:val="21"/>
                <w:highlight w:val="none"/>
              </w:rPr>
            </w:pPr>
            <w:r>
              <w:rPr>
                <w:bCs/>
                <w:color w:val="auto"/>
                <w:szCs w:val="21"/>
                <w:highlight w:val="none"/>
              </w:rPr>
              <w:t>措施</w:t>
            </w:r>
          </w:p>
        </w:tc>
        <w:tc>
          <w:tcPr>
            <w:tcW w:w="8510" w:type="dxa"/>
            <w:vAlign w:val="top"/>
          </w:tcPr>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b/>
                <w:bCs/>
                <w:color w:val="auto"/>
                <w:spacing w:val="-10"/>
                <w:sz w:val="28"/>
                <w:szCs w:val="28"/>
                <w:highlight w:val="none"/>
                <w:lang w:val="en-US" w:eastAsia="zh-CN"/>
              </w:rPr>
            </w:pPr>
            <w:r>
              <w:rPr>
                <w:rFonts w:hint="eastAsia"/>
                <w:b/>
                <w:bCs/>
                <w:color w:val="auto"/>
                <w:spacing w:val="-10"/>
                <w:sz w:val="28"/>
                <w:szCs w:val="28"/>
                <w:highlight w:val="none"/>
                <w:lang w:val="en-US" w:eastAsia="zh-CN"/>
              </w:rPr>
              <w:t>4.2运营期环境影响和保护措施</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b/>
                <w:bCs/>
                <w:color w:val="auto"/>
                <w:spacing w:val="-10"/>
                <w:sz w:val="24"/>
                <w:highlight w:val="none"/>
              </w:rPr>
            </w:pPr>
            <w:r>
              <w:rPr>
                <w:rFonts w:hint="eastAsia"/>
                <w:b/>
                <w:bCs/>
                <w:color w:val="auto"/>
                <w:spacing w:val="-10"/>
                <w:sz w:val="24"/>
                <w:highlight w:val="none"/>
                <w:lang w:val="en-US" w:eastAsia="zh-CN"/>
              </w:rPr>
              <w:t>4.2.1</w:t>
            </w:r>
            <w:r>
              <w:rPr>
                <w:rFonts w:hint="eastAsia"/>
                <w:b/>
                <w:bCs/>
                <w:color w:val="auto"/>
                <w:spacing w:val="-10"/>
                <w:sz w:val="24"/>
                <w:highlight w:val="none"/>
              </w:rPr>
              <w:t>、</w:t>
            </w:r>
            <w:r>
              <w:rPr>
                <w:b/>
                <w:bCs/>
                <w:color w:val="auto"/>
                <w:spacing w:val="-10"/>
                <w:sz w:val="24"/>
                <w:highlight w:val="none"/>
              </w:rPr>
              <w:t>废气</w:t>
            </w:r>
          </w:p>
          <w:p>
            <w:pPr>
              <w:spacing w:line="360" w:lineRule="auto"/>
              <w:rPr>
                <w:rFonts w:hint="default" w:ascii="Times New Roman" w:hAnsi="Times New Roman" w:eastAsia="宋体" w:cs="Times New Roman"/>
                <w:b/>
                <w:color w:val="auto"/>
                <w:sz w:val="24"/>
                <w:highlight w:val="none"/>
              </w:rPr>
            </w:pPr>
            <w:r>
              <w:rPr>
                <w:rFonts w:hint="eastAsia" w:cs="Times New Roman"/>
                <w:b/>
                <w:color w:val="auto"/>
                <w:kern w:val="0"/>
                <w:sz w:val="24"/>
                <w:szCs w:val="24"/>
                <w:highlight w:val="none"/>
                <w:lang w:val="en-US" w:eastAsia="zh-CN" w:bidi="ar"/>
              </w:rPr>
              <w:t>4.2.1.1</w:t>
            </w:r>
            <w:r>
              <w:rPr>
                <w:rFonts w:hint="default" w:ascii="Times New Roman" w:hAnsi="Times New Roman" w:eastAsia="宋体" w:cs="Times New Roman"/>
                <w:b/>
                <w:color w:val="auto"/>
                <w:kern w:val="0"/>
                <w:sz w:val="24"/>
                <w:szCs w:val="24"/>
                <w:highlight w:val="none"/>
                <w:lang w:val="en-US" w:eastAsia="zh-CN" w:bidi="ar"/>
              </w:rPr>
              <w:t>、废</w:t>
            </w:r>
            <w:r>
              <w:rPr>
                <w:rFonts w:hint="default" w:ascii="Times New Roman" w:hAnsi="Times New Roman" w:cs="Times New Roman"/>
                <w:b/>
                <w:color w:val="auto"/>
                <w:kern w:val="0"/>
                <w:sz w:val="24"/>
                <w:szCs w:val="24"/>
                <w:highlight w:val="none"/>
                <w:lang w:val="en-US" w:eastAsia="zh-CN" w:bidi="ar"/>
              </w:rPr>
              <w:t>气</w:t>
            </w:r>
            <w:r>
              <w:rPr>
                <w:rFonts w:hint="default" w:ascii="Times New Roman" w:hAnsi="Times New Roman" w:eastAsia="宋体" w:cs="Times New Roman"/>
                <w:b/>
                <w:color w:val="auto"/>
                <w:kern w:val="0"/>
                <w:sz w:val="24"/>
                <w:szCs w:val="24"/>
                <w:highlight w:val="none"/>
                <w:lang w:val="en-US" w:eastAsia="zh-CN" w:bidi="ar"/>
              </w:rPr>
              <w:t>产排污情况</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项目废气主要为</w:t>
            </w:r>
            <w:r>
              <w:rPr>
                <w:rFonts w:hint="eastAsia" w:cs="Times New Roman"/>
                <w:color w:val="auto"/>
                <w:kern w:val="0"/>
                <w:sz w:val="24"/>
                <w:szCs w:val="24"/>
                <w:highlight w:val="none"/>
                <w:lang w:val="en-US" w:eastAsia="zh-CN" w:bidi="ar"/>
              </w:rPr>
              <w:t>搅砂</w:t>
            </w:r>
            <w:r>
              <w:rPr>
                <w:rFonts w:hint="default" w:ascii="Times New Roman" w:hAnsi="Times New Roman" w:cs="Times New Roman"/>
                <w:color w:val="auto"/>
                <w:kern w:val="0"/>
                <w:sz w:val="24"/>
                <w:szCs w:val="24"/>
                <w:highlight w:val="none"/>
                <w:lang w:val="en-US" w:eastAsia="zh-CN" w:bidi="ar"/>
              </w:rPr>
              <w:t>制芯、</w:t>
            </w:r>
            <w:r>
              <w:rPr>
                <w:rFonts w:hint="default" w:ascii="Times New Roman" w:hAnsi="Times New Roman" w:eastAsia="宋体" w:cs="Times New Roman"/>
                <w:color w:val="auto"/>
                <w:kern w:val="0"/>
                <w:sz w:val="24"/>
                <w:szCs w:val="24"/>
                <w:highlight w:val="none"/>
                <w:lang w:val="en-US" w:eastAsia="zh-CN" w:bidi="ar"/>
              </w:rPr>
              <w:t>熔化、浇注、落砂、抛丸、抛光、锻造、压铸、焊接、</w:t>
            </w:r>
            <w:r>
              <w:rPr>
                <w:rFonts w:hint="eastAsia" w:cs="Times New Roman"/>
                <w:color w:val="auto"/>
                <w:kern w:val="0"/>
                <w:sz w:val="24"/>
                <w:szCs w:val="24"/>
                <w:highlight w:val="none"/>
                <w:lang w:val="en-US" w:eastAsia="zh-CN" w:bidi="ar"/>
              </w:rPr>
              <w:t>注塑、喷漆烘干、压合封边、</w:t>
            </w:r>
            <w:r>
              <w:rPr>
                <w:rFonts w:hint="default" w:ascii="Times New Roman" w:hAnsi="Times New Roman" w:eastAsia="宋体" w:cs="Times New Roman"/>
                <w:color w:val="auto"/>
                <w:kern w:val="0"/>
                <w:sz w:val="24"/>
                <w:szCs w:val="24"/>
                <w:highlight w:val="none"/>
                <w:lang w:val="en-US" w:eastAsia="zh-CN" w:bidi="ar"/>
              </w:rPr>
              <w:t>开料磨光机加工</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油烟</w:t>
            </w:r>
            <w:r>
              <w:rPr>
                <w:rFonts w:hint="default" w:ascii="Times New Roman" w:hAnsi="Times New Roman" w:eastAsia="宋体" w:cs="Times New Roman"/>
                <w:color w:val="auto"/>
                <w:kern w:val="0"/>
                <w:sz w:val="24"/>
                <w:szCs w:val="24"/>
                <w:highlight w:val="none"/>
                <w:lang w:val="en-US" w:eastAsia="zh-CN" w:bidi="ar"/>
              </w:rPr>
              <w:t>废气，其中熔化、浇注、落砂、抛丸、抛光、锻造、压铸、焊接、开料磨光机加工工序主要污染物为颗粒物，</w:t>
            </w:r>
            <w:r>
              <w:rPr>
                <w:rFonts w:hint="eastAsia" w:cs="Times New Roman"/>
                <w:color w:val="auto"/>
                <w:kern w:val="0"/>
                <w:sz w:val="24"/>
                <w:szCs w:val="24"/>
                <w:highlight w:val="none"/>
                <w:lang w:val="en-US" w:eastAsia="zh-CN" w:bidi="ar"/>
              </w:rPr>
              <w:t>搅砂</w:t>
            </w:r>
            <w:r>
              <w:rPr>
                <w:rFonts w:hint="default" w:ascii="Times New Roman" w:hAnsi="Times New Roman" w:cs="Times New Roman"/>
                <w:color w:val="auto"/>
                <w:kern w:val="0"/>
                <w:sz w:val="24"/>
                <w:szCs w:val="24"/>
                <w:lang w:val="en-US" w:eastAsia="zh-CN" w:bidi="ar"/>
              </w:rPr>
              <w:t>制芯</w:t>
            </w:r>
            <w:r>
              <w:rPr>
                <w:rFonts w:hint="eastAsia" w:cs="Times New Roman"/>
                <w:color w:val="auto"/>
                <w:kern w:val="0"/>
                <w:sz w:val="24"/>
                <w:szCs w:val="24"/>
                <w:lang w:val="en-US" w:eastAsia="zh-CN" w:bidi="ar"/>
              </w:rPr>
              <w:t>、浇注</w:t>
            </w:r>
            <w:r>
              <w:rPr>
                <w:rFonts w:hint="default" w:ascii="Times New Roman" w:hAnsi="Times New Roman" w:eastAsia="宋体" w:cs="Times New Roman"/>
                <w:color w:val="auto"/>
                <w:kern w:val="0"/>
                <w:sz w:val="24"/>
                <w:szCs w:val="24"/>
                <w:lang w:val="en-US" w:eastAsia="zh-CN" w:bidi="ar"/>
              </w:rPr>
              <w:t>工序</w:t>
            </w:r>
            <w:r>
              <w:rPr>
                <w:rFonts w:hint="eastAsia" w:ascii="Times New Roman" w:hAnsi="Times New Roman" w:cs="Times New Roman"/>
                <w:color w:val="auto"/>
                <w:kern w:val="0"/>
                <w:sz w:val="24"/>
                <w:szCs w:val="24"/>
                <w:lang w:val="en-US" w:eastAsia="zh-CN" w:bidi="ar"/>
              </w:rPr>
              <w:t>、</w:t>
            </w:r>
            <w:r>
              <w:rPr>
                <w:rFonts w:hint="eastAsia" w:cs="Times New Roman"/>
                <w:color w:val="auto"/>
                <w:kern w:val="0"/>
                <w:sz w:val="24"/>
                <w:szCs w:val="24"/>
                <w:highlight w:val="none"/>
                <w:lang w:val="en-US" w:eastAsia="zh-CN" w:bidi="ar"/>
              </w:rPr>
              <w:t>喷漆、烘干</w:t>
            </w:r>
            <w:r>
              <w:rPr>
                <w:rFonts w:hint="default" w:ascii="Times New Roman" w:hAnsi="Times New Roman" w:eastAsia="宋体" w:cs="Times New Roman"/>
                <w:color w:val="auto"/>
                <w:kern w:val="0"/>
                <w:sz w:val="24"/>
                <w:szCs w:val="24"/>
                <w:highlight w:val="none"/>
                <w:lang w:val="en-US" w:eastAsia="zh-CN" w:bidi="ar"/>
              </w:rPr>
              <w:t>工序</w:t>
            </w:r>
            <w:r>
              <w:rPr>
                <w:rFonts w:hint="default" w:ascii="Times New Roman" w:hAnsi="Times New Roman" w:eastAsia="宋体" w:cs="Times New Roman"/>
                <w:color w:val="auto"/>
                <w:kern w:val="0"/>
                <w:sz w:val="24"/>
                <w:szCs w:val="24"/>
                <w:lang w:val="en-US" w:eastAsia="zh-CN" w:bidi="ar"/>
              </w:rPr>
              <w:t>主要污染物为颗粒物和挥发性有机</w:t>
            </w:r>
            <w:r>
              <w:rPr>
                <w:rFonts w:hint="default" w:cs="Times New Roman"/>
                <w:color w:val="auto"/>
                <w:kern w:val="0"/>
                <w:sz w:val="24"/>
                <w:szCs w:val="24"/>
                <w:highlight w:val="none"/>
                <w:lang w:val="en-US" w:eastAsia="zh-CN" w:bidi="ar"/>
              </w:rPr>
              <w:t>物（以非甲烷总烃计），</w:t>
            </w:r>
            <w:r>
              <w:rPr>
                <w:rFonts w:hint="eastAsia" w:cs="Times New Roman"/>
                <w:color w:val="auto"/>
                <w:kern w:val="0"/>
                <w:sz w:val="24"/>
                <w:szCs w:val="24"/>
                <w:highlight w:val="none"/>
                <w:lang w:val="en-US" w:eastAsia="zh-CN" w:bidi="ar"/>
              </w:rPr>
              <w:t>注塑、压合封边</w:t>
            </w:r>
            <w:r>
              <w:rPr>
                <w:rFonts w:hint="default" w:cs="Times New Roman"/>
                <w:color w:val="auto"/>
                <w:kern w:val="0"/>
                <w:sz w:val="24"/>
                <w:szCs w:val="24"/>
                <w:highlight w:val="none"/>
                <w:lang w:val="en-US" w:eastAsia="zh-CN" w:bidi="ar"/>
              </w:rPr>
              <w:t>工序主要污染物为挥发性有机物（以非甲烷总烃计）</w:t>
            </w:r>
            <w:r>
              <w:rPr>
                <w:rFonts w:hint="default" w:ascii="Times New Roman" w:hAnsi="Times New Roman" w:eastAsia="宋体" w:cs="Times New Roman"/>
                <w:color w:val="auto"/>
                <w:kern w:val="0"/>
                <w:sz w:val="24"/>
                <w:szCs w:val="24"/>
                <w:highlight w:val="none"/>
                <w:lang w:val="en-US" w:eastAsia="zh-CN" w:bidi="ar"/>
              </w:rPr>
              <w:t>。</w:t>
            </w:r>
          </w:p>
          <w:p>
            <w:pPr>
              <w:pStyle w:val="37"/>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color w:val="auto"/>
                <w:highlight w:val="none"/>
                <w:lang w:val="en-US"/>
              </w:rPr>
            </w:pPr>
            <w:r>
              <w:rPr>
                <w:rFonts w:hint="eastAsia" w:ascii="Times New Roman" w:cs="Times New Roman"/>
                <w:color w:val="auto"/>
                <w:kern w:val="0"/>
                <w:sz w:val="24"/>
                <w:szCs w:val="24"/>
                <w:highlight w:val="none"/>
                <w:lang w:val="en-US" w:eastAsia="zh-CN" w:bidi="ar"/>
              </w:rPr>
              <w:t>（1）</w:t>
            </w:r>
            <w:r>
              <w:rPr>
                <w:rFonts w:hint="default" w:ascii="Times New Roman" w:hAnsi="Times New Roman" w:eastAsia="宋体" w:cs="Times New Roman"/>
                <w:color w:val="auto"/>
                <w:kern w:val="0"/>
                <w:sz w:val="24"/>
                <w:szCs w:val="24"/>
                <w:highlight w:val="none"/>
                <w:lang w:val="en-US" w:eastAsia="zh-CN" w:bidi="ar"/>
              </w:rPr>
              <w:t>熔化、浇注、</w:t>
            </w:r>
            <w:r>
              <w:rPr>
                <w:rFonts w:hint="eastAsia" w:ascii="Times New Roman" w:cs="Times New Roman"/>
                <w:color w:val="auto"/>
                <w:kern w:val="0"/>
                <w:sz w:val="24"/>
                <w:szCs w:val="24"/>
                <w:highlight w:val="none"/>
                <w:lang w:val="en-US" w:eastAsia="zh-CN" w:bidi="ar"/>
              </w:rPr>
              <w:t>搅砂及制芯、</w:t>
            </w:r>
            <w:r>
              <w:rPr>
                <w:rFonts w:hint="default" w:ascii="Times New Roman" w:hAnsi="Times New Roman" w:eastAsia="宋体" w:cs="Times New Roman"/>
                <w:color w:val="auto"/>
                <w:kern w:val="0"/>
                <w:sz w:val="24"/>
                <w:szCs w:val="24"/>
                <w:highlight w:val="none"/>
                <w:lang w:val="en-US" w:eastAsia="zh-CN" w:bidi="ar"/>
              </w:rPr>
              <w:t>落砂、</w:t>
            </w:r>
            <w:r>
              <w:rPr>
                <w:rFonts w:hint="eastAsia" w:ascii="Times New Roman" w:cs="Times New Roman"/>
                <w:color w:val="auto"/>
                <w:kern w:val="0"/>
                <w:sz w:val="24"/>
                <w:szCs w:val="24"/>
                <w:highlight w:val="none"/>
                <w:lang w:val="en-US" w:eastAsia="zh-CN" w:bidi="ar"/>
              </w:rPr>
              <w:t>压铸、</w:t>
            </w:r>
            <w:r>
              <w:rPr>
                <w:rFonts w:hint="default" w:ascii="Times New Roman" w:hAnsi="Times New Roman" w:eastAsia="宋体" w:cs="Times New Roman"/>
                <w:color w:val="auto"/>
                <w:kern w:val="0"/>
                <w:sz w:val="24"/>
                <w:szCs w:val="24"/>
                <w:highlight w:val="none"/>
                <w:lang w:val="en-US" w:eastAsia="zh-CN" w:bidi="ar"/>
              </w:rPr>
              <w:t>锻造</w:t>
            </w:r>
            <w:r>
              <w:rPr>
                <w:rFonts w:hint="eastAsia" w:ascii="Times New Roman" w:cs="Times New Roman"/>
                <w:color w:val="auto"/>
                <w:kern w:val="0"/>
                <w:sz w:val="24"/>
                <w:szCs w:val="24"/>
                <w:highlight w:val="none"/>
                <w:lang w:val="en-US" w:eastAsia="zh-CN" w:bidi="ar"/>
              </w:rPr>
              <w:t>废气</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主要为水龙头</w:t>
            </w:r>
            <w:r>
              <w:rPr>
                <w:rFonts w:hint="eastAsia" w:cs="Times New Roman"/>
                <w:color w:val="auto"/>
                <w:kern w:val="0"/>
                <w:sz w:val="24"/>
                <w:szCs w:val="24"/>
                <w:lang w:val="en-US" w:eastAsia="zh-CN" w:bidi="ar"/>
              </w:rPr>
              <w:t>6</w:t>
            </w:r>
            <w:r>
              <w:rPr>
                <w:rFonts w:hint="default" w:ascii="Times New Roman" w:hAnsi="Times New Roman" w:eastAsia="宋体" w:cs="Times New Roman"/>
                <w:color w:val="auto"/>
                <w:kern w:val="0"/>
                <w:sz w:val="24"/>
                <w:szCs w:val="24"/>
                <w:lang w:val="en-US" w:eastAsia="zh-CN" w:bidi="ar"/>
              </w:rPr>
              <w:t>000t/a（其中产品水龙头3000t/a使用重力铸造工艺</w:t>
            </w:r>
            <w:r>
              <w:rPr>
                <w:rFonts w:hint="eastAsia" w:ascii="Times New Roman" w:hAnsi="Times New Roman" w:cs="Times New Roman"/>
                <w:color w:val="auto"/>
                <w:kern w:val="0"/>
                <w:sz w:val="24"/>
                <w:szCs w:val="24"/>
                <w:lang w:val="en-US" w:eastAsia="zh-CN" w:bidi="ar"/>
              </w:rPr>
              <w:t>，</w:t>
            </w:r>
            <w:r>
              <w:rPr>
                <w:rFonts w:hint="eastAsia" w:cs="Times New Roman"/>
                <w:color w:val="auto"/>
                <w:kern w:val="0"/>
                <w:sz w:val="24"/>
                <w:szCs w:val="24"/>
                <w:lang w:val="en-US" w:eastAsia="zh-CN" w:bidi="ar"/>
              </w:rPr>
              <w:t>3</w:t>
            </w:r>
            <w:r>
              <w:rPr>
                <w:rFonts w:hint="eastAsia" w:ascii="Times New Roman" w:hAnsi="Times New Roman" w:cs="Times New Roman"/>
                <w:color w:val="auto"/>
                <w:kern w:val="0"/>
                <w:sz w:val="24"/>
                <w:szCs w:val="24"/>
                <w:lang w:val="en-US" w:eastAsia="zh-CN" w:bidi="ar"/>
              </w:rPr>
              <w:t>000t/a使用</w:t>
            </w:r>
            <w:r>
              <w:rPr>
                <w:rFonts w:hint="eastAsia" w:cs="Times New Roman"/>
                <w:color w:val="auto"/>
                <w:kern w:val="0"/>
                <w:sz w:val="24"/>
                <w:szCs w:val="24"/>
                <w:lang w:val="en-US" w:eastAsia="zh-CN" w:bidi="ar"/>
              </w:rPr>
              <w:t>压力</w:t>
            </w:r>
            <w:r>
              <w:rPr>
                <w:rFonts w:hint="eastAsia" w:ascii="Times New Roman" w:hAnsi="Times New Roman" w:cs="Times New Roman"/>
                <w:color w:val="auto"/>
                <w:kern w:val="0"/>
                <w:sz w:val="24"/>
                <w:szCs w:val="24"/>
                <w:lang w:val="en-US" w:eastAsia="zh-CN" w:bidi="ar"/>
              </w:rPr>
              <w:t>铸造工艺</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、角阀</w:t>
            </w:r>
            <w:r>
              <w:rPr>
                <w:rFonts w:hint="eastAsia" w:cs="Times New Roman"/>
                <w:color w:val="auto"/>
                <w:kern w:val="0"/>
                <w:sz w:val="24"/>
                <w:szCs w:val="24"/>
                <w:lang w:val="en-US" w:eastAsia="zh-CN" w:bidi="ar"/>
              </w:rPr>
              <w:t>4</w:t>
            </w:r>
            <w:r>
              <w:rPr>
                <w:rFonts w:hint="default" w:ascii="Times New Roman" w:hAnsi="Times New Roman" w:eastAsia="宋体" w:cs="Times New Roman"/>
                <w:color w:val="auto"/>
                <w:kern w:val="0"/>
                <w:sz w:val="24"/>
                <w:szCs w:val="24"/>
                <w:lang w:val="en-US" w:eastAsia="zh-CN" w:bidi="ar"/>
              </w:rPr>
              <w:t>00t/a、淋浴柱</w:t>
            </w:r>
            <w:r>
              <w:rPr>
                <w:rFonts w:hint="eastAsia" w:cs="Times New Roman"/>
                <w:color w:val="auto"/>
                <w:kern w:val="0"/>
                <w:sz w:val="24"/>
                <w:szCs w:val="24"/>
                <w:lang w:val="en-US" w:eastAsia="zh-CN" w:bidi="ar"/>
              </w:rPr>
              <w:t>4</w:t>
            </w:r>
            <w:r>
              <w:rPr>
                <w:rFonts w:hint="default" w:ascii="Times New Roman" w:hAnsi="Times New Roman" w:eastAsia="宋体" w:cs="Times New Roman"/>
                <w:color w:val="auto"/>
                <w:kern w:val="0"/>
                <w:sz w:val="24"/>
                <w:szCs w:val="24"/>
                <w:lang w:val="en-US" w:eastAsia="zh-CN" w:bidi="ar"/>
              </w:rPr>
              <w:t>00t/a、卫浴挂件</w:t>
            </w:r>
            <w:r>
              <w:rPr>
                <w:rFonts w:hint="eastAsia" w:cs="Times New Roman"/>
                <w:color w:val="auto"/>
                <w:kern w:val="0"/>
                <w:sz w:val="24"/>
                <w:szCs w:val="24"/>
                <w:lang w:val="en-US" w:eastAsia="zh-CN" w:bidi="ar"/>
              </w:rPr>
              <w:t>4</w:t>
            </w:r>
            <w:r>
              <w:rPr>
                <w:rFonts w:hint="default" w:ascii="Times New Roman" w:hAnsi="Times New Roman" w:eastAsia="宋体" w:cs="Times New Roman"/>
                <w:color w:val="auto"/>
                <w:kern w:val="0"/>
                <w:sz w:val="24"/>
                <w:szCs w:val="24"/>
                <w:lang w:val="en-US" w:eastAsia="zh-CN" w:bidi="ar"/>
              </w:rPr>
              <w:t>00t/a、水槽</w:t>
            </w:r>
            <w:r>
              <w:rPr>
                <w:rFonts w:hint="eastAsia" w:cs="Times New Roman"/>
                <w:color w:val="auto"/>
                <w:kern w:val="0"/>
                <w:sz w:val="24"/>
                <w:szCs w:val="24"/>
                <w:lang w:val="en-US" w:eastAsia="zh-CN" w:bidi="ar"/>
              </w:rPr>
              <w:t>4</w:t>
            </w:r>
            <w:r>
              <w:rPr>
                <w:rFonts w:hint="default" w:ascii="Times New Roman" w:hAnsi="Times New Roman" w:eastAsia="宋体" w:cs="Times New Roman"/>
                <w:color w:val="auto"/>
                <w:kern w:val="0"/>
                <w:sz w:val="24"/>
                <w:szCs w:val="24"/>
                <w:lang w:val="en-US" w:eastAsia="zh-CN" w:bidi="ar"/>
              </w:rPr>
              <w:t>00t/a、地漏</w:t>
            </w:r>
            <w:r>
              <w:rPr>
                <w:rFonts w:hint="eastAsia" w:cs="Times New Roman"/>
                <w:color w:val="auto"/>
                <w:kern w:val="0"/>
                <w:sz w:val="24"/>
                <w:szCs w:val="24"/>
                <w:lang w:val="en-US" w:eastAsia="zh-CN" w:bidi="ar"/>
              </w:rPr>
              <w:t>4</w:t>
            </w:r>
            <w:r>
              <w:rPr>
                <w:rFonts w:hint="default" w:ascii="Times New Roman" w:hAnsi="Times New Roman" w:eastAsia="宋体" w:cs="Times New Roman"/>
                <w:color w:val="auto"/>
                <w:kern w:val="0"/>
                <w:sz w:val="24"/>
                <w:szCs w:val="24"/>
                <w:lang w:val="en-US" w:eastAsia="zh-CN" w:bidi="ar"/>
              </w:rPr>
              <w:t>00t/a</w:t>
            </w:r>
            <w:r>
              <w:rPr>
                <w:rFonts w:hint="eastAsia" w:cs="Times New Roman"/>
                <w:color w:val="auto"/>
                <w:kern w:val="0"/>
                <w:sz w:val="24"/>
                <w:szCs w:val="24"/>
                <w:lang w:val="en-US" w:eastAsia="zh-CN" w:bidi="ar"/>
              </w:rPr>
              <w:t>（其中1000</w:t>
            </w:r>
            <w:r>
              <w:rPr>
                <w:rFonts w:hint="eastAsia" w:ascii="Times New Roman" w:hAnsi="Times New Roman" w:cs="Times New Roman"/>
                <w:color w:val="auto"/>
                <w:kern w:val="0"/>
                <w:sz w:val="24"/>
                <w:szCs w:val="24"/>
                <w:lang w:val="en-US" w:eastAsia="zh-CN" w:bidi="ar"/>
              </w:rPr>
              <w:t>t/a</w:t>
            </w:r>
            <w:r>
              <w:rPr>
                <w:rFonts w:hint="eastAsia" w:cs="Times New Roman"/>
                <w:color w:val="auto"/>
                <w:kern w:val="0"/>
                <w:sz w:val="24"/>
                <w:szCs w:val="24"/>
                <w:lang w:val="en-US" w:eastAsia="zh-CN" w:bidi="ar"/>
              </w:rPr>
              <w:t>的</w:t>
            </w:r>
            <w:r>
              <w:rPr>
                <w:rFonts w:hint="eastAsia" w:ascii="Times New Roman" w:hAnsi="Times New Roman" w:eastAsia="宋体" w:cs="Times New Roman"/>
                <w:color w:val="auto"/>
                <w:kern w:val="0"/>
                <w:sz w:val="24"/>
                <w:szCs w:val="24"/>
                <w:lang w:val="en-US" w:eastAsia="zh-CN" w:bidi="ar"/>
              </w:rPr>
              <w:t>角阀、地漏、挂件、淋浴柱、</w:t>
            </w:r>
            <w:r>
              <w:rPr>
                <w:rFonts w:hint="default" w:ascii="Times New Roman" w:hAnsi="Times New Roman" w:eastAsia="宋体" w:cs="Times New Roman"/>
                <w:color w:val="auto"/>
                <w:kern w:val="0"/>
                <w:sz w:val="24"/>
                <w:szCs w:val="24"/>
                <w:lang w:val="en-US" w:eastAsia="zh-CN" w:bidi="ar"/>
              </w:rPr>
              <w:t>卫浴挂件</w:t>
            </w:r>
            <w:r>
              <w:rPr>
                <w:rFonts w:hint="eastAsia" w:cs="Times New Roman"/>
                <w:color w:val="auto"/>
                <w:kern w:val="0"/>
                <w:sz w:val="24"/>
                <w:szCs w:val="24"/>
                <w:lang w:val="en-US" w:eastAsia="zh-CN" w:bidi="ar"/>
              </w:rPr>
              <w:t>、水槽</w:t>
            </w:r>
            <w:r>
              <w:rPr>
                <w:rFonts w:hint="eastAsia" w:ascii="Times New Roman" w:hAnsi="Times New Roman" w:eastAsia="宋体" w:cs="Times New Roman"/>
                <w:color w:val="auto"/>
                <w:kern w:val="0"/>
                <w:sz w:val="24"/>
                <w:szCs w:val="24"/>
                <w:lang w:val="en-US" w:eastAsia="zh-CN" w:bidi="ar"/>
              </w:rPr>
              <w:t>产品</w:t>
            </w:r>
            <w:r>
              <w:rPr>
                <w:rFonts w:hint="eastAsia" w:cs="Times New Roman"/>
                <w:color w:val="auto"/>
                <w:kern w:val="0"/>
                <w:sz w:val="24"/>
                <w:szCs w:val="24"/>
                <w:lang w:val="en-US" w:eastAsia="zh-CN" w:bidi="ar"/>
              </w:rPr>
              <w:t>使用</w:t>
            </w:r>
            <w:r>
              <w:rPr>
                <w:rFonts w:hint="eastAsia" w:ascii="Times New Roman" w:hAnsi="Times New Roman" w:eastAsia="宋体" w:cs="Times New Roman"/>
                <w:color w:val="auto"/>
                <w:kern w:val="0"/>
                <w:sz w:val="24"/>
                <w:szCs w:val="24"/>
                <w:lang w:val="en-US" w:eastAsia="zh-CN" w:bidi="ar"/>
              </w:rPr>
              <w:t>锻造（红冲）</w:t>
            </w:r>
            <w:r>
              <w:rPr>
                <w:rFonts w:hint="eastAsia" w:cs="Times New Roman"/>
                <w:color w:val="auto"/>
                <w:kern w:val="0"/>
                <w:sz w:val="24"/>
                <w:szCs w:val="24"/>
                <w:lang w:val="en-US" w:eastAsia="zh-CN" w:bidi="ar"/>
              </w:rPr>
              <w:t>工艺，约1000</w:t>
            </w:r>
            <w:r>
              <w:rPr>
                <w:rFonts w:hint="eastAsia" w:ascii="Times New Roman" w:hAnsi="Times New Roman" w:cs="Times New Roman"/>
                <w:color w:val="auto"/>
                <w:kern w:val="0"/>
                <w:sz w:val="24"/>
                <w:szCs w:val="24"/>
                <w:lang w:val="en-US" w:eastAsia="zh-CN" w:bidi="ar"/>
              </w:rPr>
              <w:t>t/a</w:t>
            </w:r>
            <w:r>
              <w:rPr>
                <w:rFonts w:hint="eastAsia" w:cs="Times New Roman"/>
                <w:color w:val="auto"/>
                <w:kern w:val="0"/>
                <w:sz w:val="24"/>
                <w:szCs w:val="24"/>
                <w:lang w:val="en-US" w:eastAsia="zh-CN" w:bidi="ar"/>
              </w:rPr>
              <w:t>的</w:t>
            </w:r>
            <w:r>
              <w:rPr>
                <w:rFonts w:hint="eastAsia" w:ascii="Times New Roman" w:hAnsi="Times New Roman" w:eastAsia="宋体" w:cs="Times New Roman"/>
                <w:color w:val="auto"/>
                <w:kern w:val="0"/>
                <w:sz w:val="24"/>
                <w:szCs w:val="24"/>
                <w:lang w:val="en-US" w:eastAsia="zh-CN" w:bidi="ar"/>
              </w:rPr>
              <w:t>角阀、地漏、挂件、淋浴柱、</w:t>
            </w:r>
            <w:r>
              <w:rPr>
                <w:rFonts w:hint="default" w:ascii="Times New Roman" w:hAnsi="Times New Roman" w:eastAsia="宋体" w:cs="Times New Roman"/>
                <w:color w:val="auto"/>
                <w:kern w:val="0"/>
                <w:sz w:val="24"/>
                <w:szCs w:val="24"/>
                <w:lang w:val="en-US" w:eastAsia="zh-CN" w:bidi="ar"/>
              </w:rPr>
              <w:t>卫浴挂件</w:t>
            </w:r>
            <w:r>
              <w:rPr>
                <w:rFonts w:hint="eastAsia" w:cs="Times New Roman"/>
                <w:color w:val="auto"/>
                <w:kern w:val="0"/>
                <w:sz w:val="24"/>
                <w:szCs w:val="24"/>
                <w:lang w:val="en-US" w:eastAsia="zh-CN" w:bidi="ar"/>
              </w:rPr>
              <w:t>、水槽</w:t>
            </w:r>
            <w:r>
              <w:rPr>
                <w:rFonts w:hint="eastAsia" w:ascii="Times New Roman" w:hAnsi="Times New Roman" w:eastAsia="宋体" w:cs="Times New Roman"/>
                <w:color w:val="auto"/>
                <w:kern w:val="0"/>
                <w:sz w:val="24"/>
                <w:szCs w:val="24"/>
                <w:lang w:val="en-US" w:eastAsia="zh-CN" w:bidi="ar"/>
              </w:rPr>
              <w:t>产品</w:t>
            </w:r>
            <w:r>
              <w:rPr>
                <w:rFonts w:hint="eastAsia" w:cs="Times New Roman"/>
                <w:color w:val="auto"/>
                <w:kern w:val="0"/>
                <w:sz w:val="24"/>
                <w:szCs w:val="24"/>
                <w:lang w:val="en-US" w:eastAsia="zh-CN" w:bidi="ar"/>
              </w:rPr>
              <w:t>使用毛坯件机加工工艺）。</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kern w:val="0"/>
                <w:sz w:val="24"/>
                <w:szCs w:val="24"/>
                <w:lang w:val="en-US" w:eastAsia="zh-CN" w:bidi="ar"/>
              </w:rPr>
            </w:pPr>
            <w:r>
              <w:rPr>
                <w:rFonts w:hint="eastAsia" w:ascii="宋体" w:hAnsi="宋体" w:eastAsia="宋体" w:cs="宋体"/>
                <w:color w:val="auto"/>
                <w:kern w:val="0"/>
                <w:sz w:val="24"/>
                <w:szCs w:val="24"/>
                <w:lang w:val="en-US" w:eastAsia="zh-CN" w:bidi="ar"/>
              </w:rPr>
              <w:t>项目污染物产排污系数主要参照《排放源统计调查产排污核算方法和系数手册》中“</w:t>
            </w:r>
            <w:r>
              <w:rPr>
                <w:rFonts w:hint="default" w:ascii="Times New Roman" w:hAnsi="Times New Roman" w:eastAsia="宋体" w:cs="Times New Roman"/>
                <w:color w:val="auto"/>
                <w:kern w:val="0"/>
                <w:sz w:val="24"/>
                <w:szCs w:val="24"/>
                <w:lang w:val="en-US" w:eastAsia="zh-CN" w:bidi="ar"/>
              </w:rPr>
              <w:t>33-37</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 xml:space="preserve">431-434 </w:t>
            </w:r>
            <w:r>
              <w:rPr>
                <w:rFonts w:hint="eastAsia" w:ascii="宋体" w:hAnsi="宋体" w:eastAsia="宋体" w:cs="宋体"/>
                <w:color w:val="auto"/>
                <w:kern w:val="0"/>
                <w:sz w:val="24"/>
                <w:szCs w:val="24"/>
                <w:lang w:val="en-US" w:eastAsia="zh-CN" w:bidi="ar"/>
              </w:rPr>
              <w:t xml:space="preserve">机械行业系数手册 </w:t>
            </w:r>
            <w:r>
              <w:rPr>
                <w:rFonts w:hint="default" w:ascii="Times New Roman" w:hAnsi="Times New Roman" w:eastAsia="宋体" w:cs="Times New Roman"/>
                <w:color w:val="auto"/>
                <w:kern w:val="0"/>
                <w:sz w:val="24"/>
                <w:szCs w:val="24"/>
                <w:lang w:val="en-US" w:eastAsia="zh-CN" w:bidi="ar"/>
              </w:rPr>
              <w:t xml:space="preserve">33 </w:t>
            </w:r>
            <w:r>
              <w:rPr>
                <w:rFonts w:hint="eastAsia" w:ascii="宋体" w:hAnsi="宋体" w:eastAsia="宋体" w:cs="宋体"/>
                <w:color w:val="auto"/>
                <w:kern w:val="0"/>
                <w:sz w:val="24"/>
                <w:szCs w:val="24"/>
                <w:lang w:val="en-US" w:eastAsia="zh-CN" w:bidi="ar"/>
              </w:rPr>
              <w:t>金属制品业行业系数表</w:t>
            </w:r>
            <w:r>
              <w:rPr>
                <w:rFonts w:hint="default" w:ascii="Times New Roman" w:hAnsi="Times New Roman" w:eastAsia="宋体" w:cs="Times New Roman"/>
                <w:color w:val="auto"/>
                <w:kern w:val="0"/>
                <w:sz w:val="24"/>
                <w:szCs w:val="24"/>
                <w:lang w:val="en-US" w:eastAsia="zh-CN" w:bidi="ar"/>
              </w:rPr>
              <w:t>01</w:t>
            </w:r>
            <w:r>
              <w:rPr>
                <w:rFonts w:hint="eastAsia" w:ascii="宋体" w:hAnsi="宋体" w:eastAsia="宋体" w:cs="宋体"/>
                <w:color w:val="auto"/>
                <w:kern w:val="0"/>
                <w:sz w:val="24"/>
                <w:szCs w:val="24"/>
                <w:lang w:val="en-US" w:eastAsia="zh-CN" w:bidi="ar"/>
              </w:rPr>
              <w:t>铸造”，该手册未列明锻造废气的产污系数，红冲锻造工艺实际为</w:t>
            </w:r>
            <w:r>
              <w:rPr>
                <w:rFonts w:hint="default" w:ascii="Times New Roman" w:hAnsi="Times New Roman" w:eastAsia="宋体" w:cs="Times New Roman"/>
                <w:color w:val="auto"/>
                <w:kern w:val="0"/>
                <w:sz w:val="24"/>
                <w:szCs w:val="24"/>
                <w:lang w:val="en-US" w:eastAsia="zh-CN" w:bidi="ar"/>
              </w:rPr>
              <w:t>一种热挤压工艺，本评价锻造产排污系数参照《排放源统计调查产排污核算方法和系数手册》中“3251 铜压延行业系数表”</w:t>
            </w:r>
            <w:r>
              <w:rPr>
                <w:rFonts w:hint="default" w:ascii="Times New Roman" w:hAnsi="Times New Roman"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项目污染物产排污系数</w:t>
            </w:r>
            <w:r>
              <w:rPr>
                <w:rFonts w:hint="default" w:ascii="Times New Roman" w:hAnsi="Times New Roman" w:cs="Times New Roman"/>
                <w:color w:val="auto"/>
                <w:kern w:val="0"/>
                <w:sz w:val="24"/>
                <w:szCs w:val="24"/>
                <w:lang w:val="en-US" w:eastAsia="zh-CN" w:bidi="ar"/>
              </w:rPr>
              <w:t>详见下表4.2-1。</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jc w:val="center"/>
              <w:textAlignment w:val="auto"/>
              <w:rPr>
                <w:rFonts w:hint="eastAsia"/>
                <w:b/>
                <w:color w:val="auto"/>
                <w:sz w:val="24"/>
                <w:lang w:val="en-US" w:eastAsia="zh-CN"/>
              </w:rPr>
            </w:pPr>
            <w:r>
              <w:rPr>
                <w:b/>
                <w:color w:val="auto"/>
                <w:sz w:val="24"/>
              </w:rPr>
              <w:t>表</w:t>
            </w:r>
            <w:r>
              <w:rPr>
                <w:rFonts w:hint="eastAsia"/>
                <w:b/>
                <w:color w:val="auto"/>
                <w:sz w:val="24"/>
                <w:lang w:val="en-US" w:eastAsia="zh-CN"/>
              </w:rPr>
              <w:t>4.2-1废气污染物产排污系数一览表</w:t>
            </w:r>
          </w:p>
          <w:tbl>
            <w:tblPr>
              <w:tblStyle w:val="29"/>
              <w:tblW w:w="825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5"/>
              <w:gridCol w:w="1468"/>
              <w:gridCol w:w="652"/>
              <w:gridCol w:w="855"/>
              <w:gridCol w:w="953"/>
              <w:gridCol w:w="769"/>
              <w:gridCol w:w="684"/>
              <w:gridCol w:w="770"/>
              <w:gridCol w:w="15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545"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kern w:val="0"/>
                      <w:sz w:val="18"/>
                      <w:szCs w:val="18"/>
                      <w:lang w:val="en-US" w:eastAsia="zh-CN" w:bidi="ar"/>
                    </w:rPr>
                  </w:pPr>
                  <w:r>
                    <w:rPr>
                      <w:rFonts w:hint="default" w:ascii="Times New Roman" w:hAnsi="Times New Roman" w:eastAsia="宋体" w:cs="Times New Roman"/>
                      <w:b/>
                      <w:bCs/>
                      <w:color w:val="auto"/>
                      <w:kern w:val="0"/>
                      <w:sz w:val="18"/>
                      <w:szCs w:val="18"/>
                      <w:lang w:val="en-US" w:eastAsia="zh-CN" w:bidi="ar"/>
                    </w:rPr>
                    <w:t>产品</w:t>
                  </w:r>
                </w:p>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kern w:val="0"/>
                      <w:sz w:val="18"/>
                      <w:szCs w:val="18"/>
                      <w:lang w:val="en-US" w:eastAsia="zh-CN" w:bidi="ar"/>
                    </w:rPr>
                    <w:t>名称</w:t>
                  </w:r>
                </w:p>
              </w:tc>
              <w:tc>
                <w:tcPr>
                  <w:tcW w:w="1468"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kern w:val="0"/>
                      <w:sz w:val="18"/>
                      <w:szCs w:val="18"/>
                      <w:lang w:val="en-US" w:eastAsia="zh-CN" w:bidi="ar"/>
                    </w:rPr>
                  </w:pPr>
                  <w:r>
                    <w:rPr>
                      <w:rFonts w:hint="default" w:ascii="Times New Roman" w:hAnsi="Times New Roman" w:eastAsia="宋体" w:cs="Times New Roman"/>
                      <w:b/>
                      <w:bCs/>
                      <w:color w:val="auto"/>
                      <w:kern w:val="0"/>
                      <w:sz w:val="18"/>
                      <w:szCs w:val="18"/>
                      <w:lang w:val="en-US" w:eastAsia="zh-CN" w:bidi="ar"/>
                    </w:rPr>
                    <w:t>工艺</w:t>
                  </w:r>
                </w:p>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kern w:val="0"/>
                      <w:sz w:val="18"/>
                      <w:szCs w:val="18"/>
                      <w:lang w:val="en-US" w:eastAsia="zh-CN" w:bidi="ar"/>
                    </w:rPr>
                    <w:t>名称</w:t>
                  </w:r>
                </w:p>
              </w:tc>
              <w:tc>
                <w:tcPr>
                  <w:tcW w:w="652"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kern w:val="0"/>
                      <w:sz w:val="18"/>
                      <w:szCs w:val="18"/>
                      <w:lang w:val="en-US" w:eastAsia="zh-CN" w:bidi="ar"/>
                    </w:rPr>
                  </w:pPr>
                  <w:r>
                    <w:rPr>
                      <w:rFonts w:hint="default" w:ascii="Times New Roman" w:hAnsi="Times New Roman" w:eastAsia="宋体" w:cs="Times New Roman"/>
                      <w:b/>
                      <w:bCs/>
                      <w:color w:val="auto"/>
                      <w:kern w:val="0"/>
                      <w:sz w:val="18"/>
                      <w:szCs w:val="18"/>
                      <w:lang w:val="en-US" w:eastAsia="zh-CN" w:bidi="ar"/>
                    </w:rPr>
                    <w:t>规模</w:t>
                  </w:r>
                </w:p>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kern w:val="0"/>
                      <w:sz w:val="18"/>
                      <w:szCs w:val="18"/>
                      <w:lang w:val="en-US" w:eastAsia="zh-CN" w:bidi="ar"/>
                    </w:rPr>
                    <w:t>等级</w:t>
                  </w:r>
                </w:p>
              </w:tc>
              <w:tc>
                <w:tcPr>
                  <w:tcW w:w="855"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kern w:val="0"/>
                      <w:sz w:val="18"/>
                      <w:szCs w:val="18"/>
                      <w:lang w:val="en-US" w:eastAsia="zh-CN" w:bidi="ar"/>
                    </w:rPr>
                    <w:t>污染物类别</w:t>
                  </w:r>
                </w:p>
              </w:tc>
              <w:tc>
                <w:tcPr>
                  <w:tcW w:w="953"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kern w:val="0"/>
                      <w:sz w:val="18"/>
                      <w:szCs w:val="18"/>
                      <w:lang w:val="en-US" w:eastAsia="zh-CN" w:bidi="ar"/>
                    </w:rPr>
                    <w:t>单位</w:t>
                  </w:r>
                </w:p>
              </w:tc>
              <w:tc>
                <w:tcPr>
                  <w:tcW w:w="769"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kern w:val="0"/>
                      <w:sz w:val="18"/>
                      <w:szCs w:val="18"/>
                      <w:lang w:val="en-US" w:eastAsia="zh-CN" w:bidi="ar"/>
                    </w:rPr>
                  </w:pPr>
                  <w:r>
                    <w:rPr>
                      <w:rFonts w:hint="default" w:ascii="Times New Roman" w:hAnsi="Times New Roman" w:eastAsia="宋体" w:cs="Times New Roman"/>
                      <w:b/>
                      <w:bCs/>
                      <w:color w:val="auto"/>
                      <w:kern w:val="0"/>
                      <w:sz w:val="18"/>
                      <w:szCs w:val="18"/>
                      <w:lang w:val="en-US" w:eastAsia="zh-CN" w:bidi="ar"/>
                    </w:rPr>
                    <w:t>产污</w:t>
                  </w:r>
                </w:p>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kern w:val="0"/>
                      <w:sz w:val="18"/>
                      <w:szCs w:val="18"/>
                      <w:lang w:val="en-US" w:eastAsia="zh-CN" w:bidi="ar"/>
                    </w:rPr>
                    <w:t>系数</w:t>
                  </w:r>
                </w:p>
              </w:tc>
              <w:tc>
                <w:tcPr>
                  <w:tcW w:w="684"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kern w:val="0"/>
                      <w:sz w:val="18"/>
                      <w:szCs w:val="18"/>
                      <w:lang w:val="en-US" w:eastAsia="zh-CN" w:bidi="ar"/>
                    </w:rPr>
                  </w:pPr>
                  <w:r>
                    <w:rPr>
                      <w:rFonts w:hint="default" w:ascii="Times New Roman" w:hAnsi="Times New Roman" w:eastAsia="宋体" w:cs="Times New Roman"/>
                      <w:b/>
                      <w:bCs/>
                      <w:color w:val="auto"/>
                      <w:kern w:val="0"/>
                      <w:sz w:val="18"/>
                      <w:szCs w:val="18"/>
                      <w:lang w:val="en-US" w:eastAsia="zh-CN" w:bidi="ar"/>
                    </w:rPr>
                    <w:t>产品</w:t>
                  </w:r>
                </w:p>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kern w:val="0"/>
                      <w:sz w:val="18"/>
                      <w:szCs w:val="18"/>
                      <w:lang w:val="en-US" w:eastAsia="zh-CN" w:bidi="ar"/>
                    </w:rPr>
                    <w:t>规模</w:t>
                  </w:r>
                </w:p>
              </w:tc>
              <w:tc>
                <w:tcPr>
                  <w:tcW w:w="770"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kern w:val="0"/>
                      <w:sz w:val="18"/>
                      <w:szCs w:val="18"/>
                      <w:lang w:val="en-US" w:eastAsia="zh-CN" w:bidi="ar"/>
                    </w:rPr>
                  </w:pPr>
                  <w:r>
                    <w:rPr>
                      <w:rFonts w:hint="default" w:ascii="Times New Roman" w:hAnsi="Times New Roman" w:eastAsia="宋体" w:cs="Times New Roman"/>
                      <w:b/>
                      <w:bCs/>
                      <w:color w:val="auto"/>
                      <w:kern w:val="0"/>
                      <w:sz w:val="18"/>
                      <w:szCs w:val="18"/>
                      <w:lang w:val="en-US" w:eastAsia="zh-CN" w:bidi="ar"/>
                    </w:rPr>
                    <w:t>产污量</w:t>
                  </w:r>
                </w:p>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color w:val="auto"/>
                      <w:lang w:val="en-US" w:eastAsia="zh-CN"/>
                    </w:rPr>
                  </w:pPr>
                  <w:r>
                    <w:rPr>
                      <w:rFonts w:hint="eastAsia" w:ascii="Times New Roman" w:hAnsi="Times New Roman" w:eastAsia="宋体" w:cs="Times New Roman"/>
                      <w:b/>
                      <w:bCs/>
                      <w:color w:val="auto"/>
                      <w:kern w:val="0"/>
                      <w:sz w:val="18"/>
                      <w:szCs w:val="18"/>
                      <w:lang w:val="en-US" w:eastAsia="zh-CN" w:bidi="ar"/>
                    </w:rPr>
                    <w:t>（t/a）</w:t>
                  </w:r>
                </w:p>
              </w:tc>
              <w:tc>
                <w:tcPr>
                  <w:tcW w:w="1561"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545"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铸件</w:t>
                  </w:r>
                </w:p>
              </w:tc>
              <w:tc>
                <w:tcPr>
                  <w:tcW w:w="1468"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kern w:val="0"/>
                      <w:sz w:val="18"/>
                      <w:szCs w:val="18"/>
                      <w:lang w:val="en-US" w:eastAsia="zh-CN" w:bidi="ar"/>
                    </w:rPr>
                    <w:t>熔炼(感应电炉/电阻炉及其他)</w:t>
                  </w:r>
                </w:p>
              </w:tc>
              <w:tc>
                <w:tcPr>
                  <w:tcW w:w="652"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所有</w:t>
                  </w:r>
                </w:p>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kern w:val="0"/>
                      <w:sz w:val="18"/>
                      <w:szCs w:val="18"/>
                      <w:lang w:val="en-US" w:eastAsia="zh-CN" w:bidi="ar"/>
                    </w:rPr>
                    <w:t>规模</w:t>
                  </w:r>
                </w:p>
              </w:tc>
              <w:tc>
                <w:tcPr>
                  <w:tcW w:w="855"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颗粒物</w:t>
                  </w:r>
                </w:p>
              </w:tc>
              <w:tc>
                <w:tcPr>
                  <w:tcW w:w="953"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kern w:val="0"/>
                      <w:sz w:val="18"/>
                      <w:szCs w:val="18"/>
                      <w:lang w:val="en-US" w:eastAsia="zh-CN" w:bidi="ar"/>
                    </w:rPr>
                    <w:t>千克/吨-产品</w:t>
                  </w:r>
                </w:p>
              </w:tc>
              <w:tc>
                <w:tcPr>
                  <w:tcW w:w="769"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0.525</w:t>
                  </w:r>
                </w:p>
              </w:tc>
              <w:tc>
                <w:tcPr>
                  <w:tcW w:w="684"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eastAsia="宋体" w:cs="Times New Roman"/>
                      <w:color w:val="auto"/>
                      <w:sz w:val="18"/>
                      <w:szCs w:val="18"/>
                      <w:highlight w:val="none"/>
                      <w:vertAlign w:val="baseline"/>
                      <w:lang w:val="en-US" w:eastAsia="zh-CN"/>
                    </w:rPr>
                    <w:t>3</w:t>
                  </w:r>
                  <w:r>
                    <w:rPr>
                      <w:rFonts w:hint="default" w:ascii="Times New Roman" w:hAnsi="Times New Roman" w:eastAsia="宋体" w:cs="Times New Roman"/>
                      <w:color w:val="auto"/>
                      <w:sz w:val="18"/>
                      <w:szCs w:val="18"/>
                      <w:highlight w:val="none"/>
                      <w:vertAlign w:val="baseline"/>
                      <w:lang w:val="en-US" w:eastAsia="zh-CN"/>
                    </w:rPr>
                    <w:t>000</w:t>
                  </w:r>
                </w:p>
              </w:tc>
              <w:tc>
                <w:tcPr>
                  <w:tcW w:w="770"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eastAsia="宋体" w:cs="Times New Roman"/>
                      <w:color w:val="auto"/>
                      <w:sz w:val="18"/>
                      <w:szCs w:val="18"/>
                      <w:highlight w:val="none"/>
                      <w:vertAlign w:val="baseline"/>
                      <w:lang w:val="en-US" w:eastAsia="zh-CN"/>
                    </w:rPr>
                    <w:t>1.575</w:t>
                  </w:r>
                </w:p>
              </w:tc>
              <w:tc>
                <w:tcPr>
                  <w:tcW w:w="1561"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熔化工序，涉及的产品为</w:t>
                  </w:r>
                  <w:r>
                    <w:rPr>
                      <w:rFonts w:hint="eastAsia" w:ascii="Times New Roman" w:eastAsia="宋体" w:cs="Times New Roman"/>
                      <w:color w:val="auto"/>
                      <w:sz w:val="18"/>
                      <w:szCs w:val="18"/>
                      <w:vertAlign w:val="baseline"/>
                      <w:lang w:val="en-US" w:eastAsia="zh-CN"/>
                    </w:rPr>
                    <w:t>铜制品</w:t>
                  </w:r>
                  <w:r>
                    <w:rPr>
                      <w:rFonts w:hint="default" w:ascii="Times New Roman" w:hAnsi="Times New Roman" w:eastAsia="宋体" w:cs="Times New Roman"/>
                      <w:color w:val="auto"/>
                      <w:sz w:val="18"/>
                      <w:szCs w:val="18"/>
                      <w:vertAlign w:val="baseline"/>
                      <w:lang w:val="en-US" w:eastAsia="zh-CN"/>
                    </w:rPr>
                    <w:t>水龙头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545" w:type="dxa"/>
                  <w:vMerge w:val="restart"/>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铸件</w:t>
                  </w:r>
                </w:p>
              </w:tc>
              <w:tc>
                <w:tcPr>
                  <w:tcW w:w="1468" w:type="dxa"/>
                  <w:vMerge w:val="restart"/>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造型/浇注</w:t>
                  </w:r>
                </w:p>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kern w:val="0"/>
                      <w:sz w:val="18"/>
                      <w:szCs w:val="18"/>
                      <w:lang w:val="en-US" w:eastAsia="zh-CN" w:bidi="ar"/>
                    </w:rPr>
                    <w:t>(树脂砂)</w:t>
                  </w:r>
                </w:p>
              </w:tc>
              <w:tc>
                <w:tcPr>
                  <w:tcW w:w="652"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所有</w:t>
                  </w:r>
                </w:p>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kern w:val="0"/>
                      <w:sz w:val="18"/>
                      <w:szCs w:val="18"/>
                      <w:lang w:val="en-US" w:eastAsia="zh-CN" w:bidi="ar"/>
                    </w:rPr>
                    <w:t>规模</w:t>
                  </w:r>
                </w:p>
              </w:tc>
              <w:tc>
                <w:tcPr>
                  <w:tcW w:w="855"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颗粒物</w:t>
                  </w:r>
                </w:p>
              </w:tc>
              <w:tc>
                <w:tcPr>
                  <w:tcW w:w="953"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kern w:val="0"/>
                      <w:sz w:val="18"/>
                      <w:szCs w:val="18"/>
                      <w:lang w:val="en-US" w:eastAsia="zh-CN" w:bidi="ar"/>
                    </w:rPr>
                    <w:t>千克/吨-产品</w:t>
                  </w:r>
                </w:p>
              </w:tc>
              <w:tc>
                <w:tcPr>
                  <w:tcW w:w="769"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1.03</w:t>
                  </w:r>
                </w:p>
              </w:tc>
              <w:tc>
                <w:tcPr>
                  <w:tcW w:w="684"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3000</w:t>
                  </w:r>
                </w:p>
              </w:tc>
              <w:tc>
                <w:tcPr>
                  <w:tcW w:w="770"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3.09</w:t>
                  </w:r>
                </w:p>
              </w:tc>
              <w:tc>
                <w:tcPr>
                  <w:tcW w:w="1561" w:type="dxa"/>
                  <w:vMerge w:val="restart"/>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浇注工序，涉及的产品为重力铸造金属水龙头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545"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p>
              </w:tc>
              <w:tc>
                <w:tcPr>
                  <w:tcW w:w="1468" w:type="dxa"/>
                  <w:vMerge w:val="continue"/>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kern w:val="0"/>
                      <w:sz w:val="18"/>
                      <w:szCs w:val="18"/>
                      <w:lang w:val="en-US" w:eastAsia="zh-CN" w:bidi="ar"/>
                    </w:rPr>
                  </w:pPr>
                </w:p>
              </w:tc>
              <w:tc>
                <w:tcPr>
                  <w:tcW w:w="652"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所有</w:t>
                  </w:r>
                </w:p>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规模</w:t>
                  </w:r>
                </w:p>
              </w:tc>
              <w:tc>
                <w:tcPr>
                  <w:tcW w:w="855"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kern w:val="0"/>
                      <w:sz w:val="18"/>
                      <w:szCs w:val="18"/>
                      <w:lang w:val="en-US" w:eastAsia="zh-CN" w:bidi="ar"/>
                    </w:rPr>
                    <w:t>挥发性有机物</w:t>
                  </w:r>
                </w:p>
              </w:tc>
              <w:tc>
                <w:tcPr>
                  <w:tcW w:w="953"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val="en-US" w:eastAsia="zh-CN" w:bidi="ar"/>
                    </w:rPr>
                    <w:t>千克/吨</w:t>
                  </w:r>
                </w:p>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kern w:val="0"/>
                      <w:sz w:val="18"/>
                      <w:szCs w:val="18"/>
                      <w:lang w:val="en-US" w:eastAsia="zh-CN" w:bidi="ar"/>
                    </w:rPr>
                    <w:t>-产品</w:t>
                  </w:r>
                </w:p>
              </w:tc>
              <w:tc>
                <w:tcPr>
                  <w:tcW w:w="769"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0.495</w:t>
                  </w:r>
                </w:p>
              </w:tc>
              <w:tc>
                <w:tcPr>
                  <w:tcW w:w="684"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3000</w:t>
                  </w:r>
                </w:p>
              </w:tc>
              <w:tc>
                <w:tcPr>
                  <w:tcW w:w="770"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1.485</w:t>
                  </w:r>
                </w:p>
              </w:tc>
              <w:tc>
                <w:tcPr>
                  <w:tcW w:w="1561"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545" w:type="dxa"/>
                  <w:vMerge w:val="restart"/>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铸件</w:t>
                  </w:r>
                </w:p>
              </w:tc>
              <w:tc>
                <w:tcPr>
                  <w:tcW w:w="1468" w:type="dxa"/>
                  <w:vMerge w:val="restart"/>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eastAsia="宋体" w:cs="Times New Roman"/>
                      <w:color w:val="auto"/>
                      <w:kern w:val="0"/>
                      <w:sz w:val="18"/>
                      <w:szCs w:val="18"/>
                      <w:lang w:val="en-US" w:eastAsia="zh-CN" w:bidi="ar"/>
                    </w:rPr>
                    <w:t>搅砂、</w:t>
                  </w:r>
                  <w:r>
                    <w:rPr>
                      <w:rFonts w:hint="default" w:ascii="Times New Roman" w:hAnsi="Times New Roman" w:eastAsia="宋体" w:cs="Times New Roman"/>
                      <w:color w:val="auto"/>
                      <w:kern w:val="0"/>
                      <w:sz w:val="18"/>
                      <w:szCs w:val="18"/>
                      <w:lang w:val="en-US" w:eastAsia="zh-CN" w:bidi="ar"/>
                    </w:rPr>
                    <w:t>制芯</w:t>
                  </w:r>
                </w:p>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eastAsia="宋体" w:cs="Times New Roman"/>
                      <w:color w:val="auto"/>
                      <w:kern w:val="0"/>
                      <w:sz w:val="18"/>
                      <w:szCs w:val="18"/>
                      <w:lang w:val="en-US" w:eastAsia="zh-CN" w:bidi="ar"/>
                    </w:rPr>
                    <w:t>（热芯盒）</w:t>
                  </w:r>
                </w:p>
              </w:tc>
              <w:tc>
                <w:tcPr>
                  <w:tcW w:w="652" w:type="dxa"/>
                  <w:vMerge w:val="restart"/>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所有</w:t>
                  </w:r>
                </w:p>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kern w:val="0"/>
                      <w:sz w:val="18"/>
                      <w:szCs w:val="18"/>
                      <w:lang w:val="en-US" w:eastAsia="zh-CN" w:bidi="ar"/>
                    </w:rPr>
                    <w:t>规模</w:t>
                  </w:r>
                </w:p>
              </w:tc>
              <w:tc>
                <w:tcPr>
                  <w:tcW w:w="855"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颗粒物</w:t>
                  </w:r>
                </w:p>
              </w:tc>
              <w:tc>
                <w:tcPr>
                  <w:tcW w:w="953"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val="en-US" w:eastAsia="zh-CN" w:bidi="ar"/>
                    </w:rPr>
                    <w:t>千克/吨</w:t>
                  </w:r>
                </w:p>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kern w:val="0"/>
                      <w:sz w:val="18"/>
                      <w:szCs w:val="18"/>
                      <w:lang w:val="en-US" w:eastAsia="zh-CN" w:bidi="ar"/>
                    </w:rPr>
                    <w:t>-产品</w:t>
                  </w:r>
                </w:p>
              </w:tc>
              <w:tc>
                <w:tcPr>
                  <w:tcW w:w="769"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kern w:val="0"/>
                      <w:sz w:val="18"/>
                      <w:szCs w:val="18"/>
                      <w:highlight w:val="none"/>
                      <w:lang w:val="en-US" w:eastAsia="zh-CN" w:bidi="ar"/>
                    </w:rPr>
                    <w:t>0.330</w:t>
                  </w:r>
                </w:p>
              </w:tc>
              <w:tc>
                <w:tcPr>
                  <w:tcW w:w="684"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3000</w:t>
                  </w:r>
                </w:p>
              </w:tc>
              <w:tc>
                <w:tcPr>
                  <w:tcW w:w="770"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0.99</w:t>
                  </w:r>
                </w:p>
              </w:tc>
              <w:tc>
                <w:tcPr>
                  <w:tcW w:w="1561" w:type="dxa"/>
                  <w:vMerge w:val="restart"/>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制芯工序，涉及的产品为重力铸造金属水龙头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545"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p>
              </w:tc>
              <w:tc>
                <w:tcPr>
                  <w:tcW w:w="1468"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eastAsia" w:ascii="Times New Roman" w:eastAsia="宋体" w:cs="Times New Roman"/>
                      <w:color w:val="auto"/>
                      <w:kern w:val="0"/>
                      <w:sz w:val="18"/>
                      <w:szCs w:val="18"/>
                      <w:lang w:val="en-US" w:eastAsia="zh-CN" w:bidi="ar"/>
                    </w:rPr>
                  </w:pPr>
                </w:p>
              </w:tc>
              <w:tc>
                <w:tcPr>
                  <w:tcW w:w="652" w:type="dxa"/>
                  <w:vMerge w:val="continue"/>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kern w:val="0"/>
                      <w:sz w:val="18"/>
                      <w:szCs w:val="18"/>
                      <w:lang w:val="en-US" w:eastAsia="zh-CN" w:bidi="ar"/>
                    </w:rPr>
                  </w:pPr>
                </w:p>
              </w:tc>
              <w:tc>
                <w:tcPr>
                  <w:tcW w:w="855"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kern w:val="0"/>
                      <w:sz w:val="18"/>
                      <w:szCs w:val="18"/>
                      <w:lang w:val="en-US" w:eastAsia="zh-CN" w:bidi="ar"/>
                    </w:rPr>
                    <w:t>挥发性有机物</w:t>
                  </w:r>
                </w:p>
              </w:tc>
              <w:tc>
                <w:tcPr>
                  <w:tcW w:w="953"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val="en-US" w:eastAsia="zh-CN" w:bidi="ar"/>
                    </w:rPr>
                    <w:t>千克/吨</w:t>
                  </w:r>
                </w:p>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-产品</w:t>
                  </w:r>
                </w:p>
              </w:tc>
              <w:tc>
                <w:tcPr>
                  <w:tcW w:w="769"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cs="Times New Roman"/>
                      <w:color w:val="auto"/>
                      <w:kern w:val="0"/>
                      <w:sz w:val="18"/>
                      <w:szCs w:val="18"/>
                      <w:highlight w:val="none"/>
                      <w:lang w:val="en-US" w:eastAsia="zh-CN" w:bidi="ar"/>
                    </w:rPr>
                  </w:pPr>
                  <w:r>
                    <w:rPr>
                      <w:rFonts w:hint="eastAsia" w:ascii="Times New Roman" w:eastAsia="宋体" w:cs="Times New Roman"/>
                      <w:color w:val="auto"/>
                      <w:sz w:val="18"/>
                      <w:szCs w:val="18"/>
                      <w:highlight w:val="none"/>
                      <w:vertAlign w:val="baseline"/>
                      <w:lang w:val="en-US" w:eastAsia="zh-CN"/>
                    </w:rPr>
                    <w:t>0.05</w:t>
                  </w:r>
                </w:p>
              </w:tc>
              <w:tc>
                <w:tcPr>
                  <w:tcW w:w="684"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3000</w:t>
                  </w:r>
                </w:p>
              </w:tc>
              <w:tc>
                <w:tcPr>
                  <w:tcW w:w="770"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0.15</w:t>
                  </w:r>
                </w:p>
              </w:tc>
              <w:tc>
                <w:tcPr>
                  <w:tcW w:w="1561"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545"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铸件</w:t>
                  </w:r>
                </w:p>
              </w:tc>
              <w:tc>
                <w:tcPr>
                  <w:tcW w:w="1468"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kern w:val="0"/>
                      <w:sz w:val="18"/>
                      <w:szCs w:val="18"/>
                      <w:lang w:val="en-US" w:eastAsia="zh-CN" w:bidi="ar"/>
                    </w:rPr>
                    <w:t>落砂</w:t>
                  </w:r>
                  <w:r>
                    <w:rPr>
                      <w:rFonts w:hint="default" w:ascii="Times New Roman" w:hAnsi="Times New Roman" w:eastAsia="宋体" w:cs="Times New Roman"/>
                      <w:color w:val="auto"/>
                      <w:kern w:val="0"/>
                      <w:sz w:val="18"/>
                      <w:szCs w:val="18"/>
                      <w:lang w:val="en-US" w:eastAsia="zh-CN" w:bidi="ar"/>
                    </w:rPr>
                    <w:t>(树脂砂)</w:t>
                  </w:r>
                </w:p>
              </w:tc>
              <w:tc>
                <w:tcPr>
                  <w:tcW w:w="652"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所有</w:t>
                  </w:r>
                </w:p>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kern w:val="0"/>
                      <w:sz w:val="18"/>
                      <w:szCs w:val="18"/>
                      <w:lang w:val="en-US" w:eastAsia="zh-CN" w:bidi="ar"/>
                    </w:rPr>
                    <w:t>规模</w:t>
                  </w:r>
                </w:p>
              </w:tc>
              <w:tc>
                <w:tcPr>
                  <w:tcW w:w="855"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颗粒物</w:t>
                  </w:r>
                </w:p>
              </w:tc>
              <w:tc>
                <w:tcPr>
                  <w:tcW w:w="953"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val="en-US" w:eastAsia="zh-CN" w:bidi="ar"/>
                    </w:rPr>
                    <w:t>千克/吨</w:t>
                  </w:r>
                </w:p>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kern w:val="0"/>
                      <w:sz w:val="18"/>
                      <w:szCs w:val="18"/>
                      <w:lang w:val="en-US" w:eastAsia="zh-CN" w:bidi="ar"/>
                    </w:rPr>
                    <w:t>-产品</w:t>
                  </w:r>
                </w:p>
              </w:tc>
              <w:tc>
                <w:tcPr>
                  <w:tcW w:w="769"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16.0</w:t>
                  </w:r>
                </w:p>
              </w:tc>
              <w:tc>
                <w:tcPr>
                  <w:tcW w:w="684"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3000</w:t>
                  </w:r>
                </w:p>
              </w:tc>
              <w:tc>
                <w:tcPr>
                  <w:tcW w:w="770"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48</w:t>
                  </w:r>
                </w:p>
              </w:tc>
              <w:tc>
                <w:tcPr>
                  <w:tcW w:w="1561"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落砂工序，涉及的产品为重力铸造金属水龙头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545"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铸件</w:t>
                  </w:r>
                </w:p>
              </w:tc>
              <w:tc>
                <w:tcPr>
                  <w:tcW w:w="1468"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造型/浇注</w:t>
                  </w:r>
                </w:p>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kern w:val="0"/>
                      <w:sz w:val="18"/>
                      <w:szCs w:val="18"/>
                      <w:lang w:val="en-US" w:eastAsia="zh-CN" w:bidi="ar"/>
                    </w:rPr>
                    <w:t>(有色压铸)</w:t>
                  </w:r>
                </w:p>
              </w:tc>
              <w:tc>
                <w:tcPr>
                  <w:tcW w:w="652"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所有</w:t>
                  </w:r>
                </w:p>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kern w:val="0"/>
                      <w:sz w:val="18"/>
                      <w:szCs w:val="18"/>
                      <w:lang w:val="en-US" w:eastAsia="zh-CN" w:bidi="ar"/>
                    </w:rPr>
                    <w:t>规模</w:t>
                  </w:r>
                </w:p>
              </w:tc>
              <w:tc>
                <w:tcPr>
                  <w:tcW w:w="855"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颗粒物</w:t>
                  </w:r>
                </w:p>
              </w:tc>
              <w:tc>
                <w:tcPr>
                  <w:tcW w:w="953"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val="en-US" w:eastAsia="zh-CN" w:bidi="ar"/>
                    </w:rPr>
                    <w:t>千克/吨</w:t>
                  </w:r>
                </w:p>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kern w:val="0"/>
                      <w:sz w:val="18"/>
                      <w:szCs w:val="18"/>
                      <w:lang w:val="en-US" w:eastAsia="zh-CN" w:bidi="ar"/>
                    </w:rPr>
                    <w:t>-产品</w:t>
                  </w:r>
                </w:p>
              </w:tc>
              <w:tc>
                <w:tcPr>
                  <w:tcW w:w="769"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1.99</w:t>
                  </w:r>
                </w:p>
              </w:tc>
              <w:tc>
                <w:tcPr>
                  <w:tcW w:w="684"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eastAsia="宋体" w:cs="Times New Roman"/>
                      <w:color w:val="auto"/>
                      <w:sz w:val="18"/>
                      <w:szCs w:val="18"/>
                      <w:highlight w:val="none"/>
                      <w:vertAlign w:val="baseline"/>
                      <w:lang w:val="en-US" w:eastAsia="zh-CN"/>
                    </w:rPr>
                    <w:t>3</w:t>
                  </w:r>
                  <w:r>
                    <w:rPr>
                      <w:rFonts w:hint="default" w:ascii="Times New Roman" w:hAnsi="Times New Roman" w:eastAsia="宋体" w:cs="Times New Roman"/>
                      <w:color w:val="auto"/>
                      <w:sz w:val="18"/>
                      <w:szCs w:val="18"/>
                      <w:highlight w:val="none"/>
                      <w:vertAlign w:val="baseline"/>
                      <w:lang w:val="en-US" w:eastAsia="zh-CN"/>
                    </w:rPr>
                    <w:t>000</w:t>
                  </w:r>
                </w:p>
              </w:tc>
              <w:tc>
                <w:tcPr>
                  <w:tcW w:w="770"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5.97</w:t>
                  </w:r>
                </w:p>
              </w:tc>
              <w:tc>
                <w:tcPr>
                  <w:tcW w:w="1561"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压铸工序，涉及的产品为压力铸造金属水龙头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545"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锻造件</w:t>
                  </w:r>
                </w:p>
              </w:tc>
              <w:tc>
                <w:tcPr>
                  <w:tcW w:w="1468"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锻造</w:t>
                  </w:r>
                </w:p>
              </w:tc>
              <w:tc>
                <w:tcPr>
                  <w:tcW w:w="652"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所有</w:t>
                  </w:r>
                </w:p>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规模</w:t>
                  </w:r>
                </w:p>
              </w:tc>
              <w:tc>
                <w:tcPr>
                  <w:tcW w:w="855"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颗粒物</w:t>
                  </w:r>
                </w:p>
              </w:tc>
              <w:tc>
                <w:tcPr>
                  <w:tcW w:w="953"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val="en-US" w:eastAsia="zh-CN" w:bidi="ar"/>
                    </w:rPr>
                    <w:t>千克/吨</w:t>
                  </w:r>
                </w:p>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kern w:val="0"/>
                      <w:sz w:val="18"/>
                      <w:szCs w:val="18"/>
                      <w:lang w:val="en-US" w:eastAsia="zh-CN" w:bidi="ar"/>
                    </w:rPr>
                    <w:t>-产品</w:t>
                  </w:r>
                </w:p>
              </w:tc>
              <w:tc>
                <w:tcPr>
                  <w:tcW w:w="769"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4.15</w:t>
                  </w:r>
                </w:p>
              </w:tc>
              <w:tc>
                <w:tcPr>
                  <w:tcW w:w="684"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eastAsia="宋体" w:cs="Times New Roman"/>
                      <w:color w:val="auto"/>
                      <w:sz w:val="18"/>
                      <w:szCs w:val="18"/>
                      <w:vertAlign w:val="baseline"/>
                      <w:lang w:val="en-US" w:eastAsia="zh-CN"/>
                    </w:rPr>
                    <w:t>1</w:t>
                  </w:r>
                  <w:r>
                    <w:rPr>
                      <w:rFonts w:hint="default" w:ascii="Times New Roman" w:hAnsi="Times New Roman" w:eastAsia="宋体" w:cs="Times New Roman"/>
                      <w:color w:val="auto"/>
                      <w:sz w:val="18"/>
                      <w:szCs w:val="18"/>
                      <w:vertAlign w:val="baseline"/>
                      <w:lang w:val="en-US" w:eastAsia="zh-CN"/>
                    </w:rPr>
                    <w:t>000</w:t>
                  </w:r>
                </w:p>
              </w:tc>
              <w:tc>
                <w:tcPr>
                  <w:tcW w:w="770"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eastAsia="宋体" w:cs="Times New Roman"/>
                      <w:color w:val="auto"/>
                      <w:sz w:val="18"/>
                      <w:szCs w:val="18"/>
                      <w:vertAlign w:val="baseline"/>
                      <w:lang w:val="en-US" w:eastAsia="zh-CN"/>
                    </w:rPr>
                    <w:t>4.15</w:t>
                  </w:r>
                </w:p>
              </w:tc>
              <w:tc>
                <w:tcPr>
                  <w:tcW w:w="1561"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锻造工序，涉及的产品为需锻造的</w:t>
                  </w:r>
                  <w:r>
                    <w:rPr>
                      <w:rFonts w:hint="default" w:ascii="Times New Roman" w:hAnsi="Times New Roman" w:eastAsia="宋体" w:cs="Times New Roman"/>
                      <w:color w:val="auto"/>
                      <w:kern w:val="0"/>
                      <w:sz w:val="18"/>
                      <w:szCs w:val="18"/>
                      <w:lang w:val="en-US" w:eastAsia="zh-CN" w:bidi="ar"/>
                    </w:rPr>
                    <w:t>角阀、地漏、挂件、淋浴柱、卫浴挂件、水槽产品</w:t>
                  </w:r>
                </w:p>
              </w:tc>
            </w:tr>
          </w:tbl>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由上表可知：</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①熔化废气</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sz w:val="24"/>
                <w:szCs w:val="24"/>
                <w:vertAlign w:val="baseline"/>
                <w:lang w:val="en-US" w:eastAsia="zh-CN"/>
              </w:rPr>
              <w:t>项目</w:t>
            </w:r>
            <w:r>
              <w:rPr>
                <w:rFonts w:hint="default" w:ascii="Times New Roman" w:hAnsi="Times New Roman" w:eastAsia="宋体" w:cs="Times New Roman"/>
                <w:color w:val="auto"/>
                <w:sz w:val="24"/>
                <w:szCs w:val="24"/>
                <w:vertAlign w:val="baseline"/>
                <w:lang w:val="en-US" w:eastAsia="zh-CN"/>
              </w:rPr>
              <w:t>熔化工序</w:t>
            </w:r>
            <w:r>
              <w:rPr>
                <w:rFonts w:hint="default" w:ascii="Times New Roman" w:hAnsi="Times New Roman" w:eastAsia="宋体" w:cs="Times New Roman"/>
                <w:color w:val="auto"/>
                <w:kern w:val="0"/>
                <w:sz w:val="24"/>
                <w:szCs w:val="24"/>
                <w:lang w:val="en-US" w:eastAsia="zh-CN" w:bidi="ar"/>
              </w:rPr>
              <w:t>颗粒物</w:t>
            </w:r>
            <w:r>
              <w:rPr>
                <w:rFonts w:hint="default" w:ascii="Times New Roman" w:hAnsi="Times New Roman" w:eastAsia="宋体" w:cs="Times New Roman"/>
                <w:color w:val="auto"/>
                <w:sz w:val="24"/>
                <w:szCs w:val="24"/>
                <w:vertAlign w:val="baseline"/>
                <w:lang w:val="en-US" w:eastAsia="zh-CN"/>
              </w:rPr>
              <w:t>产生的颗粒物产生量为</w:t>
            </w:r>
            <w:r>
              <w:rPr>
                <w:rFonts w:hint="eastAsia" w:cs="Times New Roman"/>
                <w:color w:val="auto"/>
                <w:sz w:val="24"/>
                <w:szCs w:val="24"/>
                <w:vertAlign w:val="baseline"/>
                <w:lang w:val="en-US" w:eastAsia="zh-CN"/>
              </w:rPr>
              <w:t>1.575</w:t>
            </w:r>
            <w:r>
              <w:rPr>
                <w:rFonts w:hint="default" w:ascii="Times New Roman" w:hAnsi="Times New Roman" w:eastAsia="宋体" w:cs="Times New Roman"/>
                <w:color w:val="auto"/>
                <w:kern w:val="0"/>
                <w:sz w:val="24"/>
                <w:szCs w:val="24"/>
                <w:lang w:val="en-US" w:eastAsia="zh-CN" w:bidi="ar"/>
              </w:rPr>
              <w:t>t/a（0.525kg/h），建设单位拟在熔化区各台电炉上方设置吸风集气罩，收集的废气经1套布袋除尘废气处理设施处理，尾气通过1根不低于15m高的排气筒（DA001）</w:t>
            </w:r>
            <w:r>
              <w:rPr>
                <w:rFonts w:hint="eastAsia" w:cs="Times New Roman"/>
                <w:color w:val="auto"/>
                <w:kern w:val="0"/>
                <w:sz w:val="24"/>
                <w:szCs w:val="24"/>
                <w:lang w:val="en-US" w:eastAsia="zh-CN" w:bidi="ar"/>
              </w:rPr>
              <w:t>高空</w:t>
            </w:r>
            <w:r>
              <w:rPr>
                <w:rFonts w:hint="default" w:ascii="Times New Roman" w:hAnsi="Times New Roman" w:eastAsia="宋体" w:cs="Times New Roman"/>
                <w:color w:val="auto"/>
                <w:kern w:val="0"/>
                <w:sz w:val="24"/>
                <w:szCs w:val="24"/>
                <w:lang w:val="en-US" w:eastAsia="zh-CN" w:bidi="ar"/>
              </w:rPr>
              <w:t>排放；废气设施设计风机风量为10000m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/h，收集效率按90%计，袋式除尘对颗粒物的去除效率可达95%。</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②浇注</w:t>
            </w:r>
            <w:r>
              <w:rPr>
                <w:rFonts w:hint="eastAsia" w:cs="Times New Roman"/>
                <w:color w:val="auto"/>
                <w:sz w:val="24"/>
                <w:szCs w:val="24"/>
                <w:vertAlign w:val="baseline"/>
                <w:lang w:val="en-US" w:eastAsia="zh-CN"/>
              </w:rPr>
              <w:t>废气</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sz w:val="24"/>
                <w:szCs w:val="24"/>
                <w:vertAlign w:val="baseline"/>
                <w:lang w:val="en-US" w:eastAsia="zh-CN"/>
              </w:rPr>
              <w:t>项目</w:t>
            </w:r>
            <w:r>
              <w:rPr>
                <w:rFonts w:hint="default" w:ascii="Times New Roman" w:hAnsi="Times New Roman" w:eastAsia="宋体" w:cs="Times New Roman"/>
                <w:color w:val="auto"/>
                <w:sz w:val="24"/>
                <w:szCs w:val="24"/>
                <w:vertAlign w:val="baseline"/>
                <w:lang w:val="en-US" w:eastAsia="zh-CN"/>
              </w:rPr>
              <w:t>浇注工序</w:t>
            </w:r>
            <w:r>
              <w:rPr>
                <w:rFonts w:hint="default" w:ascii="Times New Roman" w:hAnsi="Times New Roman" w:eastAsia="宋体" w:cs="Times New Roman"/>
                <w:color w:val="auto"/>
                <w:kern w:val="0"/>
                <w:sz w:val="24"/>
                <w:szCs w:val="24"/>
                <w:lang w:val="en-US" w:eastAsia="zh-CN" w:bidi="ar"/>
              </w:rPr>
              <w:t>颗粒物</w:t>
            </w:r>
            <w:r>
              <w:rPr>
                <w:rFonts w:hint="default" w:ascii="Times New Roman" w:hAnsi="Times New Roman" w:eastAsia="宋体" w:cs="Times New Roman"/>
                <w:color w:val="auto"/>
                <w:sz w:val="24"/>
                <w:szCs w:val="24"/>
                <w:vertAlign w:val="baseline"/>
                <w:lang w:val="en-US" w:eastAsia="zh-CN"/>
              </w:rPr>
              <w:t>产生的颗粒物产生量为3.09</w:t>
            </w:r>
            <w:r>
              <w:rPr>
                <w:rFonts w:hint="default" w:ascii="Times New Roman" w:hAnsi="Times New Roman" w:eastAsia="宋体" w:cs="Times New Roman"/>
                <w:color w:val="auto"/>
                <w:kern w:val="0"/>
                <w:sz w:val="24"/>
                <w:szCs w:val="24"/>
                <w:lang w:val="en-US" w:eastAsia="zh-CN" w:bidi="ar"/>
              </w:rPr>
              <w:t>t/a（1.03kg/h），非甲烷总烃产生量为1.485t/a（0.495kg/h），建设单位</w:t>
            </w:r>
            <w:r>
              <w:rPr>
                <w:rFonts w:hint="eastAsia" w:ascii="Times New Roman" w:hAnsi="Times New Roman" w:eastAsia="宋体" w:cs="Times New Roman"/>
                <w:color w:val="auto"/>
                <w:kern w:val="0"/>
                <w:sz w:val="24"/>
                <w:szCs w:val="24"/>
                <w:lang w:val="en-US" w:eastAsia="zh-CN" w:bidi="ar"/>
              </w:rPr>
              <w:t>拟</w:t>
            </w:r>
            <w:r>
              <w:rPr>
                <w:rFonts w:hint="default" w:ascii="Times New Roman" w:hAnsi="Times New Roman" w:eastAsia="宋体" w:cs="Times New Roman"/>
                <w:color w:val="auto"/>
                <w:kern w:val="0"/>
                <w:sz w:val="24"/>
                <w:szCs w:val="24"/>
                <w:lang w:val="en-US" w:eastAsia="zh-CN" w:bidi="ar"/>
              </w:rPr>
              <w:t>在浇注区</w:t>
            </w:r>
            <w:r>
              <w:rPr>
                <w:rFonts w:hint="eastAsia" w:ascii="Times New Roman" w:hAnsi="Times New Roman" w:eastAsia="宋体" w:cs="Times New Roman"/>
                <w:color w:val="auto"/>
                <w:kern w:val="0"/>
                <w:sz w:val="24"/>
                <w:szCs w:val="24"/>
                <w:lang w:val="en-US" w:eastAsia="zh-CN" w:bidi="ar"/>
              </w:rPr>
              <w:t>各重力浇注机</w:t>
            </w:r>
            <w:r>
              <w:rPr>
                <w:rFonts w:hint="default" w:ascii="Times New Roman" w:hAnsi="Times New Roman" w:eastAsia="宋体" w:cs="Times New Roman"/>
                <w:color w:val="auto"/>
                <w:kern w:val="0"/>
                <w:sz w:val="24"/>
                <w:szCs w:val="24"/>
                <w:lang w:val="en-US" w:eastAsia="zh-CN" w:bidi="ar"/>
              </w:rPr>
              <w:t>上方设置吸风集气罩，收集的废气经1套“布袋除尘器+</w:t>
            </w:r>
            <w:r>
              <w:rPr>
                <w:rFonts w:hint="eastAsia" w:cs="Times New Roman"/>
                <w:bCs/>
                <w:color w:val="auto"/>
                <w:kern w:val="2"/>
                <w:sz w:val="21"/>
                <w:szCs w:val="21"/>
                <w:highlight w:val="none"/>
                <w:lang w:val="en-US" w:eastAsia="zh-CN" w:bidi="ar-SA"/>
              </w:rPr>
              <w:t>二</w:t>
            </w:r>
            <w:r>
              <w:rPr>
                <w:rFonts w:hint="eastAsia" w:ascii="Times New Roman" w:hAnsi="Times New Roman" w:eastAsia="宋体" w:cs="Times New Roman"/>
                <w:color w:val="auto"/>
                <w:kern w:val="0"/>
                <w:sz w:val="24"/>
                <w:szCs w:val="24"/>
                <w:lang w:val="en-US" w:eastAsia="zh-CN" w:bidi="ar"/>
              </w:rPr>
              <w:t>级</w:t>
            </w:r>
            <w:r>
              <w:rPr>
                <w:rFonts w:hint="default" w:ascii="Times New Roman" w:hAnsi="Times New Roman" w:eastAsia="宋体" w:cs="Times New Roman"/>
                <w:color w:val="auto"/>
                <w:kern w:val="0"/>
                <w:sz w:val="24"/>
                <w:szCs w:val="24"/>
                <w:lang w:val="en-US" w:eastAsia="zh-CN" w:bidi="ar"/>
              </w:rPr>
              <w:t>活性炭吸附装</w:t>
            </w:r>
            <w:r>
              <w:rPr>
                <w:rFonts w:hint="eastAsia" w:ascii="Times New Roman" w:hAnsi="Times New Roman" w:eastAsia="宋体" w:cs="Times New Roman"/>
                <w:color w:val="auto"/>
                <w:kern w:val="0"/>
                <w:sz w:val="24"/>
                <w:szCs w:val="24"/>
                <w:lang w:val="en-US" w:eastAsia="zh-CN" w:bidi="ar"/>
              </w:rPr>
              <w:t>置</w:t>
            </w:r>
            <w:r>
              <w:rPr>
                <w:rFonts w:hint="default" w:ascii="Times New Roman" w:hAnsi="Times New Roman" w:eastAsia="宋体" w:cs="Times New Roman"/>
                <w:color w:val="auto"/>
                <w:kern w:val="0"/>
                <w:sz w:val="24"/>
                <w:szCs w:val="24"/>
                <w:lang w:val="en-US" w:eastAsia="zh-CN" w:bidi="ar"/>
              </w:rPr>
              <w:t>处理后</w:t>
            </w:r>
            <w:r>
              <w:rPr>
                <w:rFonts w:hint="eastAsia" w:cs="Times New Roman"/>
                <w:color w:val="auto"/>
                <w:kern w:val="0"/>
                <w:sz w:val="24"/>
                <w:szCs w:val="24"/>
                <w:lang w:val="en-US" w:eastAsia="zh-CN" w:bidi="ar"/>
              </w:rPr>
              <w:t>汇入排气筒</w:t>
            </w:r>
            <w:r>
              <w:rPr>
                <w:rFonts w:hint="default" w:ascii="Times New Roman" w:hAnsi="Times New Roman" w:eastAsia="宋体" w:cs="Times New Roman"/>
                <w:color w:val="auto"/>
                <w:kern w:val="0"/>
                <w:sz w:val="24"/>
                <w:szCs w:val="24"/>
                <w:lang w:val="en-US" w:eastAsia="zh-CN" w:bidi="ar"/>
              </w:rPr>
              <w:t>DA00</w:t>
            </w:r>
            <w:r>
              <w:rPr>
                <w:rFonts w:hint="eastAsia" w:cs="Times New Roman"/>
                <w:color w:val="auto"/>
                <w:kern w:val="0"/>
                <w:sz w:val="24"/>
                <w:szCs w:val="24"/>
                <w:lang w:val="en-US" w:eastAsia="zh-CN" w:bidi="ar"/>
              </w:rPr>
              <w:t>1高空</w:t>
            </w:r>
            <w:r>
              <w:rPr>
                <w:rFonts w:hint="default" w:ascii="Times New Roman" w:hAnsi="Times New Roman" w:eastAsia="宋体" w:cs="Times New Roman"/>
                <w:color w:val="auto"/>
                <w:kern w:val="0"/>
                <w:sz w:val="24"/>
                <w:szCs w:val="24"/>
                <w:lang w:val="en-US" w:eastAsia="zh-CN" w:bidi="ar"/>
              </w:rPr>
              <w:t>排放；废气设施设计风机风量为10000m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/h，收集效率按90%计，袋式除尘对颗粒物的去除效率可达95%，</w:t>
            </w:r>
            <w:r>
              <w:rPr>
                <w:rFonts w:hint="eastAsia" w:ascii="Times New Roman" w:hAnsi="Times New Roman" w:eastAsia="宋体" w:cs="Times New Roman"/>
                <w:color w:val="auto"/>
                <w:sz w:val="24"/>
                <w:szCs w:val="22"/>
                <w:lang w:val="en-US" w:eastAsia="zh-CN"/>
              </w:rPr>
              <w:t>参考《2021年主要污染物总量减排核算技术指南》资料，“单式活性炭吸附装置”对有机废气去除效率不低于30~40%，项目拟采用“二级活性炭吸附装置”，吸附净化效率按保守取值50%是可靠的</w:t>
            </w:r>
            <w:r>
              <w:rPr>
                <w:rFonts w:hint="default" w:ascii="Times New Roman" w:hAnsi="Times New Roman" w:eastAsia="宋体" w:cs="Times New Roman"/>
                <w:color w:val="auto"/>
                <w:kern w:val="0"/>
                <w:sz w:val="24"/>
                <w:szCs w:val="24"/>
                <w:lang w:val="en-US" w:eastAsia="zh-CN" w:bidi="ar"/>
              </w:rPr>
              <w:t>，本项目</w:t>
            </w:r>
            <w:r>
              <w:rPr>
                <w:rFonts w:hint="eastAsia" w:cs="Times New Roman"/>
                <w:bCs/>
                <w:color w:val="auto"/>
                <w:kern w:val="2"/>
                <w:sz w:val="21"/>
                <w:szCs w:val="21"/>
                <w:highlight w:val="none"/>
                <w:lang w:val="en-US" w:eastAsia="zh-CN" w:bidi="ar-SA"/>
              </w:rPr>
              <w:t>二</w:t>
            </w:r>
            <w:r>
              <w:rPr>
                <w:rFonts w:hint="eastAsia" w:ascii="Times New Roman" w:hAnsi="Times New Roman" w:eastAsia="宋体" w:cs="Times New Roman"/>
                <w:color w:val="auto"/>
                <w:kern w:val="0"/>
                <w:sz w:val="24"/>
                <w:szCs w:val="24"/>
                <w:lang w:val="en-US" w:eastAsia="zh-CN" w:bidi="ar"/>
              </w:rPr>
              <w:t>级</w:t>
            </w:r>
            <w:r>
              <w:rPr>
                <w:rFonts w:hint="default" w:ascii="Times New Roman" w:hAnsi="Times New Roman" w:eastAsia="宋体" w:cs="Times New Roman"/>
                <w:color w:val="auto"/>
                <w:kern w:val="0"/>
                <w:sz w:val="24"/>
                <w:szCs w:val="24"/>
                <w:lang w:val="en-US" w:eastAsia="zh-CN" w:bidi="ar"/>
              </w:rPr>
              <w:t>活性炭吸附装</w:t>
            </w:r>
            <w:r>
              <w:rPr>
                <w:rFonts w:hint="eastAsia" w:ascii="Times New Roman" w:hAnsi="Times New Roman" w:eastAsia="宋体" w:cs="Times New Roman"/>
                <w:color w:val="auto"/>
                <w:kern w:val="0"/>
                <w:sz w:val="24"/>
                <w:szCs w:val="24"/>
                <w:lang w:val="en-US" w:eastAsia="zh-CN" w:bidi="ar"/>
              </w:rPr>
              <w:t>置</w:t>
            </w:r>
            <w:r>
              <w:rPr>
                <w:rFonts w:hint="default" w:ascii="Times New Roman" w:hAnsi="Times New Roman" w:eastAsia="宋体" w:cs="Times New Roman"/>
                <w:color w:val="auto"/>
                <w:kern w:val="0"/>
                <w:sz w:val="24"/>
                <w:szCs w:val="24"/>
                <w:lang w:val="en-US" w:eastAsia="zh-CN" w:bidi="ar"/>
              </w:rPr>
              <w:t>对有机废气的去除效率按50%计。</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③搅砂及制芯</w:t>
            </w:r>
            <w:r>
              <w:rPr>
                <w:rFonts w:hint="eastAsia" w:ascii="Times New Roman" w:hAnsi="Times New Roman" w:eastAsia="宋体" w:cs="Times New Roman"/>
                <w:color w:val="auto"/>
                <w:kern w:val="0"/>
                <w:sz w:val="24"/>
                <w:szCs w:val="24"/>
                <w:lang w:val="en-US" w:eastAsia="zh-CN" w:bidi="ar"/>
              </w:rPr>
              <w:t>废气</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项目搅砂及制芯区配置2台混砂机及25台自动热切芯盒射芯机，搅砂及制芯区产生的颗粒物为0.99t/a（0.33kg/h），非甲烷总烃总产生量为0.15t/a（0.05kg/h），搅砂及制芯区产生的废气由集气装置收集后经</w:t>
            </w:r>
            <w:r>
              <w:rPr>
                <w:rFonts w:hint="eastAsia" w:ascii="Times New Roman" w:hAnsi="Times New Roman" w:eastAsia="宋体" w:cs="Times New Roman"/>
                <w:color w:val="auto"/>
                <w:kern w:val="0"/>
                <w:sz w:val="24"/>
                <w:szCs w:val="24"/>
                <w:lang w:val="en-US" w:eastAsia="zh-CN" w:bidi="ar"/>
              </w:rPr>
              <w:t>1</w:t>
            </w:r>
            <w:r>
              <w:rPr>
                <w:rFonts w:hint="default" w:ascii="Times New Roman" w:hAnsi="Times New Roman" w:eastAsia="宋体" w:cs="Times New Roman"/>
                <w:color w:val="auto"/>
                <w:kern w:val="0"/>
                <w:sz w:val="24"/>
                <w:szCs w:val="24"/>
                <w:lang w:val="en-US" w:eastAsia="zh-CN" w:bidi="ar"/>
              </w:rPr>
              <w:t>套“喷淋塔+</w:t>
            </w:r>
            <w:r>
              <w:rPr>
                <w:rFonts w:hint="eastAsia" w:ascii="Times New Roman" w:hAnsi="Times New Roman" w:eastAsia="宋体" w:cs="Times New Roman"/>
                <w:color w:val="auto"/>
                <w:sz w:val="24"/>
                <w:szCs w:val="22"/>
                <w:lang w:val="en-US" w:eastAsia="zh-CN"/>
              </w:rPr>
              <w:t>二级活性炭吸附装置</w:t>
            </w:r>
            <w:r>
              <w:rPr>
                <w:rFonts w:hint="default" w:ascii="Times New Roman" w:hAnsi="Times New Roman" w:eastAsia="宋体" w:cs="Times New Roman"/>
                <w:color w:val="auto"/>
                <w:kern w:val="0"/>
                <w:sz w:val="24"/>
                <w:szCs w:val="24"/>
                <w:lang w:val="en-US" w:eastAsia="zh-CN" w:bidi="ar"/>
              </w:rPr>
              <w:t>”处理后通过1根不低于15m高的排气筒（DA00</w:t>
            </w:r>
            <w:r>
              <w:rPr>
                <w:rFonts w:hint="eastAsia" w:cs="Times New Roman"/>
                <w:color w:val="auto"/>
                <w:kern w:val="0"/>
                <w:sz w:val="24"/>
                <w:szCs w:val="24"/>
                <w:lang w:val="en-US" w:eastAsia="zh-CN" w:bidi="ar"/>
              </w:rPr>
              <w:t>2</w:t>
            </w: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高空</w:t>
            </w:r>
            <w:r>
              <w:rPr>
                <w:rFonts w:hint="default" w:ascii="Times New Roman" w:hAnsi="Times New Roman" w:eastAsia="宋体" w:cs="Times New Roman"/>
                <w:color w:val="auto"/>
                <w:kern w:val="0"/>
                <w:sz w:val="24"/>
                <w:szCs w:val="24"/>
                <w:lang w:val="en-US" w:eastAsia="zh-CN" w:bidi="ar"/>
              </w:rPr>
              <w:t>排放</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废气设施设计风机风量为10000m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/h，废气收集效率为90%，水喷淋对颗粒物的去除效率可达85%</w:t>
            </w:r>
            <w:r>
              <w:rPr>
                <w:rFonts w:hint="eastAsia" w:ascii="Times New Roman" w:hAnsi="Times New Roman" w:eastAsia="宋体" w:cs="Times New Roman"/>
                <w:color w:val="auto"/>
                <w:kern w:val="0"/>
                <w:sz w:val="24"/>
                <w:szCs w:val="24"/>
                <w:lang w:val="en-US" w:eastAsia="zh-CN" w:bidi="ar"/>
              </w:rPr>
              <w:t>，</w:t>
            </w:r>
            <w:r>
              <w:rPr>
                <w:rFonts w:hint="eastAsia" w:cs="Times New Roman"/>
                <w:bCs/>
                <w:color w:val="auto"/>
                <w:kern w:val="2"/>
                <w:sz w:val="21"/>
                <w:szCs w:val="21"/>
                <w:highlight w:val="none"/>
                <w:lang w:val="en-US" w:eastAsia="zh-CN" w:bidi="ar-SA"/>
              </w:rPr>
              <w:t>二</w:t>
            </w:r>
            <w:r>
              <w:rPr>
                <w:rFonts w:hint="eastAsia" w:ascii="Times New Roman" w:hAnsi="Times New Roman" w:eastAsia="宋体" w:cs="Times New Roman"/>
                <w:color w:val="auto"/>
                <w:kern w:val="0"/>
                <w:sz w:val="24"/>
                <w:szCs w:val="24"/>
                <w:lang w:val="en-US" w:eastAsia="zh-CN" w:bidi="ar"/>
              </w:rPr>
              <w:t>级</w:t>
            </w:r>
            <w:r>
              <w:rPr>
                <w:rFonts w:hint="default" w:ascii="Times New Roman" w:hAnsi="Times New Roman" w:eastAsia="宋体" w:cs="Times New Roman"/>
                <w:color w:val="auto"/>
                <w:kern w:val="0"/>
                <w:sz w:val="24"/>
                <w:szCs w:val="24"/>
                <w:lang w:val="en-US" w:eastAsia="zh-CN" w:bidi="ar"/>
              </w:rPr>
              <w:t>活性炭吸附装</w:t>
            </w:r>
            <w:r>
              <w:rPr>
                <w:rFonts w:hint="eastAsia" w:ascii="Times New Roman" w:hAnsi="Times New Roman" w:eastAsia="宋体" w:cs="Times New Roman"/>
                <w:color w:val="auto"/>
                <w:kern w:val="0"/>
                <w:sz w:val="24"/>
                <w:szCs w:val="24"/>
                <w:lang w:val="en-US" w:eastAsia="zh-CN" w:bidi="ar"/>
              </w:rPr>
              <w:t>置</w:t>
            </w:r>
            <w:r>
              <w:rPr>
                <w:rFonts w:hint="default" w:ascii="Times New Roman" w:hAnsi="Times New Roman" w:eastAsia="宋体" w:cs="Times New Roman"/>
                <w:color w:val="auto"/>
                <w:kern w:val="0"/>
                <w:sz w:val="24"/>
                <w:szCs w:val="24"/>
                <w:lang w:val="en-US" w:eastAsia="zh-CN" w:bidi="ar"/>
              </w:rPr>
              <w:t>对有机废气的去除效率按50%计。</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4 \* GB3 \* MERGEFORMAT </w:instrText>
            </w:r>
            <w:r>
              <w:rPr>
                <w:rFonts w:hint="default" w:ascii="Times New Roman" w:hAnsi="Times New Roman" w:eastAsia="宋体" w:cs="Times New Roman"/>
                <w:color w:val="auto"/>
                <w:sz w:val="24"/>
                <w:szCs w:val="24"/>
              </w:rPr>
              <w:fldChar w:fldCharType="separate"/>
            </w:r>
            <w:r>
              <w:rPr>
                <w:color w:val="auto"/>
                <w:sz w:val="24"/>
                <w:szCs w:val="24"/>
              </w:rPr>
              <w:t>④</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kern w:val="0"/>
                <w:sz w:val="24"/>
                <w:szCs w:val="24"/>
                <w:lang w:val="en-US" w:eastAsia="zh-CN" w:bidi="ar"/>
              </w:rPr>
              <w:t>落砂</w:t>
            </w:r>
            <w:r>
              <w:rPr>
                <w:rFonts w:hint="eastAsia" w:cs="Times New Roman"/>
                <w:color w:val="auto"/>
                <w:kern w:val="0"/>
                <w:sz w:val="24"/>
                <w:szCs w:val="24"/>
                <w:lang w:val="en-US" w:eastAsia="zh-CN" w:bidi="ar"/>
              </w:rPr>
              <w:t>废气</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kern w:val="0"/>
                <w:sz w:val="24"/>
                <w:szCs w:val="24"/>
                <w:lang w:val="en-US" w:eastAsia="zh-CN" w:bidi="ar"/>
              </w:rPr>
              <w:t>项目</w:t>
            </w:r>
            <w:r>
              <w:rPr>
                <w:rFonts w:hint="eastAsia" w:ascii="Times New Roman" w:hAnsi="Times New Roman" w:eastAsia="宋体" w:cs="Times New Roman"/>
                <w:color w:val="auto"/>
                <w:kern w:val="0"/>
                <w:sz w:val="24"/>
                <w:szCs w:val="24"/>
                <w:lang w:val="en-US" w:eastAsia="zh-CN" w:bidi="ar"/>
              </w:rPr>
              <w:t>落砂废气产生的颗粒物为48t/a（16</w:t>
            </w:r>
            <w:r>
              <w:rPr>
                <w:rFonts w:hint="default" w:ascii="Times New Roman" w:hAnsi="Times New Roman" w:eastAsia="宋体" w:cs="Times New Roman"/>
                <w:color w:val="auto"/>
                <w:kern w:val="0"/>
                <w:sz w:val="24"/>
                <w:szCs w:val="24"/>
                <w:lang w:val="en-US" w:eastAsia="zh-CN" w:bidi="ar"/>
              </w:rPr>
              <w:t>kg/h</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重力铸造采用金属型铸造，铸件落砂主要是砂芯和铸件分离，落砂粉尘经1套布袋除尘废气处理设施处理后通过1根不低于15m高的排气筒（DA00</w:t>
            </w:r>
            <w:r>
              <w:rPr>
                <w:rFonts w:hint="eastAsia" w:cs="Times New Roman"/>
                <w:color w:val="auto"/>
                <w:kern w:val="0"/>
                <w:sz w:val="24"/>
                <w:szCs w:val="24"/>
                <w:lang w:val="en-US" w:eastAsia="zh-CN" w:bidi="ar"/>
              </w:rPr>
              <w:t>3</w:t>
            </w:r>
            <w:r>
              <w:rPr>
                <w:rFonts w:hint="default" w:ascii="Times New Roman" w:hAnsi="Times New Roman" w:eastAsia="宋体" w:cs="Times New Roman"/>
                <w:color w:val="auto"/>
                <w:kern w:val="0"/>
                <w:sz w:val="24"/>
                <w:szCs w:val="24"/>
                <w:lang w:val="en-US" w:eastAsia="zh-CN" w:bidi="ar"/>
              </w:rPr>
              <w:t>）排放</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收集效率按90%计，废气设施设计风机风量为</w:t>
            </w:r>
            <w:r>
              <w:rPr>
                <w:rFonts w:hint="eastAsia" w:cs="Times New Roman"/>
                <w:color w:val="auto"/>
                <w:kern w:val="0"/>
                <w:sz w:val="24"/>
                <w:szCs w:val="24"/>
                <w:lang w:val="en-US" w:eastAsia="zh-CN" w:bidi="ar"/>
              </w:rPr>
              <w:t>25</w:t>
            </w:r>
            <w:r>
              <w:rPr>
                <w:rFonts w:hint="default" w:ascii="Times New Roman" w:hAnsi="Times New Roman" w:eastAsia="宋体" w:cs="Times New Roman"/>
                <w:color w:val="auto"/>
                <w:kern w:val="0"/>
                <w:sz w:val="24"/>
                <w:szCs w:val="24"/>
                <w:lang w:val="en-US" w:eastAsia="zh-CN" w:bidi="ar"/>
              </w:rPr>
              <w:t>000m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/h，袋式除尘对颗粒物的去除效率可达95%。</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5 \* GB3 \* MERGEFORMAT </w:instrText>
            </w:r>
            <w:r>
              <w:rPr>
                <w:rFonts w:hint="default" w:ascii="Times New Roman" w:hAnsi="Times New Roman" w:eastAsia="宋体" w:cs="Times New Roman"/>
                <w:color w:val="auto"/>
                <w:sz w:val="24"/>
                <w:szCs w:val="24"/>
              </w:rPr>
              <w:fldChar w:fldCharType="separate"/>
            </w:r>
            <w:r>
              <w:rPr>
                <w:color w:val="auto"/>
                <w:sz w:val="24"/>
                <w:szCs w:val="24"/>
              </w:rPr>
              <w:t>⑤</w:t>
            </w:r>
            <w:r>
              <w:rPr>
                <w:rFonts w:hint="default" w:ascii="Times New Roman" w:hAnsi="Times New Roman" w:eastAsia="宋体" w:cs="Times New Roman"/>
                <w:color w:val="auto"/>
                <w:sz w:val="24"/>
                <w:szCs w:val="24"/>
              </w:rPr>
              <w:fldChar w:fldCharType="end"/>
            </w:r>
            <w:r>
              <w:rPr>
                <w:rFonts w:hint="eastAsia" w:ascii="Times New Roman" w:hAnsi="Times New Roman" w:eastAsia="宋体" w:cs="Times New Roman"/>
                <w:color w:val="auto"/>
                <w:sz w:val="24"/>
                <w:szCs w:val="24"/>
                <w:lang w:val="en-US" w:eastAsia="zh-CN"/>
              </w:rPr>
              <w:t>压铸废气</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sz w:val="24"/>
                <w:szCs w:val="24"/>
                <w:vertAlign w:val="baseline"/>
                <w:lang w:val="en-US" w:eastAsia="zh-CN"/>
              </w:rPr>
              <w:t>项目</w:t>
            </w:r>
            <w:r>
              <w:rPr>
                <w:rFonts w:hint="default" w:ascii="Times New Roman" w:hAnsi="Times New Roman" w:eastAsia="宋体" w:cs="Times New Roman"/>
                <w:color w:val="auto"/>
                <w:sz w:val="24"/>
                <w:szCs w:val="24"/>
                <w:vertAlign w:val="baseline"/>
                <w:lang w:val="en-US" w:eastAsia="zh-CN"/>
              </w:rPr>
              <w:t>压铸工序产生的颗粒物产生量为</w:t>
            </w:r>
            <w:r>
              <w:rPr>
                <w:rFonts w:hint="eastAsia" w:cs="Times New Roman"/>
                <w:color w:val="auto"/>
                <w:sz w:val="24"/>
                <w:szCs w:val="24"/>
                <w:vertAlign w:val="baseline"/>
                <w:lang w:val="en-US" w:eastAsia="zh-CN"/>
              </w:rPr>
              <w:t>5.97</w:t>
            </w:r>
            <w:r>
              <w:rPr>
                <w:rFonts w:hint="default" w:ascii="Times New Roman" w:hAnsi="Times New Roman" w:eastAsia="宋体" w:cs="Times New Roman"/>
                <w:color w:val="auto"/>
                <w:kern w:val="0"/>
                <w:sz w:val="24"/>
                <w:szCs w:val="24"/>
                <w:lang w:val="en-US" w:eastAsia="zh-CN" w:bidi="ar"/>
              </w:rPr>
              <w:t>t/a（1.99kg/h），建设单位拟在压铸区各台压铸机上方设置吸风集气罩，收集的废气经1套布袋除尘废气处理设施处理，尾气</w:t>
            </w:r>
            <w:r>
              <w:rPr>
                <w:rFonts w:hint="eastAsia" w:cs="Times New Roman"/>
                <w:color w:val="auto"/>
                <w:kern w:val="0"/>
                <w:sz w:val="24"/>
                <w:szCs w:val="24"/>
                <w:lang w:val="en-US" w:eastAsia="zh-CN" w:bidi="ar"/>
              </w:rPr>
              <w:t>汇入排气筒</w:t>
            </w:r>
            <w:r>
              <w:rPr>
                <w:rFonts w:hint="default" w:ascii="Times New Roman" w:hAnsi="Times New Roman" w:eastAsia="宋体" w:cs="Times New Roman"/>
                <w:color w:val="auto"/>
                <w:kern w:val="0"/>
                <w:sz w:val="24"/>
                <w:szCs w:val="24"/>
                <w:lang w:val="en-US" w:eastAsia="zh-CN" w:bidi="ar"/>
              </w:rPr>
              <w:t>DA00</w:t>
            </w:r>
            <w:r>
              <w:rPr>
                <w:rFonts w:hint="eastAsia" w:cs="Times New Roman"/>
                <w:color w:val="auto"/>
                <w:kern w:val="0"/>
                <w:sz w:val="24"/>
                <w:szCs w:val="24"/>
                <w:lang w:val="en-US" w:eastAsia="zh-CN" w:bidi="ar"/>
              </w:rPr>
              <w:t>3</w:t>
            </w:r>
            <w:r>
              <w:rPr>
                <w:rFonts w:hint="default" w:ascii="Times New Roman" w:hAnsi="Times New Roman" w:eastAsia="宋体" w:cs="Times New Roman"/>
                <w:color w:val="auto"/>
                <w:kern w:val="0"/>
                <w:sz w:val="24"/>
                <w:szCs w:val="24"/>
                <w:lang w:val="en-US" w:eastAsia="zh-CN" w:bidi="ar"/>
              </w:rPr>
              <w:t>排放；废气设施设计风机风量为10000m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 xml:space="preserve"> /h，收集效率按90%计，袋式除尘对颗粒物的去除效率可达95%。</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 6 \* GB3 \* MERGEFORMAT </w:instrText>
            </w:r>
            <w:r>
              <w:rPr>
                <w:rFonts w:hint="default" w:ascii="Times New Roman" w:hAnsi="Times New Roman" w:eastAsia="宋体" w:cs="Times New Roman"/>
                <w:color w:val="auto"/>
                <w:sz w:val="24"/>
                <w:szCs w:val="24"/>
                <w:lang w:val="en-US" w:eastAsia="zh-CN"/>
              </w:rPr>
              <w:fldChar w:fldCharType="separate"/>
            </w:r>
            <w:r>
              <w:rPr>
                <w:color w:val="auto"/>
              </w:rPr>
              <w:t>⑥</w:t>
            </w:r>
            <w:r>
              <w:rPr>
                <w:rFonts w:hint="default" w:ascii="Times New Roman" w:hAnsi="Times New Roman" w:eastAsia="宋体" w:cs="Times New Roman"/>
                <w:color w:val="auto"/>
                <w:sz w:val="24"/>
                <w:szCs w:val="24"/>
                <w:lang w:val="en-US" w:eastAsia="zh-CN"/>
              </w:rPr>
              <w:fldChar w:fldCharType="end"/>
            </w:r>
            <w:r>
              <w:rPr>
                <w:rFonts w:hint="eastAsia" w:ascii="Times New Roman" w:hAnsi="Times New Roman" w:eastAsia="宋体" w:cs="Times New Roman"/>
                <w:color w:val="auto"/>
                <w:sz w:val="24"/>
                <w:szCs w:val="24"/>
                <w:lang w:val="en-US" w:eastAsia="zh-CN"/>
              </w:rPr>
              <w:t>锻造废气</w:t>
            </w:r>
          </w:p>
          <w:p>
            <w:pPr>
              <w:pStyle w:val="34"/>
              <w:keepNext w:val="0"/>
              <w:keepLines w:val="0"/>
              <w:pageBreakBefore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vertAlign w:val="baseline"/>
                <w:lang w:val="en-US" w:eastAsia="zh-CN"/>
              </w:rPr>
              <w:t>项目</w:t>
            </w:r>
            <w:r>
              <w:rPr>
                <w:rFonts w:hint="default" w:ascii="Times New Roman" w:hAnsi="Times New Roman" w:eastAsia="宋体" w:cs="Times New Roman"/>
                <w:color w:val="auto"/>
                <w:sz w:val="24"/>
                <w:szCs w:val="24"/>
                <w:vertAlign w:val="baseline"/>
                <w:lang w:val="en-US" w:eastAsia="zh-CN"/>
              </w:rPr>
              <w:t>锻造工序产生的颗粒物产生量为</w:t>
            </w:r>
            <w:r>
              <w:rPr>
                <w:rFonts w:hint="eastAsia" w:ascii="Times New Roman" w:hAnsi="Times New Roman" w:cs="Times New Roman"/>
                <w:color w:val="auto"/>
                <w:sz w:val="24"/>
                <w:szCs w:val="24"/>
                <w:vertAlign w:val="baseline"/>
                <w:lang w:val="en-US" w:eastAsia="zh-CN"/>
              </w:rPr>
              <w:t>4.15</w:t>
            </w:r>
            <w:r>
              <w:rPr>
                <w:rFonts w:hint="default" w:ascii="Times New Roman" w:hAnsi="Times New Roman" w:eastAsia="宋体" w:cs="Times New Roman"/>
                <w:color w:val="auto"/>
                <w:kern w:val="0"/>
                <w:sz w:val="24"/>
                <w:szCs w:val="24"/>
                <w:lang w:val="en-US" w:eastAsia="zh-CN" w:bidi="ar"/>
              </w:rPr>
              <w:t>t/a（1.3833kg/h），建设单位拟在锻造区各台压力机上方设置吸风集气罩，收集的废气经1套布袋除尘废气处理设施处理，尾气</w:t>
            </w:r>
            <w:r>
              <w:rPr>
                <w:rFonts w:hint="eastAsia" w:cs="Times New Roman"/>
                <w:color w:val="auto"/>
                <w:kern w:val="0"/>
                <w:sz w:val="24"/>
                <w:szCs w:val="24"/>
                <w:lang w:val="en-US" w:eastAsia="zh-CN" w:bidi="ar"/>
              </w:rPr>
              <w:t>汇入排气筒</w:t>
            </w:r>
            <w:r>
              <w:rPr>
                <w:rFonts w:hint="default" w:ascii="Times New Roman" w:hAnsi="Times New Roman" w:eastAsia="宋体" w:cs="Times New Roman"/>
                <w:color w:val="auto"/>
                <w:kern w:val="0"/>
                <w:sz w:val="24"/>
                <w:szCs w:val="24"/>
                <w:lang w:val="en-US" w:eastAsia="zh-CN" w:bidi="ar"/>
              </w:rPr>
              <w:t>DA00</w:t>
            </w:r>
            <w:r>
              <w:rPr>
                <w:rFonts w:hint="eastAsia" w:cs="Times New Roman"/>
                <w:color w:val="auto"/>
                <w:kern w:val="0"/>
                <w:sz w:val="24"/>
                <w:szCs w:val="24"/>
                <w:lang w:val="en-US" w:eastAsia="zh-CN" w:bidi="ar"/>
              </w:rPr>
              <w:t>3</w:t>
            </w:r>
            <w:r>
              <w:rPr>
                <w:rFonts w:hint="default" w:ascii="Times New Roman" w:hAnsi="Times New Roman" w:eastAsia="宋体" w:cs="Times New Roman"/>
                <w:color w:val="auto"/>
                <w:kern w:val="0"/>
                <w:sz w:val="24"/>
                <w:szCs w:val="24"/>
                <w:lang w:val="en-US" w:eastAsia="zh-CN" w:bidi="ar"/>
              </w:rPr>
              <w:t>排放；废气设施设计风机风量为10000m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 xml:space="preserve"> /h，收集效率按90%计，袋式除尘对颗粒物的去除效率可达95%。</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highlight w:val="none"/>
                <w:lang w:val="en-US" w:eastAsia="zh-CN" w:bidi="ar"/>
              </w:rPr>
              <w:t>未被收集的废气以无组织形式排放，其中未被收集的颗粒物粉尘密度较大，再经车间墙体阻隔等，绝大部分粉尘极易在车间内（设备附近</w:t>
            </w:r>
            <w:r>
              <w:rPr>
                <w:rFonts w:hint="default" w:ascii="Times New Roman" w:hAnsi="Times New Roman" w:eastAsia="宋体" w:cs="Times New Roman"/>
                <w:color w:val="auto"/>
                <w:kern w:val="0"/>
                <w:sz w:val="24"/>
                <w:szCs w:val="24"/>
                <w:lang w:val="en-US" w:eastAsia="zh-CN" w:bidi="ar"/>
              </w:rPr>
              <w:t>）沉降，沉降效率按95%计算。</w:t>
            </w:r>
          </w:p>
          <w:p>
            <w:pPr>
              <w:pStyle w:val="89"/>
              <w:ind w:firstLine="480"/>
              <w:rPr>
                <w:color w:val="auto"/>
              </w:rPr>
            </w:pPr>
            <w:r>
              <w:rPr>
                <w:rFonts w:hint="eastAsia"/>
                <w:color w:val="auto"/>
                <w:lang w:eastAsia="zh-CN"/>
              </w:rPr>
              <w:t>项目</w:t>
            </w:r>
            <w:r>
              <w:rPr>
                <w:rFonts w:hint="eastAsia"/>
                <w:color w:val="auto"/>
              </w:rPr>
              <w:t>废气污染物产排情况一览表见表4.</w:t>
            </w:r>
            <w:r>
              <w:rPr>
                <w:rFonts w:hint="eastAsia"/>
                <w:color w:val="auto"/>
                <w:lang w:val="en-US" w:eastAsia="zh-CN"/>
              </w:rPr>
              <w:t>2</w:t>
            </w:r>
            <w:r>
              <w:rPr>
                <w:rFonts w:hint="eastAsia"/>
                <w:color w:val="auto"/>
              </w:rPr>
              <w:t>-</w:t>
            </w:r>
            <w:r>
              <w:rPr>
                <w:rFonts w:hint="eastAsia"/>
                <w:color w:val="auto"/>
                <w:lang w:val="en-US" w:eastAsia="zh-CN"/>
              </w:rPr>
              <w:t>2</w:t>
            </w:r>
            <w:r>
              <w:rPr>
                <w:rFonts w:hint="eastAsia"/>
                <w:color w:val="auto"/>
              </w:rPr>
              <w:t>。</w:t>
            </w:r>
          </w:p>
          <w:p>
            <w:pPr>
              <w:pStyle w:val="90"/>
              <w:rPr>
                <w:rFonts w:hint="eastAsia"/>
                <w:color w:val="auto"/>
              </w:rPr>
            </w:pPr>
          </w:p>
          <w:p>
            <w:pPr>
              <w:pStyle w:val="90"/>
              <w:rPr>
                <w:rFonts w:hint="eastAsia"/>
                <w:color w:val="auto"/>
              </w:rPr>
            </w:pPr>
          </w:p>
          <w:p>
            <w:pPr>
              <w:pStyle w:val="90"/>
              <w:rPr>
                <w:rFonts w:hint="eastAsia"/>
                <w:color w:val="auto"/>
              </w:rPr>
            </w:pPr>
          </w:p>
          <w:p>
            <w:pPr>
              <w:pStyle w:val="90"/>
              <w:rPr>
                <w:color w:val="auto"/>
              </w:rPr>
            </w:pPr>
            <w:r>
              <w:rPr>
                <w:rFonts w:hint="eastAsia"/>
                <w:color w:val="auto"/>
              </w:rPr>
              <w:t>表4.</w:t>
            </w:r>
            <w:r>
              <w:rPr>
                <w:rFonts w:hint="eastAsia"/>
                <w:color w:val="auto"/>
                <w:lang w:val="en-US" w:eastAsia="zh-CN"/>
              </w:rPr>
              <w:t>2</w:t>
            </w:r>
            <w:r>
              <w:rPr>
                <w:rFonts w:hint="eastAsia"/>
                <w:color w:val="auto"/>
              </w:rPr>
              <w:t>-</w:t>
            </w:r>
            <w:r>
              <w:rPr>
                <w:rFonts w:hint="eastAsia"/>
                <w:color w:val="auto"/>
                <w:lang w:val="en-US" w:eastAsia="zh-CN"/>
              </w:rPr>
              <w:t>2</w:t>
            </w:r>
            <w:r>
              <w:rPr>
                <w:color w:val="auto"/>
              </w:rPr>
              <w:t xml:space="preserve"> </w:t>
            </w:r>
            <w:r>
              <w:rPr>
                <w:rFonts w:hint="eastAsia"/>
                <w:color w:val="auto"/>
              </w:rPr>
              <w:t>项目废气产排情况一览表</w:t>
            </w:r>
          </w:p>
          <w:tbl>
            <w:tblPr>
              <w:tblStyle w:val="28"/>
              <w:tblW w:w="844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11"/>
              <w:gridCol w:w="389"/>
              <w:gridCol w:w="709"/>
              <w:gridCol w:w="491"/>
              <w:gridCol w:w="695"/>
              <w:gridCol w:w="802"/>
              <w:gridCol w:w="712"/>
              <w:gridCol w:w="1023"/>
              <w:gridCol w:w="547"/>
              <w:gridCol w:w="745"/>
              <w:gridCol w:w="745"/>
              <w:gridCol w:w="7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3" w:hRule="atLeast"/>
                <w:tblHeader/>
                <w:jc w:val="center"/>
              </w:trPr>
              <w:tc>
                <w:tcPr>
                  <w:tcW w:w="480" w:type="pct"/>
                  <w:vMerge w:val="restart"/>
                  <w:tcBorders>
                    <w:top w:val="single" w:color="auto" w:sz="12" w:space="0"/>
                  </w:tcBorders>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b/>
                      <w:bCs w:val="0"/>
                      <w:color w:val="auto"/>
                      <w:sz w:val="21"/>
                      <w:szCs w:val="21"/>
                    </w:rPr>
                  </w:pPr>
                  <w:r>
                    <w:rPr>
                      <w:rFonts w:hint="eastAsia"/>
                      <w:b/>
                      <w:bCs w:val="0"/>
                      <w:color w:val="auto"/>
                      <w:sz w:val="21"/>
                      <w:szCs w:val="21"/>
                    </w:rPr>
                    <w:t>污染源</w:t>
                  </w:r>
                </w:p>
              </w:tc>
              <w:tc>
                <w:tcPr>
                  <w:tcW w:w="650" w:type="pct"/>
                  <w:gridSpan w:val="2"/>
                  <w:vMerge w:val="restart"/>
                  <w:tcBorders>
                    <w:top w:val="single" w:color="auto" w:sz="12" w:space="0"/>
                  </w:tcBorders>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b/>
                      <w:bCs w:val="0"/>
                      <w:color w:val="auto"/>
                      <w:sz w:val="21"/>
                      <w:szCs w:val="21"/>
                    </w:rPr>
                  </w:pPr>
                  <w:r>
                    <w:rPr>
                      <w:rFonts w:hint="eastAsia"/>
                      <w:b/>
                      <w:bCs w:val="0"/>
                      <w:color w:val="auto"/>
                      <w:sz w:val="21"/>
                      <w:szCs w:val="21"/>
                    </w:rPr>
                    <w:t>污染物名称</w:t>
                  </w:r>
                </w:p>
              </w:tc>
              <w:tc>
                <w:tcPr>
                  <w:tcW w:w="1598" w:type="pct"/>
                  <w:gridSpan w:val="4"/>
                  <w:tcBorders>
                    <w:top w:val="single" w:color="auto" w:sz="12" w:space="0"/>
                  </w:tcBorders>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b/>
                      <w:bCs w:val="0"/>
                      <w:color w:val="auto"/>
                      <w:sz w:val="21"/>
                      <w:szCs w:val="21"/>
                    </w:rPr>
                  </w:pPr>
                  <w:r>
                    <w:rPr>
                      <w:rFonts w:hint="eastAsia"/>
                      <w:b/>
                      <w:bCs w:val="0"/>
                      <w:color w:val="auto"/>
                      <w:sz w:val="21"/>
                      <w:szCs w:val="21"/>
                    </w:rPr>
                    <w:t>产生情况</w:t>
                  </w:r>
                </w:p>
              </w:tc>
              <w:tc>
                <w:tcPr>
                  <w:tcW w:w="929" w:type="pct"/>
                  <w:gridSpan w:val="2"/>
                  <w:tcBorders>
                    <w:top w:val="single" w:color="auto" w:sz="12" w:space="0"/>
                  </w:tcBorders>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b/>
                      <w:bCs w:val="0"/>
                      <w:color w:val="auto"/>
                      <w:sz w:val="21"/>
                      <w:szCs w:val="21"/>
                    </w:rPr>
                  </w:pPr>
                  <w:r>
                    <w:rPr>
                      <w:rFonts w:hint="eastAsia"/>
                      <w:b/>
                      <w:bCs w:val="0"/>
                      <w:color w:val="auto"/>
                      <w:sz w:val="21"/>
                      <w:szCs w:val="21"/>
                    </w:rPr>
                    <w:t>治理措施</w:t>
                  </w:r>
                </w:p>
              </w:tc>
              <w:tc>
                <w:tcPr>
                  <w:tcW w:w="882" w:type="pct"/>
                  <w:gridSpan w:val="2"/>
                  <w:tcBorders>
                    <w:top w:val="single" w:color="auto" w:sz="12" w:space="0"/>
                  </w:tcBorders>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b/>
                      <w:bCs w:val="0"/>
                      <w:color w:val="auto"/>
                      <w:sz w:val="21"/>
                      <w:szCs w:val="21"/>
                    </w:rPr>
                  </w:pPr>
                  <w:r>
                    <w:rPr>
                      <w:rFonts w:hint="eastAsia"/>
                      <w:b/>
                      <w:bCs w:val="0"/>
                      <w:color w:val="auto"/>
                      <w:sz w:val="21"/>
                      <w:szCs w:val="21"/>
                    </w:rPr>
                    <w:t>排放情况</w:t>
                  </w:r>
                </w:p>
              </w:tc>
              <w:tc>
                <w:tcPr>
                  <w:tcW w:w="459" w:type="pct"/>
                  <w:vMerge w:val="restart"/>
                  <w:tcBorders>
                    <w:top w:val="single" w:color="auto" w:sz="12" w:space="0"/>
                  </w:tcBorders>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b/>
                      <w:bCs w:val="0"/>
                      <w:color w:val="auto"/>
                      <w:sz w:val="21"/>
                      <w:szCs w:val="21"/>
                      <w:lang w:val="en-US" w:eastAsia="zh-CN"/>
                    </w:rPr>
                  </w:pPr>
                  <w:r>
                    <w:rPr>
                      <w:rFonts w:hint="eastAsia"/>
                      <w:b/>
                      <w:bCs w:val="0"/>
                      <w:color w:val="auto"/>
                      <w:sz w:val="21"/>
                      <w:szCs w:val="21"/>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7" w:hRule="atLeast"/>
                <w:tblHeader/>
                <w:jc w:val="center"/>
              </w:trPr>
              <w:tc>
                <w:tcPr>
                  <w:tcW w:w="48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b/>
                      <w:bCs w:val="0"/>
                      <w:color w:val="auto"/>
                      <w:sz w:val="21"/>
                      <w:szCs w:val="21"/>
                    </w:rPr>
                  </w:pPr>
                </w:p>
              </w:tc>
              <w:tc>
                <w:tcPr>
                  <w:tcW w:w="650" w:type="pct"/>
                  <w:gridSpan w:val="2"/>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b/>
                      <w:bCs w:val="0"/>
                      <w:color w:val="auto"/>
                      <w:sz w:val="21"/>
                      <w:szCs w:val="21"/>
                    </w:rPr>
                  </w:pPr>
                </w:p>
              </w:tc>
              <w:tc>
                <w:tcPr>
                  <w:tcW w:w="290"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b/>
                      <w:bCs w:val="0"/>
                      <w:color w:val="auto"/>
                      <w:sz w:val="21"/>
                      <w:szCs w:val="21"/>
                    </w:rPr>
                  </w:pPr>
                  <w:r>
                    <w:rPr>
                      <w:rFonts w:hint="eastAsia"/>
                      <w:b/>
                      <w:bCs w:val="0"/>
                      <w:color w:val="auto"/>
                      <w:sz w:val="21"/>
                      <w:szCs w:val="21"/>
                    </w:rPr>
                    <w:t>核算方法</w:t>
                  </w:r>
                </w:p>
              </w:tc>
              <w:tc>
                <w:tcPr>
                  <w:tcW w:w="41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b/>
                      <w:bCs w:val="0"/>
                      <w:color w:val="auto"/>
                      <w:sz w:val="21"/>
                      <w:szCs w:val="21"/>
                    </w:rPr>
                  </w:pPr>
                  <w:r>
                    <w:rPr>
                      <w:rFonts w:hint="eastAsia"/>
                      <w:b/>
                      <w:bCs w:val="0"/>
                      <w:color w:val="auto"/>
                      <w:sz w:val="21"/>
                      <w:szCs w:val="21"/>
                    </w:rPr>
                    <w:t>产生量</w:t>
                  </w:r>
                  <w:r>
                    <w:rPr>
                      <w:b/>
                      <w:bCs w:val="0"/>
                      <w:color w:val="auto"/>
                      <w:sz w:val="21"/>
                      <w:szCs w:val="21"/>
                    </w:rPr>
                    <w:t>t/a</w:t>
                  </w:r>
                </w:p>
              </w:tc>
              <w:tc>
                <w:tcPr>
                  <w:tcW w:w="474"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b/>
                      <w:bCs w:val="0"/>
                      <w:color w:val="auto"/>
                      <w:sz w:val="21"/>
                      <w:szCs w:val="21"/>
                    </w:rPr>
                  </w:pPr>
                  <w:r>
                    <w:rPr>
                      <w:rFonts w:hint="eastAsia"/>
                      <w:b/>
                      <w:bCs w:val="0"/>
                      <w:color w:val="auto"/>
                      <w:sz w:val="21"/>
                      <w:szCs w:val="21"/>
                    </w:rPr>
                    <w:t>速率</w:t>
                  </w:r>
                  <w:r>
                    <w:rPr>
                      <w:b/>
                      <w:bCs w:val="0"/>
                      <w:color w:val="auto"/>
                      <w:sz w:val="21"/>
                      <w:szCs w:val="21"/>
                    </w:rPr>
                    <w:t>kg/h</w:t>
                  </w:r>
                </w:p>
              </w:tc>
              <w:tc>
                <w:tcPr>
                  <w:tcW w:w="42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b/>
                      <w:bCs w:val="0"/>
                      <w:color w:val="auto"/>
                      <w:sz w:val="21"/>
                      <w:szCs w:val="21"/>
                    </w:rPr>
                  </w:pPr>
                  <w:r>
                    <w:rPr>
                      <w:rFonts w:hint="eastAsia"/>
                      <w:b/>
                      <w:bCs w:val="0"/>
                      <w:color w:val="auto"/>
                      <w:sz w:val="21"/>
                      <w:szCs w:val="21"/>
                    </w:rPr>
                    <w:t>浓度</w:t>
                  </w:r>
                  <w:r>
                    <w:rPr>
                      <w:b/>
                      <w:bCs w:val="0"/>
                      <w:color w:val="auto"/>
                      <w:sz w:val="21"/>
                      <w:szCs w:val="21"/>
                    </w:rPr>
                    <w:t>mg/m</w:t>
                  </w:r>
                  <w:r>
                    <w:rPr>
                      <w:b/>
                      <w:bCs w:val="0"/>
                      <w:color w:val="auto"/>
                      <w:sz w:val="21"/>
                      <w:szCs w:val="21"/>
                      <w:vertAlign w:val="superscript"/>
                    </w:rPr>
                    <w:t>3</w:t>
                  </w:r>
                </w:p>
              </w:tc>
              <w:tc>
                <w:tcPr>
                  <w:tcW w:w="605"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b/>
                      <w:bCs w:val="0"/>
                      <w:color w:val="auto"/>
                      <w:sz w:val="21"/>
                      <w:szCs w:val="21"/>
                    </w:rPr>
                  </w:pPr>
                  <w:r>
                    <w:rPr>
                      <w:rFonts w:hint="eastAsia"/>
                      <w:b/>
                      <w:bCs w:val="0"/>
                      <w:color w:val="auto"/>
                      <w:sz w:val="21"/>
                      <w:szCs w:val="21"/>
                    </w:rPr>
                    <w:t>工艺</w:t>
                  </w:r>
                </w:p>
              </w:tc>
              <w:tc>
                <w:tcPr>
                  <w:tcW w:w="323"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b/>
                      <w:bCs w:val="0"/>
                      <w:color w:val="auto"/>
                      <w:sz w:val="21"/>
                      <w:szCs w:val="21"/>
                    </w:rPr>
                  </w:pPr>
                  <w:r>
                    <w:rPr>
                      <w:rFonts w:hint="eastAsia"/>
                      <w:b/>
                      <w:bCs w:val="0"/>
                      <w:color w:val="auto"/>
                      <w:sz w:val="21"/>
                      <w:szCs w:val="21"/>
                    </w:rPr>
                    <w:t>效率</w:t>
                  </w:r>
                  <w:r>
                    <w:rPr>
                      <w:b/>
                      <w:bCs w:val="0"/>
                      <w:color w:val="auto"/>
                      <w:sz w:val="21"/>
                      <w:szCs w:val="21"/>
                    </w:rPr>
                    <w:t>%</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b/>
                      <w:bCs w:val="0"/>
                      <w:color w:val="auto"/>
                      <w:sz w:val="21"/>
                      <w:szCs w:val="21"/>
                    </w:rPr>
                  </w:pPr>
                  <w:r>
                    <w:rPr>
                      <w:rFonts w:hint="eastAsia"/>
                      <w:b/>
                      <w:bCs w:val="0"/>
                      <w:color w:val="auto"/>
                      <w:sz w:val="21"/>
                      <w:szCs w:val="21"/>
                    </w:rPr>
                    <w:t>排放量</w:t>
                  </w:r>
                  <w:r>
                    <w:rPr>
                      <w:b/>
                      <w:bCs w:val="0"/>
                      <w:color w:val="auto"/>
                      <w:sz w:val="21"/>
                      <w:szCs w:val="21"/>
                    </w:rPr>
                    <w:t>t/a</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b/>
                      <w:bCs w:val="0"/>
                      <w:color w:val="auto"/>
                      <w:sz w:val="21"/>
                      <w:szCs w:val="21"/>
                    </w:rPr>
                  </w:pPr>
                  <w:r>
                    <w:rPr>
                      <w:rFonts w:hint="eastAsia"/>
                      <w:b/>
                      <w:bCs w:val="0"/>
                      <w:color w:val="auto"/>
                      <w:sz w:val="21"/>
                      <w:szCs w:val="21"/>
                    </w:rPr>
                    <w:t>速率</w:t>
                  </w:r>
                  <w:r>
                    <w:rPr>
                      <w:b/>
                      <w:bCs w:val="0"/>
                      <w:color w:val="auto"/>
                      <w:sz w:val="21"/>
                      <w:szCs w:val="21"/>
                    </w:rPr>
                    <w:t>kg/h</w:t>
                  </w:r>
                </w:p>
              </w:tc>
              <w:tc>
                <w:tcPr>
                  <w:tcW w:w="459"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b/>
                      <w:bCs w:val="0"/>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7" w:hRule="atLeast"/>
                <w:jc w:val="center"/>
              </w:trPr>
              <w:tc>
                <w:tcPr>
                  <w:tcW w:w="480" w:type="pct"/>
                  <w:vMerge w:val="restar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r>
                    <w:rPr>
                      <w:rFonts w:hint="default"/>
                      <w:color w:val="auto"/>
                      <w:sz w:val="21"/>
                      <w:szCs w:val="21"/>
                      <w:lang w:val="en-US" w:eastAsia="zh-CN"/>
                    </w:rPr>
                    <w:t>熔化</w:t>
                  </w:r>
                </w:p>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lang w:val="en-US" w:eastAsia="zh-CN"/>
                    </w:rPr>
                  </w:pPr>
                  <w:r>
                    <w:rPr>
                      <w:rFonts w:hint="default"/>
                      <w:color w:val="auto"/>
                      <w:sz w:val="21"/>
                      <w:szCs w:val="21"/>
                      <w:lang w:val="en-US" w:eastAsia="zh-CN"/>
                    </w:rPr>
                    <w:t>废气</w:t>
                  </w:r>
                </w:p>
              </w:tc>
              <w:tc>
                <w:tcPr>
                  <w:tcW w:w="230" w:type="pct"/>
                  <w:vMerge w:val="restar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val="en-US" w:eastAsia="zh-CN"/>
                    </w:rPr>
                  </w:pPr>
                  <w:r>
                    <w:rPr>
                      <w:rFonts w:hint="eastAsia"/>
                      <w:color w:val="auto"/>
                      <w:sz w:val="21"/>
                      <w:szCs w:val="21"/>
                    </w:rPr>
                    <w:t>颗粒物</w:t>
                  </w:r>
                </w:p>
              </w:tc>
              <w:tc>
                <w:tcPr>
                  <w:tcW w:w="419"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highlight w:val="none"/>
                    </w:rPr>
                  </w:pPr>
                  <w:r>
                    <w:rPr>
                      <w:rFonts w:hint="eastAsia"/>
                      <w:color w:val="auto"/>
                      <w:sz w:val="21"/>
                      <w:szCs w:val="21"/>
                      <w:highlight w:val="none"/>
                      <w:lang w:val="en-US" w:eastAsia="zh-CN"/>
                    </w:rPr>
                    <w:t>有组织</w:t>
                  </w:r>
                </w:p>
              </w:tc>
              <w:tc>
                <w:tcPr>
                  <w:tcW w:w="290" w:type="pct"/>
                  <w:vMerge w:val="restar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highlight w:val="none"/>
                    </w:rPr>
                  </w:pPr>
                  <w:r>
                    <w:rPr>
                      <w:rFonts w:hint="eastAsia"/>
                      <w:color w:val="auto"/>
                      <w:sz w:val="21"/>
                      <w:szCs w:val="21"/>
                      <w:highlight w:val="none"/>
                    </w:rPr>
                    <w:t>产污系数</w:t>
                  </w:r>
                </w:p>
              </w:tc>
              <w:tc>
                <w:tcPr>
                  <w:tcW w:w="41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highlight w:val="none"/>
                    </w:rPr>
                  </w:pPr>
                  <w:r>
                    <w:rPr>
                      <w:rFonts w:hint="eastAsia"/>
                      <w:color w:val="auto"/>
                      <w:sz w:val="21"/>
                      <w:szCs w:val="21"/>
                      <w:highlight w:val="none"/>
                    </w:rPr>
                    <w:t>1.4175</w:t>
                  </w:r>
                </w:p>
              </w:tc>
              <w:tc>
                <w:tcPr>
                  <w:tcW w:w="474"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highlight w:val="none"/>
                    </w:rPr>
                  </w:pPr>
                  <w:r>
                    <w:rPr>
                      <w:rFonts w:hint="eastAsia"/>
                      <w:color w:val="auto"/>
                      <w:sz w:val="21"/>
                      <w:szCs w:val="21"/>
                      <w:highlight w:val="none"/>
                    </w:rPr>
                    <w:t>0.4725</w:t>
                  </w:r>
                </w:p>
              </w:tc>
              <w:tc>
                <w:tcPr>
                  <w:tcW w:w="42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highlight w:val="none"/>
                    </w:rPr>
                  </w:pPr>
                  <w:r>
                    <w:rPr>
                      <w:rFonts w:hint="eastAsia"/>
                      <w:color w:val="auto"/>
                      <w:sz w:val="21"/>
                      <w:szCs w:val="21"/>
                      <w:highlight w:val="none"/>
                    </w:rPr>
                    <w:t>47.25</w:t>
                  </w:r>
                </w:p>
              </w:tc>
              <w:tc>
                <w:tcPr>
                  <w:tcW w:w="605"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highlight w:val="none"/>
                    </w:rPr>
                  </w:pPr>
                  <w:r>
                    <w:rPr>
                      <w:rFonts w:hint="eastAsia"/>
                      <w:color w:val="auto"/>
                      <w:sz w:val="21"/>
                      <w:szCs w:val="21"/>
                      <w:highlight w:val="none"/>
                    </w:rPr>
                    <w:t>布袋</w:t>
                  </w:r>
                </w:p>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highlight w:val="none"/>
                    </w:rPr>
                  </w:pPr>
                  <w:r>
                    <w:rPr>
                      <w:rFonts w:hint="eastAsia"/>
                      <w:color w:val="auto"/>
                      <w:sz w:val="21"/>
                      <w:szCs w:val="21"/>
                      <w:highlight w:val="none"/>
                    </w:rPr>
                    <w:t>除尘器</w:t>
                  </w:r>
                </w:p>
              </w:tc>
              <w:tc>
                <w:tcPr>
                  <w:tcW w:w="323"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highlight w:val="none"/>
                    </w:rPr>
                  </w:pPr>
                  <w:r>
                    <w:rPr>
                      <w:rFonts w:hint="eastAsia"/>
                      <w:color w:val="auto"/>
                      <w:sz w:val="21"/>
                      <w:szCs w:val="21"/>
                      <w:highlight w:val="none"/>
                    </w:rPr>
                    <w:t>95</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highlight w:val="none"/>
                      <w:lang w:eastAsia="zh-CN"/>
                    </w:rPr>
                  </w:pPr>
                  <w:r>
                    <w:rPr>
                      <w:rFonts w:hint="eastAsia"/>
                      <w:color w:val="auto"/>
                      <w:sz w:val="21"/>
                      <w:szCs w:val="21"/>
                      <w:highlight w:val="none"/>
                    </w:rPr>
                    <w:t>0.070</w:t>
                  </w:r>
                  <w:r>
                    <w:rPr>
                      <w:rFonts w:hint="eastAsia"/>
                      <w:color w:val="auto"/>
                      <w:sz w:val="21"/>
                      <w:szCs w:val="21"/>
                      <w:highlight w:val="none"/>
                      <w:lang w:val="en-US" w:eastAsia="zh-CN"/>
                    </w:rPr>
                    <w:t>9</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highlight w:val="none"/>
                      <w:lang w:eastAsia="zh-CN"/>
                    </w:rPr>
                  </w:pPr>
                  <w:r>
                    <w:rPr>
                      <w:rFonts w:hint="eastAsia"/>
                      <w:color w:val="auto"/>
                      <w:sz w:val="21"/>
                      <w:szCs w:val="21"/>
                      <w:highlight w:val="none"/>
                    </w:rPr>
                    <w:t>0.0236</w:t>
                  </w:r>
                </w:p>
              </w:tc>
              <w:tc>
                <w:tcPr>
                  <w:tcW w:w="459" w:type="pct"/>
                  <w:vMerge w:val="restar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熔化、浇注废气经各自处理设施处理后一同汇入排气筒DA001高空排放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2" w:hRule="atLeast"/>
                <w:jc w:val="center"/>
              </w:trPr>
              <w:tc>
                <w:tcPr>
                  <w:tcW w:w="48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p>
              </w:tc>
              <w:tc>
                <w:tcPr>
                  <w:tcW w:w="23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val="en-US" w:eastAsia="zh-CN"/>
                    </w:rPr>
                  </w:pPr>
                </w:p>
              </w:tc>
              <w:tc>
                <w:tcPr>
                  <w:tcW w:w="419"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lang w:val="en-US" w:eastAsia="zh-CN"/>
                    </w:rPr>
                    <w:t>无组织</w:t>
                  </w:r>
                </w:p>
              </w:tc>
              <w:tc>
                <w:tcPr>
                  <w:tcW w:w="29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p>
              </w:tc>
              <w:tc>
                <w:tcPr>
                  <w:tcW w:w="41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rPr>
                    <w:t>0.1575</w:t>
                  </w:r>
                </w:p>
              </w:tc>
              <w:tc>
                <w:tcPr>
                  <w:tcW w:w="474"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sz w:val="21"/>
                      <w:szCs w:val="21"/>
                      <w:lang w:val="en-US" w:eastAsia="zh-CN"/>
                    </w:rPr>
                  </w:pPr>
                  <w:r>
                    <w:rPr>
                      <w:rFonts w:hint="eastAsia"/>
                      <w:color w:val="auto"/>
                      <w:sz w:val="21"/>
                      <w:szCs w:val="21"/>
                      <w:lang w:val="en-US" w:eastAsia="zh-CN"/>
                    </w:rPr>
                    <w:t>0.0525</w:t>
                  </w:r>
                </w:p>
              </w:tc>
              <w:tc>
                <w:tcPr>
                  <w:tcW w:w="42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605"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val="en-US" w:eastAsia="zh-CN"/>
                    </w:rPr>
                  </w:pPr>
                  <w:r>
                    <w:rPr>
                      <w:rFonts w:hint="eastAsia"/>
                      <w:color w:val="auto"/>
                      <w:sz w:val="21"/>
                      <w:szCs w:val="21"/>
                      <w:lang w:val="en-US" w:eastAsia="zh-CN"/>
                    </w:rPr>
                    <w:t>车间阻隔</w:t>
                  </w:r>
                </w:p>
              </w:tc>
              <w:tc>
                <w:tcPr>
                  <w:tcW w:w="323"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sz w:val="21"/>
                      <w:szCs w:val="21"/>
                      <w:lang w:val="en-US" w:eastAsia="zh-CN"/>
                    </w:rPr>
                  </w:pPr>
                  <w:r>
                    <w:rPr>
                      <w:rFonts w:hint="eastAsia"/>
                      <w:color w:val="auto"/>
                      <w:sz w:val="21"/>
                      <w:szCs w:val="21"/>
                      <w:lang w:val="en-US" w:eastAsia="zh-CN"/>
                    </w:rPr>
                    <w:t>95</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eastAsia="zh-CN"/>
                    </w:rPr>
                  </w:pPr>
                  <w:r>
                    <w:rPr>
                      <w:rFonts w:hint="eastAsia"/>
                      <w:color w:val="auto"/>
                      <w:sz w:val="21"/>
                      <w:szCs w:val="21"/>
                    </w:rPr>
                    <w:t>0.007</w:t>
                  </w:r>
                  <w:r>
                    <w:rPr>
                      <w:rFonts w:hint="eastAsia"/>
                      <w:color w:val="auto"/>
                      <w:sz w:val="21"/>
                      <w:szCs w:val="21"/>
                      <w:lang w:val="en-US" w:eastAsia="zh-CN"/>
                    </w:rPr>
                    <w:t>9</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lang w:val="en-US" w:eastAsia="zh-CN"/>
                    </w:rPr>
                    <w:t>0.0026</w:t>
                  </w:r>
                </w:p>
              </w:tc>
              <w:tc>
                <w:tcPr>
                  <w:tcW w:w="459"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35" w:hRule="atLeast"/>
                <w:jc w:val="center"/>
              </w:trPr>
              <w:tc>
                <w:tcPr>
                  <w:tcW w:w="480" w:type="pct"/>
                  <w:vMerge w:val="restar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r>
                    <w:rPr>
                      <w:rFonts w:hint="default"/>
                      <w:color w:val="auto"/>
                      <w:sz w:val="21"/>
                      <w:szCs w:val="21"/>
                      <w:lang w:val="en-US" w:eastAsia="zh-CN"/>
                    </w:rPr>
                    <w:t>浇注</w:t>
                  </w:r>
                </w:p>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废气</w:t>
                  </w:r>
                </w:p>
              </w:tc>
              <w:tc>
                <w:tcPr>
                  <w:tcW w:w="230" w:type="pct"/>
                  <w:vMerge w:val="restar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rPr>
                    <w:t>颗粒物</w:t>
                  </w:r>
                </w:p>
              </w:tc>
              <w:tc>
                <w:tcPr>
                  <w:tcW w:w="419"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highlight w:val="none"/>
                    </w:rPr>
                  </w:pPr>
                  <w:r>
                    <w:rPr>
                      <w:rFonts w:hint="eastAsia"/>
                      <w:color w:val="auto"/>
                      <w:sz w:val="21"/>
                      <w:szCs w:val="21"/>
                      <w:highlight w:val="none"/>
                      <w:lang w:val="en-US" w:eastAsia="zh-CN"/>
                    </w:rPr>
                    <w:t>有组织</w:t>
                  </w:r>
                </w:p>
              </w:tc>
              <w:tc>
                <w:tcPr>
                  <w:tcW w:w="29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highlight w:val="none"/>
                    </w:rPr>
                  </w:pPr>
                </w:p>
              </w:tc>
              <w:tc>
                <w:tcPr>
                  <w:tcW w:w="41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highlight w:val="none"/>
                    </w:rPr>
                  </w:pPr>
                  <w:r>
                    <w:rPr>
                      <w:rFonts w:hint="eastAsia"/>
                      <w:color w:val="auto"/>
                      <w:sz w:val="21"/>
                      <w:szCs w:val="21"/>
                      <w:highlight w:val="none"/>
                    </w:rPr>
                    <w:t>2.781</w:t>
                  </w:r>
                </w:p>
              </w:tc>
              <w:tc>
                <w:tcPr>
                  <w:tcW w:w="474"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highlight w:val="none"/>
                    </w:rPr>
                  </w:pPr>
                  <w:r>
                    <w:rPr>
                      <w:rFonts w:hint="eastAsia"/>
                      <w:color w:val="auto"/>
                      <w:sz w:val="21"/>
                      <w:szCs w:val="21"/>
                      <w:highlight w:val="none"/>
                    </w:rPr>
                    <w:t>0.927</w:t>
                  </w:r>
                </w:p>
              </w:tc>
              <w:tc>
                <w:tcPr>
                  <w:tcW w:w="42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highlight w:val="none"/>
                    </w:rPr>
                  </w:pPr>
                  <w:r>
                    <w:rPr>
                      <w:rFonts w:hint="eastAsia"/>
                      <w:color w:val="auto"/>
                      <w:sz w:val="21"/>
                      <w:szCs w:val="21"/>
                      <w:highlight w:val="none"/>
                    </w:rPr>
                    <w:t>92.7</w:t>
                  </w:r>
                </w:p>
              </w:tc>
              <w:tc>
                <w:tcPr>
                  <w:tcW w:w="605"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布袋除尘器</w:t>
                  </w:r>
                </w:p>
              </w:tc>
              <w:tc>
                <w:tcPr>
                  <w:tcW w:w="323"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95</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highlight w:val="none"/>
                      <w:lang w:eastAsia="zh-CN"/>
                    </w:rPr>
                  </w:pPr>
                  <w:r>
                    <w:rPr>
                      <w:rFonts w:hint="eastAsia"/>
                      <w:color w:val="auto"/>
                      <w:sz w:val="21"/>
                      <w:szCs w:val="21"/>
                      <w:highlight w:val="none"/>
                    </w:rPr>
                    <w:t>0.139</w:t>
                  </w:r>
                  <w:r>
                    <w:rPr>
                      <w:rFonts w:hint="eastAsia"/>
                      <w:color w:val="auto"/>
                      <w:sz w:val="21"/>
                      <w:szCs w:val="21"/>
                      <w:highlight w:val="none"/>
                      <w:lang w:val="en-US" w:eastAsia="zh-CN"/>
                    </w:rPr>
                    <w:t>1</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highlight w:val="none"/>
                      <w:lang w:eastAsia="zh-CN"/>
                    </w:rPr>
                  </w:pPr>
                  <w:r>
                    <w:rPr>
                      <w:rFonts w:hint="eastAsia"/>
                      <w:color w:val="auto"/>
                      <w:sz w:val="21"/>
                      <w:szCs w:val="21"/>
                      <w:highlight w:val="none"/>
                    </w:rPr>
                    <w:t>0.046</w:t>
                  </w:r>
                  <w:r>
                    <w:rPr>
                      <w:rFonts w:hint="eastAsia"/>
                      <w:color w:val="auto"/>
                      <w:sz w:val="21"/>
                      <w:szCs w:val="21"/>
                      <w:highlight w:val="none"/>
                      <w:lang w:val="en-US" w:eastAsia="zh-CN"/>
                    </w:rPr>
                    <w:t>4</w:t>
                  </w:r>
                </w:p>
              </w:tc>
              <w:tc>
                <w:tcPr>
                  <w:tcW w:w="459"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7" w:hRule="atLeast"/>
                <w:jc w:val="center"/>
              </w:trPr>
              <w:tc>
                <w:tcPr>
                  <w:tcW w:w="48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lang w:val="en-US" w:eastAsia="zh-CN"/>
                    </w:rPr>
                  </w:pPr>
                </w:p>
              </w:tc>
              <w:tc>
                <w:tcPr>
                  <w:tcW w:w="23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p>
              </w:tc>
              <w:tc>
                <w:tcPr>
                  <w:tcW w:w="419"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lang w:val="en-US" w:eastAsia="zh-CN"/>
                    </w:rPr>
                    <w:t>无组织</w:t>
                  </w:r>
                </w:p>
              </w:tc>
              <w:tc>
                <w:tcPr>
                  <w:tcW w:w="29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p>
              </w:tc>
              <w:tc>
                <w:tcPr>
                  <w:tcW w:w="41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rPr>
                    <w:t>0.309</w:t>
                  </w:r>
                </w:p>
              </w:tc>
              <w:tc>
                <w:tcPr>
                  <w:tcW w:w="474"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sz w:val="21"/>
                      <w:szCs w:val="21"/>
                      <w:lang w:val="en-US" w:eastAsia="zh-CN"/>
                    </w:rPr>
                  </w:pPr>
                  <w:r>
                    <w:rPr>
                      <w:rFonts w:hint="eastAsia"/>
                      <w:color w:val="auto"/>
                      <w:sz w:val="21"/>
                      <w:szCs w:val="21"/>
                    </w:rPr>
                    <w:t>0.103</w:t>
                  </w:r>
                </w:p>
              </w:tc>
              <w:tc>
                <w:tcPr>
                  <w:tcW w:w="42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605"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lang w:val="en-US" w:eastAsia="zh-CN"/>
                    </w:rPr>
                    <w:t>车间阻隔</w:t>
                  </w:r>
                </w:p>
              </w:tc>
              <w:tc>
                <w:tcPr>
                  <w:tcW w:w="323"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rPr>
                  </w:pPr>
                  <w:r>
                    <w:rPr>
                      <w:rFonts w:hint="eastAsia"/>
                      <w:color w:val="auto"/>
                      <w:sz w:val="21"/>
                      <w:szCs w:val="21"/>
                      <w:lang w:val="en-US" w:eastAsia="zh-CN"/>
                    </w:rPr>
                    <w:t>95</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rPr>
                    <w:t>0.0155</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rPr>
                    <w:t>0.</w:t>
                  </w:r>
                  <w:r>
                    <w:rPr>
                      <w:rFonts w:hint="eastAsia"/>
                      <w:color w:val="auto"/>
                      <w:sz w:val="21"/>
                      <w:szCs w:val="21"/>
                      <w:lang w:val="en-US" w:eastAsia="zh-CN"/>
                    </w:rPr>
                    <w:t>0052</w:t>
                  </w:r>
                </w:p>
              </w:tc>
              <w:tc>
                <w:tcPr>
                  <w:tcW w:w="459"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34" w:hRule="atLeast"/>
                <w:jc w:val="center"/>
              </w:trPr>
              <w:tc>
                <w:tcPr>
                  <w:tcW w:w="48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lang w:val="en-US" w:eastAsia="zh-CN"/>
                    </w:rPr>
                  </w:pPr>
                </w:p>
              </w:tc>
              <w:tc>
                <w:tcPr>
                  <w:tcW w:w="230" w:type="pct"/>
                  <w:vMerge w:val="restar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sz w:val="21"/>
                      <w:szCs w:val="21"/>
                      <w:lang w:val="en-US" w:eastAsia="zh-CN"/>
                    </w:rPr>
                  </w:pPr>
                  <w:r>
                    <w:rPr>
                      <w:rFonts w:hint="eastAsia"/>
                      <w:color w:val="auto"/>
                      <w:sz w:val="21"/>
                      <w:szCs w:val="21"/>
                      <w:lang w:val="en-US" w:eastAsia="zh-CN"/>
                    </w:rPr>
                    <w:t>非甲烷总烃</w:t>
                  </w:r>
                </w:p>
              </w:tc>
              <w:tc>
                <w:tcPr>
                  <w:tcW w:w="419"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highlight w:val="none"/>
                      <w:lang w:val="en-US" w:eastAsia="zh-CN"/>
                    </w:rPr>
                  </w:pPr>
                  <w:r>
                    <w:rPr>
                      <w:rFonts w:hint="eastAsia"/>
                      <w:color w:val="auto"/>
                      <w:sz w:val="21"/>
                      <w:szCs w:val="21"/>
                      <w:highlight w:val="none"/>
                      <w:lang w:val="en-US" w:eastAsia="zh-CN"/>
                    </w:rPr>
                    <w:t>有组织</w:t>
                  </w:r>
                </w:p>
              </w:tc>
              <w:tc>
                <w:tcPr>
                  <w:tcW w:w="29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highlight w:val="none"/>
                    </w:rPr>
                  </w:pPr>
                </w:p>
              </w:tc>
              <w:tc>
                <w:tcPr>
                  <w:tcW w:w="41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highlight w:val="none"/>
                    </w:rPr>
                  </w:pPr>
                  <w:r>
                    <w:rPr>
                      <w:rFonts w:hint="eastAsia"/>
                      <w:color w:val="auto"/>
                      <w:sz w:val="21"/>
                      <w:szCs w:val="21"/>
                      <w:highlight w:val="none"/>
                    </w:rPr>
                    <w:t>1.3365</w:t>
                  </w:r>
                </w:p>
              </w:tc>
              <w:tc>
                <w:tcPr>
                  <w:tcW w:w="474"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highlight w:val="none"/>
                    </w:rPr>
                  </w:pPr>
                  <w:r>
                    <w:rPr>
                      <w:rFonts w:hint="eastAsia"/>
                      <w:color w:val="auto"/>
                      <w:sz w:val="21"/>
                      <w:szCs w:val="21"/>
                      <w:highlight w:val="none"/>
                    </w:rPr>
                    <w:t>0.4455</w:t>
                  </w:r>
                </w:p>
              </w:tc>
              <w:tc>
                <w:tcPr>
                  <w:tcW w:w="42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highlight w:val="none"/>
                    </w:rPr>
                  </w:pPr>
                  <w:r>
                    <w:rPr>
                      <w:rFonts w:hint="eastAsia"/>
                      <w:color w:val="auto"/>
                      <w:sz w:val="21"/>
                      <w:szCs w:val="21"/>
                      <w:highlight w:val="none"/>
                    </w:rPr>
                    <w:t>44.55</w:t>
                  </w:r>
                </w:p>
              </w:tc>
              <w:tc>
                <w:tcPr>
                  <w:tcW w:w="605"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highlight w:val="none"/>
                    </w:rPr>
                  </w:pPr>
                  <w:r>
                    <w:rPr>
                      <w:rFonts w:hint="eastAsia" w:cs="Times New Roman"/>
                      <w:color w:val="auto"/>
                      <w:kern w:val="0"/>
                      <w:sz w:val="21"/>
                      <w:szCs w:val="21"/>
                      <w:highlight w:val="none"/>
                      <w:lang w:val="en-US" w:eastAsia="zh-CN" w:bidi="ar"/>
                    </w:rPr>
                    <w:t>二级</w:t>
                  </w:r>
                  <w:r>
                    <w:rPr>
                      <w:rFonts w:hint="default" w:ascii="Times New Roman" w:hAnsi="Times New Roman" w:eastAsia="宋体" w:cs="Times New Roman"/>
                      <w:color w:val="auto"/>
                      <w:kern w:val="0"/>
                      <w:sz w:val="21"/>
                      <w:szCs w:val="21"/>
                      <w:highlight w:val="none"/>
                      <w:lang w:val="en-US" w:eastAsia="zh-CN" w:bidi="ar"/>
                    </w:rPr>
                    <w:t>活性炭吸附装置</w:t>
                  </w:r>
                </w:p>
              </w:tc>
              <w:tc>
                <w:tcPr>
                  <w:tcW w:w="323"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50</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highlight w:val="none"/>
                      <w:lang w:eastAsia="zh-CN"/>
                    </w:rPr>
                  </w:pPr>
                  <w:r>
                    <w:rPr>
                      <w:rFonts w:hint="eastAsia"/>
                      <w:color w:val="auto"/>
                      <w:sz w:val="21"/>
                      <w:szCs w:val="21"/>
                      <w:highlight w:val="none"/>
                    </w:rPr>
                    <w:t>0.668</w:t>
                  </w:r>
                  <w:r>
                    <w:rPr>
                      <w:rFonts w:hint="eastAsia"/>
                      <w:color w:val="auto"/>
                      <w:sz w:val="21"/>
                      <w:szCs w:val="21"/>
                      <w:highlight w:val="none"/>
                      <w:lang w:val="en-US" w:eastAsia="zh-CN"/>
                    </w:rPr>
                    <w:t>3</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highlight w:val="none"/>
                      <w:lang w:eastAsia="zh-CN"/>
                    </w:rPr>
                  </w:pPr>
                  <w:r>
                    <w:rPr>
                      <w:rFonts w:hint="eastAsia"/>
                      <w:color w:val="auto"/>
                      <w:sz w:val="21"/>
                      <w:szCs w:val="21"/>
                      <w:highlight w:val="none"/>
                    </w:rPr>
                    <w:t>0.222</w:t>
                  </w:r>
                  <w:r>
                    <w:rPr>
                      <w:rFonts w:hint="eastAsia"/>
                      <w:color w:val="auto"/>
                      <w:sz w:val="21"/>
                      <w:szCs w:val="21"/>
                      <w:highlight w:val="none"/>
                      <w:lang w:val="en-US" w:eastAsia="zh-CN"/>
                    </w:rPr>
                    <w:t>8</w:t>
                  </w:r>
                </w:p>
              </w:tc>
              <w:tc>
                <w:tcPr>
                  <w:tcW w:w="459"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0" w:hRule="atLeast"/>
                <w:jc w:val="center"/>
              </w:trPr>
              <w:tc>
                <w:tcPr>
                  <w:tcW w:w="48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lang w:val="en-US" w:eastAsia="zh-CN"/>
                    </w:rPr>
                  </w:pPr>
                </w:p>
              </w:tc>
              <w:tc>
                <w:tcPr>
                  <w:tcW w:w="23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p>
              </w:tc>
              <w:tc>
                <w:tcPr>
                  <w:tcW w:w="419"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无组织</w:t>
                  </w:r>
                </w:p>
              </w:tc>
              <w:tc>
                <w:tcPr>
                  <w:tcW w:w="29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p>
              </w:tc>
              <w:tc>
                <w:tcPr>
                  <w:tcW w:w="41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rPr>
                    <w:t>0.1485</w:t>
                  </w:r>
                </w:p>
              </w:tc>
              <w:tc>
                <w:tcPr>
                  <w:tcW w:w="474"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rPr>
                    <w:t>0.0495</w:t>
                  </w:r>
                </w:p>
              </w:tc>
              <w:tc>
                <w:tcPr>
                  <w:tcW w:w="42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605"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323"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rPr>
                    <w:t>0.1485</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rPr>
                    <w:t>0.0495</w:t>
                  </w:r>
                </w:p>
              </w:tc>
              <w:tc>
                <w:tcPr>
                  <w:tcW w:w="459"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87" w:hRule="atLeast"/>
                <w:jc w:val="center"/>
              </w:trPr>
              <w:tc>
                <w:tcPr>
                  <w:tcW w:w="480" w:type="pct"/>
                  <w:vMerge w:val="restar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lang w:val="en-US" w:eastAsia="zh-CN"/>
                    </w:rPr>
                  </w:pPr>
                  <w:r>
                    <w:rPr>
                      <w:rFonts w:hint="default"/>
                      <w:color w:val="auto"/>
                      <w:sz w:val="21"/>
                      <w:szCs w:val="21"/>
                      <w:lang w:val="en-US" w:eastAsia="zh-CN"/>
                    </w:rPr>
                    <w:t>搅砂及制芯</w:t>
                  </w:r>
                  <w:r>
                    <w:rPr>
                      <w:rFonts w:hint="eastAsia"/>
                      <w:color w:val="auto"/>
                      <w:sz w:val="21"/>
                      <w:szCs w:val="21"/>
                      <w:lang w:val="en-US" w:eastAsia="zh-CN"/>
                    </w:rPr>
                    <w:t>废气</w:t>
                  </w:r>
                </w:p>
              </w:tc>
              <w:tc>
                <w:tcPr>
                  <w:tcW w:w="230" w:type="pct"/>
                  <w:vMerge w:val="restar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val="en-US" w:eastAsia="zh-CN"/>
                    </w:rPr>
                  </w:pPr>
                  <w:r>
                    <w:rPr>
                      <w:rFonts w:hint="eastAsia"/>
                      <w:color w:val="auto"/>
                      <w:sz w:val="21"/>
                      <w:szCs w:val="21"/>
                      <w:lang w:val="en-US" w:eastAsia="zh-CN"/>
                    </w:rPr>
                    <w:t>颗粒物</w:t>
                  </w:r>
                </w:p>
              </w:tc>
              <w:tc>
                <w:tcPr>
                  <w:tcW w:w="419"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lang w:val="en-US" w:eastAsia="zh-CN"/>
                    </w:rPr>
                    <w:t>有组织</w:t>
                  </w:r>
                </w:p>
              </w:tc>
              <w:tc>
                <w:tcPr>
                  <w:tcW w:w="29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p>
              </w:tc>
              <w:tc>
                <w:tcPr>
                  <w:tcW w:w="41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rPr>
                    <w:t>0.891</w:t>
                  </w:r>
                </w:p>
              </w:tc>
              <w:tc>
                <w:tcPr>
                  <w:tcW w:w="474"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rPr>
                    <w:t>0.297</w:t>
                  </w:r>
                </w:p>
              </w:tc>
              <w:tc>
                <w:tcPr>
                  <w:tcW w:w="42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rPr>
                    <w:t>29.7</w:t>
                  </w:r>
                </w:p>
              </w:tc>
              <w:tc>
                <w:tcPr>
                  <w:tcW w:w="605"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rPr>
                  </w:pPr>
                  <w:r>
                    <w:rPr>
                      <w:rFonts w:hint="default" w:ascii="Times New Roman" w:hAnsi="Times New Roman" w:eastAsia="宋体" w:cs="Times New Roman"/>
                      <w:color w:val="auto"/>
                      <w:kern w:val="0"/>
                      <w:sz w:val="21"/>
                      <w:szCs w:val="21"/>
                      <w:lang w:val="en-US" w:eastAsia="zh-CN" w:bidi="ar"/>
                    </w:rPr>
                    <w:t>喷淋塔</w:t>
                  </w:r>
                </w:p>
              </w:tc>
              <w:tc>
                <w:tcPr>
                  <w:tcW w:w="323"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sz w:val="21"/>
                      <w:szCs w:val="21"/>
                      <w:lang w:val="en-US" w:eastAsia="zh-CN"/>
                    </w:rPr>
                  </w:pPr>
                  <w:r>
                    <w:rPr>
                      <w:rFonts w:hint="eastAsia"/>
                      <w:color w:val="auto"/>
                      <w:sz w:val="21"/>
                      <w:szCs w:val="21"/>
                      <w:lang w:val="en-US" w:eastAsia="zh-CN"/>
                    </w:rPr>
                    <w:t>85</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eastAsia="zh-CN"/>
                    </w:rPr>
                  </w:pPr>
                  <w:r>
                    <w:rPr>
                      <w:rFonts w:hint="eastAsia"/>
                      <w:color w:val="auto"/>
                      <w:sz w:val="21"/>
                      <w:szCs w:val="21"/>
                    </w:rPr>
                    <w:t>0.133</w:t>
                  </w:r>
                  <w:r>
                    <w:rPr>
                      <w:rFonts w:hint="eastAsia"/>
                      <w:color w:val="auto"/>
                      <w:sz w:val="21"/>
                      <w:szCs w:val="21"/>
                      <w:lang w:val="en-US" w:eastAsia="zh-CN"/>
                    </w:rPr>
                    <w:t>7</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eastAsia="zh-CN"/>
                    </w:rPr>
                  </w:pPr>
                  <w:r>
                    <w:rPr>
                      <w:rFonts w:hint="eastAsia"/>
                      <w:color w:val="auto"/>
                      <w:sz w:val="21"/>
                      <w:szCs w:val="21"/>
                    </w:rPr>
                    <w:t>0.044</w:t>
                  </w:r>
                  <w:r>
                    <w:rPr>
                      <w:rFonts w:hint="eastAsia"/>
                      <w:color w:val="auto"/>
                      <w:sz w:val="21"/>
                      <w:szCs w:val="21"/>
                      <w:lang w:val="en-US" w:eastAsia="zh-CN"/>
                    </w:rPr>
                    <w:t>6</w:t>
                  </w:r>
                </w:p>
              </w:tc>
              <w:tc>
                <w:tcPr>
                  <w:tcW w:w="459" w:type="pct"/>
                  <w:vMerge w:val="restar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highlight w:val="none"/>
                      <w:lang w:val="en-US" w:eastAsia="zh-CN"/>
                    </w:rPr>
                    <w:t>搅砂制芯废气经处理设施处理后通过排气筒DA002高空排放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1" w:hRule="atLeast"/>
                <w:jc w:val="center"/>
              </w:trPr>
              <w:tc>
                <w:tcPr>
                  <w:tcW w:w="48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p>
              </w:tc>
              <w:tc>
                <w:tcPr>
                  <w:tcW w:w="23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lang w:val="en-US" w:eastAsia="zh-CN"/>
                    </w:rPr>
                  </w:pPr>
                </w:p>
              </w:tc>
              <w:tc>
                <w:tcPr>
                  <w:tcW w:w="419"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lang w:val="en-US" w:eastAsia="zh-CN"/>
                    </w:rPr>
                    <w:t>无组织</w:t>
                  </w:r>
                </w:p>
              </w:tc>
              <w:tc>
                <w:tcPr>
                  <w:tcW w:w="29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p>
              </w:tc>
              <w:tc>
                <w:tcPr>
                  <w:tcW w:w="41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sz w:val="21"/>
                      <w:szCs w:val="21"/>
                      <w:lang w:val="en-US" w:eastAsia="zh-CN"/>
                    </w:rPr>
                  </w:pPr>
                  <w:r>
                    <w:rPr>
                      <w:rFonts w:hint="eastAsia"/>
                      <w:color w:val="auto"/>
                      <w:sz w:val="21"/>
                      <w:szCs w:val="21"/>
                    </w:rPr>
                    <w:t>0.099</w:t>
                  </w:r>
                </w:p>
              </w:tc>
              <w:tc>
                <w:tcPr>
                  <w:tcW w:w="474"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eastAsia="zh-CN"/>
                    </w:rPr>
                  </w:pPr>
                  <w:r>
                    <w:rPr>
                      <w:rFonts w:hint="eastAsia"/>
                      <w:color w:val="auto"/>
                      <w:sz w:val="21"/>
                      <w:szCs w:val="21"/>
                    </w:rPr>
                    <w:t>0.033</w:t>
                  </w:r>
                </w:p>
              </w:tc>
              <w:tc>
                <w:tcPr>
                  <w:tcW w:w="42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605"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lang w:val="en-US" w:eastAsia="zh-CN"/>
                    </w:rPr>
                    <w:t>车间阻隔</w:t>
                  </w:r>
                </w:p>
              </w:tc>
              <w:tc>
                <w:tcPr>
                  <w:tcW w:w="323"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sz w:val="21"/>
                      <w:szCs w:val="21"/>
                      <w:lang w:val="en-US" w:eastAsia="zh-CN"/>
                    </w:rPr>
                  </w:pPr>
                  <w:r>
                    <w:rPr>
                      <w:rFonts w:hint="eastAsia"/>
                      <w:color w:val="auto"/>
                      <w:sz w:val="21"/>
                      <w:szCs w:val="21"/>
                      <w:lang w:val="en-US" w:eastAsia="zh-CN"/>
                    </w:rPr>
                    <w:t>95</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rPr>
                    <w:t>0.00</w:t>
                  </w:r>
                  <w:r>
                    <w:rPr>
                      <w:rFonts w:hint="eastAsia"/>
                      <w:color w:val="auto"/>
                      <w:sz w:val="21"/>
                      <w:szCs w:val="21"/>
                      <w:lang w:val="en-US" w:eastAsia="zh-CN"/>
                    </w:rPr>
                    <w:t>50</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rPr>
                    <w:t>0.001</w:t>
                  </w:r>
                  <w:r>
                    <w:rPr>
                      <w:rFonts w:hint="eastAsia"/>
                      <w:color w:val="auto"/>
                      <w:sz w:val="21"/>
                      <w:szCs w:val="21"/>
                      <w:lang w:val="en-US" w:eastAsia="zh-CN"/>
                    </w:rPr>
                    <w:t>7</w:t>
                  </w:r>
                </w:p>
              </w:tc>
              <w:tc>
                <w:tcPr>
                  <w:tcW w:w="459"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26" w:hRule="atLeast"/>
                <w:jc w:val="center"/>
              </w:trPr>
              <w:tc>
                <w:tcPr>
                  <w:tcW w:w="48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p>
              </w:tc>
              <w:tc>
                <w:tcPr>
                  <w:tcW w:w="230" w:type="pct"/>
                  <w:vMerge w:val="restar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lang w:val="en-US" w:eastAsia="zh-CN"/>
                    </w:rPr>
                    <w:t>非甲烷总烃</w:t>
                  </w:r>
                </w:p>
              </w:tc>
              <w:tc>
                <w:tcPr>
                  <w:tcW w:w="419"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lang w:val="en-US" w:eastAsia="zh-CN"/>
                    </w:rPr>
                    <w:t>有组织</w:t>
                  </w:r>
                </w:p>
              </w:tc>
              <w:tc>
                <w:tcPr>
                  <w:tcW w:w="29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p>
              </w:tc>
              <w:tc>
                <w:tcPr>
                  <w:tcW w:w="41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rPr>
                    <w:t>0.135</w:t>
                  </w:r>
                </w:p>
              </w:tc>
              <w:tc>
                <w:tcPr>
                  <w:tcW w:w="474"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rPr>
                    <w:t>0.045</w:t>
                  </w:r>
                </w:p>
              </w:tc>
              <w:tc>
                <w:tcPr>
                  <w:tcW w:w="42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sz w:val="21"/>
                      <w:szCs w:val="21"/>
                      <w:lang w:val="en-US" w:eastAsia="zh-CN"/>
                    </w:rPr>
                  </w:pPr>
                  <w:r>
                    <w:rPr>
                      <w:rFonts w:hint="eastAsia"/>
                      <w:color w:val="auto"/>
                      <w:sz w:val="21"/>
                      <w:szCs w:val="21"/>
                      <w:lang w:val="en-US" w:eastAsia="zh-CN"/>
                    </w:rPr>
                    <w:t>4.5</w:t>
                  </w:r>
                </w:p>
              </w:tc>
              <w:tc>
                <w:tcPr>
                  <w:tcW w:w="605"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s="Times New Roman"/>
                      <w:color w:val="auto"/>
                      <w:kern w:val="0"/>
                      <w:sz w:val="21"/>
                      <w:szCs w:val="21"/>
                      <w:lang w:val="en-US" w:eastAsia="zh-CN" w:bidi="ar"/>
                    </w:rPr>
                    <w:t>二级</w:t>
                  </w:r>
                  <w:r>
                    <w:rPr>
                      <w:rFonts w:hint="default" w:ascii="Times New Roman" w:hAnsi="Times New Roman" w:eastAsia="宋体" w:cs="Times New Roman"/>
                      <w:color w:val="auto"/>
                      <w:kern w:val="0"/>
                      <w:sz w:val="21"/>
                      <w:szCs w:val="21"/>
                      <w:lang w:val="en-US" w:eastAsia="zh-CN" w:bidi="ar"/>
                    </w:rPr>
                    <w:t>活性炭吸附</w:t>
                  </w:r>
                  <w:r>
                    <w:rPr>
                      <w:rFonts w:hint="eastAsia" w:cs="Times New Roman"/>
                      <w:color w:val="auto"/>
                      <w:kern w:val="0"/>
                      <w:sz w:val="21"/>
                      <w:szCs w:val="21"/>
                      <w:lang w:val="en-US" w:eastAsia="zh-CN" w:bidi="ar"/>
                    </w:rPr>
                    <w:t>装置</w:t>
                  </w:r>
                </w:p>
              </w:tc>
              <w:tc>
                <w:tcPr>
                  <w:tcW w:w="323"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sz w:val="21"/>
                      <w:szCs w:val="21"/>
                      <w:lang w:val="en-US" w:eastAsia="zh-CN"/>
                    </w:rPr>
                  </w:pPr>
                  <w:r>
                    <w:rPr>
                      <w:rFonts w:hint="eastAsia"/>
                      <w:color w:val="auto"/>
                      <w:sz w:val="21"/>
                      <w:szCs w:val="21"/>
                      <w:lang w:val="en-US" w:eastAsia="zh-CN"/>
                    </w:rPr>
                    <w:t>50</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rPr>
                    <w:t>0.0675</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rPr>
                    <w:t>0.0225</w:t>
                  </w:r>
                </w:p>
              </w:tc>
              <w:tc>
                <w:tcPr>
                  <w:tcW w:w="459"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9" w:hRule="atLeast"/>
                <w:jc w:val="center"/>
              </w:trPr>
              <w:tc>
                <w:tcPr>
                  <w:tcW w:w="48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p>
              </w:tc>
              <w:tc>
                <w:tcPr>
                  <w:tcW w:w="23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lang w:val="en-US" w:eastAsia="zh-CN"/>
                    </w:rPr>
                  </w:pPr>
                </w:p>
              </w:tc>
              <w:tc>
                <w:tcPr>
                  <w:tcW w:w="419"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lang w:val="en-US" w:eastAsia="zh-CN"/>
                    </w:rPr>
                    <w:t>无组织</w:t>
                  </w:r>
                </w:p>
              </w:tc>
              <w:tc>
                <w:tcPr>
                  <w:tcW w:w="29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p>
              </w:tc>
              <w:tc>
                <w:tcPr>
                  <w:tcW w:w="41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rPr>
                    <w:t>0.015</w:t>
                  </w:r>
                </w:p>
              </w:tc>
              <w:tc>
                <w:tcPr>
                  <w:tcW w:w="474"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rPr>
                    <w:t>0.005</w:t>
                  </w:r>
                </w:p>
              </w:tc>
              <w:tc>
                <w:tcPr>
                  <w:tcW w:w="42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605"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323"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rPr>
                    <w:t>0.015</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rPr>
                    <w:t>0.005</w:t>
                  </w:r>
                </w:p>
              </w:tc>
              <w:tc>
                <w:tcPr>
                  <w:tcW w:w="459"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480" w:type="pct"/>
                  <w:vMerge w:val="restar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落砂</w:t>
                  </w:r>
                </w:p>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s="Times New Roman"/>
                      <w:color w:val="auto"/>
                      <w:kern w:val="0"/>
                      <w:sz w:val="21"/>
                      <w:szCs w:val="21"/>
                      <w:lang w:val="en-US" w:eastAsia="zh-CN" w:bidi="ar"/>
                    </w:rPr>
                    <w:t>废气</w:t>
                  </w:r>
                </w:p>
              </w:tc>
              <w:tc>
                <w:tcPr>
                  <w:tcW w:w="230" w:type="pct"/>
                  <w:vMerge w:val="restar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rPr>
                    <w:t>颗粒物</w:t>
                  </w:r>
                </w:p>
              </w:tc>
              <w:tc>
                <w:tcPr>
                  <w:tcW w:w="419"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val="en-US" w:eastAsia="zh-CN"/>
                    </w:rPr>
                  </w:pPr>
                  <w:r>
                    <w:rPr>
                      <w:rFonts w:hint="eastAsia"/>
                      <w:color w:val="auto"/>
                      <w:sz w:val="21"/>
                      <w:szCs w:val="21"/>
                      <w:lang w:val="en-US" w:eastAsia="zh-CN"/>
                    </w:rPr>
                    <w:t>有组织</w:t>
                  </w:r>
                </w:p>
              </w:tc>
              <w:tc>
                <w:tcPr>
                  <w:tcW w:w="29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p>
              </w:tc>
              <w:tc>
                <w:tcPr>
                  <w:tcW w:w="41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sz w:val="21"/>
                      <w:szCs w:val="21"/>
                      <w:lang w:val="en-US" w:eastAsia="zh-CN"/>
                    </w:rPr>
                  </w:pPr>
                  <w:r>
                    <w:rPr>
                      <w:rFonts w:hint="eastAsia"/>
                      <w:color w:val="auto"/>
                      <w:sz w:val="21"/>
                      <w:szCs w:val="21"/>
                      <w:lang w:val="en-US" w:eastAsia="zh-CN"/>
                    </w:rPr>
                    <w:t>43.2</w:t>
                  </w:r>
                </w:p>
              </w:tc>
              <w:tc>
                <w:tcPr>
                  <w:tcW w:w="474"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sz w:val="21"/>
                      <w:szCs w:val="21"/>
                      <w:lang w:val="en-US" w:eastAsia="zh-CN"/>
                    </w:rPr>
                  </w:pPr>
                  <w:r>
                    <w:rPr>
                      <w:rFonts w:hint="eastAsia"/>
                      <w:color w:val="auto"/>
                      <w:sz w:val="21"/>
                      <w:szCs w:val="21"/>
                      <w:lang w:val="en-US" w:eastAsia="zh-CN"/>
                    </w:rPr>
                    <w:t>14.4</w:t>
                  </w:r>
                </w:p>
              </w:tc>
              <w:tc>
                <w:tcPr>
                  <w:tcW w:w="42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sz w:val="21"/>
                      <w:szCs w:val="21"/>
                      <w:lang w:val="en-US" w:eastAsia="zh-CN"/>
                    </w:rPr>
                  </w:pPr>
                  <w:r>
                    <w:rPr>
                      <w:rFonts w:hint="eastAsia"/>
                      <w:color w:val="auto"/>
                      <w:sz w:val="21"/>
                      <w:szCs w:val="21"/>
                      <w:lang w:val="en-US" w:eastAsia="zh-CN"/>
                    </w:rPr>
                    <w:t>1440</w:t>
                  </w:r>
                </w:p>
              </w:tc>
              <w:tc>
                <w:tcPr>
                  <w:tcW w:w="605"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布袋</w:t>
                  </w:r>
                </w:p>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default" w:ascii="Times New Roman" w:hAnsi="Times New Roman" w:eastAsia="宋体" w:cs="Times New Roman"/>
                      <w:color w:val="auto"/>
                      <w:kern w:val="0"/>
                      <w:sz w:val="21"/>
                      <w:szCs w:val="21"/>
                      <w:lang w:val="en-US" w:eastAsia="zh-CN" w:bidi="ar"/>
                    </w:rPr>
                    <w:t>除尘器</w:t>
                  </w:r>
                </w:p>
              </w:tc>
              <w:tc>
                <w:tcPr>
                  <w:tcW w:w="323"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sz w:val="21"/>
                      <w:szCs w:val="21"/>
                      <w:lang w:val="en-US" w:eastAsia="zh-CN"/>
                    </w:rPr>
                  </w:pPr>
                  <w:r>
                    <w:rPr>
                      <w:rFonts w:hint="eastAsia"/>
                      <w:color w:val="auto"/>
                      <w:sz w:val="21"/>
                      <w:szCs w:val="21"/>
                      <w:lang w:val="en-US" w:eastAsia="zh-CN"/>
                    </w:rPr>
                    <w:t>95</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rPr>
                    <w:t>2.16</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sz w:val="21"/>
                      <w:szCs w:val="21"/>
                      <w:lang w:val="en-US" w:eastAsia="zh-CN"/>
                    </w:rPr>
                  </w:pPr>
                  <w:r>
                    <w:rPr>
                      <w:rFonts w:hint="eastAsia"/>
                      <w:color w:val="auto"/>
                      <w:sz w:val="21"/>
                      <w:szCs w:val="21"/>
                      <w:lang w:val="en-US" w:eastAsia="zh-CN"/>
                    </w:rPr>
                    <w:t>0.72</w:t>
                  </w:r>
                </w:p>
              </w:tc>
              <w:tc>
                <w:tcPr>
                  <w:tcW w:w="459" w:type="pct"/>
                  <w:vMerge w:val="restar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highlight w:val="none"/>
                      <w:lang w:val="en-US" w:eastAsia="zh-CN"/>
                    </w:rPr>
                    <w:t>落砂、压铸、锻造废气经各自处理设施处理后一同汇入排气筒DA001高空排放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71" w:hRule="atLeast"/>
                <w:jc w:val="center"/>
              </w:trPr>
              <w:tc>
                <w:tcPr>
                  <w:tcW w:w="48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kern w:val="0"/>
                      <w:sz w:val="21"/>
                      <w:szCs w:val="21"/>
                      <w:lang w:val="en-US" w:eastAsia="zh-CN" w:bidi="ar"/>
                    </w:rPr>
                  </w:pPr>
                </w:p>
              </w:tc>
              <w:tc>
                <w:tcPr>
                  <w:tcW w:w="23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p>
              </w:tc>
              <w:tc>
                <w:tcPr>
                  <w:tcW w:w="419"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无组织</w:t>
                  </w:r>
                </w:p>
              </w:tc>
              <w:tc>
                <w:tcPr>
                  <w:tcW w:w="29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p>
              </w:tc>
              <w:tc>
                <w:tcPr>
                  <w:tcW w:w="41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4.8</w:t>
                  </w:r>
                </w:p>
              </w:tc>
              <w:tc>
                <w:tcPr>
                  <w:tcW w:w="474"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1.6</w:t>
                  </w:r>
                </w:p>
              </w:tc>
              <w:tc>
                <w:tcPr>
                  <w:tcW w:w="42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w:t>
                  </w:r>
                </w:p>
              </w:tc>
              <w:tc>
                <w:tcPr>
                  <w:tcW w:w="605"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kern w:val="0"/>
                      <w:sz w:val="21"/>
                      <w:szCs w:val="21"/>
                      <w:lang w:val="en-US" w:eastAsia="zh-CN" w:bidi="ar"/>
                    </w:rPr>
                  </w:pPr>
                  <w:r>
                    <w:rPr>
                      <w:rFonts w:hint="eastAsia"/>
                      <w:color w:val="auto"/>
                      <w:sz w:val="21"/>
                      <w:szCs w:val="21"/>
                      <w:lang w:val="en-US" w:eastAsia="zh-CN"/>
                    </w:rPr>
                    <w:t>车间阻隔</w:t>
                  </w:r>
                </w:p>
              </w:tc>
              <w:tc>
                <w:tcPr>
                  <w:tcW w:w="323"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95</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lang w:val="en-US" w:eastAsia="zh-CN"/>
                    </w:rPr>
                    <w:t>0.24</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0.08</w:t>
                  </w:r>
                </w:p>
              </w:tc>
              <w:tc>
                <w:tcPr>
                  <w:tcW w:w="459"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7" w:hRule="atLeast"/>
                <w:jc w:val="center"/>
              </w:trPr>
              <w:tc>
                <w:tcPr>
                  <w:tcW w:w="480" w:type="pct"/>
                  <w:vMerge w:val="restar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压铸</w:t>
                  </w:r>
                </w:p>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ascii="Times New Roman" w:hAnsi="Times New Roman" w:eastAsia="宋体" w:cs="Times New Roman"/>
                      <w:color w:val="auto"/>
                      <w:sz w:val="21"/>
                      <w:szCs w:val="21"/>
                      <w:lang w:val="en-US" w:eastAsia="zh-CN"/>
                    </w:rPr>
                    <w:t>废气</w:t>
                  </w:r>
                </w:p>
              </w:tc>
              <w:tc>
                <w:tcPr>
                  <w:tcW w:w="230" w:type="pct"/>
                  <w:vMerge w:val="restar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rPr>
                    <w:t>颗粒物</w:t>
                  </w:r>
                </w:p>
              </w:tc>
              <w:tc>
                <w:tcPr>
                  <w:tcW w:w="419"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lang w:val="en-US" w:eastAsia="zh-CN"/>
                    </w:rPr>
                    <w:t>有组织</w:t>
                  </w:r>
                </w:p>
              </w:tc>
              <w:tc>
                <w:tcPr>
                  <w:tcW w:w="29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p>
              </w:tc>
              <w:tc>
                <w:tcPr>
                  <w:tcW w:w="41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rPr>
                    <w:t>5.373</w:t>
                  </w:r>
                </w:p>
              </w:tc>
              <w:tc>
                <w:tcPr>
                  <w:tcW w:w="474"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rPr>
                    <w:t>1.791</w:t>
                  </w:r>
                </w:p>
              </w:tc>
              <w:tc>
                <w:tcPr>
                  <w:tcW w:w="42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rPr>
                    <w:t>179.1</w:t>
                  </w:r>
                </w:p>
              </w:tc>
              <w:tc>
                <w:tcPr>
                  <w:tcW w:w="605"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rPr>
                    <w:t>布袋</w:t>
                  </w:r>
                </w:p>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rPr>
                    <w:t>除尘器</w:t>
                  </w:r>
                </w:p>
              </w:tc>
              <w:tc>
                <w:tcPr>
                  <w:tcW w:w="323"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sz w:val="21"/>
                      <w:szCs w:val="21"/>
                      <w:lang w:val="en-US" w:eastAsia="zh-CN"/>
                    </w:rPr>
                  </w:pPr>
                  <w:r>
                    <w:rPr>
                      <w:rFonts w:hint="eastAsia"/>
                      <w:color w:val="auto"/>
                      <w:sz w:val="21"/>
                      <w:szCs w:val="21"/>
                      <w:lang w:val="en-US" w:eastAsia="zh-CN"/>
                    </w:rPr>
                    <w:t>95</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val="en-US" w:eastAsia="zh-CN"/>
                    </w:rPr>
                  </w:pPr>
                  <w:r>
                    <w:rPr>
                      <w:rFonts w:hint="eastAsia"/>
                      <w:color w:val="auto"/>
                      <w:sz w:val="21"/>
                      <w:szCs w:val="21"/>
                    </w:rPr>
                    <w:t>0.268</w:t>
                  </w:r>
                  <w:r>
                    <w:rPr>
                      <w:rFonts w:hint="eastAsia"/>
                      <w:color w:val="auto"/>
                      <w:sz w:val="21"/>
                      <w:szCs w:val="21"/>
                      <w:lang w:val="en-US" w:eastAsia="zh-CN"/>
                    </w:rPr>
                    <w:t>7</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eastAsia="zh-CN"/>
                    </w:rPr>
                  </w:pPr>
                  <w:r>
                    <w:rPr>
                      <w:rFonts w:hint="eastAsia"/>
                      <w:color w:val="auto"/>
                      <w:sz w:val="21"/>
                      <w:szCs w:val="21"/>
                    </w:rPr>
                    <w:t>0.089</w:t>
                  </w:r>
                  <w:r>
                    <w:rPr>
                      <w:rFonts w:hint="eastAsia"/>
                      <w:color w:val="auto"/>
                      <w:sz w:val="21"/>
                      <w:szCs w:val="21"/>
                      <w:lang w:val="en-US" w:eastAsia="zh-CN"/>
                    </w:rPr>
                    <w:t>6</w:t>
                  </w:r>
                </w:p>
              </w:tc>
              <w:tc>
                <w:tcPr>
                  <w:tcW w:w="459"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6" w:hRule="atLeast"/>
                <w:jc w:val="center"/>
              </w:trPr>
              <w:tc>
                <w:tcPr>
                  <w:tcW w:w="48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sz w:val="21"/>
                      <w:szCs w:val="21"/>
                      <w:lang w:val="en-US" w:eastAsia="zh-CN"/>
                    </w:rPr>
                  </w:pPr>
                </w:p>
              </w:tc>
              <w:tc>
                <w:tcPr>
                  <w:tcW w:w="23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p>
              </w:tc>
              <w:tc>
                <w:tcPr>
                  <w:tcW w:w="419"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lang w:val="en-US" w:eastAsia="zh-CN"/>
                    </w:rPr>
                    <w:t>无组织</w:t>
                  </w:r>
                </w:p>
              </w:tc>
              <w:tc>
                <w:tcPr>
                  <w:tcW w:w="29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p>
              </w:tc>
              <w:tc>
                <w:tcPr>
                  <w:tcW w:w="41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rPr>
                    <w:t>0.597</w:t>
                  </w:r>
                </w:p>
              </w:tc>
              <w:tc>
                <w:tcPr>
                  <w:tcW w:w="474"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rPr>
                    <w:t>0.199</w:t>
                  </w:r>
                </w:p>
              </w:tc>
              <w:tc>
                <w:tcPr>
                  <w:tcW w:w="42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eastAsia="zh-CN"/>
                    </w:rPr>
                  </w:pPr>
                  <w:r>
                    <w:rPr>
                      <w:rFonts w:hint="eastAsia"/>
                      <w:color w:val="auto"/>
                      <w:sz w:val="21"/>
                      <w:szCs w:val="21"/>
                      <w:lang w:val="en-US" w:eastAsia="zh-CN"/>
                    </w:rPr>
                    <w:t>/</w:t>
                  </w:r>
                </w:p>
              </w:tc>
              <w:tc>
                <w:tcPr>
                  <w:tcW w:w="605"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lang w:val="en-US" w:eastAsia="zh-CN"/>
                    </w:rPr>
                    <w:t>车间阻隔</w:t>
                  </w:r>
                </w:p>
              </w:tc>
              <w:tc>
                <w:tcPr>
                  <w:tcW w:w="323"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rPr>
                  </w:pPr>
                  <w:r>
                    <w:rPr>
                      <w:rFonts w:hint="eastAsia"/>
                      <w:color w:val="auto"/>
                      <w:sz w:val="21"/>
                      <w:szCs w:val="21"/>
                      <w:lang w:val="en-US" w:eastAsia="zh-CN"/>
                    </w:rPr>
                    <w:t>95</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eastAsia="zh-CN"/>
                    </w:rPr>
                  </w:pPr>
                  <w:r>
                    <w:rPr>
                      <w:rFonts w:hint="eastAsia"/>
                      <w:color w:val="auto"/>
                      <w:sz w:val="21"/>
                      <w:szCs w:val="21"/>
                    </w:rPr>
                    <w:t>0.029</w:t>
                  </w:r>
                  <w:r>
                    <w:rPr>
                      <w:rFonts w:hint="eastAsia"/>
                      <w:color w:val="auto"/>
                      <w:sz w:val="21"/>
                      <w:szCs w:val="21"/>
                      <w:lang w:val="en-US" w:eastAsia="zh-CN"/>
                    </w:rPr>
                    <w:t>9</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sz w:val="21"/>
                      <w:szCs w:val="21"/>
                      <w:lang w:val="en-US" w:eastAsia="zh-CN"/>
                    </w:rPr>
                  </w:pPr>
                  <w:r>
                    <w:rPr>
                      <w:rFonts w:hint="eastAsia"/>
                      <w:color w:val="auto"/>
                      <w:sz w:val="21"/>
                      <w:szCs w:val="21"/>
                    </w:rPr>
                    <w:t>0.0</w:t>
                  </w:r>
                  <w:r>
                    <w:rPr>
                      <w:rFonts w:hint="eastAsia"/>
                      <w:color w:val="auto"/>
                      <w:sz w:val="21"/>
                      <w:szCs w:val="21"/>
                      <w:lang w:val="en-US" w:eastAsia="zh-CN"/>
                    </w:rPr>
                    <w:t>100</w:t>
                  </w:r>
                </w:p>
              </w:tc>
              <w:tc>
                <w:tcPr>
                  <w:tcW w:w="459"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1" w:hRule="atLeast"/>
                <w:jc w:val="center"/>
              </w:trPr>
              <w:tc>
                <w:tcPr>
                  <w:tcW w:w="480" w:type="pct"/>
                  <w:vMerge w:val="restar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ascii="Times New Roman" w:hAnsi="Times New Roman" w:eastAsia="宋体" w:cs="Times New Roman"/>
                      <w:color w:val="auto"/>
                      <w:sz w:val="21"/>
                      <w:szCs w:val="21"/>
                      <w:lang w:val="en-US" w:eastAsia="zh-CN"/>
                    </w:rPr>
                    <w:t>锻造废气</w:t>
                  </w:r>
                </w:p>
              </w:tc>
              <w:tc>
                <w:tcPr>
                  <w:tcW w:w="230" w:type="pct"/>
                  <w:vMerge w:val="restar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rPr>
                    <w:t>颗粒物</w:t>
                  </w:r>
                </w:p>
              </w:tc>
              <w:tc>
                <w:tcPr>
                  <w:tcW w:w="419"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lang w:val="en-US" w:eastAsia="zh-CN"/>
                    </w:rPr>
                    <w:t>有组织</w:t>
                  </w:r>
                </w:p>
              </w:tc>
              <w:tc>
                <w:tcPr>
                  <w:tcW w:w="29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p>
              </w:tc>
              <w:tc>
                <w:tcPr>
                  <w:tcW w:w="41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rPr>
                    <w:t>3.735</w:t>
                  </w:r>
                </w:p>
              </w:tc>
              <w:tc>
                <w:tcPr>
                  <w:tcW w:w="474"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rPr>
                    <w:t>1.245</w:t>
                  </w:r>
                </w:p>
              </w:tc>
              <w:tc>
                <w:tcPr>
                  <w:tcW w:w="42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sz w:val="21"/>
                      <w:szCs w:val="21"/>
                      <w:lang w:val="en-US" w:eastAsia="zh-CN"/>
                    </w:rPr>
                  </w:pPr>
                  <w:r>
                    <w:rPr>
                      <w:rFonts w:hint="default" w:eastAsia="宋体"/>
                      <w:color w:val="auto"/>
                      <w:sz w:val="21"/>
                      <w:szCs w:val="21"/>
                      <w:lang w:val="en-US" w:eastAsia="zh-CN"/>
                    </w:rPr>
                    <w:t>124.5</w:t>
                  </w:r>
                </w:p>
              </w:tc>
              <w:tc>
                <w:tcPr>
                  <w:tcW w:w="605"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rPr>
                    <w:t>布袋</w:t>
                  </w:r>
                </w:p>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rPr>
                    <w:t>除尘器</w:t>
                  </w:r>
                </w:p>
              </w:tc>
              <w:tc>
                <w:tcPr>
                  <w:tcW w:w="323"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sz w:val="21"/>
                      <w:szCs w:val="21"/>
                      <w:lang w:val="en-US" w:eastAsia="zh-CN"/>
                    </w:rPr>
                  </w:pPr>
                  <w:r>
                    <w:rPr>
                      <w:rFonts w:hint="eastAsia"/>
                      <w:color w:val="auto"/>
                      <w:sz w:val="21"/>
                      <w:szCs w:val="21"/>
                      <w:lang w:val="en-US" w:eastAsia="zh-CN"/>
                    </w:rPr>
                    <w:t>95</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sz w:val="21"/>
                      <w:szCs w:val="21"/>
                      <w:lang w:val="en-US" w:eastAsia="zh-CN"/>
                    </w:rPr>
                  </w:pPr>
                  <w:r>
                    <w:rPr>
                      <w:rFonts w:hint="default" w:eastAsia="宋体"/>
                      <w:color w:val="auto"/>
                      <w:sz w:val="21"/>
                      <w:szCs w:val="21"/>
                      <w:lang w:val="en-US" w:eastAsia="zh-CN"/>
                    </w:rPr>
                    <w:t>0.186</w:t>
                  </w:r>
                  <w:r>
                    <w:rPr>
                      <w:rFonts w:hint="eastAsia"/>
                      <w:color w:val="auto"/>
                      <w:sz w:val="21"/>
                      <w:szCs w:val="21"/>
                      <w:lang w:val="en-US" w:eastAsia="zh-CN"/>
                    </w:rPr>
                    <w:t>8</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eastAsia="zh-CN"/>
                    </w:rPr>
                  </w:pPr>
                  <w:r>
                    <w:rPr>
                      <w:rFonts w:hint="eastAsia"/>
                      <w:color w:val="auto"/>
                      <w:sz w:val="21"/>
                      <w:szCs w:val="21"/>
                    </w:rPr>
                    <w:t>0.062</w:t>
                  </w:r>
                  <w:r>
                    <w:rPr>
                      <w:rFonts w:hint="eastAsia"/>
                      <w:color w:val="auto"/>
                      <w:sz w:val="21"/>
                      <w:szCs w:val="21"/>
                      <w:lang w:val="en-US" w:eastAsia="zh-CN"/>
                    </w:rPr>
                    <w:t>3</w:t>
                  </w:r>
                </w:p>
              </w:tc>
              <w:tc>
                <w:tcPr>
                  <w:tcW w:w="459"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7" w:hRule="atLeast"/>
                <w:jc w:val="center"/>
              </w:trPr>
              <w:tc>
                <w:tcPr>
                  <w:tcW w:w="48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p>
              </w:tc>
              <w:tc>
                <w:tcPr>
                  <w:tcW w:w="23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p>
              </w:tc>
              <w:tc>
                <w:tcPr>
                  <w:tcW w:w="419"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lang w:val="en-US" w:eastAsia="zh-CN"/>
                    </w:rPr>
                    <w:t>无组织</w:t>
                  </w:r>
                </w:p>
              </w:tc>
              <w:tc>
                <w:tcPr>
                  <w:tcW w:w="29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p>
              </w:tc>
              <w:tc>
                <w:tcPr>
                  <w:tcW w:w="41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rPr>
                    <w:t>0.415</w:t>
                  </w:r>
                </w:p>
              </w:tc>
              <w:tc>
                <w:tcPr>
                  <w:tcW w:w="474"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rPr>
                    <w:t>0.1383</w:t>
                  </w:r>
                </w:p>
              </w:tc>
              <w:tc>
                <w:tcPr>
                  <w:tcW w:w="42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605"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lang w:val="en-US" w:eastAsia="zh-CN"/>
                    </w:rPr>
                    <w:t>车间阻隔</w:t>
                  </w:r>
                </w:p>
              </w:tc>
              <w:tc>
                <w:tcPr>
                  <w:tcW w:w="323"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sz w:val="21"/>
                      <w:szCs w:val="21"/>
                      <w:lang w:val="en-US" w:eastAsia="zh-CN"/>
                    </w:rPr>
                  </w:pPr>
                  <w:r>
                    <w:rPr>
                      <w:rFonts w:hint="eastAsia"/>
                      <w:color w:val="auto"/>
                      <w:sz w:val="21"/>
                      <w:szCs w:val="21"/>
                      <w:lang w:val="en-US" w:eastAsia="zh-CN"/>
                    </w:rPr>
                    <w:t>95</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eastAsia="zh-CN"/>
                    </w:rPr>
                  </w:pPr>
                  <w:r>
                    <w:rPr>
                      <w:rFonts w:hint="eastAsia"/>
                      <w:color w:val="auto"/>
                      <w:sz w:val="21"/>
                      <w:szCs w:val="21"/>
                    </w:rPr>
                    <w:t>0.020</w:t>
                  </w:r>
                  <w:r>
                    <w:rPr>
                      <w:rFonts w:hint="eastAsia"/>
                      <w:color w:val="auto"/>
                      <w:sz w:val="21"/>
                      <w:szCs w:val="21"/>
                      <w:lang w:val="en-US" w:eastAsia="zh-CN"/>
                    </w:rPr>
                    <w:t>8</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rPr>
                    <w:t>0.0069</w:t>
                  </w:r>
                </w:p>
              </w:tc>
              <w:tc>
                <w:tcPr>
                  <w:tcW w:w="459"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p>
              </w:tc>
            </w:tr>
          </w:tbl>
          <w:p>
            <w:pPr>
              <w:pStyle w:val="37"/>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bidi="ar"/>
              </w:rPr>
              <w:t>2）</w:t>
            </w:r>
            <w:r>
              <w:rPr>
                <w:rFonts w:hint="default" w:ascii="Times New Roman" w:hAnsi="Times New Roman" w:eastAsia="宋体" w:cs="Times New Roman"/>
                <w:color w:val="auto"/>
                <w:kern w:val="0"/>
                <w:sz w:val="24"/>
                <w:szCs w:val="24"/>
                <w:lang w:val="en-US" w:eastAsia="zh-CN" w:bidi="ar"/>
              </w:rPr>
              <w:t>抛丸、抛光废气</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①</w:t>
            </w:r>
            <w:r>
              <w:rPr>
                <w:rFonts w:hint="default" w:ascii="Times New Roman" w:hAnsi="Times New Roman" w:cs="Times New Roman"/>
                <w:color w:val="auto"/>
                <w:kern w:val="0"/>
                <w:sz w:val="24"/>
                <w:szCs w:val="24"/>
                <w:lang w:val="en-US" w:eastAsia="zh-CN" w:bidi="ar"/>
              </w:rPr>
              <w:t>抛光废气</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项目抛光过程会产生颗粒物，本项目金属水暖卫浴配件均配套有该工序，根据建设单位提供资料，抛光区所使用的原料为</w:t>
            </w:r>
            <w:r>
              <w:rPr>
                <w:rFonts w:hint="default" w:ascii="Times New Roman" w:hAnsi="Times New Roman" w:cs="Times New Roman"/>
                <w:color w:val="auto"/>
                <w:kern w:val="0"/>
                <w:sz w:val="24"/>
                <w:szCs w:val="24"/>
                <w:lang w:val="en-US" w:eastAsia="zh-CN" w:bidi="ar"/>
              </w:rPr>
              <w:t>8</w:t>
            </w:r>
            <w:r>
              <w:rPr>
                <w:rFonts w:hint="eastAsia" w:cs="Times New Roman"/>
                <w:color w:val="auto"/>
                <w:kern w:val="0"/>
                <w:sz w:val="24"/>
                <w:szCs w:val="24"/>
                <w:lang w:val="en-US" w:eastAsia="zh-CN" w:bidi="ar"/>
              </w:rPr>
              <w:t>6</w:t>
            </w:r>
            <w:r>
              <w:rPr>
                <w:rFonts w:hint="default" w:ascii="Times New Roman" w:hAnsi="Times New Roman" w:cs="Times New Roman"/>
                <w:color w:val="auto"/>
                <w:kern w:val="0"/>
                <w:sz w:val="24"/>
                <w:szCs w:val="24"/>
                <w:lang w:val="en-US" w:eastAsia="zh-CN" w:bidi="ar"/>
              </w:rPr>
              <w:t>00</w:t>
            </w:r>
            <w:r>
              <w:rPr>
                <w:rFonts w:hint="default" w:ascii="Times New Roman" w:hAnsi="Times New Roman" w:eastAsia="宋体" w:cs="Times New Roman"/>
                <w:color w:val="auto"/>
                <w:kern w:val="0"/>
                <w:sz w:val="24"/>
                <w:szCs w:val="24"/>
                <w:lang w:val="en-US" w:eastAsia="zh-CN" w:bidi="ar"/>
              </w:rPr>
              <w:t>t/a，鉴于生态环境部发布的《排放源统计调查产排污核算方法和系数手册》中的《机械行业系数手册》“预处理工段”未对抛光工艺颗粒物的产污系数作出规定，因此项目抛光工序产生的颗粒物产污系数参照“机械行业系数手册”预处理工段中抛丸、喷砂、打磨、滚筒工艺的颗粒物产污系数</w:t>
            </w:r>
            <w:r>
              <w:rPr>
                <w:rFonts w:hint="default" w:ascii="Times New Roman" w:hAnsi="Times New Roman"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2.19kg/t-原料</w:t>
            </w:r>
            <w:r>
              <w:rPr>
                <w:rFonts w:hint="default" w:ascii="Times New Roman" w:hAnsi="Times New Roman"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 xml:space="preserve">进行核算，则颗粒物产生量为18.834t/a，年工作时间为3000h，则废气产生速率为6.278kg/h。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废气收集后经设备自带的滤芯除尘后经1套布袋除尘器处理后由1根不低于15m高的排气筒</w:t>
            </w:r>
            <w:r>
              <w:rPr>
                <w:rFonts w:hint="eastAsia" w:cs="Times New Roman"/>
                <w:color w:val="auto"/>
                <w:kern w:val="0"/>
                <w:sz w:val="24"/>
                <w:szCs w:val="24"/>
                <w:lang w:val="en-US" w:eastAsia="zh-CN" w:bidi="ar"/>
              </w:rPr>
              <w:t>DA004</w:t>
            </w:r>
            <w:r>
              <w:rPr>
                <w:rFonts w:hint="default" w:ascii="Times New Roman" w:hAnsi="Times New Roman" w:eastAsia="宋体" w:cs="Times New Roman"/>
                <w:color w:val="auto"/>
                <w:kern w:val="0"/>
                <w:sz w:val="24"/>
                <w:szCs w:val="24"/>
                <w:lang w:val="en-US" w:eastAsia="zh-CN" w:bidi="ar"/>
              </w:rPr>
              <w:t>排放，抛光机为密闭设施，粉尘收集率按100%计，去除效率为95%，风机风量为15000m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/h。则有组织颗粒物排放量为0.9417t/a（0.3139kg/h）。</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②</w:t>
            </w:r>
            <w:r>
              <w:rPr>
                <w:rFonts w:hint="default" w:ascii="Times New Roman" w:hAnsi="Times New Roman" w:cs="Times New Roman"/>
                <w:color w:val="auto"/>
                <w:kern w:val="0"/>
                <w:sz w:val="24"/>
                <w:szCs w:val="24"/>
                <w:lang w:val="en-US" w:eastAsia="zh-CN" w:bidi="ar"/>
              </w:rPr>
              <w:t>抛</w:t>
            </w:r>
            <w:r>
              <w:rPr>
                <w:rFonts w:hint="eastAsia" w:cs="Times New Roman"/>
                <w:color w:val="auto"/>
                <w:kern w:val="0"/>
                <w:sz w:val="24"/>
                <w:szCs w:val="24"/>
                <w:lang w:val="en-US" w:eastAsia="zh-CN" w:bidi="ar"/>
              </w:rPr>
              <w:t>丸</w:t>
            </w:r>
            <w:r>
              <w:rPr>
                <w:rFonts w:hint="default" w:ascii="Times New Roman" w:hAnsi="Times New Roman" w:cs="Times New Roman"/>
                <w:color w:val="auto"/>
                <w:kern w:val="0"/>
                <w:sz w:val="24"/>
                <w:szCs w:val="24"/>
                <w:lang w:val="en-US" w:eastAsia="zh-CN" w:bidi="ar"/>
              </w:rPr>
              <w:t>废气</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cs="Times New Roman"/>
                <w:color w:val="auto"/>
                <w:lang w:val="en-US"/>
              </w:rPr>
            </w:pPr>
            <w:r>
              <w:rPr>
                <w:rFonts w:hint="default" w:ascii="Times New Roman" w:hAnsi="Times New Roman" w:eastAsia="宋体" w:cs="Times New Roman"/>
                <w:color w:val="auto"/>
                <w:kern w:val="0"/>
                <w:sz w:val="24"/>
                <w:szCs w:val="24"/>
                <w:lang w:val="en-US" w:eastAsia="zh-CN" w:bidi="ar"/>
              </w:rPr>
              <w:t>项目铜制品水龙头需利用抛丸机进行清理打磨，抛丸机为密闭设施，粉尘收集率按100%计，根据建设单位提供资料，项目抛丸区所使用的原料为3200t/a，参照“机械行业系数手册”预处理工段中抛丸、喷砂、打磨、滚筒工艺的颗粒物产污系数</w:t>
            </w:r>
            <w:r>
              <w:rPr>
                <w:rFonts w:hint="default" w:ascii="Times New Roman" w:hAnsi="Times New Roman"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2.19kg/t-原料</w:t>
            </w:r>
            <w:r>
              <w:rPr>
                <w:rFonts w:hint="default" w:ascii="Times New Roman" w:hAnsi="Times New Roman"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进行核算</w:t>
            </w:r>
            <w:r>
              <w:rPr>
                <w:rFonts w:hint="default" w:ascii="Times New Roman" w:hAnsi="Times New Roman" w:cs="Times New Roman"/>
                <w:color w:val="auto"/>
                <w:kern w:val="0"/>
                <w:sz w:val="24"/>
                <w:szCs w:val="24"/>
                <w:lang w:val="en-US" w:eastAsia="zh-CN" w:bidi="ar"/>
              </w:rPr>
              <w:t>，项目</w:t>
            </w:r>
            <w:r>
              <w:rPr>
                <w:rFonts w:hint="default" w:ascii="Times New Roman" w:hAnsi="Times New Roman" w:eastAsia="宋体" w:cs="Times New Roman"/>
                <w:color w:val="auto"/>
                <w:kern w:val="0"/>
                <w:sz w:val="24"/>
                <w:szCs w:val="24"/>
                <w:lang w:val="en-US" w:eastAsia="zh-CN" w:bidi="ar"/>
              </w:rPr>
              <w:t>抛丸工序粉尘产生量约7.008t/a，抛丸工序年工作时间为3000h，则粉尘产生速率为2.336kg/h。项目使用的抛丸机工作时密闭空间，废气收集后</w:t>
            </w:r>
            <w:r>
              <w:rPr>
                <w:rFonts w:hint="eastAsia" w:cs="Times New Roman"/>
                <w:color w:val="auto"/>
                <w:kern w:val="0"/>
                <w:sz w:val="24"/>
                <w:szCs w:val="24"/>
                <w:lang w:val="en-US" w:eastAsia="zh-CN" w:bidi="ar"/>
              </w:rPr>
              <w:t>经</w:t>
            </w:r>
            <w:r>
              <w:rPr>
                <w:rFonts w:hint="default" w:ascii="Times New Roman" w:hAnsi="Times New Roman" w:eastAsia="宋体" w:cs="Times New Roman"/>
                <w:color w:val="auto"/>
                <w:kern w:val="0"/>
                <w:sz w:val="24"/>
                <w:szCs w:val="24"/>
                <w:lang w:val="en-US" w:eastAsia="zh-CN" w:bidi="ar"/>
              </w:rPr>
              <w:t>1套布袋除尘器处理后</w:t>
            </w:r>
            <w:r>
              <w:rPr>
                <w:rFonts w:hint="eastAsia" w:cs="Times New Roman"/>
                <w:color w:val="auto"/>
                <w:kern w:val="0"/>
                <w:sz w:val="24"/>
                <w:szCs w:val="24"/>
                <w:lang w:val="en-US" w:eastAsia="zh-CN" w:bidi="ar"/>
              </w:rPr>
              <w:t>汇入排气筒</w:t>
            </w:r>
            <w:r>
              <w:rPr>
                <w:rFonts w:hint="default" w:ascii="Times New Roman" w:hAnsi="Times New Roman" w:eastAsia="宋体" w:cs="Times New Roman"/>
                <w:color w:val="auto"/>
                <w:kern w:val="0"/>
                <w:sz w:val="24"/>
                <w:szCs w:val="24"/>
                <w:lang w:val="en-US" w:eastAsia="zh-CN" w:bidi="ar"/>
              </w:rPr>
              <w:t>DA00</w:t>
            </w:r>
            <w:r>
              <w:rPr>
                <w:rFonts w:hint="eastAsia" w:cs="Times New Roman"/>
                <w:color w:val="auto"/>
                <w:kern w:val="0"/>
                <w:sz w:val="24"/>
                <w:szCs w:val="24"/>
                <w:lang w:val="en-US" w:eastAsia="zh-CN" w:bidi="ar"/>
              </w:rPr>
              <w:t>4</w:t>
            </w:r>
            <w:r>
              <w:rPr>
                <w:rFonts w:hint="default" w:ascii="Times New Roman" w:hAnsi="Times New Roman" w:eastAsia="宋体" w:cs="Times New Roman"/>
                <w:color w:val="auto"/>
                <w:kern w:val="0"/>
                <w:sz w:val="24"/>
                <w:szCs w:val="24"/>
                <w:lang w:val="en-US" w:eastAsia="zh-CN" w:bidi="ar"/>
              </w:rPr>
              <w:t>排放，粉尘收集率按100%计，去除效率为95%，风机风量为1</w:t>
            </w:r>
            <w:r>
              <w:rPr>
                <w:rFonts w:hint="default" w:ascii="Times New Roman" w:hAnsi="Times New Roman" w:cs="Times New Roman"/>
                <w:color w:val="auto"/>
                <w:kern w:val="0"/>
                <w:sz w:val="24"/>
                <w:szCs w:val="24"/>
                <w:lang w:val="en-US" w:eastAsia="zh-CN" w:bidi="ar"/>
              </w:rPr>
              <w:t>0</w:t>
            </w:r>
            <w:r>
              <w:rPr>
                <w:rFonts w:hint="default" w:ascii="Times New Roman" w:hAnsi="Times New Roman" w:eastAsia="宋体" w:cs="Times New Roman"/>
                <w:color w:val="auto"/>
                <w:kern w:val="0"/>
                <w:sz w:val="24"/>
                <w:szCs w:val="24"/>
                <w:lang w:val="en-US" w:eastAsia="zh-CN" w:bidi="ar"/>
              </w:rPr>
              <w:t>000m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/h。则有组织颗粒物排放量为0.3504t/a（0.1168kg/h）。</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ind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r>
              <w:rPr>
                <w:rFonts w:hint="eastAsia" w:ascii="Times New Roman" w:eastAsia="宋体" w:cs="Times New Roman"/>
                <w:color w:val="auto"/>
                <w:highlight w:val="none"/>
                <w:lang w:val="en-US" w:eastAsia="zh-CN"/>
              </w:rPr>
              <w:t>4</w:t>
            </w:r>
            <w:r>
              <w:rPr>
                <w:rFonts w:hint="default" w:ascii="Times New Roman" w:hAnsi="Times New Roman" w:eastAsia="宋体" w:cs="Times New Roman"/>
                <w:color w:val="auto"/>
                <w:highlight w:val="none"/>
                <w:lang w:val="en-US" w:eastAsia="zh-CN"/>
              </w:rPr>
              <w:t>）注塑废气</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eastAsia"/>
                <w:color w:val="auto"/>
                <w:sz w:val="24"/>
                <w:highlight w:val="none"/>
              </w:rPr>
            </w:pPr>
            <w:r>
              <w:rPr>
                <w:rFonts w:hint="eastAsia"/>
                <w:color w:val="auto"/>
                <w:sz w:val="24"/>
                <w:highlight w:val="none"/>
                <w:lang w:eastAsia="zh-CN"/>
              </w:rPr>
              <w:t>项目</w:t>
            </w:r>
            <w:r>
              <w:rPr>
                <w:rFonts w:hint="eastAsia"/>
                <w:color w:val="auto"/>
                <w:sz w:val="24"/>
                <w:highlight w:val="none"/>
                <w:lang w:val="en-US" w:eastAsia="zh-CN"/>
              </w:rPr>
              <w:t>ABS塑料米</w:t>
            </w:r>
            <w:r>
              <w:rPr>
                <w:rFonts w:hint="eastAsia"/>
                <w:color w:val="auto"/>
                <w:kern w:val="0"/>
                <w:sz w:val="24"/>
                <w:highlight w:val="none"/>
              </w:rPr>
              <w:t>颗粒较大</w:t>
            </w:r>
            <w:r>
              <w:rPr>
                <w:color w:val="auto"/>
                <w:kern w:val="0"/>
                <w:sz w:val="24"/>
                <w:highlight w:val="none"/>
              </w:rPr>
              <w:t>，搅拌过程为密闭搅拌，不产生粉尘</w:t>
            </w:r>
            <w:r>
              <w:rPr>
                <w:rFonts w:hint="eastAsia"/>
                <w:color w:val="auto"/>
                <w:sz w:val="24"/>
                <w:highlight w:val="none"/>
                <w:lang w:eastAsia="zh-CN"/>
              </w:rPr>
              <w:t>；</w:t>
            </w:r>
            <w:r>
              <w:rPr>
                <w:rFonts w:hint="eastAsia"/>
                <w:color w:val="auto"/>
                <w:kern w:val="0"/>
                <w:sz w:val="24"/>
                <w:highlight w:val="none"/>
              </w:rPr>
              <w:t>塑料边角料破碎后塑料颗粒均较大，且破碎过程为密闭破碎，基本无粉尘排放</w:t>
            </w:r>
            <w:r>
              <w:rPr>
                <w:rFonts w:hint="eastAsia"/>
                <w:color w:val="auto"/>
                <w:kern w:val="0"/>
                <w:sz w:val="24"/>
                <w:highlight w:val="none"/>
                <w:lang w:eastAsia="zh-CN"/>
              </w:rPr>
              <w:t>，生产废气主要为</w:t>
            </w:r>
            <w:r>
              <w:rPr>
                <w:rFonts w:hint="eastAsia"/>
                <w:color w:val="auto"/>
                <w:sz w:val="24"/>
                <w:highlight w:val="none"/>
                <w:lang w:val="en-US" w:eastAsia="zh-CN"/>
              </w:rPr>
              <w:t>ABS塑料米</w:t>
            </w:r>
            <w:r>
              <w:rPr>
                <w:rFonts w:hint="eastAsia"/>
                <w:color w:val="auto"/>
                <w:kern w:val="0"/>
                <w:sz w:val="24"/>
                <w:highlight w:val="none"/>
                <w:lang w:eastAsia="zh-CN"/>
              </w:rPr>
              <w:t>注塑受热产生的少量有机废气，主要为非甲烷总烃，无恶臭产生</w:t>
            </w:r>
            <w:r>
              <w:rPr>
                <w:rFonts w:hint="eastAsia"/>
                <w:color w:val="auto"/>
                <w:sz w:val="24"/>
                <w:highlight w:val="none"/>
                <w:lang w:eastAsia="zh-CN"/>
              </w:rPr>
              <w:t>。</w:t>
            </w:r>
            <w:r>
              <w:rPr>
                <w:rFonts w:hint="eastAsia" w:cs="Times New Roman"/>
                <w:b w:val="0"/>
                <w:bCs w:val="0"/>
                <w:color w:val="auto"/>
                <w:kern w:val="0"/>
                <w:sz w:val="24"/>
                <w:szCs w:val="24"/>
                <w:highlight w:val="none"/>
                <w:lang w:val="en-US" w:eastAsia="zh-CN" w:bidi="ar"/>
              </w:rPr>
              <w:t>根据《空气污染物排放和控制手册》（美国国家环保局）中推荐的塑料加工排放废气系数，排放系数为0.35kg/t-原料，项目原料ABS塑料米使用总量为3000t/a，</w:t>
            </w:r>
            <w:r>
              <w:rPr>
                <w:rFonts w:hint="eastAsia" w:ascii="Times New Roman" w:hAnsi="Times New Roman" w:eastAsia="宋体" w:cs="Times New Roman"/>
                <w:color w:val="auto"/>
                <w:sz w:val="24"/>
                <w:highlight w:val="none"/>
                <w:lang w:val="en-US" w:eastAsia="zh-CN"/>
              </w:rPr>
              <w:t>则非甲烷总烃产生量为1.05t/a。</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sz w:val="24"/>
                <w:highlight w:val="none"/>
                <w:lang w:eastAsia="zh-CN"/>
              </w:rPr>
              <w:t>项目拟在注塑机上方</w:t>
            </w:r>
            <w:r>
              <w:rPr>
                <w:rFonts w:hint="eastAsia"/>
                <w:color w:val="auto"/>
                <w:sz w:val="24"/>
                <w:highlight w:val="none"/>
                <w:lang w:eastAsia="zh-CN"/>
              </w:rPr>
              <w:t>设置集气罩，</w:t>
            </w:r>
            <w:r>
              <w:rPr>
                <w:rFonts w:hint="eastAsia"/>
                <w:color w:val="auto"/>
                <w:sz w:val="24"/>
                <w:highlight w:val="none"/>
                <w:lang w:val="en-US" w:eastAsia="zh-CN"/>
              </w:rPr>
              <w:t>收集的挥发性有机物汇同汇入二级</w:t>
            </w:r>
            <w:r>
              <w:rPr>
                <w:rFonts w:hint="default" w:ascii="Times New Roman" w:hAnsi="Times New Roman" w:eastAsia="宋体" w:cs="Times New Roman"/>
                <w:color w:val="auto"/>
                <w:sz w:val="24"/>
                <w:highlight w:val="none"/>
                <w:lang w:eastAsia="zh-CN"/>
              </w:rPr>
              <w:t>活性炭</w:t>
            </w:r>
            <w:r>
              <w:rPr>
                <w:rFonts w:hint="default" w:ascii="Times New Roman" w:hAnsi="Times New Roman" w:eastAsia="宋体" w:cs="Times New Roman"/>
                <w:color w:val="auto"/>
                <w:sz w:val="24"/>
                <w:highlight w:val="none"/>
              </w:rPr>
              <w:t>吸附装置净化处理</w:t>
            </w:r>
            <w:r>
              <w:rPr>
                <w:rFonts w:hint="eastAsia" w:ascii="Times New Roman" w:hAnsi="Times New Roman" w:eastAsia="宋体" w:cs="Times New Roman"/>
                <w:color w:val="auto"/>
                <w:sz w:val="24"/>
                <w:highlight w:val="none"/>
                <w:lang w:eastAsia="zh-CN"/>
              </w:rPr>
              <w:t>，废气净化后</w:t>
            </w:r>
            <w:r>
              <w:rPr>
                <w:rFonts w:hint="default" w:ascii="Times New Roman" w:hAnsi="Times New Roman" w:eastAsia="宋体" w:cs="Times New Roman"/>
                <w:color w:val="auto"/>
                <w:sz w:val="24"/>
                <w:highlight w:val="none"/>
              </w:rPr>
              <w:t>通过</w:t>
            </w:r>
            <w:r>
              <w:rPr>
                <w:rFonts w:hint="default" w:ascii="Times New Roman" w:hAnsi="Times New Roman" w:eastAsia="宋体" w:cs="Times New Roman"/>
                <w:color w:val="auto"/>
                <w:sz w:val="24"/>
                <w:highlight w:val="none"/>
                <w:lang w:val="en-US" w:eastAsia="zh-CN"/>
              </w:rPr>
              <w:t>15</w:t>
            </w:r>
            <w:r>
              <w:rPr>
                <w:rFonts w:hint="default" w:ascii="Times New Roman" w:hAnsi="Times New Roman" w:eastAsia="宋体" w:cs="Times New Roman"/>
                <w:color w:val="auto"/>
                <w:sz w:val="24"/>
                <w:highlight w:val="none"/>
              </w:rPr>
              <w:t>m高排气筒</w:t>
            </w:r>
            <w:r>
              <w:rPr>
                <w:rFonts w:hint="default" w:ascii="Times New Roman" w:hAnsi="Times New Roman" w:eastAsia="宋体" w:cs="Times New Roman"/>
                <w:bCs/>
                <w:color w:val="auto"/>
                <w:sz w:val="24"/>
                <w:highlight w:val="none"/>
              </w:rPr>
              <w:t>（DA00</w:t>
            </w:r>
            <w:r>
              <w:rPr>
                <w:rFonts w:hint="eastAsia" w:cs="Times New Roman"/>
                <w:bCs/>
                <w:color w:val="auto"/>
                <w:sz w:val="24"/>
                <w:highlight w:val="none"/>
                <w:lang w:val="en-US" w:eastAsia="zh-CN"/>
              </w:rPr>
              <w:t>5</w:t>
            </w:r>
            <w:r>
              <w:rPr>
                <w:rFonts w:hint="default" w:ascii="Times New Roman" w:hAnsi="Times New Roman" w:eastAsia="宋体" w:cs="Times New Roman"/>
                <w:bCs/>
                <w:color w:val="auto"/>
                <w:sz w:val="24"/>
                <w:highlight w:val="none"/>
              </w:rPr>
              <w:t>）</w:t>
            </w:r>
            <w:r>
              <w:rPr>
                <w:rFonts w:hint="default" w:ascii="Times New Roman" w:hAnsi="Times New Roman" w:eastAsia="宋体" w:cs="Times New Roman"/>
                <w:color w:val="auto"/>
                <w:sz w:val="24"/>
                <w:highlight w:val="none"/>
              </w:rPr>
              <w:t>排放</w:t>
            </w:r>
            <w:r>
              <w:rPr>
                <w:rFonts w:hint="eastAsia" w:ascii="Times New Roman" w:hAnsi="Times New Roman" w:eastAsia="宋体" w:cs="Times New Roman"/>
                <w:color w:val="auto"/>
                <w:sz w:val="24"/>
                <w:highlight w:val="none"/>
                <w:lang w:eastAsia="zh-CN"/>
              </w:rPr>
              <w:t>，</w:t>
            </w:r>
            <w:r>
              <w:rPr>
                <w:rFonts w:hint="eastAsia" w:ascii="宋体" w:hAnsi="宋体" w:eastAsia="宋体" w:cs="宋体"/>
                <w:color w:val="auto"/>
                <w:kern w:val="0"/>
                <w:sz w:val="24"/>
                <w:szCs w:val="24"/>
                <w:highlight w:val="none"/>
                <w:lang w:val="en-US" w:eastAsia="zh-CN" w:bidi="ar"/>
              </w:rPr>
              <w:t>风机风量</w:t>
            </w:r>
            <w:r>
              <w:rPr>
                <w:rFonts w:hint="default" w:ascii="Times New Roman" w:hAnsi="Times New Roman" w:eastAsia="宋体" w:cs="Times New Roman"/>
                <w:color w:val="auto"/>
                <w:kern w:val="0"/>
                <w:sz w:val="24"/>
                <w:szCs w:val="24"/>
                <w:highlight w:val="none"/>
                <w:lang w:val="en-US" w:eastAsia="zh-CN" w:bidi="ar"/>
              </w:rPr>
              <w:t>5000</w:t>
            </w:r>
            <w:r>
              <w:rPr>
                <w:rFonts w:hint="eastAsia" w:ascii="Times New Roman" w:hAnsi="Times New Roman" w:eastAsia="宋体" w:cs="Times New Roman"/>
                <w:color w:val="auto"/>
                <w:kern w:val="0"/>
                <w:sz w:val="24"/>
                <w:szCs w:val="24"/>
                <w:highlight w:val="none"/>
                <w:lang w:val="en-US" w:eastAsia="zh-CN" w:bidi="ar"/>
              </w:rPr>
              <w:t>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/h</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sz w:val="24"/>
                <w:highlight w:val="none"/>
              </w:rPr>
              <w:t>废气收</w:t>
            </w:r>
            <w:r>
              <w:rPr>
                <w:rFonts w:hint="default" w:ascii="Times New Roman" w:hAnsi="Times New Roman" w:eastAsia="宋体" w:cs="Times New Roman"/>
                <w:color w:val="auto"/>
                <w:sz w:val="24"/>
                <w:szCs w:val="24"/>
                <w:highlight w:val="none"/>
              </w:rPr>
              <w:t>集效率为</w:t>
            </w:r>
            <w:r>
              <w:rPr>
                <w:rFonts w:hint="eastAsia" w:cs="Times New Roman"/>
                <w:color w:val="auto"/>
                <w:sz w:val="24"/>
                <w:szCs w:val="24"/>
                <w:highlight w:val="none"/>
                <w:lang w:val="en-US" w:eastAsia="zh-CN"/>
              </w:rPr>
              <w:t>9</w:t>
            </w: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处理效率为50%，</w:t>
            </w:r>
            <w:r>
              <w:rPr>
                <w:rFonts w:hint="eastAsia" w:ascii="宋体" w:hAnsi="宋体" w:eastAsia="宋体" w:cs="宋体"/>
                <w:color w:val="auto"/>
                <w:kern w:val="0"/>
                <w:sz w:val="24"/>
                <w:szCs w:val="24"/>
                <w:highlight w:val="none"/>
                <w:lang w:val="en-US" w:eastAsia="zh-CN" w:bidi="ar"/>
              </w:rPr>
              <w:t>非甲烷总烃有组织排放量为</w:t>
            </w:r>
            <w:r>
              <w:rPr>
                <w:rFonts w:hint="eastAsia" w:ascii="Times New Roman" w:hAnsi="Times New Roman" w:eastAsia="宋体" w:cs="Times New Roman"/>
                <w:color w:val="auto"/>
                <w:kern w:val="0"/>
                <w:sz w:val="24"/>
                <w:szCs w:val="24"/>
                <w:highlight w:val="none"/>
                <w:lang w:val="en-US" w:eastAsia="zh-CN" w:bidi="ar"/>
              </w:rPr>
              <w:t>0.4725</w:t>
            </w:r>
            <w:r>
              <w:rPr>
                <w:rFonts w:hint="default" w:ascii="Times New Roman" w:hAnsi="Times New Roman" w:eastAsia="宋体" w:cs="Times New Roman"/>
                <w:color w:val="auto"/>
                <w:kern w:val="0"/>
                <w:sz w:val="24"/>
                <w:szCs w:val="24"/>
                <w:highlight w:val="none"/>
                <w:lang w:val="en-US" w:eastAsia="zh-CN" w:bidi="ar"/>
              </w:rPr>
              <w:t>t/a</w:t>
            </w:r>
            <w:r>
              <w:rPr>
                <w:rFonts w:hint="eastAsia" w:ascii="宋体" w:hAnsi="宋体" w:eastAsia="宋体" w:cs="宋体"/>
                <w:color w:val="auto"/>
                <w:kern w:val="0"/>
                <w:sz w:val="24"/>
                <w:szCs w:val="24"/>
                <w:highlight w:val="none"/>
                <w:lang w:val="en-US" w:eastAsia="zh-CN" w:bidi="ar"/>
              </w:rPr>
              <w:t>，排放速率为</w:t>
            </w:r>
            <w:r>
              <w:rPr>
                <w:rFonts w:hint="default" w:ascii="Times New Roman" w:hAnsi="Times New Roman" w:eastAsia="宋体" w:cs="Times New Roman"/>
                <w:color w:val="auto"/>
                <w:kern w:val="0"/>
                <w:sz w:val="24"/>
                <w:szCs w:val="24"/>
                <w:highlight w:val="none"/>
                <w:lang w:val="en-US" w:eastAsia="zh-CN" w:bidi="ar"/>
              </w:rPr>
              <w:t>0.1575kg/h</w:t>
            </w:r>
            <w:r>
              <w:rPr>
                <w:rFonts w:hint="eastAsia" w:ascii="宋体" w:hAnsi="宋体" w:eastAsia="宋体" w:cs="宋体"/>
                <w:color w:val="auto"/>
                <w:kern w:val="0"/>
                <w:sz w:val="24"/>
                <w:szCs w:val="24"/>
                <w:highlight w:val="none"/>
                <w:lang w:val="en-US" w:eastAsia="zh-CN" w:bidi="ar"/>
              </w:rPr>
              <w:t>，排放</w:t>
            </w:r>
            <w:r>
              <w:rPr>
                <w:rFonts w:hint="default" w:ascii="Times New Roman" w:hAnsi="Times New Roman" w:eastAsia="宋体" w:cs="Times New Roman"/>
                <w:color w:val="auto"/>
                <w:kern w:val="0"/>
                <w:sz w:val="24"/>
                <w:szCs w:val="24"/>
                <w:highlight w:val="none"/>
                <w:lang w:val="en-US" w:eastAsia="zh-CN" w:bidi="ar"/>
              </w:rPr>
              <w:t>浓度为</w:t>
            </w:r>
            <w:r>
              <w:rPr>
                <w:rFonts w:hint="eastAsia" w:cs="Times New Roman"/>
                <w:color w:val="auto"/>
                <w:kern w:val="0"/>
                <w:sz w:val="24"/>
                <w:szCs w:val="24"/>
                <w:highlight w:val="none"/>
                <w:lang w:val="en-US" w:eastAsia="zh-CN" w:bidi="ar"/>
              </w:rPr>
              <w:t>31.5</w:t>
            </w:r>
            <w:r>
              <w:rPr>
                <w:rFonts w:hint="default" w:ascii="Times New Roman" w:hAnsi="Times New Roman" w:eastAsia="宋体" w:cs="Times New Roman"/>
                <w:color w:val="auto"/>
                <w:kern w:val="0"/>
                <w:sz w:val="24"/>
                <w:szCs w:val="24"/>
                <w:highlight w:val="none"/>
                <w:lang w:val="en-US" w:eastAsia="zh-CN" w:bidi="ar"/>
              </w:rPr>
              <w:t>mg/m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未被收集</w:t>
            </w:r>
            <w:r>
              <w:rPr>
                <w:rFonts w:hint="default" w:ascii="Times New Roman" w:hAnsi="Times New Roman" w:cs="Times New Roman"/>
                <w:color w:val="auto"/>
                <w:kern w:val="0"/>
                <w:sz w:val="24"/>
                <w:szCs w:val="24"/>
                <w:highlight w:val="none"/>
                <w:lang w:val="en-US" w:eastAsia="zh-CN" w:bidi="ar"/>
              </w:rPr>
              <w:t>的</w:t>
            </w:r>
            <w:r>
              <w:rPr>
                <w:rFonts w:hint="eastAsia" w:cs="Times New Roman"/>
                <w:color w:val="auto"/>
                <w:kern w:val="0"/>
                <w:sz w:val="24"/>
                <w:szCs w:val="24"/>
                <w:highlight w:val="none"/>
                <w:lang w:val="en-US" w:eastAsia="zh-CN" w:bidi="ar"/>
              </w:rPr>
              <w:t>1</w:t>
            </w:r>
            <w:r>
              <w:rPr>
                <w:rFonts w:hint="default" w:ascii="Times New Roman" w:hAnsi="Times New Roman" w:cs="Times New Roman"/>
                <w:color w:val="auto"/>
                <w:kern w:val="0"/>
                <w:sz w:val="24"/>
                <w:szCs w:val="24"/>
                <w:highlight w:val="none"/>
                <w:lang w:val="en-US" w:eastAsia="zh-CN" w:bidi="ar"/>
              </w:rPr>
              <w:t>0%</w:t>
            </w:r>
            <w:r>
              <w:rPr>
                <w:rFonts w:hint="default" w:ascii="Times New Roman" w:hAnsi="Times New Roman" w:eastAsia="宋体" w:cs="Times New Roman"/>
                <w:color w:val="auto"/>
                <w:kern w:val="0"/>
                <w:sz w:val="24"/>
                <w:szCs w:val="24"/>
                <w:highlight w:val="none"/>
                <w:lang w:val="en-US" w:eastAsia="zh-CN" w:bidi="ar"/>
              </w:rPr>
              <w:t>废气以无组织形式排放，</w:t>
            </w:r>
            <w:r>
              <w:rPr>
                <w:rFonts w:hint="default" w:ascii="Times New Roman" w:hAnsi="Times New Roman" w:cs="Times New Roman"/>
                <w:color w:val="auto"/>
                <w:kern w:val="0"/>
                <w:sz w:val="24"/>
                <w:szCs w:val="24"/>
                <w:highlight w:val="none"/>
                <w:lang w:val="en-US" w:eastAsia="zh-CN" w:bidi="ar"/>
              </w:rPr>
              <w:t>无</w:t>
            </w:r>
            <w:r>
              <w:rPr>
                <w:rFonts w:hint="default" w:ascii="Times New Roman" w:hAnsi="Times New Roman" w:eastAsia="宋体" w:cs="Times New Roman"/>
                <w:color w:val="auto"/>
                <w:kern w:val="0"/>
                <w:sz w:val="24"/>
                <w:szCs w:val="24"/>
                <w:highlight w:val="none"/>
                <w:lang w:val="en-US" w:eastAsia="zh-CN" w:bidi="ar"/>
              </w:rPr>
              <w:t>组织排放量为</w:t>
            </w:r>
            <w:r>
              <w:rPr>
                <w:rFonts w:hint="default" w:ascii="Times New Roman" w:hAnsi="Times New Roman" w:cs="Times New Roman"/>
                <w:color w:val="auto"/>
                <w:kern w:val="0"/>
                <w:sz w:val="24"/>
                <w:szCs w:val="24"/>
                <w:highlight w:val="none"/>
                <w:lang w:val="en-US" w:eastAsia="zh-CN" w:bidi="ar"/>
              </w:rPr>
              <w:t>0.105</w:t>
            </w:r>
            <w:r>
              <w:rPr>
                <w:rFonts w:hint="default" w:ascii="Times New Roman" w:hAnsi="Times New Roman" w:eastAsia="宋体" w:cs="Times New Roman"/>
                <w:color w:val="auto"/>
                <w:kern w:val="0"/>
                <w:sz w:val="24"/>
                <w:szCs w:val="24"/>
                <w:highlight w:val="none"/>
                <w:lang w:val="en-US" w:eastAsia="zh-CN" w:bidi="ar"/>
              </w:rPr>
              <w:t xml:space="preserve"> t/a，排放速率为0.035 kg/h。</w:t>
            </w:r>
          </w:p>
          <w:p>
            <w:pPr>
              <w:pStyle w:val="34"/>
              <w:keepNext w:val="0"/>
              <w:keepLines w:val="0"/>
              <w:pageBreakBefore w:val="0"/>
              <w:widowControl w:val="0"/>
              <w:kinsoku/>
              <w:wordWrap/>
              <w:overflowPunct/>
              <w:topLinePunct w:val="0"/>
              <w:autoSpaceDE/>
              <w:autoSpaceDN/>
              <w:bidi w:val="0"/>
              <w:adjustRightInd w:val="0"/>
              <w:snapToGrid w:val="0"/>
              <w:spacing w:after="0"/>
              <w:ind w:left="0" w:left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根据《合成树脂工业污染物排放标准》（GB31572-2015）附录B，项目注塑废气排气筒非甲烷总烃的排放</w:t>
            </w:r>
            <w:r>
              <w:rPr>
                <w:rFonts w:hint="eastAsia" w:ascii="Times New Roman" w:hAnsi="Times New Roman" w:cs="Times New Roman"/>
                <w:color w:val="auto"/>
                <w:kern w:val="0"/>
                <w:sz w:val="24"/>
                <w:szCs w:val="24"/>
                <w:highlight w:val="none"/>
                <w:lang w:val="en-US" w:eastAsia="zh-CN" w:bidi="ar"/>
              </w:rPr>
              <w:t>量</w:t>
            </w:r>
            <w:r>
              <w:rPr>
                <w:rFonts w:hint="default" w:ascii="Times New Roman" w:hAnsi="Times New Roman" w:eastAsia="宋体" w:cs="Times New Roman"/>
                <w:color w:val="auto"/>
                <w:kern w:val="0"/>
                <w:sz w:val="24"/>
                <w:szCs w:val="24"/>
                <w:highlight w:val="none"/>
                <w:lang w:val="en-US" w:eastAsia="zh-CN" w:bidi="ar"/>
              </w:rPr>
              <w:t>为</w:t>
            </w:r>
            <w:r>
              <w:rPr>
                <w:rFonts w:hint="eastAsia" w:ascii="Times New Roman" w:hAnsi="Times New Roman" w:cs="Times New Roman"/>
                <w:color w:val="auto"/>
                <w:kern w:val="0"/>
                <w:sz w:val="24"/>
                <w:szCs w:val="24"/>
                <w:highlight w:val="none"/>
                <w:lang w:val="en-US" w:eastAsia="zh-CN"/>
              </w:rPr>
              <w:t>0.4725t/a</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cs="Times New Roman"/>
                <w:color w:val="auto"/>
                <w:kern w:val="0"/>
                <w:sz w:val="24"/>
                <w:szCs w:val="24"/>
                <w:highlight w:val="none"/>
                <w:lang w:val="en-US" w:eastAsia="zh-CN" w:bidi="ar"/>
              </w:rPr>
              <w:t>产品3000t/a</w:t>
            </w:r>
            <w:r>
              <w:rPr>
                <w:rFonts w:hint="default" w:ascii="Times New Roman" w:hAnsi="Times New Roman" w:eastAsia="宋体" w:cs="Times New Roman"/>
                <w:color w:val="auto"/>
                <w:kern w:val="0"/>
                <w:sz w:val="24"/>
                <w:szCs w:val="24"/>
                <w:highlight w:val="none"/>
                <w:lang w:val="en-US" w:eastAsia="zh-CN" w:bidi="ar"/>
              </w:rPr>
              <w:t>，由此计算出单位产品非甲烷总烃的排放量为0.0945kg/t，低于《合成树脂工业污染物排放标准》（GB31572-2015）表4标准限值（0.5kg/t产品）</w:t>
            </w:r>
            <w:r>
              <w:rPr>
                <w:rFonts w:hint="default" w:ascii="Times New Roman" w:hAnsi="Times New Roman" w:eastAsia="宋体" w:cs="Times New Roman"/>
                <w:color w:val="auto"/>
                <w:sz w:val="24"/>
                <w:highlight w:val="none"/>
                <w:lang w:val="en-US" w:eastAsia="zh-CN"/>
              </w:rPr>
              <w:t>。</w:t>
            </w:r>
          </w:p>
          <w:p>
            <w:pPr>
              <w:pStyle w:val="1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（5）喷漆、烘干废气</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根据查阅生态环境部发布的《排放源统计调查产排污核算方法和系数手册》中“211 木质家具制造行业系数表”，该系数手册未列明喷漆、烘干工序的产污系数，本评价参照《排放源统计调查产排污核算方法和系数手册》“203 木质制品制造行业系数手册”中喷漆工段，项目喷漆、烘干废气产污系数详见表4.2-</w:t>
            </w:r>
            <w:r>
              <w:rPr>
                <w:rFonts w:hint="eastAsia" w:cs="Times New Roman"/>
                <w:color w:val="auto"/>
                <w:kern w:val="0"/>
                <w:sz w:val="24"/>
                <w:szCs w:val="24"/>
                <w:highlight w:val="none"/>
                <w:lang w:val="en-US" w:eastAsia="zh-CN" w:bidi="ar"/>
              </w:rPr>
              <w:t>3</w:t>
            </w:r>
            <w:r>
              <w:rPr>
                <w:rFonts w:hint="default"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jc w:val="center"/>
              <w:textAlignment w:val="auto"/>
              <w:rPr>
                <w:rFonts w:hint="default" w:ascii="Times New Roman" w:hAnsi="Times New Roman" w:eastAsia="宋体" w:cs="Times New Roman"/>
                <w:b/>
                <w:color w:val="auto"/>
                <w:sz w:val="24"/>
                <w:highlight w:val="none"/>
                <w:lang w:val="en-US" w:eastAsia="zh-CN"/>
              </w:rPr>
            </w:pPr>
            <w:r>
              <w:rPr>
                <w:rFonts w:hint="default" w:ascii="Times New Roman" w:hAnsi="Times New Roman" w:eastAsia="宋体" w:cs="Times New Roman"/>
                <w:b/>
                <w:color w:val="auto"/>
                <w:sz w:val="24"/>
                <w:highlight w:val="none"/>
                <w:lang w:val="en-US" w:eastAsia="zh-CN"/>
              </w:rPr>
              <w:t>表4.2-</w:t>
            </w:r>
            <w:r>
              <w:rPr>
                <w:rFonts w:hint="eastAsia" w:cs="Times New Roman"/>
                <w:b/>
                <w:color w:val="auto"/>
                <w:sz w:val="24"/>
                <w:highlight w:val="none"/>
                <w:lang w:val="en-US" w:eastAsia="zh-CN"/>
              </w:rPr>
              <w:t>3</w:t>
            </w:r>
            <w:r>
              <w:rPr>
                <w:rFonts w:hint="default" w:ascii="Times New Roman" w:hAnsi="Times New Roman" w:eastAsia="宋体" w:cs="Times New Roman"/>
                <w:b/>
                <w:color w:val="auto"/>
                <w:sz w:val="24"/>
                <w:highlight w:val="none"/>
                <w:lang w:val="en-US" w:eastAsia="zh-CN"/>
              </w:rPr>
              <w:t xml:space="preserve"> 喷漆、烘干废气产污系数表</w:t>
            </w:r>
          </w:p>
          <w:tbl>
            <w:tblPr>
              <w:tblStyle w:val="29"/>
              <w:tblW w:w="829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4"/>
              <w:gridCol w:w="1185"/>
              <w:gridCol w:w="1185"/>
              <w:gridCol w:w="1385"/>
              <w:gridCol w:w="985"/>
              <w:gridCol w:w="1185"/>
              <w:gridCol w:w="11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84"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原料名称</w:t>
                  </w:r>
                </w:p>
              </w:tc>
              <w:tc>
                <w:tcPr>
                  <w:tcW w:w="1185"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工艺名称</w:t>
                  </w:r>
                </w:p>
              </w:tc>
              <w:tc>
                <w:tcPr>
                  <w:tcW w:w="1185"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污染物指标</w:t>
                  </w:r>
                </w:p>
              </w:tc>
              <w:tc>
                <w:tcPr>
                  <w:tcW w:w="1385"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单位</w:t>
                  </w:r>
                </w:p>
              </w:tc>
              <w:tc>
                <w:tcPr>
                  <w:tcW w:w="985"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产污</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系数</w:t>
                  </w:r>
                </w:p>
              </w:tc>
              <w:tc>
                <w:tcPr>
                  <w:tcW w:w="1185"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末端治理技术名称</w:t>
                  </w:r>
                </w:p>
              </w:tc>
              <w:tc>
                <w:tcPr>
                  <w:tcW w:w="1185"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治理效率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84" w:type="dxa"/>
                  <w:vMerge w:val="restart"/>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涂料</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（水性）</w:t>
                  </w:r>
                </w:p>
              </w:tc>
              <w:tc>
                <w:tcPr>
                  <w:tcW w:w="1185" w:type="dxa"/>
                  <w:vMerge w:val="restart"/>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喷漆</w:t>
                  </w:r>
                </w:p>
                <w:p>
                  <w:pPr>
                    <w:keepNext w:val="0"/>
                    <w:keepLines w:val="0"/>
                    <w:widowControl/>
                    <w:suppressLineNumbers w:val="0"/>
                    <w:jc w:val="center"/>
                    <w:rPr>
                      <w:rFonts w:hint="default" w:ascii="Times New Roman" w:hAnsi="Times New Roman" w:eastAsia="宋体" w:cs="Times New Roman"/>
                      <w:color w:val="auto"/>
                      <w:sz w:val="21"/>
                      <w:szCs w:val="21"/>
                      <w:highlight w:val="none"/>
                    </w:rPr>
                  </w:pP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p>
              </w:tc>
              <w:tc>
                <w:tcPr>
                  <w:tcW w:w="1185"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颗粒物</w:t>
                  </w:r>
                </w:p>
              </w:tc>
              <w:tc>
                <w:tcPr>
                  <w:tcW w:w="1385"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千克/立方米-产品</w:t>
                  </w:r>
                </w:p>
              </w:tc>
              <w:tc>
                <w:tcPr>
                  <w:tcW w:w="985"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0.041</w:t>
                  </w:r>
                </w:p>
              </w:tc>
              <w:tc>
                <w:tcPr>
                  <w:tcW w:w="1185"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水帘湿式喷雾净化</w:t>
                  </w:r>
                </w:p>
              </w:tc>
              <w:tc>
                <w:tcPr>
                  <w:tcW w:w="1185"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84" w:type="dxa"/>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p>
              </w:tc>
              <w:tc>
                <w:tcPr>
                  <w:tcW w:w="1185" w:type="dxa"/>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p>
              </w:tc>
              <w:tc>
                <w:tcPr>
                  <w:tcW w:w="1185"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挥发性有机物</w:t>
                  </w:r>
                </w:p>
              </w:tc>
              <w:tc>
                <w:tcPr>
                  <w:tcW w:w="1385"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克/立方米-产品</w:t>
                  </w:r>
                </w:p>
              </w:tc>
              <w:tc>
                <w:tcPr>
                  <w:tcW w:w="985"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85.1</w:t>
                  </w:r>
                </w:p>
              </w:tc>
              <w:tc>
                <w:tcPr>
                  <w:tcW w:w="1185"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二级</w:t>
                  </w:r>
                  <w:r>
                    <w:rPr>
                      <w:rFonts w:hint="default" w:ascii="Times New Roman" w:hAnsi="Times New Roman" w:eastAsia="宋体" w:cs="Times New Roman"/>
                      <w:color w:val="auto"/>
                      <w:kern w:val="0"/>
                      <w:sz w:val="21"/>
                      <w:szCs w:val="21"/>
                      <w:highlight w:val="none"/>
                      <w:vertAlign w:val="baseline"/>
                      <w:lang w:val="en-US" w:eastAsia="zh-CN" w:bidi="ar"/>
                    </w:rPr>
                    <w:t>活性炭吸附装置</w:t>
                  </w:r>
                </w:p>
              </w:tc>
              <w:tc>
                <w:tcPr>
                  <w:tcW w:w="1185"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84"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涂料</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（水性</w:t>
                  </w:r>
                  <w:r>
                    <w:rPr>
                      <w:rFonts w:hint="eastAsia" w:ascii="Times New Roman" w:hAnsi="Times New Roman" w:eastAsia="宋体" w:cs="Times New Roman"/>
                      <w:color w:val="auto"/>
                      <w:kern w:val="0"/>
                      <w:sz w:val="21"/>
                      <w:szCs w:val="21"/>
                      <w:highlight w:val="none"/>
                      <w:lang w:val="en-US" w:eastAsia="zh-CN" w:bidi="ar"/>
                    </w:rPr>
                    <w:t>）</w:t>
                  </w:r>
                </w:p>
              </w:tc>
              <w:tc>
                <w:tcPr>
                  <w:tcW w:w="1185"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烘干</w:t>
                  </w:r>
                </w:p>
              </w:tc>
              <w:tc>
                <w:tcPr>
                  <w:tcW w:w="1185"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挥发性有机物</w:t>
                  </w:r>
                </w:p>
              </w:tc>
              <w:tc>
                <w:tcPr>
                  <w:tcW w:w="1385"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克/立方米-产品</w:t>
                  </w:r>
                </w:p>
              </w:tc>
              <w:tc>
                <w:tcPr>
                  <w:tcW w:w="985"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2.58</w:t>
                  </w:r>
                </w:p>
              </w:tc>
              <w:tc>
                <w:tcPr>
                  <w:tcW w:w="1185"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二级</w:t>
                  </w:r>
                  <w:r>
                    <w:rPr>
                      <w:rFonts w:hint="default" w:ascii="Times New Roman" w:hAnsi="Times New Roman" w:eastAsia="宋体" w:cs="Times New Roman"/>
                      <w:color w:val="auto"/>
                      <w:kern w:val="0"/>
                      <w:sz w:val="21"/>
                      <w:szCs w:val="21"/>
                      <w:highlight w:val="none"/>
                      <w:vertAlign w:val="baseline"/>
                      <w:lang w:val="en-US" w:eastAsia="zh-CN" w:bidi="ar"/>
                    </w:rPr>
                    <w:t>活性炭吸附装置</w:t>
                  </w:r>
                </w:p>
              </w:tc>
              <w:tc>
                <w:tcPr>
                  <w:tcW w:w="1185"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50%</w:t>
                  </w:r>
                </w:p>
              </w:tc>
            </w:tr>
          </w:tbl>
          <w:p>
            <w:pPr>
              <w:keepNext w:val="0"/>
              <w:keepLines w:val="0"/>
              <w:pageBreakBefore w:val="0"/>
              <w:widowControl/>
              <w:suppressLineNumbers w:val="0"/>
              <w:kinsoku/>
              <w:wordWrap/>
              <w:overflowPunct/>
              <w:topLinePunct w:val="0"/>
              <w:autoSpaceDE/>
              <w:autoSpaceDN/>
              <w:bidi w:val="0"/>
              <w:adjustRightInd w:val="0"/>
              <w:snapToGrid w:val="0"/>
              <w:spacing w:before="157" w:beforeLines="50" w:line="360" w:lineRule="auto"/>
              <w:ind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szCs w:val="24"/>
                <w:highlight w:val="none"/>
                <w:lang w:val="en-US" w:eastAsia="zh-CN"/>
              </w:rPr>
              <w:t>项目原料中纤板、多</w:t>
            </w:r>
            <w:r>
              <w:rPr>
                <w:rFonts w:hint="eastAsia" w:cs="Times New Roman"/>
                <w:color w:val="auto"/>
                <w:sz w:val="24"/>
                <w:szCs w:val="24"/>
                <w:highlight w:val="none"/>
                <w:lang w:val="en-US" w:eastAsia="zh-CN"/>
              </w:rPr>
              <w:t>层</w:t>
            </w:r>
            <w:r>
              <w:rPr>
                <w:rFonts w:hint="default" w:ascii="Times New Roman" w:hAnsi="Times New Roman" w:eastAsia="宋体" w:cs="Times New Roman"/>
                <w:color w:val="auto"/>
                <w:sz w:val="24"/>
                <w:szCs w:val="24"/>
                <w:highlight w:val="none"/>
                <w:lang w:val="en-US" w:eastAsia="zh-CN"/>
              </w:rPr>
              <w:t>板用量为225m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/a，根据建设单位提供资料及产品方案数据，成品率为80%，需要喷漆的浴室柜占成品的60%，则</w:t>
            </w:r>
            <w:r>
              <w:rPr>
                <w:rFonts w:hint="default" w:ascii="Times New Roman" w:hAnsi="Times New Roman" w:eastAsia="宋体" w:cs="Times New Roman"/>
                <w:color w:val="auto"/>
                <w:kern w:val="0"/>
                <w:sz w:val="24"/>
                <w:szCs w:val="24"/>
                <w:highlight w:val="none"/>
                <w:lang w:val="en-US" w:eastAsia="zh-CN" w:bidi="ar"/>
              </w:rPr>
              <w:t>项目需要进行喷漆的产品约108m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/a，则喷漆、烘干废气中颗粒物的产生量约0.0044t/a（0.0017kg/h），挥发性有机物（以非甲烷总烃计）产生量约 0.0095t/a（0.032kg/h）。</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项目采用水帘柜喷漆，喷漆时未附着至工件表面的漆料直接随水帘进入水帘柜底部水池，其余喷漆废气通过水帘后的排风机</w:t>
            </w:r>
            <w:r>
              <w:rPr>
                <w:rFonts w:hint="default" w:ascii="Times New Roman" w:hAnsi="Times New Roman" w:eastAsia="宋体" w:cs="Times New Roman"/>
                <w:color w:val="auto"/>
                <w:kern w:val="0"/>
                <w:sz w:val="24"/>
                <w:szCs w:val="24"/>
                <w:highlight w:val="none"/>
                <w:lang w:val="en-US" w:eastAsia="zh-CN" w:bidi="ar"/>
              </w:rPr>
              <w:t>进入除雾器再进入</w:t>
            </w:r>
            <w:r>
              <w:rPr>
                <w:rFonts w:hint="eastAsia" w:ascii="Times New Roman" w:hAnsi="Times New Roman" w:eastAsia="宋体" w:cs="Times New Roman"/>
                <w:color w:val="auto"/>
                <w:kern w:val="0"/>
                <w:sz w:val="24"/>
                <w:szCs w:val="24"/>
                <w:highlight w:val="none"/>
                <w:lang w:val="en-US" w:eastAsia="zh-CN" w:bidi="ar"/>
              </w:rPr>
              <w:t>二级</w:t>
            </w:r>
            <w:r>
              <w:rPr>
                <w:rFonts w:hint="default" w:ascii="Times New Roman" w:hAnsi="Times New Roman" w:eastAsia="宋体" w:cs="Times New Roman"/>
                <w:color w:val="auto"/>
                <w:kern w:val="0"/>
                <w:sz w:val="24"/>
                <w:szCs w:val="24"/>
                <w:highlight w:val="none"/>
                <w:lang w:val="en-US" w:eastAsia="zh-CN" w:bidi="ar"/>
              </w:rPr>
              <w:t>活性炭吸附装置处理</w:t>
            </w:r>
            <w:r>
              <w:rPr>
                <w:rFonts w:hint="eastAsia" w:cs="Times New Roman"/>
                <w:color w:val="auto"/>
                <w:kern w:val="0"/>
                <w:sz w:val="24"/>
                <w:szCs w:val="24"/>
                <w:highlight w:val="none"/>
                <w:lang w:val="en-US" w:eastAsia="zh-CN" w:bidi="ar"/>
              </w:rPr>
              <w:t>后</w:t>
            </w:r>
            <w:r>
              <w:rPr>
                <w:rFonts w:hint="default" w:ascii="Times New Roman" w:hAnsi="Times New Roman" w:eastAsia="宋体" w:cs="Times New Roman"/>
                <w:color w:val="auto"/>
                <w:sz w:val="24"/>
                <w:highlight w:val="none"/>
              </w:rPr>
              <w:t>通过</w:t>
            </w:r>
            <w:r>
              <w:rPr>
                <w:rFonts w:hint="default" w:ascii="Times New Roman" w:hAnsi="Times New Roman" w:eastAsia="宋体" w:cs="Times New Roman"/>
                <w:color w:val="auto"/>
                <w:sz w:val="24"/>
                <w:highlight w:val="none"/>
                <w:lang w:val="en-US" w:eastAsia="zh-CN"/>
              </w:rPr>
              <w:t>15</w:t>
            </w:r>
            <w:r>
              <w:rPr>
                <w:rFonts w:hint="default" w:ascii="Times New Roman" w:hAnsi="Times New Roman" w:eastAsia="宋体" w:cs="Times New Roman"/>
                <w:color w:val="auto"/>
                <w:sz w:val="24"/>
                <w:highlight w:val="none"/>
              </w:rPr>
              <w:t>m高排气筒</w:t>
            </w:r>
            <w:r>
              <w:rPr>
                <w:rFonts w:hint="default" w:ascii="Times New Roman" w:hAnsi="Times New Roman" w:eastAsia="宋体" w:cs="Times New Roman"/>
                <w:bCs/>
                <w:color w:val="auto"/>
                <w:sz w:val="24"/>
                <w:highlight w:val="none"/>
              </w:rPr>
              <w:t>（DA00</w:t>
            </w:r>
            <w:r>
              <w:rPr>
                <w:rFonts w:hint="eastAsia" w:cs="Times New Roman"/>
                <w:bCs/>
                <w:color w:val="auto"/>
                <w:sz w:val="24"/>
                <w:highlight w:val="none"/>
                <w:lang w:val="en-US" w:eastAsia="zh-CN"/>
              </w:rPr>
              <w:t>6</w:t>
            </w:r>
            <w:r>
              <w:rPr>
                <w:rFonts w:hint="default" w:ascii="Times New Roman" w:hAnsi="Times New Roman" w:eastAsia="宋体" w:cs="Times New Roman"/>
                <w:bCs/>
                <w:color w:val="auto"/>
                <w:sz w:val="24"/>
                <w:highlight w:val="none"/>
              </w:rPr>
              <w:t>）</w:t>
            </w:r>
            <w:r>
              <w:rPr>
                <w:rFonts w:hint="default" w:ascii="Times New Roman" w:hAnsi="Times New Roman" w:eastAsia="宋体" w:cs="Times New Roman"/>
                <w:color w:val="auto"/>
                <w:sz w:val="24"/>
                <w:highlight w:val="none"/>
              </w:rPr>
              <w:t>排放</w:t>
            </w:r>
            <w:r>
              <w:rPr>
                <w:rFonts w:hint="default" w:ascii="Times New Roman" w:hAnsi="Times New Roman" w:eastAsia="宋体" w:cs="Times New Roman"/>
                <w:color w:val="auto"/>
                <w:kern w:val="0"/>
                <w:sz w:val="24"/>
                <w:szCs w:val="24"/>
                <w:highlight w:val="none"/>
                <w:lang w:val="en-US" w:eastAsia="zh-CN" w:bidi="ar"/>
              </w:rPr>
              <w:t>，水帘柜收集效率约95%，设计风量</w:t>
            </w:r>
            <w:r>
              <w:rPr>
                <w:rFonts w:hint="eastAsia" w:ascii="Times New Roman" w:hAnsi="Times New Roman" w:eastAsia="宋体"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val="en-US" w:eastAsia="zh-CN" w:bidi="ar"/>
              </w:rPr>
              <w:t>000m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/h，根据《排放源统计调查产排污核算方法和系数手册》“203木质制品制造行业系</w:t>
            </w:r>
            <w:r>
              <w:rPr>
                <w:rFonts w:hint="eastAsia" w:ascii="宋体" w:hAnsi="宋体" w:eastAsia="宋体" w:cs="宋体"/>
                <w:color w:val="auto"/>
                <w:kern w:val="0"/>
                <w:sz w:val="24"/>
                <w:szCs w:val="24"/>
                <w:highlight w:val="none"/>
                <w:lang w:val="en-US" w:eastAsia="zh-CN" w:bidi="ar"/>
              </w:rPr>
              <w:t>数手册”，水帘除尘处理效率约</w:t>
            </w:r>
            <w:r>
              <w:rPr>
                <w:rFonts w:hint="default" w:ascii="Times New Roman" w:hAnsi="Times New Roman" w:eastAsia="宋体" w:cs="Times New Roman"/>
                <w:color w:val="auto"/>
                <w:kern w:val="0"/>
                <w:sz w:val="24"/>
                <w:szCs w:val="24"/>
                <w:highlight w:val="none"/>
                <w:lang w:val="en-US" w:eastAsia="zh-CN" w:bidi="ar"/>
              </w:rPr>
              <w:t>80%</w:t>
            </w:r>
            <w:r>
              <w:rPr>
                <w:rFonts w:hint="eastAsia" w:ascii="宋体" w:hAnsi="宋体" w:eastAsia="宋体" w:cs="宋体"/>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二级</w:t>
            </w:r>
            <w:r>
              <w:rPr>
                <w:rFonts w:hint="eastAsia" w:ascii="宋体" w:hAnsi="宋体" w:eastAsia="宋体" w:cs="宋体"/>
                <w:color w:val="auto"/>
                <w:kern w:val="0"/>
                <w:sz w:val="24"/>
                <w:szCs w:val="24"/>
                <w:highlight w:val="none"/>
                <w:lang w:val="en-US" w:eastAsia="zh-CN" w:bidi="ar"/>
              </w:rPr>
              <w:t>活性炭吸附效率取</w:t>
            </w:r>
            <w:r>
              <w:rPr>
                <w:rFonts w:hint="default" w:ascii="Times New Roman" w:hAnsi="Times New Roman" w:eastAsia="宋体" w:cs="Times New Roman"/>
                <w:color w:val="auto"/>
                <w:kern w:val="0"/>
                <w:sz w:val="24"/>
                <w:szCs w:val="24"/>
                <w:highlight w:val="none"/>
                <w:lang w:val="en-US" w:eastAsia="zh-CN" w:bidi="ar"/>
              </w:rPr>
              <w:t>50%</w:t>
            </w:r>
            <w:r>
              <w:rPr>
                <w:rFonts w:hint="eastAsia" w:ascii="宋体" w:hAnsi="宋体" w:eastAsia="宋体" w:cs="宋体"/>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项目喷漆废气产排情况见</w:t>
            </w:r>
            <w:r>
              <w:rPr>
                <w:rFonts w:hint="default" w:ascii="Times New Roman" w:hAnsi="Times New Roman" w:eastAsia="宋体" w:cs="Times New Roman"/>
                <w:color w:val="auto"/>
                <w:kern w:val="0"/>
                <w:sz w:val="24"/>
                <w:szCs w:val="24"/>
                <w:highlight w:val="none"/>
                <w:lang w:val="en-US" w:eastAsia="zh-CN" w:bidi="ar"/>
              </w:rPr>
              <w:t>表</w:t>
            </w:r>
            <w:r>
              <w:rPr>
                <w:rFonts w:hint="eastAsia" w:ascii="Times New Roman" w:hAnsi="Times New Roman" w:eastAsia="宋体" w:cs="Times New Roman"/>
                <w:color w:val="auto"/>
                <w:kern w:val="0"/>
                <w:sz w:val="24"/>
                <w:szCs w:val="24"/>
                <w:highlight w:val="none"/>
                <w:lang w:val="en-US" w:eastAsia="zh-CN" w:bidi="ar"/>
              </w:rPr>
              <w:t>4.2-</w:t>
            </w:r>
            <w:r>
              <w:rPr>
                <w:rFonts w:hint="eastAsia" w:cs="Times New Roman"/>
                <w:color w:val="auto"/>
                <w:kern w:val="0"/>
                <w:sz w:val="24"/>
                <w:szCs w:val="24"/>
                <w:highlight w:val="none"/>
                <w:lang w:val="en-US" w:eastAsia="zh-CN" w:bidi="ar"/>
              </w:rPr>
              <w:t>4</w:t>
            </w:r>
            <w:r>
              <w:rPr>
                <w:rFonts w:hint="eastAsia" w:ascii="Times New Roman" w:hAnsi="Times New Roman" w:eastAsia="宋体" w:cs="Times New Roman"/>
                <w:color w:val="auto"/>
                <w:kern w:val="0"/>
                <w:sz w:val="24"/>
                <w:szCs w:val="24"/>
                <w:highlight w:val="none"/>
                <w:lang w:val="en-US" w:eastAsia="zh-CN" w:bidi="ar"/>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表4</w:t>
            </w:r>
            <w:r>
              <w:rPr>
                <w:rFonts w:hint="eastAsia" w:cs="Times New Roman"/>
                <w:b/>
                <w:bCs/>
                <w:color w:val="auto"/>
                <w:kern w:val="0"/>
                <w:sz w:val="24"/>
                <w:szCs w:val="24"/>
                <w:highlight w:val="none"/>
                <w:lang w:val="en-US" w:eastAsia="zh-CN" w:bidi="ar"/>
              </w:rPr>
              <w:t>.2</w:t>
            </w:r>
            <w:r>
              <w:rPr>
                <w:rFonts w:hint="eastAsia" w:ascii="Times New Roman" w:hAnsi="Times New Roman" w:eastAsia="宋体" w:cs="Times New Roman"/>
                <w:b/>
                <w:bCs/>
                <w:color w:val="auto"/>
                <w:kern w:val="0"/>
                <w:sz w:val="24"/>
                <w:szCs w:val="24"/>
                <w:highlight w:val="none"/>
                <w:lang w:val="en-US" w:eastAsia="zh-CN" w:bidi="ar"/>
              </w:rPr>
              <w:t>-</w:t>
            </w:r>
            <w:r>
              <w:rPr>
                <w:rFonts w:hint="eastAsia" w:cs="Times New Roman"/>
                <w:b/>
                <w:bCs/>
                <w:color w:val="auto"/>
                <w:kern w:val="0"/>
                <w:sz w:val="24"/>
                <w:szCs w:val="24"/>
                <w:highlight w:val="none"/>
                <w:lang w:val="en-US" w:eastAsia="zh-CN" w:bidi="ar"/>
              </w:rPr>
              <w:t xml:space="preserve">4   </w:t>
            </w:r>
            <w:r>
              <w:rPr>
                <w:rFonts w:hint="eastAsia" w:ascii="Times New Roman" w:hAnsi="Times New Roman" w:eastAsia="宋体" w:cs="Times New Roman"/>
                <w:b/>
                <w:bCs/>
                <w:color w:val="auto"/>
                <w:kern w:val="0"/>
                <w:sz w:val="24"/>
                <w:szCs w:val="24"/>
                <w:highlight w:val="none"/>
                <w:lang w:val="en-US" w:eastAsia="zh-CN" w:bidi="ar"/>
              </w:rPr>
              <w:t>喷漆</w:t>
            </w:r>
            <w:r>
              <w:rPr>
                <w:rFonts w:hint="eastAsia" w:cs="Times New Roman"/>
                <w:b/>
                <w:bCs/>
                <w:color w:val="auto"/>
                <w:kern w:val="0"/>
                <w:sz w:val="24"/>
                <w:szCs w:val="24"/>
                <w:highlight w:val="none"/>
                <w:lang w:val="en-US" w:eastAsia="zh-CN" w:bidi="ar"/>
              </w:rPr>
              <w:t>、烘干</w:t>
            </w:r>
            <w:r>
              <w:rPr>
                <w:rFonts w:hint="eastAsia" w:ascii="Times New Roman" w:hAnsi="Times New Roman" w:eastAsia="宋体" w:cs="Times New Roman"/>
                <w:b/>
                <w:bCs/>
                <w:color w:val="auto"/>
                <w:kern w:val="0"/>
                <w:sz w:val="24"/>
                <w:szCs w:val="24"/>
                <w:highlight w:val="none"/>
                <w:lang w:val="en-US" w:eastAsia="zh-CN" w:bidi="ar"/>
              </w:rPr>
              <w:t>废气</w:t>
            </w:r>
            <w:r>
              <w:rPr>
                <w:rFonts w:hint="default" w:ascii="Times New Roman" w:hAnsi="Times New Roman" w:eastAsia="宋体" w:cs="Times New Roman"/>
                <w:b/>
                <w:bCs/>
                <w:color w:val="auto"/>
                <w:kern w:val="0"/>
                <w:sz w:val="24"/>
                <w:szCs w:val="24"/>
                <w:highlight w:val="none"/>
                <w:lang w:val="en-US" w:eastAsia="zh-CN" w:bidi="ar"/>
              </w:rPr>
              <w:t>产排量一览表</w:t>
            </w:r>
          </w:p>
          <w:tbl>
            <w:tblPr>
              <w:tblStyle w:val="29"/>
              <w:tblW w:w="830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35"/>
              <w:gridCol w:w="406"/>
              <w:gridCol w:w="744"/>
              <w:gridCol w:w="920"/>
              <w:gridCol w:w="825"/>
              <w:gridCol w:w="675"/>
              <w:gridCol w:w="1650"/>
              <w:gridCol w:w="961"/>
              <w:gridCol w:w="940"/>
              <w:gridCol w:w="6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0" w:hRule="atLeast"/>
                <w:jc w:val="center"/>
              </w:trPr>
              <w:tc>
                <w:tcPr>
                  <w:tcW w:w="535" w:type="dxa"/>
                  <w:vMerge w:val="restart"/>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生产工序</w:t>
                  </w:r>
                </w:p>
              </w:tc>
              <w:tc>
                <w:tcPr>
                  <w:tcW w:w="1150" w:type="dxa"/>
                  <w:gridSpan w:val="2"/>
                  <w:vMerge w:val="restart"/>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污染物</w:t>
                  </w:r>
                </w:p>
              </w:tc>
              <w:tc>
                <w:tcPr>
                  <w:tcW w:w="2420" w:type="dxa"/>
                  <w:gridSpan w:val="3"/>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产生情况</w:t>
                  </w:r>
                </w:p>
              </w:tc>
              <w:tc>
                <w:tcPr>
                  <w:tcW w:w="1650" w:type="dxa"/>
                  <w:vMerge w:val="restart"/>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kern w:val="2"/>
                      <w:sz w:val="21"/>
                      <w:szCs w:val="21"/>
                      <w:highlight w:val="none"/>
                      <w:vertAlign w:val="baseline"/>
                      <w:lang w:val="en-US" w:eastAsia="zh-CN" w:bidi="ar-SA"/>
                    </w:rPr>
                    <w:t>治理</w:t>
                  </w:r>
                </w:p>
                <w:p>
                  <w:pPr>
                    <w:pStyle w:val="3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kern w:val="2"/>
                      <w:sz w:val="21"/>
                      <w:szCs w:val="21"/>
                      <w:highlight w:val="none"/>
                      <w:vertAlign w:val="baseline"/>
                      <w:lang w:val="en-US" w:eastAsia="zh-CN" w:bidi="ar-SA"/>
                    </w:rPr>
                    <w:t>措施</w:t>
                  </w:r>
                </w:p>
              </w:tc>
              <w:tc>
                <w:tcPr>
                  <w:tcW w:w="2551" w:type="dxa"/>
                  <w:gridSpan w:val="3"/>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排放情况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57" w:hRule="atLeast"/>
                <w:jc w:val="center"/>
              </w:trPr>
              <w:tc>
                <w:tcPr>
                  <w:tcW w:w="535" w:type="dxa"/>
                  <w:vMerge w:val="continue"/>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b/>
                      <w:bCs/>
                      <w:color w:val="auto"/>
                      <w:sz w:val="21"/>
                      <w:szCs w:val="21"/>
                      <w:highlight w:val="none"/>
                      <w:vertAlign w:val="baseline"/>
                      <w:lang w:val="en-US" w:eastAsia="zh-CN"/>
                    </w:rPr>
                  </w:pPr>
                </w:p>
              </w:tc>
              <w:tc>
                <w:tcPr>
                  <w:tcW w:w="1150" w:type="dxa"/>
                  <w:gridSpan w:val="2"/>
                  <w:vMerge w:val="continue"/>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b/>
                      <w:bCs/>
                      <w:color w:val="auto"/>
                      <w:sz w:val="21"/>
                      <w:szCs w:val="21"/>
                      <w:highlight w:val="none"/>
                      <w:vertAlign w:val="baseline"/>
                      <w:lang w:val="en-US" w:eastAsia="zh-CN"/>
                    </w:rPr>
                  </w:pPr>
                </w:p>
              </w:tc>
              <w:tc>
                <w:tcPr>
                  <w:tcW w:w="920"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产生浓度（mg/m</w:t>
                  </w:r>
                  <w:r>
                    <w:rPr>
                      <w:rFonts w:hint="default" w:ascii="Times New Roman" w:hAnsi="Times New Roman" w:cs="Times New Roman"/>
                      <w:b/>
                      <w:bCs/>
                      <w:color w:val="auto"/>
                      <w:sz w:val="21"/>
                      <w:szCs w:val="21"/>
                      <w:highlight w:val="none"/>
                      <w:vertAlign w:val="superscript"/>
                      <w:lang w:val="en-US" w:eastAsia="zh-CN"/>
                    </w:rPr>
                    <w:t>3</w:t>
                  </w:r>
                  <w:r>
                    <w:rPr>
                      <w:rFonts w:hint="default" w:ascii="Times New Roman" w:hAnsi="Times New Roman" w:cs="Times New Roman"/>
                      <w:b/>
                      <w:bCs/>
                      <w:color w:val="auto"/>
                      <w:sz w:val="21"/>
                      <w:szCs w:val="21"/>
                      <w:highlight w:val="none"/>
                      <w:vertAlign w:val="baseline"/>
                      <w:lang w:val="en-US" w:eastAsia="zh-CN"/>
                    </w:rPr>
                    <w:t>）</w:t>
                  </w:r>
                </w:p>
              </w:tc>
              <w:tc>
                <w:tcPr>
                  <w:tcW w:w="825"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产生</w:t>
                  </w:r>
                </w:p>
                <w:p>
                  <w:pPr>
                    <w:pStyle w:val="3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速率（kg/h）</w:t>
                  </w:r>
                </w:p>
              </w:tc>
              <w:tc>
                <w:tcPr>
                  <w:tcW w:w="675"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产生量（t/a）</w:t>
                  </w:r>
                </w:p>
              </w:tc>
              <w:tc>
                <w:tcPr>
                  <w:tcW w:w="1650" w:type="dxa"/>
                  <w:vMerge w:val="continue"/>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p>
              </w:tc>
              <w:tc>
                <w:tcPr>
                  <w:tcW w:w="961"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排放浓度（mg/m</w:t>
                  </w:r>
                  <w:r>
                    <w:rPr>
                      <w:rFonts w:hint="default" w:ascii="Times New Roman" w:hAnsi="Times New Roman" w:cs="Times New Roman"/>
                      <w:b/>
                      <w:bCs/>
                      <w:color w:val="auto"/>
                      <w:sz w:val="21"/>
                      <w:szCs w:val="21"/>
                      <w:highlight w:val="none"/>
                      <w:vertAlign w:val="superscript"/>
                      <w:lang w:val="en-US" w:eastAsia="zh-CN"/>
                    </w:rPr>
                    <w:t>3</w:t>
                  </w:r>
                  <w:r>
                    <w:rPr>
                      <w:rFonts w:hint="default" w:ascii="Times New Roman" w:hAnsi="Times New Roman" w:cs="Times New Roman"/>
                      <w:b/>
                      <w:bCs/>
                      <w:color w:val="auto"/>
                      <w:sz w:val="21"/>
                      <w:szCs w:val="21"/>
                      <w:highlight w:val="none"/>
                      <w:vertAlign w:val="baseline"/>
                      <w:lang w:val="en-US" w:eastAsia="zh-CN"/>
                    </w:rPr>
                    <w:t>）</w:t>
                  </w:r>
                </w:p>
              </w:tc>
              <w:tc>
                <w:tcPr>
                  <w:tcW w:w="940"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排放速率（kg/h）</w:t>
                  </w:r>
                </w:p>
              </w:tc>
              <w:tc>
                <w:tcPr>
                  <w:tcW w:w="650"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7" w:hRule="atLeast"/>
                <w:jc w:val="center"/>
              </w:trPr>
              <w:tc>
                <w:tcPr>
                  <w:tcW w:w="535" w:type="dxa"/>
                  <w:vMerge w:val="restart"/>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喷漆、烘干工序（DA00</w:t>
                  </w:r>
                  <w:r>
                    <w:rPr>
                      <w:rFonts w:hint="eastAsia" w:ascii="Times New Roman" w:cs="Times New Roman"/>
                      <w:color w:val="auto"/>
                      <w:sz w:val="21"/>
                      <w:szCs w:val="21"/>
                      <w:highlight w:val="none"/>
                      <w:vertAlign w:val="baseline"/>
                      <w:lang w:val="en-US" w:eastAsia="zh-CN"/>
                    </w:rPr>
                    <w:t>10</w:t>
                  </w:r>
                  <w:r>
                    <w:rPr>
                      <w:rFonts w:hint="eastAsia" w:ascii="Times New Roman" w:hAnsi="Times New Roman" w:cs="Times New Roman"/>
                      <w:color w:val="auto"/>
                      <w:sz w:val="21"/>
                      <w:szCs w:val="21"/>
                      <w:highlight w:val="none"/>
                      <w:vertAlign w:val="baseline"/>
                      <w:lang w:val="en-US" w:eastAsia="zh-CN"/>
                    </w:rPr>
                    <w:t>）</w:t>
                  </w:r>
                </w:p>
              </w:tc>
              <w:tc>
                <w:tcPr>
                  <w:tcW w:w="406" w:type="dxa"/>
                  <w:vMerge w:val="restart"/>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颗粒物</w:t>
                  </w:r>
                </w:p>
              </w:tc>
              <w:tc>
                <w:tcPr>
                  <w:tcW w:w="744"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有组织</w:t>
                  </w:r>
                </w:p>
              </w:tc>
              <w:tc>
                <w:tcPr>
                  <w:tcW w:w="920"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cs="Times New Roman"/>
                      <w:color w:val="auto"/>
                      <w:sz w:val="21"/>
                      <w:szCs w:val="21"/>
                      <w:highlight w:val="none"/>
                      <w:vertAlign w:val="baseline"/>
                      <w:lang w:val="en-US" w:eastAsia="zh-CN"/>
                    </w:rPr>
                    <w:t>0.28</w:t>
                  </w:r>
                </w:p>
              </w:tc>
              <w:tc>
                <w:tcPr>
                  <w:tcW w:w="825"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0.0014</w:t>
                  </w:r>
                </w:p>
              </w:tc>
              <w:tc>
                <w:tcPr>
                  <w:tcW w:w="675"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cs="Times New Roman"/>
                      <w:color w:val="auto"/>
                      <w:sz w:val="21"/>
                      <w:szCs w:val="21"/>
                      <w:highlight w:val="none"/>
                      <w:vertAlign w:val="baseline"/>
                      <w:lang w:val="en-US" w:eastAsia="zh-CN"/>
                    </w:rPr>
                    <w:t>0.0042</w:t>
                  </w:r>
                </w:p>
              </w:tc>
              <w:tc>
                <w:tcPr>
                  <w:tcW w:w="1650" w:type="dxa"/>
                  <w:vMerge w:val="restart"/>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收集后经</w:t>
                  </w:r>
                </w:p>
                <w:p>
                  <w:pPr>
                    <w:keepNext w:val="0"/>
                    <w:keepLines w:val="0"/>
                    <w:widowControl/>
                    <w:suppressLineNumbers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w:t>
                  </w:r>
                  <w:r>
                    <w:rPr>
                      <w:rFonts w:hint="eastAsia" w:ascii="Times New Roman" w:hAnsi="Times New Roman" w:eastAsia="宋体" w:cs="Times New Roman"/>
                      <w:color w:val="auto"/>
                      <w:kern w:val="2"/>
                      <w:sz w:val="21"/>
                      <w:szCs w:val="21"/>
                      <w:highlight w:val="none"/>
                      <w:vertAlign w:val="baseline"/>
                      <w:lang w:val="en-US" w:eastAsia="zh-CN" w:bidi="ar-SA"/>
                    </w:rPr>
                    <w:t>水帘除漆雾</w:t>
                  </w:r>
                  <w:r>
                    <w:rPr>
                      <w:rFonts w:hint="eastAsia" w:cs="Times New Roman"/>
                      <w:color w:val="auto"/>
                      <w:kern w:val="2"/>
                      <w:sz w:val="21"/>
                      <w:szCs w:val="21"/>
                      <w:highlight w:val="none"/>
                      <w:vertAlign w:val="baseline"/>
                      <w:lang w:val="en-US" w:eastAsia="zh-CN" w:bidi="ar-SA"/>
                    </w:rPr>
                    <w:t>+二级</w:t>
                  </w:r>
                  <w:r>
                    <w:rPr>
                      <w:rFonts w:hint="eastAsia" w:ascii="Times New Roman" w:hAnsi="Times New Roman" w:eastAsia="宋体" w:cs="Times New Roman"/>
                      <w:color w:val="auto"/>
                      <w:kern w:val="2"/>
                      <w:sz w:val="21"/>
                      <w:szCs w:val="21"/>
                      <w:highlight w:val="none"/>
                      <w:vertAlign w:val="baseline"/>
                      <w:lang w:val="en-US" w:eastAsia="zh-CN" w:bidi="ar-SA"/>
                    </w:rPr>
                    <w:t>活性炭吸附</w:t>
                  </w:r>
                </w:p>
                <w:p>
                  <w:pPr>
                    <w:keepNext w:val="0"/>
                    <w:keepLines w:val="0"/>
                    <w:widowControl/>
                    <w:suppressLineNumbers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装置</w:t>
                  </w:r>
                  <w:r>
                    <w:rPr>
                      <w:rFonts w:hint="default" w:ascii="Times New Roman" w:hAnsi="Times New Roman" w:eastAsia="宋体" w:cs="Times New Roman"/>
                      <w:color w:val="auto"/>
                      <w:kern w:val="2"/>
                      <w:sz w:val="21"/>
                      <w:szCs w:val="21"/>
                      <w:highlight w:val="none"/>
                      <w:vertAlign w:val="baseline"/>
                      <w:lang w:val="en-US" w:eastAsia="zh-CN" w:bidi="ar-SA"/>
                    </w:rPr>
                    <w:t>”</w:t>
                  </w:r>
                  <w:r>
                    <w:rPr>
                      <w:rFonts w:hint="eastAsia" w:ascii="Times New Roman" w:hAnsi="Times New Roman" w:eastAsia="宋体" w:cs="Times New Roman"/>
                      <w:color w:val="auto"/>
                      <w:kern w:val="2"/>
                      <w:sz w:val="21"/>
                      <w:szCs w:val="21"/>
                      <w:highlight w:val="none"/>
                      <w:vertAlign w:val="baseline"/>
                      <w:lang w:val="en-US" w:eastAsia="zh-CN" w:bidi="ar-SA"/>
                    </w:rPr>
                    <w:t xml:space="preserve">处理后经 </w:t>
                  </w:r>
                  <w:r>
                    <w:rPr>
                      <w:rFonts w:hint="default" w:ascii="Times New Roman" w:hAnsi="Times New Roman" w:eastAsia="宋体" w:cs="Times New Roman"/>
                      <w:color w:val="auto"/>
                      <w:kern w:val="2"/>
                      <w:sz w:val="21"/>
                      <w:szCs w:val="21"/>
                      <w:highlight w:val="none"/>
                      <w:vertAlign w:val="baseline"/>
                      <w:lang w:val="en-US" w:eastAsia="zh-CN" w:bidi="ar-SA"/>
                    </w:rPr>
                    <w:t xml:space="preserve">15 </w:t>
                  </w:r>
                  <w:r>
                    <w:rPr>
                      <w:rFonts w:hint="eastAsia" w:ascii="Times New Roman" w:hAnsi="Times New Roman" w:eastAsia="宋体" w:cs="Times New Roman"/>
                      <w:color w:val="auto"/>
                      <w:kern w:val="2"/>
                      <w:sz w:val="21"/>
                      <w:szCs w:val="21"/>
                      <w:highlight w:val="none"/>
                      <w:vertAlign w:val="baseline"/>
                      <w:lang w:val="en-US" w:eastAsia="zh-CN" w:bidi="ar-SA"/>
                    </w:rPr>
                    <w:t>米排气筒排放</w:t>
                  </w:r>
                </w:p>
              </w:tc>
              <w:tc>
                <w:tcPr>
                  <w:tcW w:w="961"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0.06</w:t>
                  </w:r>
                </w:p>
              </w:tc>
              <w:tc>
                <w:tcPr>
                  <w:tcW w:w="940"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cs="Times New Roman"/>
                      <w:color w:val="auto"/>
                      <w:sz w:val="21"/>
                      <w:szCs w:val="21"/>
                      <w:highlight w:val="none"/>
                      <w:vertAlign w:val="baseline"/>
                      <w:lang w:val="en-US" w:eastAsia="zh-CN"/>
                    </w:rPr>
                    <w:t>0.0003</w:t>
                  </w:r>
                </w:p>
              </w:tc>
              <w:tc>
                <w:tcPr>
                  <w:tcW w:w="650"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2" w:hRule="atLeast"/>
                <w:jc w:val="center"/>
              </w:trPr>
              <w:tc>
                <w:tcPr>
                  <w:tcW w:w="535" w:type="dxa"/>
                  <w:vMerge w:val="continue"/>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color w:val="auto"/>
                      <w:sz w:val="21"/>
                      <w:szCs w:val="21"/>
                      <w:highlight w:val="none"/>
                      <w:vertAlign w:val="baseline"/>
                      <w:lang w:val="en-US" w:eastAsia="zh-CN"/>
                    </w:rPr>
                  </w:pPr>
                </w:p>
              </w:tc>
              <w:tc>
                <w:tcPr>
                  <w:tcW w:w="406" w:type="dxa"/>
                  <w:vMerge w:val="continue"/>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color w:val="auto"/>
                      <w:sz w:val="21"/>
                      <w:szCs w:val="21"/>
                      <w:highlight w:val="none"/>
                      <w:vertAlign w:val="baseline"/>
                      <w:lang w:val="en-US" w:eastAsia="zh-CN"/>
                    </w:rPr>
                  </w:pPr>
                </w:p>
              </w:tc>
              <w:tc>
                <w:tcPr>
                  <w:tcW w:w="744"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无组织</w:t>
                  </w:r>
                </w:p>
              </w:tc>
              <w:tc>
                <w:tcPr>
                  <w:tcW w:w="920"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825"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cs="Times New Roman"/>
                      <w:color w:val="auto"/>
                      <w:sz w:val="21"/>
                      <w:szCs w:val="21"/>
                      <w:highlight w:val="none"/>
                      <w:vertAlign w:val="baseline"/>
                      <w:lang w:val="en-US" w:eastAsia="zh-CN"/>
                    </w:rPr>
                    <w:t>0.0001</w:t>
                  </w:r>
                </w:p>
              </w:tc>
              <w:tc>
                <w:tcPr>
                  <w:tcW w:w="675"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0.0002</w:t>
                  </w:r>
                </w:p>
              </w:tc>
              <w:tc>
                <w:tcPr>
                  <w:tcW w:w="1650" w:type="dxa"/>
                  <w:vMerge w:val="continue"/>
                  <w:tcBorders>
                    <w:tl2br w:val="nil"/>
                    <w:tr2bl w:val="nil"/>
                  </w:tcBorders>
                  <w:vAlign w:val="center"/>
                </w:tcPr>
                <w:p>
                  <w:pPr>
                    <w:keepNext w:val="0"/>
                    <w:keepLines w:val="0"/>
                    <w:widowControl/>
                    <w:suppressLineNumbers w:val="0"/>
                    <w:jc w:val="center"/>
                    <w:rPr>
                      <w:rFonts w:hint="eastAsia" w:ascii="Times New Roman" w:hAnsi="Times New Roman" w:eastAsia="宋体" w:cs="Times New Roman"/>
                      <w:color w:val="auto"/>
                      <w:kern w:val="2"/>
                      <w:sz w:val="21"/>
                      <w:szCs w:val="21"/>
                      <w:highlight w:val="none"/>
                      <w:vertAlign w:val="baseline"/>
                      <w:lang w:val="en-US" w:eastAsia="zh-CN" w:bidi="ar-SA"/>
                    </w:rPr>
                  </w:pPr>
                </w:p>
              </w:tc>
              <w:tc>
                <w:tcPr>
                  <w:tcW w:w="961"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940"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cs="Times New Roman"/>
                      <w:color w:val="auto"/>
                      <w:sz w:val="21"/>
                      <w:szCs w:val="21"/>
                      <w:highlight w:val="none"/>
                      <w:vertAlign w:val="baseline"/>
                      <w:lang w:val="en-US" w:eastAsia="zh-CN"/>
                    </w:rPr>
                    <w:t>0.0001</w:t>
                  </w:r>
                </w:p>
              </w:tc>
              <w:tc>
                <w:tcPr>
                  <w:tcW w:w="650"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7" w:hRule="atLeast"/>
                <w:jc w:val="center"/>
              </w:trPr>
              <w:tc>
                <w:tcPr>
                  <w:tcW w:w="535" w:type="dxa"/>
                  <w:vMerge w:val="continue"/>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color w:val="auto"/>
                      <w:sz w:val="21"/>
                      <w:szCs w:val="21"/>
                      <w:highlight w:val="none"/>
                      <w:vertAlign w:val="baseline"/>
                      <w:lang w:val="en-US" w:eastAsia="zh-CN"/>
                    </w:rPr>
                  </w:pPr>
                </w:p>
              </w:tc>
              <w:tc>
                <w:tcPr>
                  <w:tcW w:w="406" w:type="dxa"/>
                  <w:vMerge w:val="restart"/>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非甲烷总烃</w:t>
                  </w:r>
                </w:p>
              </w:tc>
              <w:tc>
                <w:tcPr>
                  <w:tcW w:w="744"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有组织</w:t>
                  </w:r>
                </w:p>
              </w:tc>
              <w:tc>
                <w:tcPr>
                  <w:tcW w:w="920"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cs="Times New Roman"/>
                      <w:color w:val="auto"/>
                      <w:sz w:val="21"/>
                      <w:szCs w:val="21"/>
                      <w:highlight w:val="none"/>
                      <w:vertAlign w:val="baseline"/>
                      <w:lang w:val="en-US" w:eastAsia="zh-CN"/>
                    </w:rPr>
                    <w:t>0.6</w:t>
                  </w:r>
                </w:p>
              </w:tc>
              <w:tc>
                <w:tcPr>
                  <w:tcW w:w="825"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0.003</w:t>
                  </w:r>
                </w:p>
              </w:tc>
              <w:tc>
                <w:tcPr>
                  <w:tcW w:w="675"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cs="Times New Roman"/>
                      <w:color w:val="auto"/>
                      <w:sz w:val="21"/>
                      <w:szCs w:val="21"/>
                      <w:highlight w:val="none"/>
                      <w:vertAlign w:val="baseline"/>
                      <w:lang w:val="en-US" w:eastAsia="zh-CN"/>
                    </w:rPr>
                    <w:t>0.0090</w:t>
                  </w:r>
                </w:p>
              </w:tc>
              <w:tc>
                <w:tcPr>
                  <w:tcW w:w="1650" w:type="dxa"/>
                  <w:vMerge w:val="continue"/>
                  <w:tcBorders>
                    <w:tl2br w:val="nil"/>
                    <w:tr2bl w:val="nil"/>
                  </w:tcBorders>
                  <w:vAlign w:val="center"/>
                </w:tcPr>
                <w:p>
                  <w:pPr>
                    <w:keepNext w:val="0"/>
                    <w:keepLines w:val="0"/>
                    <w:widowControl/>
                    <w:suppressLineNumbers w:val="0"/>
                    <w:jc w:val="center"/>
                    <w:rPr>
                      <w:rFonts w:hint="eastAsia" w:ascii="Times New Roman" w:hAnsi="Times New Roman" w:eastAsia="宋体" w:cs="Times New Roman"/>
                      <w:color w:val="auto"/>
                      <w:kern w:val="2"/>
                      <w:sz w:val="21"/>
                      <w:szCs w:val="21"/>
                      <w:highlight w:val="none"/>
                      <w:vertAlign w:val="baseline"/>
                      <w:lang w:val="en-US" w:eastAsia="zh-CN" w:bidi="ar-SA"/>
                    </w:rPr>
                  </w:pPr>
                </w:p>
              </w:tc>
              <w:tc>
                <w:tcPr>
                  <w:tcW w:w="961"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cs="Times New Roman"/>
                      <w:color w:val="auto"/>
                      <w:sz w:val="21"/>
                      <w:szCs w:val="21"/>
                      <w:highlight w:val="none"/>
                      <w:vertAlign w:val="baseline"/>
                      <w:lang w:val="en-US" w:eastAsia="zh-CN"/>
                    </w:rPr>
                    <w:t>0.3</w:t>
                  </w:r>
                </w:p>
              </w:tc>
              <w:tc>
                <w:tcPr>
                  <w:tcW w:w="940"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0.0015</w:t>
                  </w:r>
                </w:p>
              </w:tc>
              <w:tc>
                <w:tcPr>
                  <w:tcW w:w="650"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cs="Times New Roman"/>
                      <w:color w:val="auto"/>
                      <w:sz w:val="21"/>
                      <w:szCs w:val="21"/>
                      <w:highlight w:val="none"/>
                      <w:vertAlign w:val="baseline"/>
                      <w:lang w:val="en-US" w:eastAsia="zh-CN"/>
                    </w:rPr>
                    <w:t>0.0045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69" w:hRule="atLeast"/>
                <w:jc w:val="center"/>
              </w:trPr>
              <w:tc>
                <w:tcPr>
                  <w:tcW w:w="535" w:type="dxa"/>
                  <w:vMerge w:val="continue"/>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baseline"/>
                      <w:lang w:val="en-US" w:eastAsia="zh-CN"/>
                    </w:rPr>
                  </w:pPr>
                </w:p>
              </w:tc>
              <w:tc>
                <w:tcPr>
                  <w:tcW w:w="406" w:type="dxa"/>
                  <w:vMerge w:val="continue"/>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baseline"/>
                      <w:lang w:val="en-US" w:eastAsia="zh-CN"/>
                    </w:rPr>
                  </w:pPr>
                </w:p>
              </w:tc>
              <w:tc>
                <w:tcPr>
                  <w:tcW w:w="744"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无组织</w:t>
                  </w:r>
                </w:p>
              </w:tc>
              <w:tc>
                <w:tcPr>
                  <w:tcW w:w="920"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825"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cs="Times New Roman"/>
                      <w:color w:val="auto"/>
                      <w:sz w:val="21"/>
                      <w:szCs w:val="21"/>
                      <w:highlight w:val="none"/>
                      <w:vertAlign w:val="baseline"/>
                      <w:lang w:val="en-US" w:eastAsia="zh-CN"/>
                    </w:rPr>
                    <w:t>0.0002</w:t>
                  </w:r>
                </w:p>
              </w:tc>
              <w:tc>
                <w:tcPr>
                  <w:tcW w:w="675"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0.000</w:t>
                  </w:r>
                  <w:r>
                    <w:rPr>
                      <w:rFonts w:hint="eastAsia" w:ascii="Times New Roman" w:cs="Times New Roman"/>
                      <w:color w:val="auto"/>
                      <w:sz w:val="21"/>
                      <w:szCs w:val="21"/>
                      <w:highlight w:val="none"/>
                      <w:vertAlign w:val="baseline"/>
                      <w:lang w:val="en-US" w:eastAsia="zh-CN"/>
                    </w:rPr>
                    <w:t>5</w:t>
                  </w:r>
                </w:p>
              </w:tc>
              <w:tc>
                <w:tcPr>
                  <w:tcW w:w="1650" w:type="dxa"/>
                  <w:vMerge w:val="continue"/>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baseline"/>
                      <w:lang w:val="en-US" w:eastAsia="zh-CN"/>
                    </w:rPr>
                  </w:pPr>
                </w:p>
              </w:tc>
              <w:tc>
                <w:tcPr>
                  <w:tcW w:w="961"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940"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cs="Times New Roman"/>
                      <w:color w:val="auto"/>
                      <w:sz w:val="21"/>
                      <w:szCs w:val="21"/>
                      <w:highlight w:val="none"/>
                      <w:vertAlign w:val="baseline"/>
                      <w:lang w:val="en-US" w:eastAsia="zh-CN"/>
                    </w:rPr>
                    <w:t>0.0002</w:t>
                  </w:r>
                </w:p>
              </w:tc>
              <w:tc>
                <w:tcPr>
                  <w:tcW w:w="650"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0.000</w:t>
                  </w:r>
                  <w:r>
                    <w:rPr>
                      <w:rFonts w:hint="eastAsia" w:ascii="Times New Roman" w:cs="Times New Roman"/>
                      <w:color w:val="auto"/>
                      <w:sz w:val="21"/>
                      <w:szCs w:val="21"/>
                      <w:highlight w:val="none"/>
                      <w:vertAlign w:val="baseline"/>
                      <w:lang w:val="en-US" w:eastAsia="zh-CN"/>
                    </w:rPr>
                    <w:t>5</w:t>
                  </w:r>
                </w:p>
              </w:tc>
            </w:tr>
          </w:tbl>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157" w:beforeLines="50"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6</w:t>
            </w:r>
            <w:r>
              <w:rPr>
                <w:rFonts w:hint="default" w:ascii="Times New Roman" w:hAnsi="Times New Roman" w:eastAsia="宋体" w:cs="Times New Roman"/>
                <w:color w:val="auto"/>
                <w:kern w:val="0"/>
                <w:sz w:val="24"/>
                <w:szCs w:val="24"/>
                <w:highlight w:val="none"/>
                <w:lang w:val="en-US" w:eastAsia="zh-CN" w:bidi="ar"/>
              </w:rPr>
              <w:t>）压合、封边废气</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项目压合工序采用白乳胶作为胶粘剂，</w:t>
            </w:r>
            <w:r>
              <w:rPr>
                <w:rFonts w:hint="default" w:ascii="Times New Roman" w:hAnsi="Times New Roman" w:eastAsia="宋体" w:cs="Times New Roman"/>
                <w:color w:val="auto"/>
                <w:sz w:val="24"/>
                <w:szCs w:val="24"/>
                <w:highlight w:val="none"/>
              </w:rPr>
              <w:t>用</w:t>
            </w:r>
            <w:r>
              <w:rPr>
                <w:rFonts w:hint="default" w:ascii="Times New Roman" w:hAnsi="Times New Roman" w:eastAsia="宋体" w:cs="Times New Roman"/>
                <w:color w:val="auto"/>
                <w:sz w:val="24"/>
                <w:szCs w:val="24"/>
                <w:highlight w:val="none"/>
                <w:lang w:val="en-US" w:eastAsia="zh-CN"/>
              </w:rPr>
              <w:t>过胶机施胶后利用压板机</w:t>
            </w:r>
            <w:r>
              <w:rPr>
                <w:rFonts w:hint="default" w:ascii="Times New Roman" w:hAnsi="Times New Roman" w:eastAsia="宋体" w:cs="Times New Roman"/>
                <w:color w:val="auto"/>
                <w:sz w:val="24"/>
                <w:szCs w:val="24"/>
                <w:highlight w:val="none"/>
              </w:rPr>
              <w:t>将板材和</w:t>
            </w:r>
            <w:r>
              <w:rPr>
                <w:rFonts w:hint="default" w:ascii="Times New Roman" w:hAnsi="Times New Roman" w:eastAsia="宋体" w:cs="Times New Roman"/>
                <w:color w:val="auto"/>
                <w:sz w:val="24"/>
                <w:szCs w:val="24"/>
                <w:highlight w:val="none"/>
                <w:lang w:val="en-US" w:eastAsia="zh-CN"/>
              </w:rPr>
              <w:t>板</w:t>
            </w:r>
            <w:r>
              <w:rPr>
                <w:rFonts w:hint="default" w:ascii="Times New Roman" w:hAnsi="Times New Roman" w:eastAsia="宋体" w:cs="Times New Roman"/>
                <w:color w:val="auto"/>
                <w:sz w:val="24"/>
                <w:szCs w:val="24"/>
                <w:highlight w:val="none"/>
              </w:rPr>
              <w:t>框架拼合胶压</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压合采用</w:t>
            </w:r>
            <w:r>
              <w:rPr>
                <w:rFonts w:hint="default" w:ascii="Times New Roman" w:hAnsi="Times New Roman" w:eastAsia="宋体" w:cs="Times New Roman"/>
                <w:color w:val="auto"/>
                <w:kern w:val="0"/>
                <w:sz w:val="24"/>
                <w:szCs w:val="24"/>
                <w:highlight w:val="none"/>
                <w:lang w:val="en-US" w:eastAsia="zh-CN" w:bidi="ar"/>
              </w:rPr>
              <w:t>热压工艺，本项目热压温度为150℃，热压过程为物理加热过程，加热温度低于白乳胶的裂解温度(约230℃)，但白乳胶在加热状态下会有少量未经聚合的单体挥发性有机物产生(以非甲烷总烃计)。根据企业提供的白乳胶成分报告可知，项目使用的白乳胶主要成分主要为水、</w:t>
            </w:r>
            <w:r>
              <w:rPr>
                <w:rFonts w:hint="default" w:ascii="Times New Roman" w:hAnsi="Times New Roman" w:eastAsia="宋体" w:cs="Times New Roman"/>
                <w:color w:val="auto"/>
                <w:sz w:val="24"/>
                <w:szCs w:val="24"/>
                <w:highlight w:val="none"/>
                <w:lang w:eastAsia="zh-CN"/>
              </w:rPr>
              <w:t>聚醋酸乙烯酯</w:t>
            </w:r>
            <w:r>
              <w:rPr>
                <w:rFonts w:hint="default" w:ascii="Times New Roman" w:hAnsi="Times New Roman" w:eastAsia="宋体" w:cs="Times New Roman"/>
                <w:color w:val="auto"/>
                <w:kern w:val="0"/>
                <w:sz w:val="24"/>
                <w:szCs w:val="24"/>
                <w:highlight w:val="none"/>
                <w:lang w:val="en-US" w:eastAsia="zh-CN" w:bidi="ar"/>
              </w:rPr>
              <w:t>、聚乙烯醇，水不含苯系物。根据查阅生态环境部发布的《排放源统计调查产排污核算方法和系数手册》中“211 木质家具制造行业系数表”，该系数手册未列明胶压工序的产污系数，本评价参照《排放源统计调查产排污核算方法和系数手册》“203木质制品制造行业系数手册”中胶压工段，挥发性有机物(以非甲烷总烃计)产污系数为0.24克/立方米-产品，项目需压合的产品约180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 xml:space="preserve"> /a，则非甲烷总烃产生量约 0.0000432t/a（0.0000144kg/h）。</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项目封边工序利用白乳胶将封边条与板材粘合，封边时将白乳胶加入到封边机中融化，加热温度约180℃，封边工序会产生挥发性有机物（以非甲烷总烃计），根据查阅生态环境部发布的《排放源统计调查产排污核算方法和系数手册》中“211 木质家具制造行业系数表”，该系数手册未列明封边工序的产污系数，本评价参照《排放源统计调查产排污核算方法和系数手册》“203木质制品制造行业系数手册”中施胶工段，挥发性有机物(以非甲烷总烃计)产污系数为2.25克/立方米-产品，项目需封边的产品约180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 xml:space="preserve"> /a，则非甲烷总烃产生量约0.000405t/a（0.000135kg/h）。</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green"/>
                <w:lang w:val="en-US" w:eastAsia="zh-CN" w:bidi="ar"/>
              </w:rPr>
            </w:pPr>
            <w:r>
              <w:rPr>
                <w:rFonts w:hint="default" w:ascii="Times New Roman" w:hAnsi="Times New Roman" w:eastAsia="宋体" w:cs="Times New Roman"/>
                <w:color w:val="auto"/>
                <w:sz w:val="24"/>
                <w:highlight w:val="none"/>
                <w:lang w:val="en-US" w:eastAsia="zh-CN"/>
              </w:rPr>
              <w:t>综上，压合、封边工序</w:t>
            </w:r>
            <w:r>
              <w:rPr>
                <w:rFonts w:hint="default" w:ascii="Times New Roman" w:hAnsi="Times New Roman" w:eastAsia="宋体" w:cs="Times New Roman"/>
                <w:color w:val="auto"/>
                <w:kern w:val="0"/>
                <w:sz w:val="24"/>
                <w:szCs w:val="24"/>
                <w:highlight w:val="none"/>
                <w:lang w:val="en-US" w:eastAsia="zh-CN" w:bidi="ar"/>
              </w:rPr>
              <w:t>非甲烷总烃产生量为0.0004</w:t>
            </w:r>
            <w:r>
              <w:rPr>
                <w:rFonts w:hint="eastAsia"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val="en-US" w:eastAsia="zh-CN" w:bidi="ar"/>
              </w:rPr>
              <w:t>t/a（0.0001</w:t>
            </w:r>
            <w:r>
              <w:rPr>
                <w:rFonts w:hint="eastAsia"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val="en-US" w:eastAsia="zh-CN" w:bidi="ar"/>
              </w:rPr>
              <w:t>kg/h）</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sz w:val="24"/>
                <w:highlight w:val="none"/>
                <w:lang w:eastAsia="zh-CN"/>
              </w:rPr>
              <w:t>项目拟在</w:t>
            </w:r>
            <w:r>
              <w:rPr>
                <w:rFonts w:hint="default" w:ascii="Times New Roman" w:hAnsi="Times New Roman" w:eastAsia="宋体" w:cs="Times New Roman"/>
                <w:color w:val="auto"/>
                <w:sz w:val="24"/>
                <w:highlight w:val="none"/>
                <w:lang w:val="en-US" w:eastAsia="zh-CN"/>
              </w:rPr>
              <w:t>压合、封边工位</w:t>
            </w:r>
            <w:r>
              <w:rPr>
                <w:rFonts w:hint="default" w:ascii="Times New Roman" w:hAnsi="Times New Roman" w:eastAsia="宋体" w:cs="Times New Roman"/>
                <w:color w:val="auto"/>
                <w:sz w:val="24"/>
                <w:highlight w:val="none"/>
                <w:lang w:eastAsia="zh-CN"/>
              </w:rPr>
              <w:t>上方设置集气罩，</w:t>
            </w:r>
            <w:r>
              <w:rPr>
                <w:rFonts w:hint="default" w:ascii="Times New Roman" w:hAnsi="Times New Roman" w:eastAsia="宋体" w:cs="Times New Roman"/>
                <w:color w:val="auto"/>
                <w:kern w:val="0"/>
                <w:sz w:val="24"/>
                <w:szCs w:val="24"/>
                <w:highlight w:val="none"/>
                <w:lang w:val="en-US" w:eastAsia="zh-CN" w:bidi="ar"/>
              </w:rPr>
              <w:t>风机风量1000m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/h，</w:t>
            </w:r>
            <w:r>
              <w:rPr>
                <w:rFonts w:hint="default" w:ascii="Times New Roman" w:hAnsi="Times New Roman" w:eastAsia="宋体" w:cs="Times New Roman"/>
                <w:color w:val="auto"/>
                <w:sz w:val="24"/>
                <w:highlight w:val="none"/>
              </w:rPr>
              <w:t>废气收集效率为</w:t>
            </w:r>
            <w:r>
              <w:rPr>
                <w:rFonts w:hint="default" w:ascii="Times New Roman" w:hAnsi="Times New Roman" w:eastAsia="宋体" w:cs="Times New Roman"/>
                <w:color w:val="auto"/>
                <w:sz w:val="24"/>
                <w:highlight w:val="none"/>
                <w:lang w:val="en-US" w:eastAsia="zh-CN"/>
              </w:rPr>
              <w:t>90</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废气经</w:t>
            </w:r>
            <w:r>
              <w:rPr>
                <w:rFonts w:hint="eastAsia" w:cs="Times New Roman"/>
                <w:color w:val="auto"/>
                <w:sz w:val="24"/>
                <w:highlight w:val="none"/>
                <w:lang w:val="en-US" w:eastAsia="zh-CN"/>
              </w:rPr>
              <w:t>二级</w:t>
            </w:r>
            <w:r>
              <w:rPr>
                <w:rFonts w:hint="default" w:ascii="Times New Roman" w:hAnsi="Times New Roman" w:eastAsia="宋体" w:cs="Times New Roman"/>
                <w:color w:val="auto"/>
                <w:sz w:val="24"/>
                <w:highlight w:val="none"/>
                <w:lang w:eastAsia="zh-CN"/>
              </w:rPr>
              <w:t>活性炭</w:t>
            </w:r>
            <w:r>
              <w:rPr>
                <w:rFonts w:hint="default" w:ascii="Times New Roman" w:hAnsi="Times New Roman" w:eastAsia="宋体" w:cs="Times New Roman"/>
                <w:color w:val="auto"/>
                <w:sz w:val="24"/>
                <w:highlight w:val="none"/>
              </w:rPr>
              <w:t>吸附装置净化处理</w:t>
            </w:r>
            <w:r>
              <w:rPr>
                <w:rFonts w:hint="default" w:ascii="Times New Roman" w:hAnsi="Times New Roman" w:eastAsia="宋体" w:cs="Times New Roman"/>
                <w:color w:val="auto"/>
                <w:sz w:val="24"/>
                <w:highlight w:val="none"/>
                <w:lang w:eastAsia="zh-CN"/>
              </w:rPr>
              <w:t>后</w:t>
            </w:r>
            <w:r>
              <w:rPr>
                <w:rFonts w:hint="eastAsia" w:cs="Times New Roman"/>
                <w:color w:val="auto"/>
                <w:sz w:val="24"/>
                <w:highlight w:val="none"/>
                <w:lang w:val="en-US" w:eastAsia="zh-CN"/>
              </w:rPr>
              <w:t>汇入排气筒</w:t>
            </w:r>
            <w:r>
              <w:rPr>
                <w:rFonts w:hint="default" w:ascii="Times New Roman" w:hAnsi="Times New Roman" w:eastAsia="宋体" w:cs="Times New Roman"/>
                <w:bCs/>
                <w:color w:val="auto"/>
                <w:sz w:val="24"/>
                <w:highlight w:val="none"/>
              </w:rPr>
              <w:t>DA00</w:t>
            </w:r>
            <w:r>
              <w:rPr>
                <w:rFonts w:hint="eastAsia" w:cs="Times New Roman"/>
                <w:bCs/>
                <w:color w:val="auto"/>
                <w:sz w:val="24"/>
                <w:highlight w:val="none"/>
                <w:lang w:val="en-US" w:eastAsia="zh-CN"/>
              </w:rPr>
              <w:t>6高空</w:t>
            </w:r>
            <w:r>
              <w:rPr>
                <w:rFonts w:hint="default" w:ascii="Times New Roman" w:hAnsi="Times New Roman" w:eastAsia="宋体" w:cs="Times New Roman"/>
                <w:color w:val="auto"/>
                <w:sz w:val="24"/>
                <w:highlight w:val="none"/>
              </w:rPr>
              <w:t>排放</w:t>
            </w:r>
            <w:r>
              <w:rPr>
                <w:rFonts w:hint="default" w:ascii="Times New Roman" w:hAnsi="Times New Roman" w:eastAsia="宋体" w:cs="Times New Roman"/>
                <w:color w:val="auto"/>
                <w:sz w:val="24"/>
                <w:highlight w:val="none"/>
                <w:lang w:eastAsia="zh-CN"/>
              </w:rPr>
              <w:t>，</w:t>
            </w:r>
            <w:r>
              <w:rPr>
                <w:rFonts w:hint="eastAsia" w:cs="Times New Roman"/>
                <w:color w:val="auto"/>
                <w:sz w:val="24"/>
                <w:highlight w:val="none"/>
                <w:lang w:val="en-US" w:eastAsia="zh-CN"/>
              </w:rPr>
              <w:t>二级</w:t>
            </w:r>
            <w:r>
              <w:rPr>
                <w:rFonts w:hint="default" w:ascii="Times New Roman" w:hAnsi="Times New Roman" w:eastAsia="宋体" w:cs="Times New Roman"/>
                <w:color w:val="auto"/>
                <w:sz w:val="24"/>
                <w:highlight w:val="none"/>
                <w:lang w:eastAsia="zh-CN"/>
              </w:rPr>
              <w:t>活性炭</w:t>
            </w:r>
            <w:r>
              <w:rPr>
                <w:rFonts w:hint="default" w:ascii="Times New Roman" w:hAnsi="Times New Roman" w:eastAsia="宋体" w:cs="Times New Roman"/>
                <w:color w:val="auto"/>
                <w:sz w:val="24"/>
                <w:highlight w:val="none"/>
              </w:rPr>
              <w:t>吸附装置</w:t>
            </w:r>
            <w:r>
              <w:rPr>
                <w:rFonts w:hint="default" w:ascii="Times New Roman" w:hAnsi="Times New Roman" w:eastAsia="宋体" w:cs="Times New Roman"/>
                <w:color w:val="auto"/>
                <w:sz w:val="24"/>
                <w:highlight w:val="none"/>
                <w:lang w:val="en-US" w:eastAsia="zh-CN"/>
              </w:rPr>
              <w:t>处理效率为50%，则</w:t>
            </w:r>
            <w:r>
              <w:rPr>
                <w:rFonts w:hint="default" w:ascii="Times New Roman" w:hAnsi="Times New Roman" w:eastAsia="宋体" w:cs="Times New Roman"/>
                <w:color w:val="auto"/>
                <w:kern w:val="0"/>
                <w:sz w:val="24"/>
                <w:szCs w:val="24"/>
                <w:highlight w:val="none"/>
                <w:lang w:val="en-US" w:eastAsia="zh-CN" w:bidi="ar"/>
              </w:rPr>
              <w:t>非甲烷总烃有组织排放量为0.0002t/a，排放速率为0.00007kg/h。</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未被收集的10%废气以无组织形式排放，无组织排放量为0.00004t/a，排放速率为0.00001kg/h。</w:t>
            </w:r>
          </w:p>
          <w:p>
            <w:pPr>
              <w:pStyle w:val="10"/>
              <w:keepNext w:val="0"/>
              <w:keepLines w:val="0"/>
              <w:pageBreakBefore w:val="0"/>
              <w:widowControl/>
              <w:kinsoku/>
              <w:wordWrap/>
              <w:overflowPunct/>
              <w:topLinePunct w:val="0"/>
              <w:autoSpaceDE/>
              <w:autoSpaceDN/>
              <w:bidi w:val="0"/>
              <w:adjustRightInd w:val="0"/>
              <w:snapToGrid w:val="0"/>
              <w:spacing w:before="0" w:beforeLines="0"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eastAsia="宋体" w:cs="Times New Roman"/>
                <w:color w:val="auto"/>
                <w:kern w:val="0"/>
                <w:sz w:val="24"/>
                <w:szCs w:val="24"/>
                <w:highlight w:val="none"/>
                <w:lang w:val="en-US" w:eastAsia="zh-CN" w:bidi="ar"/>
              </w:rPr>
              <w:t>7</w:t>
            </w:r>
            <w:r>
              <w:rPr>
                <w:rFonts w:hint="default" w:ascii="Times New Roman" w:hAnsi="Times New Roman" w:eastAsia="宋体" w:cs="Times New Roman"/>
                <w:color w:val="auto"/>
                <w:kern w:val="0"/>
                <w:sz w:val="24"/>
                <w:szCs w:val="24"/>
                <w:highlight w:val="none"/>
                <w:lang w:val="en-US" w:eastAsia="zh-CN" w:bidi="ar"/>
              </w:rPr>
              <w:t>）开料、磨光、机加工废气</w:t>
            </w:r>
          </w:p>
          <w:p>
            <w:pPr>
              <w:pStyle w:val="10"/>
              <w:keepNext w:val="0"/>
              <w:keepLines w:val="0"/>
              <w:pageBreakBefore w:val="0"/>
              <w:widowControl/>
              <w:kinsoku/>
              <w:wordWrap/>
              <w:overflowPunct/>
              <w:topLinePunct w:val="0"/>
              <w:autoSpaceDE/>
              <w:autoSpaceDN/>
              <w:bidi w:val="0"/>
              <w:adjustRightInd w:val="0"/>
              <w:snapToGrid w:val="0"/>
              <w:spacing w:before="0" w:beforeLines="0"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项目生产浴室柜中纤板、多层板开料、磨光、机加工过程会产生木屑粉尘，以颗粒物</w:t>
            </w:r>
            <w:r>
              <w:rPr>
                <w:rFonts w:hint="eastAsia" w:ascii="Times New Roman" w:eastAsia="宋体" w:cs="Times New Roman"/>
                <w:color w:val="auto"/>
                <w:kern w:val="0"/>
                <w:sz w:val="24"/>
                <w:szCs w:val="24"/>
                <w:highlight w:val="none"/>
                <w:lang w:val="en-US" w:eastAsia="zh-CN" w:bidi="ar"/>
              </w:rPr>
              <w:t>计</w:t>
            </w:r>
            <w:r>
              <w:rPr>
                <w:rFonts w:hint="default" w:ascii="Times New Roman" w:hAnsi="Times New Roman" w:eastAsia="宋体" w:cs="Times New Roman"/>
                <w:color w:val="auto"/>
                <w:kern w:val="0"/>
                <w:sz w:val="24"/>
                <w:szCs w:val="24"/>
                <w:highlight w:val="none"/>
                <w:lang w:val="en-US" w:eastAsia="zh-CN" w:bidi="ar"/>
              </w:rPr>
              <w:t>，产生过程从木料进入机器开始，到离开机器结束，不会持续产生，一般以木边角料附有少量木屑粉尘产生。</w:t>
            </w:r>
          </w:p>
          <w:p>
            <w:pPr>
              <w:pStyle w:val="10"/>
              <w:keepNext w:val="0"/>
              <w:keepLines w:val="0"/>
              <w:pageBreakBefore w:val="0"/>
              <w:widowControl/>
              <w:kinsoku/>
              <w:wordWrap/>
              <w:overflowPunct/>
              <w:topLinePunct w:val="0"/>
              <w:autoSpaceDE/>
              <w:autoSpaceDN/>
              <w:bidi w:val="0"/>
              <w:adjustRightInd w:val="0"/>
              <w:snapToGrid w:val="0"/>
              <w:spacing w:before="0" w:beforeLines="0"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sz w:val="24"/>
                <w:szCs w:val="24"/>
                <w:highlight w:val="none"/>
                <w:lang w:val="en-US" w:eastAsia="zh-CN"/>
              </w:rPr>
              <w:t>项目原料中纤板、多成板用量为225m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/a（原料折合4500m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/a，成品率为80%，折合成品3600m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/a），</w:t>
            </w:r>
            <w:r>
              <w:rPr>
                <w:rFonts w:hint="default" w:ascii="Times New Roman" w:hAnsi="Times New Roman" w:eastAsia="宋体" w:cs="Times New Roman"/>
                <w:color w:val="auto"/>
                <w:kern w:val="0"/>
                <w:sz w:val="24"/>
                <w:szCs w:val="24"/>
                <w:highlight w:val="none"/>
                <w:lang w:val="en-US" w:eastAsia="zh-CN" w:bidi="ar"/>
              </w:rPr>
              <w:t>《参照《排放源统计调查产排污核算方法和系数手册》 中“</w:t>
            </w:r>
            <w:r>
              <w:rPr>
                <w:rFonts w:hint="default" w:ascii="Times New Roman" w:hAnsi="Times New Roman" w:eastAsia="宋体" w:cs="Times New Roman"/>
                <w:color w:val="auto"/>
                <w:sz w:val="24"/>
                <w:szCs w:val="24"/>
                <w:highlight w:val="none"/>
              </w:rPr>
              <w:t>211 木质家具制造行业系数手册</w:t>
            </w:r>
            <w:r>
              <w:rPr>
                <w:rFonts w:hint="default" w:ascii="Times New Roman" w:hAnsi="Times New Roman" w:eastAsia="宋体" w:cs="Times New Roman"/>
                <w:color w:val="auto"/>
                <w:kern w:val="0"/>
                <w:sz w:val="24"/>
                <w:szCs w:val="24"/>
                <w:highlight w:val="none"/>
                <w:lang w:val="en-US" w:eastAsia="zh-CN" w:bidi="ar"/>
              </w:rPr>
              <w:t xml:space="preserve"> ”，开料废气产污系数为150</w:t>
            </w:r>
            <w:r>
              <w:rPr>
                <w:rFonts w:hint="default" w:ascii="Times New Roman" w:hAnsi="Times New Roman" w:eastAsia="宋体" w:cs="Times New Roman"/>
                <w:color w:val="auto"/>
                <w:sz w:val="24"/>
                <w:szCs w:val="24"/>
                <w:highlight w:val="none"/>
              </w:rPr>
              <w:t>克/立方米-原料</w:t>
            </w:r>
            <w:r>
              <w:rPr>
                <w:rFonts w:hint="default" w:ascii="Times New Roman" w:hAnsi="Times New Roman" w:eastAsia="宋体" w:cs="Times New Roman"/>
                <w:color w:val="auto"/>
                <w:kern w:val="0"/>
                <w:sz w:val="24"/>
                <w:szCs w:val="24"/>
                <w:highlight w:val="none"/>
                <w:lang w:val="en-US" w:eastAsia="zh-CN" w:bidi="ar"/>
              </w:rPr>
              <w:t>，磨光废气产污系数为23.5</w:t>
            </w:r>
            <w:r>
              <w:rPr>
                <w:rFonts w:hint="default" w:ascii="Times New Roman" w:hAnsi="Times New Roman" w:eastAsia="宋体" w:cs="Times New Roman"/>
                <w:color w:val="auto"/>
                <w:sz w:val="24"/>
                <w:szCs w:val="24"/>
                <w:highlight w:val="none"/>
              </w:rPr>
              <w:t>克/</w:t>
            </w:r>
            <w:r>
              <w:rPr>
                <w:rFonts w:hint="default" w:ascii="Times New Roman" w:hAnsi="Times New Roman" w:eastAsia="宋体" w:cs="Times New Roman"/>
                <w:color w:val="auto"/>
                <w:sz w:val="24"/>
                <w:szCs w:val="24"/>
                <w:highlight w:val="none"/>
                <w:lang w:val="en-US" w:eastAsia="zh-CN"/>
              </w:rPr>
              <w:t>平方</w:t>
            </w:r>
            <w:r>
              <w:rPr>
                <w:rFonts w:hint="default" w:ascii="Times New Roman" w:hAnsi="Times New Roman" w:eastAsia="宋体" w:cs="Times New Roman"/>
                <w:color w:val="auto"/>
                <w:sz w:val="24"/>
                <w:szCs w:val="24"/>
                <w:highlight w:val="none"/>
              </w:rPr>
              <w:t>米-</w:t>
            </w:r>
            <w:r>
              <w:rPr>
                <w:rFonts w:hint="default" w:ascii="Times New Roman" w:hAnsi="Times New Roman" w:eastAsia="宋体" w:cs="Times New Roman"/>
                <w:color w:val="auto"/>
                <w:sz w:val="24"/>
                <w:szCs w:val="24"/>
                <w:highlight w:val="none"/>
                <w:lang w:val="en-US" w:eastAsia="zh-CN"/>
              </w:rPr>
              <w:t>产品，</w:t>
            </w:r>
            <w:r>
              <w:rPr>
                <w:rFonts w:hint="default" w:ascii="Times New Roman" w:hAnsi="Times New Roman" w:eastAsia="宋体" w:cs="Times New Roman"/>
                <w:color w:val="auto"/>
                <w:kern w:val="0"/>
                <w:sz w:val="24"/>
                <w:szCs w:val="24"/>
                <w:highlight w:val="none"/>
                <w:lang w:val="en-US" w:eastAsia="zh-CN" w:bidi="ar"/>
              </w:rPr>
              <w:t>排放源统计调查产排污核算方法和系数手册》中“211 木质家具制造行业系数表”未列明家具机加工工序颗粒物的产污系数，本评价浴室柜机加工废气产污系数参照《排放源统计调查产</w:t>
            </w:r>
            <w:r>
              <w:rPr>
                <w:rFonts w:hint="default" w:ascii="Times New Roman" w:hAnsi="Times New Roman" w:eastAsia="宋体" w:cs="Times New Roman"/>
                <w:color w:val="auto"/>
                <w:sz w:val="24"/>
                <w:szCs w:val="24"/>
                <w:highlight w:val="none"/>
                <w:lang w:val="en-US" w:eastAsia="zh-CN"/>
              </w:rPr>
              <w:t>排污核算方法和系数手册》“203木质制品制造行业系数手册”中机加工工段，废气颗粒物产污系数为0.045千克/立方米-产品，则项</w:t>
            </w:r>
            <w:r>
              <w:rPr>
                <w:rFonts w:hint="default" w:ascii="Times New Roman" w:hAnsi="Times New Roman" w:eastAsia="宋体" w:cs="Times New Roman"/>
                <w:color w:val="auto"/>
                <w:kern w:val="0"/>
                <w:sz w:val="24"/>
                <w:szCs w:val="24"/>
                <w:highlight w:val="none"/>
                <w:lang w:val="en-US" w:eastAsia="zh-CN" w:bidi="ar"/>
              </w:rPr>
              <w:t>目开料工序废气颗粒物产生量为0.0338t/a（0.0113kg/h），磨光废气颗粒物产生量为0.0846t/a（0.0282kg/h），机加工过程废气颗粒物总产生量为0.0081t/a（0.0027kg/h），颗粒物总产生量为0.1265t/a（0.0422kg/h）。</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拟在开料设备、磨光设备、机加工设备工位上方配备吸尘罩，将吸尘软管连接吸尘罩，粉尘通过设备自带吸风装置收集后，进入中央集气系统。吸尘罩口距离各产污工位较近，运行过程中保持集气口呈微负压状态，各工序开始前，预先开启中央除尘系统，待工序结束一段时间后，再关闭中央除尘系统。项目拟设置1套中央除尘系统，除尘系统配套一台布袋除尘器，开料、磨光、机加工工序产生的粉尘经布袋除尘器处理后</w:t>
            </w:r>
            <w:r>
              <w:rPr>
                <w:rFonts w:hint="eastAsia" w:cs="Times New Roman"/>
                <w:color w:val="auto"/>
                <w:kern w:val="0"/>
                <w:sz w:val="24"/>
                <w:szCs w:val="24"/>
                <w:highlight w:val="none"/>
                <w:lang w:val="en-US" w:eastAsia="zh-CN" w:bidi="ar"/>
              </w:rPr>
              <w:t>汇入排气筒DA006</w:t>
            </w:r>
            <w:r>
              <w:rPr>
                <w:rFonts w:hint="default" w:ascii="Times New Roman" w:hAnsi="Times New Roman" w:eastAsia="宋体" w:cs="Times New Roman"/>
                <w:color w:val="auto"/>
                <w:kern w:val="0"/>
                <w:sz w:val="24"/>
                <w:szCs w:val="24"/>
                <w:highlight w:val="none"/>
                <w:lang w:val="en-US" w:eastAsia="zh-CN" w:bidi="ar"/>
              </w:rPr>
              <w:t>高空排放。收集效率按90%计，处理效率按95%计，风机风量为5000m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16"/>
                <w:szCs w:val="16"/>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/h，则项目开料、磨光、机加工工序颗粒物有组织排放量为0.0057t/a，排放速率为0.0019kg/h。未被收集的废气以无组织形式排放，则颗粒物无组织排放量为0.0127t/a，排放速率为0.0042kg/h。</w:t>
            </w:r>
          </w:p>
          <w:p>
            <w:pPr>
              <w:pStyle w:val="1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8</w:t>
            </w:r>
            <w:r>
              <w:rPr>
                <w:rFonts w:hint="default" w:ascii="Times New Roman" w:hAnsi="Times New Roman" w:eastAsia="宋体" w:cs="Times New Roman"/>
                <w:color w:val="auto"/>
                <w:highlight w:val="none"/>
                <w:lang w:val="en-US" w:eastAsia="zh-CN"/>
              </w:rPr>
              <w:t>）油烟废气</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vertAlign w:val="superscript"/>
                <w:lang w:val="en-US" w:eastAsia="zh-CN" w:bidi="ar"/>
              </w:rPr>
            </w:pPr>
            <w:r>
              <w:rPr>
                <w:rFonts w:hint="default" w:ascii="Times New Roman" w:hAnsi="Times New Roman" w:eastAsia="宋体" w:cs="Times New Roman"/>
                <w:color w:val="auto"/>
                <w:kern w:val="0"/>
                <w:sz w:val="24"/>
                <w:szCs w:val="24"/>
                <w:highlight w:val="none"/>
                <w:lang w:val="en-US" w:eastAsia="zh-CN" w:bidi="ar"/>
              </w:rPr>
              <w:t>项目设置基准灶头4个，平均每天使用8h，使用电作为主要能源。根据《饮食业油烟排放标准（试行）》（GB18483-2001），项目设有4个炉头，属于中型规模餐饮业，油烟净化设施最低去除效率应大于75%。根据中国营养学会推出的《中国居民膳食指南》，人均每天烹饪油摄入量不超过25g或30g，本项目人均食用油日用量以30g/人·d计，烹饪时油烟的挥发量占总耗油量的2～4%，取4%，本项目员工基本在食堂用餐，职工人数70人，则项目食堂油烟产生量为0.0252t/a（0.0105kg/h）。项目油烟经油烟净化机（风量10000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/h）处理后排放（DA00</w:t>
            </w:r>
            <w:r>
              <w:rPr>
                <w:rFonts w:hint="eastAsia" w:cs="Times New Roman"/>
                <w:color w:val="auto"/>
                <w:kern w:val="0"/>
                <w:sz w:val="24"/>
                <w:szCs w:val="24"/>
                <w:highlight w:val="none"/>
                <w:lang w:val="en-US" w:eastAsia="zh-CN" w:bidi="ar"/>
              </w:rPr>
              <w:t>7</w:t>
            </w:r>
            <w:r>
              <w:rPr>
                <w:rFonts w:hint="default" w:ascii="Times New Roman" w:hAnsi="Times New Roman" w:eastAsia="宋体" w:cs="Times New Roman"/>
                <w:color w:val="auto"/>
                <w:kern w:val="0"/>
                <w:sz w:val="24"/>
                <w:szCs w:val="24"/>
                <w:highlight w:val="none"/>
                <w:lang w:val="en-US" w:eastAsia="zh-CN" w:bidi="ar"/>
              </w:rPr>
              <w:t>），收集效率按95%收集，处理效率达80%。则有组织油烟排放量为0.0048t/a（0.002kg/h），排放浓度为0.2mg/m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w:t>
            </w:r>
          </w:p>
          <w:p>
            <w:pPr>
              <w:pStyle w:val="1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（9）</w:t>
            </w:r>
            <w:r>
              <w:rPr>
                <w:rFonts w:hint="eastAsia" w:ascii="Times New Roman" w:hAnsi="Times New Roman" w:eastAsia="宋体" w:cs="Times New Roman"/>
                <w:color w:val="auto"/>
                <w:kern w:val="0"/>
                <w:sz w:val="24"/>
                <w:szCs w:val="24"/>
                <w:highlight w:val="none"/>
                <w:lang w:val="en-US" w:eastAsia="zh-CN" w:bidi="ar"/>
              </w:rPr>
              <w:t>焊接废气</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项目部分产品需焊接成型，项目焊接采用主要采用CO2气体保护焊工艺。</w:t>
            </w:r>
            <w:r>
              <w:rPr>
                <w:rFonts w:hint="default" w:ascii="Times New Roman" w:hAnsi="Times New Roman" w:eastAsia="宋体" w:cs="Times New Roman"/>
                <w:color w:val="auto"/>
                <w:kern w:val="0"/>
                <w:sz w:val="24"/>
                <w:szCs w:val="24"/>
                <w:highlight w:val="none"/>
                <w:lang w:val="en-US" w:eastAsia="zh-CN" w:bidi="ar"/>
              </w:rPr>
              <w:t>根据《焊接工作的劳动保护》，各种焊条烟尘产生量见表</w:t>
            </w:r>
            <w:r>
              <w:rPr>
                <w:rFonts w:hint="eastAsia" w:cs="Times New Roman"/>
                <w:color w:val="auto"/>
                <w:kern w:val="0"/>
                <w:sz w:val="24"/>
                <w:szCs w:val="24"/>
                <w:highlight w:val="none"/>
                <w:lang w:val="en-US" w:eastAsia="zh-CN" w:bidi="ar"/>
              </w:rPr>
              <w:t>4.2-5</w:t>
            </w:r>
            <w:r>
              <w:rPr>
                <w:rFonts w:hint="default"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jc w:val="center"/>
              <w:textAlignment w:val="auto"/>
              <w:rPr>
                <w:rFonts w:hint="default" w:ascii="Times New Roman" w:hAnsi="Times New Roman" w:eastAsia="宋体" w:cs="Times New Roman"/>
                <w:b/>
                <w:bCs/>
                <w:color w:val="auto"/>
                <w:kern w:val="0"/>
                <w:sz w:val="24"/>
                <w:szCs w:val="24"/>
                <w:highlight w:val="none"/>
                <w:lang w:val="en-US" w:eastAsia="zh-CN" w:bidi="ar"/>
              </w:rPr>
            </w:pP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jc w:val="center"/>
              <w:textAlignment w:val="auto"/>
              <w:rPr>
                <w:rFonts w:hint="default" w:ascii="Times New Roman" w:hAnsi="Times New Roman" w:eastAsia="宋体" w:cs="Times New Roman"/>
                <w:b/>
                <w:bCs/>
                <w:color w:val="auto"/>
                <w:kern w:val="0"/>
                <w:sz w:val="24"/>
                <w:szCs w:val="24"/>
                <w:highlight w:val="none"/>
                <w:lang w:val="en-US" w:eastAsia="zh-CN" w:bidi="ar"/>
              </w:rPr>
            </w:pP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jc w:val="center"/>
              <w:textAlignment w:val="auto"/>
              <w:rPr>
                <w:rFonts w:hint="default" w:ascii="Times New Roman" w:hAnsi="Times New Roman" w:eastAsia="宋体" w:cs="Times New Roman"/>
                <w:b/>
                <w:bCs/>
                <w:color w:val="auto"/>
                <w:kern w:val="0"/>
                <w:sz w:val="24"/>
                <w:szCs w:val="24"/>
                <w:highlight w:val="none"/>
                <w:lang w:val="en-US" w:eastAsia="zh-CN" w:bidi="ar"/>
              </w:rPr>
            </w:pP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jc w:val="center"/>
              <w:textAlignment w:val="auto"/>
              <w:rPr>
                <w:rFonts w:hint="default" w:ascii="Times New Roman" w:hAnsi="Times New Roman" w:eastAsia="宋体" w:cs="Times New Roman"/>
                <w:b/>
                <w:bCs/>
                <w:color w:val="auto"/>
                <w:kern w:val="0"/>
                <w:sz w:val="24"/>
                <w:szCs w:val="24"/>
                <w:highlight w:val="none"/>
                <w:lang w:val="en-US" w:eastAsia="zh-CN" w:bidi="ar"/>
              </w:rPr>
            </w:pP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jc w:val="center"/>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w:t>
            </w:r>
            <w:r>
              <w:rPr>
                <w:rFonts w:hint="eastAsia" w:ascii="Times New Roman" w:hAnsi="Times New Roman" w:eastAsia="宋体" w:cs="Times New Roman"/>
                <w:b/>
                <w:bCs/>
                <w:color w:val="auto"/>
                <w:kern w:val="0"/>
                <w:sz w:val="24"/>
                <w:szCs w:val="24"/>
                <w:highlight w:val="none"/>
                <w:lang w:val="en-US" w:eastAsia="zh-CN" w:bidi="ar"/>
              </w:rPr>
              <w:t>4</w:t>
            </w:r>
            <w:r>
              <w:rPr>
                <w:rFonts w:hint="eastAsia" w:cs="Times New Roman"/>
                <w:b/>
                <w:bCs/>
                <w:color w:val="auto"/>
                <w:kern w:val="0"/>
                <w:sz w:val="24"/>
                <w:szCs w:val="24"/>
                <w:highlight w:val="none"/>
                <w:lang w:val="en-US" w:eastAsia="zh-CN" w:bidi="ar"/>
              </w:rPr>
              <w:t>.2</w:t>
            </w:r>
            <w:r>
              <w:rPr>
                <w:rFonts w:hint="eastAsia" w:ascii="Times New Roman" w:hAnsi="Times New Roman" w:eastAsia="宋体" w:cs="Times New Roman"/>
                <w:b/>
                <w:bCs/>
                <w:color w:val="auto"/>
                <w:kern w:val="0"/>
                <w:sz w:val="24"/>
                <w:szCs w:val="24"/>
                <w:highlight w:val="none"/>
                <w:lang w:val="en-US" w:eastAsia="zh-CN" w:bidi="ar"/>
              </w:rPr>
              <w:t>-</w:t>
            </w:r>
            <w:r>
              <w:rPr>
                <w:rFonts w:hint="eastAsia" w:cs="Times New Roman"/>
                <w:b/>
                <w:bCs/>
                <w:color w:val="auto"/>
                <w:kern w:val="0"/>
                <w:sz w:val="24"/>
                <w:szCs w:val="24"/>
                <w:highlight w:val="none"/>
                <w:lang w:val="en-US" w:eastAsia="zh-CN" w:bidi="ar"/>
              </w:rPr>
              <w:t>5</w:t>
            </w:r>
            <w:r>
              <w:rPr>
                <w:rFonts w:hint="default" w:ascii="Times New Roman" w:hAnsi="Times New Roman" w:eastAsia="宋体" w:cs="Times New Roman"/>
                <w:b/>
                <w:bCs/>
                <w:color w:val="auto"/>
                <w:kern w:val="0"/>
                <w:sz w:val="24"/>
                <w:szCs w:val="24"/>
                <w:highlight w:val="none"/>
                <w:lang w:val="en-US" w:eastAsia="zh-CN" w:bidi="ar"/>
              </w:rPr>
              <w:t xml:space="preserve">  各种焊接工艺及焊条烟尘产生量</w:t>
            </w:r>
          </w:p>
          <w:tbl>
            <w:tblPr>
              <w:tblStyle w:val="28"/>
              <w:tblW w:w="819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2550"/>
              <w:gridCol w:w="2250"/>
              <w:gridCol w:w="16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55"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焊接工艺</w:t>
                  </w:r>
                </w:p>
              </w:tc>
              <w:tc>
                <w:tcPr>
                  <w:tcW w:w="22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烟尘产生量</w:t>
                  </w:r>
                  <w:r>
                    <w:rPr>
                      <w:rFonts w:hint="eastAsia"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g/kg焊条</w:t>
                  </w:r>
                  <w:r>
                    <w:rPr>
                      <w:rFonts w:hint="eastAsia" w:cs="Times New Roman"/>
                      <w:color w:val="auto"/>
                      <w:kern w:val="0"/>
                      <w:sz w:val="21"/>
                      <w:szCs w:val="21"/>
                      <w:highlight w:val="none"/>
                      <w:lang w:val="en-US" w:eastAsia="zh-CN" w:bidi="ar"/>
                    </w:rPr>
                    <w:t>)</w:t>
                  </w:r>
                </w:p>
              </w:tc>
              <w:tc>
                <w:tcPr>
                  <w:tcW w:w="16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有害物主要成分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8" w:hRule="atLeast"/>
                <w:jc w:val="center"/>
              </w:trPr>
              <w:tc>
                <w:tcPr>
                  <w:tcW w:w="17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手工电弧焊</w:t>
                  </w:r>
                </w:p>
              </w:tc>
              <w:tc>
                <w:tcPr>
                  <w:tcW w:w="25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低氮型普低钢焊条</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J507</w:t>
                  </w:r>
                  <w:r>
                    <w:rPr>
                      <w:rFonts w:hint="eastAsia" w:ascii="Times New Roman" w:hAnsi="Times New Roman" w:eastAsia="宋体" w:cs="Times New Roman"/>
                      <w:color w:val="auto"/>
                      <w:kern w:val="0"/>
                      <w:sz w:val="21"/>
                      <w:szCs w:val="21"/>
                      <w:highlight w:val="none"/>
                      <w:lang w:val="en-US" w:eastAsia="zh-CN" w:bidi="ar"/>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钛钙型低碳钢焊条</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J422</w:t>
                  </w:r>
                  <w:r>
                    <w:rPr>
                      <w:rFonts w:hint="eastAsia" w:ascii="Times New Roman" w:hAnsi="Times New Roman" w:eastAsia="宋体" w:cs="Times New Roman"/>
                      <w:color w:val="auto"/>
                      <w:kern w:val="0"/>
                      <w:sz w:val="21"/>
                      <w:szCs w:val="21"/>
                      <w:highlight w:val="none"/>
                      <w:lang w:val="en-US" w:eastAsia="zh-CN" w:bidi="ar"/>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钛钙型低碳钢焊条</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J423</w:t>
                  </w:r>
                  <w:r>
                    <w:rPr>
                      <w:rFonts w:hint="eastAsia" w:ascii="Times New Roman" w:hAnsi="Times New Roman" w:eastAsia="宋体" w:cs="Times New Roman"/>
                      <w:color w:val="auto"/>
                      <w:kern w:val="0"/>
                      <w:sz w:val="21"/>
                      <w:szCs w:val="21"/>
                      <w:highlight w:val="none"/>
                      <w:lang w:val="en-US" w:eastAsia="zh-CN" w:bidi="ar"/>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高效铁粉焊条</w:t>
                  </w:r>
                </w:p>
              </w:tc>
              <w:tc>
                <w:tcPr>
                  <w:tcW w:w="22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11</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25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6</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7.5</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9.5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10</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12</w:t>
                  </w:r>
                </w:p>
              </w:tc>
              <w:tc>
                <w:tcPr>
                  <w:tcW w:w="16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F、Mn</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Mn</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Mn</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Mn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7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自保护电弧焊</w:t>
                  </w:r>
                </w:p>
              </w:tc>
              <w:tc>
                <w:tcPr>
                  <w:tcW w:w="25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保护药芯焊丝</w:t>
                  </w:r>
                </w:p>
              </w:tc>
              <w:tc>
                <w:tcPr>
                  <w:tcW w:w="22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20</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23</w:t>
                  </w:r>
                </w:p>
              </w:tc>
              <w:tc>
                <w:tcPr>
                  <w:tcW w:w="16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Mn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7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气体保护电弧焊</w:t>
                  </w:r>
                </w:p>
              </w:tc>
              <w:tc>
                <w:tcPr>
                  <w:tcW w:w="25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CO2保护药芯焊丝</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CO2保护实芯焊丝</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Ar+5%O2保护实芯焊</w:t>
                  </w:r>
                </w:p>
              </w:tc>
              <w:tc>
                <w:tcPr>
                  <w:tcW w:w="22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11</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13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11</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13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83</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6.5</w:t>
                  </w:r>
                </w:p>
              </w:tc>
              <w:tc>
                <w:tcPr>
                  <w:tcW w:w="16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Mn</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Mn</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Mn</w:t>
                  </w:r>
                </w:p>
              </w:tc>
            </w:tr>
          </w:tbl>
          <w:p>
            <w:pPr>
              <w:pStyle w:val="10"/>
              <w:keepNext w:val="0"/>
              <w:keepLines w:val="0"/>
              <w:pageBreakBefore w:val="0"/>
              <w:widowControl/>
              <w:kinsoku/>
              <w:wordWrap/>
              <w:overflowPunct/>
              <w:topLinePunct w:val="0"/>
              <w:autoSpaceDE/>
              <w:autoSpaceDN/>
              <w:bidi w:val="0"/>
              <w:adjustRightInd w:val="0"/>
              <w:snapToGrid w:val="0"/>
              <w:spacing w:before="157" w:beforeLines="50"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本项目采用CO</w:t>
            </w:r>
            <w:r>
              <w:rPr>
                <w:rFonts w:hint="default" w:ascii="Times New Roman" w:hAnsi="Times New Roman" w:eastAsia="宋体" w:cs="Times New Roman"/>
                <w:color w:val="auto"/>
                <w:kern w:val="0"/>
                <w:sz w:val="24"/>
                <w:szCs w:val="24"/>
                <w:highlight w:val="none"/>
                <w:vertAlign w:val="sub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气体保护焊工艺，烟尘产生量为11～13g/kg。本项目焊丝使用量1t/a，烟尘产生量取最大值13g/kg，则焊接烟尘产生量为0.013t/a。</w:t>
            </w:r>
            <w:r>
              <w:rPr>
                <w:rFonts w:hint="eastAsia" w:ascii="Times New Roman" w:eastAsia="宋体" w:cs="Times New Roman"/>
                <w:color w:val="auto"/>
                <w:kern w:val="0"/>
                <w:sz w:val="24"/>
                <w:szCs w:val="24"/>
                <w:highlight w:val="none"/>
                <w:lang w:val="en-US" w:eastAsia="zh-CN" w:bidi="ar"/>
              </w:rPr>
              <w:t>建设单位拟</w:t>
            </w:r>
            <w:r>
              <w:rPr>
                <w:rFonts w:hint="default" w:ascii="Times New Roman" w:hAnsi="Times New Roman" w:eastAsia="宋体" w:cs="Times New Roman"/>
                <w:color w:val="auto"/>
                <w:kern w:val="0"/>
                <w:sz w:val="24"/>
                <w:szCs w:val="24"/>
                <w:highlight w:val="none"/>
                <w:lang w:val="en-US" w:eastAsia="zh-CN" w:bidi="ar"/>
              </w:rPr>
              <w:t>采用移动式烟雾除尘器处理，烟雾除雾器处理效率</w:t>
            </w:r>
            <w:r>
              <w:rPr>
                <w:rFonts w:hint="eastAsia" w:ascii="Times New Roman" w:eastAsia="宋体" w:cs="Times New Roman"/>
                <w:color w:val="auto"/>
                <w:kern w:val="0"/>
                <w:sz w:val="24"/>
                <w:szCs w:val="24"/>
                <w:highlight w:val="none"/>
                <w:lang w:val="en-US" w:eastAsia="zh-CN" w:bidi="ar"/>
              </w:rPr>
              <w:t>以95</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eastAsia="宋体" w:cs="Times New Roman"/>
                <w:color w:val="auto"/>
                <w:kern w:val="0"/>
                <w:sz w:val="24"/>
                <w:szCs w:val="24"/>
                <w:highlight w:val="none"/>
                <w:lang w:val="en-US" w:eastAsia="zh-CN" w:bidi="ar"/>
              </w:rPr>
              <w:t>计</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eastAsia="宋体" w:cs="Times New Roman"/>
                <w:color w:val="auto"/>
                <w:kern w:val="0"/>
                <w:sz w:val="24"/>
                <w:szCs w:val="24"/>
                <w:highlight w:val="none"/>
                <w:lang w:val="en-US" w:eastAsia="zh-CN" w:bidi="ar"/>
              </w:rPr>
              <w:t>经处理后于车</w:t>
            </w:r>
            <w:r>
              <w:rPr>
                <w:rFonts w:hint="eastAsia" w:ascii="Times New Roman" w:hAnsi="Times New Roman" w:eastAsia="宋体" w:cs="Times New Roman"/>
                <w:color w:val="auto"/>
                <w:kern w:val="0"/>
                <w:sz w:val="24"/>
                <w:szCs w:val="24"/>
                <w:highlight w:val="none"/>
                <w:lang w:val="en-US" w:eastAsia="zh-CN" w:bidi="ar"/>
              </w:rPr>
              <w:t>间内无组织排放，</w:t>
            </w:r>
            <w:r>
              <w:rPr>
                <w:rFonts w:hint="default" w:ascii="Times New Roman" w:hAnsi="Times New Roman" w:eastAsia="宋体" w:cs="Times New Roman"/>
                <w:color w:val="auto"/>
                <w:kern w:val="0"/>
                <w:sz w:val="24"/>
                <w:szCs w:val="24"/>
                <w:highlight w:val="none"/>
                <w:lang w:val="en-US" w:eastAsia="zh-CN" w:bidi="ar"/>
              </w:rPr>
              <w:t>则无组织排放量为0.000</w:t>
            </w:r>
            <w:r>
              <w:rPr>
                <w:rFonts w:hint="eastAsia" w:ascii="Times New Roman" w:hAnsi="Times New Roman" w:eastAsia="宋体" w:cs="Times New Roman"/>
                <w:color w:val="auto"/>
                <w:kern w:val="0"/>
                <w:sz w:val="24"/>
                <w:szCs w:val="24"/>
                <w:highlight w:val="none"/>
                <w:lang w:val="en-US" w:eastAsia="zh-CN" w:bidi="ar"/>
              </w:rPr>
              <w:t>7t</w:t>
            </w:r>
            <w:r>
              <w:rPr>
                <w:rFonts w:hint="default" w:ascii="Times New Roman" w:hAnsi="Times New Roman" w:eastAsia="宋体" w:cs="Times New Roman"/>
                <w:color w:val="auto"/>
                <w:kern w:val="0"/>
                <w:sz w:val="24"/>
                <w:szCs w:val="24"/>
                <w:highlight w:val="none"/>
                <w:lang w:val="en-US" w:eastAsia="zh-CN" w:bidi="ar"/>
              </w:rPr>
              <w:t>/a</w:t>
            </w:r>
            <w:r>
              <w:rPr>
                <w:rFonts w:hint="eastAsia" w:ascii="Times New Roman" w:hAnsi="Times New Roman" w:eastAsia="宋体" w:cs="Times New Roman"/>
                <w:color w:val="auto"/>
                <w:kern w:val="0"/>
                <w:sz w:val="24"/>
                <w:szCs w:val="24"/>
                <w:highlight w:val="none"/>
                <w:lang w:val="en-US" w:eastAsia="zh-CN" w:bidi="ar"/>
              </w:rPr>
              <w:t>，排放速率为0.000</w:t>
            </w:r>
            <w:r>
              <w:rPr>
                <w:rFonts w:hint="eastAsia" w:ascii="Times New Roman" w:eastAsia="宋体" w:cs="Times New Roman"/>
                <w:color w:val="auto"/>
                <w:kern w:val="0"/>
                <w:sz w:val="24"/>
                <w:szCs w:val="24"/>
                <w:highlight w:val="none"/>
                <w:lang w:val="en-US" w:eastAsia="zh-CN" w:bidi="ar"/>
              </w:rPr>
              <w:t>2</w:t>
            </w:r>
            <w:r>
              <w:rPr>
                <w:rFonts w:hint="eastAsia" w:ascii="Times New Roman" w:hAnsi="Times New Roman" w:eastAsia="宋体" w:cs="Times New Roman"/>
                <w:color w:val="auto"/>
                <w:kern w:val="0"/>
                <w:sz w:val="24"/>
                <w:szCs w:val="24"/>
                <w:highlight w:val="none"/>
                <w:lang w:val="en-US" w:eastAsia="zh-CN" w:bidi="ar"/>
              </w:rPr>
              <w:t>kg/h。</w:t>
            </w:r>
          </w:p>
          <w:p>
            <w:pPr>
              <w:pStyle w:val="1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color w:val="auto"/>
                <w:highlight w:val="none"/>
                <w:lang w:val="en-US" w:eastAsia="zh-CN"/>
              </w:rPr>
            </w:pPr>
            <w:r>
              <w:rPr>
                <w:rFonts w:hint="eastAsia" w:cs="Times New Roman"/>
                <w:color w:val="auto"/>
                <w:highlight w:val="none"/>
                <w:lang w:val="en-US" w:eastAsia="zh-CN"/>
              </w:rPr>
              <w:t>项目废气产排情况、治理设施情况以及监测要求详见表4.2-6~4.2-7。</w:t>
            </w:r>
          </w:p>
        </w:tc>
      </w:tr>
    </w:tbl>
    <w:p>
      <w:pPr>
        <w:adjustRightInd w:val="0"/>
        <w:snapToGrid w:val="0"/>
        <w:spacing w:line="360" w:lineRule="auto"/>
        <w:rPr>
          <w:rFonts w:ascii="宋体" w:cs="宋体"/>
          <w:b/>
          <w:color w:val="auto"/>
          <w:kern w:val="0"/>
          <w:sz w:val="28"/>
          <w:szCs w:val="28"/>
          <w:highlight w:val="none"/>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8"/>
        <w:tblW w:w="1482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53"/>
        <w:gridCol w:w="1456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60" w:hRule="atLeast"/>
          <w:jc w:val="center"/>
        </w:trPr>
        <w:tc>
          <w:tcPr>
            <w:tcW w:w="253" w:type="dxa"/>
            <w:tcMar>
              <w:left w:w="28" w:type="dxa"/>
              <w:right w:w="28" w:type="dxa"/>
            </w:tcMar>
            <w:vAlign w:val="center"/>
          </w:tcPr>
          <w:p>
            <w:pPr>
              <w:adjustRightInd w:val="0"/>
              <w:snapToGrid w:val="0"/>
              <w:jc w:val="center"/>
              <w:rPr>
                <w:bCs/>
                <w:color w:val="auto"/>
                <w:sz w:val="21"/>
                <w:szCs w:val="21"/>
                <w:highlight w:val="none"/>
              </w:rPr>
            </w:pPr>
            <w:r>
              <w:rPr>
                <w:bCs/>
                <w:color w:val="auto"/>
                <w:sz w:val="21"/>
                <w:szCs w:val="21"/>
                <w:highlight w:val="none"/>
              </w:rPr>
              <w:t>运营</w:t>
            </w:r>
          </w:p>
          <w:p>
            <w:pPr>
              <w:adjustRightInd w:val="0"/>
              <w:snapToGrid w:val="0"/>
              <w:jc w:val="center"/>
              <w:rPr>
                <w:bCs/>
                <w:color w:val="auto"/>
                <w:sz w:val="21"/>
                <w:szCs w:val="21"/>
                <w:highlight w:val="none"/>
              </w:rPr>
            </w:pPr>
            <w:r>
              <w:rPr>
                <w:bCs/>
                <w:color w:val="auto"/>
                <w:sz w:val="21"/>
                <w:szCs w:val="21"/>
                <w:highlight w:val="none"/>
              </w:rPr>
              <w:t>期环</w:t>
            </w:r>
          </w:p>
          <w:p>
            <w:pPr>
              <w:adjustRightInd w:val="0"/>
              <w:snapToGrid w:val="0"/>
              <w:jc w:val="center"/>
              <w:rPr>
                <w:bCs/>
                <w:color w:val="auto"/>
                <w:sz w:val="21"/>
                <w:szCs w:val="21"/>
                <w:highlight w:val="none"/>
              </w:rPr>
            </w:pPr>
            <w:r>
              <w:rPr>
                <w:bCs/>
                <w:color w:val="auto"/>
                <w:sz w:val="21"/>
                <w:szCs w:val="21"/>
                <w:highlight w:val="none"/>
              </w:rPr>
              <w:t>境影</w:t>
            </w:r>
          </w:p>
          <w:p>
            <w:pPr>
              <w:adjustRightInd w:val="0"/>
              <w:snapToGrid w:val="0"/>
              <w:jc w:val="center"/>
              <w:rPr>
                <w:bCs/>
                <w:color w:val="auto"/>
                <w:sz w:val="21"/>
                <w:szCs w:val="21"/>
                <w:highlight w:val="none"/>
              </w:rPr>
            </w:pPr>
            <w:r>
              <w:rPr>
                <w:bCs/>
                <w:color w:val="auto"/>
                <w:sz w:val="21"/>
                <w:szCs w:val="21"/>
                <w:highlight w:val="none"/>
              </w:rPr>
              <w:t>响和</w:t>
            </w:r>
          </w:p>
          <w:p>
            <w:pPr>
              <w:adjustRightInd w:val="0"/>
              <w:snapToGrid w:val="0"/>
              <w:jc w:val="center"/>
              <w:rPr>
                <w:bCs/>
                <w:color w:val="auto"/>
                <w:sz w:val="21"/>
                <w:szCs w:val="21"/>
                <w:highlight w:val="none"/>
              </w:rPr>
            </w:pPr>
            <w:r>
              <w:rPr>
                <w:bCs/>
                <w:color w:val="auto"/>
                <w:sz w:val="21"/>
                <w:szCs w:val="21"/>
                <w:highlight w:val="none"/>
              </w:rPr>
              <w:t>保护</w:t>
            </w:r>
          </w:p>
          <w:p>
            <w:pPr>
              <w:adjustRightInd w:val="0"/>
              <w:snapToGrid w:val="0"/>
              <w:jc w:val="center"/>
              <w:rPr>
                <w:rFonts w:ascii="宋体" w:hAnsi="宋体" w:cs="宋体"/>
                <w:bCs/>
                <w:color w:val="auto"/>
                <w:sz w:val="21"/>
                <w:szCs w:val="21"/>
                <w:highlight w:val="none"/>
              </w:rPr>
            </w:pPr>
            <w:r>
              <w:rPr>
                <w:bCs/>
                <w:color w:val="auto"/>
                <w:sz w:val="21"/>
                <w:szCs w:val="21"/>
                <w:highlight w:val="none"/>
              </w:rPr>
              <w:t>措施</w:t>
            </w:r>
          </w:p>
        </w:tc>
        <w:tc>
          <w:tcPr>
            <w:tcW w:w="14569" w:type="dxa"/>
          </w:tcPr>
          <w:p>
            <w:pPr>
              <w:keepNext w:val="0"/>
              <w:keepLines w:val="0"/>
              <w:pageBreakBefore w:val="0"/>
              <w:widowControl/>
              <w:suppressLineNumbers w:val="0"/>
              <w:kinsoku/>
              <w:wordWrap/>
              <w:overflowPunct/>
              <w:topLinePunct w:val="0"/>
              <w:autoSpaceDE/>
              <w:autoSpaceDN/>
              <w:bidi w:val="0"/>
              <w:adjustRightInd w:val="0"/>
              <w:snapToGrid w:val="0"/>
              <w:spacing w:before="157" w:beforeLines="50" w:line="360" w:lineRule="auto"/>
              <w:jc w:val="center"/>
              <w:textAlignment w:val="auto"/>
              <w:rPr>
                <w:rFonts w:hint="eastAsia" w:ascii="宋体" w:hAnsi="宋体" w:eastAsia="宋体" w:cs="宋体"/>
                <w:b/>
                <w:bCs/>
                <w:color w:val="auto"/>
                <w:kern w:val="0"/>
                <w:sz w:val="24"/>
                <w:szCs w:val="24"/>
                <w:highlight w:val="none"/>
                <w:lang w:val="en-US" w:eastAsia="zh-CN" w:bidi="ar"/>
              </w:rPr>
            </w:pPr>
            <w:r>
              <w:rPr>
                <w:rFonts w:hint="default" w:ascii="Times New Roman" w:hAnsi="Times New Roman" w:eastAsia="宋体" w:cs="Times New Roman"/>
                <w:b/>
                <w:bCs w:val="0"/>
                <w:color w:val="auto"/>
                <w:sz w:val="24"/>
                <w:szCs w:val="24"/>
                <w:highlight w:val="none"/>
              </w:rPr>
              <w:t>表</w:t>
            </w:r>
            <w:r>
              <w:rPr>
                <w:rFonts w:hint="default" w:ascii="Times New Roman" w:hAnsi="Times New Roman" w:eastAsia="宋体" w:cs="Times New Roman"/>
                <w:b/>
                <w:bCs w:val="0"/>
                <w:color w:val="auto"/>
                <w:sz w:val="24"/>
                <w:szCs w:val="24"/>
                <w:highlight w:val="none"/>
                <w:lang w:val="en-US" w:eastAsia="zh-CN"/>
              </w:rPr>
              <w:t>4</w:t>
            </w:r>
            <w:r>
              <w:rPr>
                <w:rFonts w:hint="eastAsia" w:cs="Times New Roman"/>
                <w:b/>
                <w:bCs w:val="0"/>
                <w:color w:val="auto"/>
                <w:sz w:val="24"/>
                <w:szCs w:val="24"/>
                <w:highlight w:val="none"/>
                <w:lang w:val="en-US" w:eastAsia="zh-CN"/>
              </w:rPr>
              <w:t>.2</w:t>
            </w:r>
            <w:r>
              <w:rPr>
                <w:rFonts w:hint="default" w:ascii="Times New Roman" w:hAnsi="Times New Roman" w:eastAsia="宋体" w:cs="Times New Roman"/>
                <w:b/>
                <w:bCs w:val="0"/>
                <w:color w:val="auto"/>
                <w:sz w:val="24"/>
                <w:szCs w:val="24"/>
                <w:highlight w:val="none"/>
                <w:lang w:val="en-US" w:eastAsia="zh-CN"/>
              </w:rPr>
              <w:t>-</w:t>
            </w:r>
            <w:r>
              <w:rPr>
                <w:rFonts w:hint="eastAsia" w:cs="Times New Roman"/>
                <w:b/>
                <w:bCs w:val="0"/>
                <w:color w:val="auto"/>
                <w:sz w:val="24"/>
                <w:szCs w:val="24"/>
                <w:highlight w:val="none"/>
                <w:lang w:val="en-US" w:eastAsia="zh-CN"/>
              </w:rPr>
              <w:t>6</w:t>
            </w:r>
            <w:r>
              <w:rPr>
                <w:rFonts w:hint="default" w:ascii="Times New Roman" w:hAnsi="Times New Roman" w:eastAsia="宋体" w:cs="Times New Roman"/>
                <w:b/>
                <w:bCs/>
                <w:color w:val="auto"/>
                <w:kern w:val="0"/>
                <w:sz w:val="24"/>
                <w:szCs w:val="24"/>
                <w:highlight w:val="none"/>
                <w:lang w:val="en-US" w:eastAsia="zh-CN" w:bidi="ar"/>
              </w:rPr>
              <w:t xml:space="preserve"> </w:t>
            </w:r>
            <w:r>
              <w:rPr>
                <w:rFonts w:hint="eastAsia" w:ascii="宋体" w:hAnsi="宋体" w:eastAsia="宋体" w:cs="宋体"/>
                <w:b/>
                <w:bCs/>
                <w:color w:val="auto"/>
                <w:kern w:val="0"/>
                <w:sz w:val="24"/>
                <w:szCs w:val="24"/>
                <w:highlight w:val="none"/>
                <w:lang w:val="en-US" w:eastAsia="zh-CN" w:bidi="ar"/>
              </w:rPr>
              <w:t>项目废气污染源强汇总结果一览表</w:t>
            </w:r>
          </w:p>
          <w:tbl>
            <w:tblPr>
              <w:tblStyle w:val="29"/>
              <w:tblW w:w="14076"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567"/>
              <w:gridCol w:w="465"/>
              <w:gridCol w:w="102"/>
              <w:gridCol w:w="364"/>
              <w:gridCol w:w="1473"/>
              <w:gridCol w:w="437"/>
              <w:gridCol w:w="757"/>
              <w:gridCol w:w="745"/>
              <w:gridCol w:w="782"/>
              <w:gridCol w:w="973"/>
              <w:gridCol w:w="908"/>
              <w:gridCol w:w="363"/>
              <w:gridCol w:w="437"/>
              <w:gridCol w:w="467"/>
              <w:gridCol w:w="407"/>
              <w:gridCol w:w="872"/>
              <w:gridCol w:w="780"/>
              <w:gridCol w:w="766"/>
              <w:gridCol w:w="958"/>
              <w:gridCol w:w="712"/>
              <w:gridCol w:w="741"/>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9" w:hRule="atLeast"/>
                <w:jc w:val="center"/>
              </w:trPr>
              <w:tc>
                <w:tcPr>
                  <w:tcW w:w="2971" w:type="dxa"/>
                  <w:gridSpan w:val="5"/>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产污</w:t>
                  </w:r>
                  <w:r>
                    <w:rPr>
                      <w:rFonts w:hint="eastAsia" w:ascii="Times New Roman" w:hAnsi="Times New Roman" w:eastAsia="宋体" w:cs="Times New Roman"/>
                      <w:b/>
                      <w:bCs/>
                      <w:color w:val="auto"/>
                      <w:kern w:val="0"/>
                      <w:sz w:val="21"/>
                      <w:szCs w:val="21"/>
                      <w:highlight w:val="none"/>
                      <w:lang w:val="en-US" w:eastAsia="zh-CN" w:bidi="ar"/>
                    </w:rPr>
                    <w:t>环节、因子</w:t>
                  </w:r>
                </w:p>
              </w:tc>
              <w:tc>
                <w:tcPr>
                  <w:tcW w:w="3694" w:type="dxa"/>
                  <w:gridSpan w:val="5"/>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污染物产生情况</w:t>
                  </w:r>
                </w:p>
              </w:tc>
              <w:tc>
                <w:tcPr>
                  <w:tcW w:w="2175"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治理措施</w:t>
                  </w:r>
                </w:p>
              </w:tc>
              <w:tc>
                <w:tcPr>
                  <w:tcW w:w="3783" w:type="dxa"/>
                  <w:gridSpan w:val="5"/>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污染物排放情况</w:t>
                  </w:r>
                </w:p>
              </w:tc>
              <w:tc>
                <w:tcPr>
                  <w:tcW w:w="712"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排放</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时间</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（h/a）</w:t>
                  </w:r>
                </w:p>
              </w:tc>
              <w:tc>
                <w:tcPr>
                  <w:tcW w:w="74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bCs/>
                      <w:color w:val="auto"/>
                      <w:kern w:val="0"/>
                      <w:sz w:val="21"/>
                      <w:szCs w:val="21"/>
                      <w:highlight w:val="none"/>
                      <w:lang w:val="en-US" w:eastAsia="zh-CN" w:bidi="ar"/>
                    </w:rPr>
                  </w:pPr>
                  <w:r>
                    <w:rPr>
                      <w:rFonts w:hint="eastAsia" w:cs="Times New Roman"/>
                      <w:b/>
                      <w:bCs/>
                      <w:color w:val="auto"/>
                      <w:kern w:val="0"/>
                      <w:sz w:val="21"/>
                      <w:szCs w:val="21"/>
                      <w:highlight w:val="none"/>
                      <w:lang w:val="en-US" w:eastAsia="zh-CN" w:bidi="ar"/>
                    </w:rPr>
                    <w:t>工序</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bCs/>
                      <w:color w:val="auto"/>
                      <w:kern w:val="0"/>
                      <w:sz w:val="21"/>
                      <w:szCs w:val="21"/>
                      <w:highlight w:val="none"/>
                      <w:lang w:val="en-US" w:eastAsia="zh-CN" w:bidi="ar"/>
                    </w:rPr>
                  </w:pPr>
                  <w:r>
                    <w:rPr>
                      <w:rFonts w:hint="eastAsia" w:cs="Times New Roman"/>
                      <w:b/>
                      <w:bCs/>
                      <w:color w:val="auto"/>
                      <w:kern w:val="0"/>
                      <w:sz w:val="21"/>
                      <w:szCs w:val="21"/>
                      <w:highlight w:val="none"/>
                      <w:lang w:val="en-US" w:eastAsia="zh-CN" w:bidi="ar"/>
                    </w:rPr>
                    <w:t>所在</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eastAsia" w:cs="Times New Roman"/>
                      <w:b/>
                      <w:bCs/>
                      <w:color w:val="auto"/>
                      <w:kern w:val="0"/>
                      <w:sz w:val="21"/>
                      <w:szCs w:val="21"/>
                      <w:highlight w:val="none"/>
                      <w:lang w:val="en-US" w:eastAsia="zh-CN" w:bidi="ar"/>
                    </w:rPr>
                    <w:t>位置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1622" w:hRule="atLeast"/>
                <w:jc w:val="center"/>
              </w:trPr>
              <w:tc>
                <w:tcPr>
                  <w:tcW w:w="5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产排污环节</w:t>
                  </w:r>
                </w:p>
              </w:tc>
              <w:tc>
                <w:tcPr>
                  <w:tcW w:w="931"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污</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染</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源</w:t>
                  </w:r>
                </w:p>
              </w:tc>
              <w:tc>
                <w:tcPr>
                  <w:tcW w:w="14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污</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染</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物</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种</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类</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核</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算</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方</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法</w:t>
                  </w:r>
                </w:p>
              </w:tc>
              <w:tc>
                <w:tcPr>
                  <w:tcW w:w="7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产生量</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（t/a）</w:t>
                  </w:r>
                </w:p>
              </w:tc>
              <w:tc>
                <w:tcPr>
                  <w:tcW w:w="7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废气量</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（m</w:t>
                  </w:r>
                  <w:r>
                    <w:rPr>
                      <w:rFonts w:hint="default" w:ascii="Times New Roman" w:hAnsi="Times New Roman" w:eastAsia="宋体" w:cs="Times New Roman"/>
                      <w:b/>
                      <w:bCs/>
                      <w:color w:val="auto"/>
                      <w:kern w:val="0"/>
                      <w:sz w:val="21"/>
                      <w:szCs w:val="21"/>
                      <w:highlight w:val="none"/>
                      <w:vertAlign w:val="superscript"/>
                      <w:lang w:val="en-US" w:eastAsia="zh-CN" w:bidi="ar"/>
                    </w:rPr>
                    <w:t>3</w:t>
                  </w:r>
                  <w:r>
                    <w:rPr>
                      <w:rFonts w:hint="default" w:ascii="Times New Roman" w:hAnsi="Times New Roman" w:eastAsia="宋体" w:cs="Times New Roman"/>
                      <w:b/>
                      <w:bCs/>
                      <w:color w:val="auto"/>
                      <w:kern w:val="0"/>
                      <w:sz w:val="21"/>
                      <w:szCs w:val="21"/>
                      <w:highlight w:val="none"/>
                      <w:lang w:val="en-US" w:eastAsia="zh-CN" w:bidi="ar"/>
                    </w:rPr>
                    <w:t>/h）</w:t>
                  </w:r>
                </w:p>
              </w:tc>
              <w:tc>
                <w:tcPr>
                  <w:tcW w:w="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产生</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速率</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（kg/h）</w:t>
                  </w:r>
                </w:p>
              </w:tc>
              <w:tc>
                <w:tcPr>
                  <w:tcW w:w="9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产生浓度</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（mg/m</w:t>
                  </w:r>
                  <w:r>
                    <w:rPr>
                      <w:rFonts w:hint="default" w:ascii="Times New Roman" w:hAnsi="Times New Roman" w:eastAsia="宋体" w:cs="Times New Roman"/>
                      <w:b/>
                      <w:bCs/>
                      <w:color w:val="auto"/>
                      <w:kern w:val="0"/>
                      <w:sz w:val="21"/>
                      <w:szCs w:val="21"/>
                      <w:highlight w:val="none"/>
                      <w:vertAlign w:val="superscript"/>
                      <w:lang w:val="en-US" w:eastAsia="zh-CN" w:bidi="ar"/>
                    </w:rPr>
                    <w:t>3</w:t>
                  </w:r>
                  <w:r>
                    <w:rPr>
                      <w:rFonts w:hint="default" w:ascii="Times New Roman" w:hAnsi="Times New Roman" w:eastAsia="宋体" w:cs="Times New Roman"/>
                      <w:b/>
                      <w:bCs/>
                      <w:color w:val="auto"/>
                      <w:kern w:val="0"/>
                      <w:sz w:val="21"/>
                      <w:szCs w:val="21"/>
                      <w:highlight w:val="none"/>
                      <w:lang w:val="en-US" w:eastAsia="zh-CN" w:bidi="ar"/>
                    </w:rPr>
                    <w:t>）</w:t>
                  </w:r>
                </w:p>
              </w:tc>
              <w:tc>
                <w:tcPr>
                  <w:tcW w:w="9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治理</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设施</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名称</w:t>
                  </w:r>
                </w:p>
              </w:tc>
              <w:tc>
                <w:tcPr>
                  <w:tcW w:w="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收</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集</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效</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率</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去</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除</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效</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率</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w:t>
                  </w:r>
                </w:p>
              </w:tc>
              <w:tc>
                <w:tcPr>
                  <w:tcW w:w="4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是</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否</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可</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行</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技</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术</w:t>
                  </w:r>
                </w:p>
              </w:tc>
              <w:tc>
                <w:tcPr>
                  <w:tcW w:w="4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核</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算</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方</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法</w:t>
                  </w:r>
                </w:p>
              </w:tc>
              <w:tc>
                <w:tcPr>
                  <w:tcW w:w="87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排放量</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（t/a）</w:t>
                  </w:r>
                </w:p>
              </w:tc>
              <w:tc>
                <w:tcPr>
                  <w:tcW w:w="7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排放</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废气量</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（m</w:t>
                  </w:r>
                  <w:r>
                    <w:rPr>
                      <w:rFonts w:hint="default" w:ascii="Times New Roman" w:hAnsi="Times New Roman" w:eastAsia="宋体" w:cs="Times New Roman"/>
                      <w:b/>
                      <w:bCs/>
                      <w:color w:val="auto"/>
                      <w:kern w:val="0"/>
                      <w:sz w:val="21"/>
                      <w:szCs w:val="21"/>
                      <w:highlight w:val="none"/>
                      <w:vertAlign w:val="superscript"/>
                      <w:lang w:val="en-US" w:eastAsia="zh-CN" w:bidi="ar"/>
                    </w:rPr>
                    <w:t>3</w:t>
                  </w:r>
                  <w:r>
                    <w:rPr>
                      <w:rFonts w:hint="default" w:ascii="Times New Roman" w:hAnsi="Times New Roman" w:eastAsia="宋体" w:cs="Times New Roman"/>
                      <w:b/>
                      <w:bCs/>
                      <w:color w:val="auto"/>
                      <w:kern w:val="0"/>
                      <w:sz w:val="21"/>
                      <w:szCs w:val="21"/>
                      <w:highlight w:val="none"/>
                      <w:lang w:val="en-US" w:eastAsia="zh-CN" w:bidi="ar"/>
                    </w:rPr>
                    <w:t>/h）</w:t>
                  </w:r>
                </w:p>
              </w:tc>
              <w:tc>
                <w:tcPr>
                  <w:tcW w:w="76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排放</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速率</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（kg/h）</w:t>
                  </w:r>
                </w:p>
              </w:tc>
              <w:tc>
                <w:tcPr>
                  <w:tcW w:w="9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排放浓度</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（mg/m</w:t>
                  </w:r>
                  <w:r>
                    <w:rPr>
                      <w:rFonts w:hint="default" w:ascii="Times New Roman" w:hAnsi="Times New Roman" w:eastAsia="宋体" w:cs="Times New Roman"/>
                      <w:b/>
                      <w:bCs/>
                      <w:color w:val="auto"/>
                      <w:kern w:val="0"/>
                      <w:sz w:val="21"/>
                      <w:szCs w:val="21"/>
                      <w:highlight w:val="none"/>
                      <w:vertAlign w:val="superscript"/>
                      <w:lang w:val="en-US" w:eastAsia="zh-CN" w:bidi="ar"/>
                    </w:rPr>
                    <w:t>3</w:t>
                  </w:r>
                  <w:r>
                    <w:rPr>
                      <w:rFonts w:hint="default" w:ascii="Times New Roman" w:hAnsi="Times New Roman" w:eastAsia="宋体" w:cs="Times New Roman"/>
                      <w:b/>
                      <w:bCs/>
                      <w:color w:val="auto"/>
                      <w:kern w:val="0"/>
                      <w:sz w:val="21"/>
                      <w:szCs w:val="21"/>
                      <w:highlight w:val="none"/>
                      <w:lang w:val="en-US" w:eastAsia="zh-CN" w:bidi="ar"/>
                    </w:rPr>
                    <w:t>）</w:t>
                  </w:r>
                </w:p>
              </w:tc>
              <w:tc>
                <w:tcPr>
                  <w:tcW w:w="71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p>
              </w:tc>
              <w:tc>
                <w:tcPr>
                  <w:tcW w:w="74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44" w:hRule="atLeast"/>
                <w:jc w:val="center"/>
              </w:trPr>
              <w:tc>
                <w:tcPr>
                  <w:tcW w:w="56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熔化、浇注废气</w:t>
                  </w:r>
                </w:p>
              </w:tc>
              <w:tc>
                <w:tcPr>
                  <w:tcW w:w="567" w:type="dxa"/>
                  <w:gridSpan w:val="2"/>
                  <w:vMerge w:val="restart"/>
                  <w:tcBorders>
                    <w:tl2br w:val="nil"/>
                    <w:tr2bl w:val="nil"/>
                  </w:tcBorders>
                  <w:noWrap w:val="0"/>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eastAsia" w:ascii="Times New Roman" w:eastAsia="宋体" w:cs="Times New Roman"/>
                      <w:b w:val="0"/>
                      <w:bCs w:val="0"/>
                      <w:color w:val="auto"/>
                      <w:kern w:val="0"/>
                      <w:sz w:val="21"/>
                      <w:szCs w:val="21"/>
                      <w:highlight w:val="none"/>
                      <w:lang w:val="en-US" w:eastAsia="zh-CN" w:bidi="ar"/>
                    </w:rPr>
                  </w:pPr>
                  <w:r>
                    <w:rPr>
                      <w:rFonts w:hint="eastAsia" w:ascii="Times New Roman" w:eastAsia="宋体" w:cs="Times New Roman"/>
                      <w:b w:val="0"/>
                      <w:bCs w:val="0"/>
                      <w:color w:val="auto"/>
                      <w:kern w:val="0"/>
                      <w:sz w:val="21"/>
                      <w:szCs w:val="21"/>
                      <w:highlight w:val="none"/>
                      <w:lang w:val="en-US" w:eastAsia="zh-CN" w:bidi="ar"/>
                    </w:rPr>
                    <w:t>DA</w:t>
                  </w:r>
                </w:p>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eastAsia="宋体" w:cs="Times New Roman"/>
                      <w:b w:val="0"/>
                      <w:bCs w:val="0"/>
                      <w:color w:val="auto"/>
                      <w:kern w:val="0"/>
                      <w:sz w:val="21"/>
                      <w:szCs w:val="21"/>
                      <w:highlight w:val="none"/>
                      <w:lang w:val="en-US" w:eastAsia="zh-CN" w:bidi="ar"/>
                    </w:rPr>
                    <w:t>001</w:t>
                  </w:r>
                </w:p>
              </w:tc>
              <w:tc>
                <w:tcPr>
                  <w:tcW w:w="364" w:type="dxa"/>
                  <w:vMerge w:val="restart"/>
                  <w:tcBorders>
                    <w:tl2br w:val="nil"/>
                    <w:tr2bl w:val="nil"/>
                  </w:tcBorders>
                  <w:noWrap w:val="0"/>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eastAsia="宋体" w:cs="Times New Roman"/>
                      <w:b w:val="0"/>
                      <w:bCs w:val="0"/>
                      <w:color w:val="auto"/>
                      <w:kern w:val="0"/>
                      <w:sz w:val="21"/>
                      <w:szCs w:val="21"/>
                      <w:highlight w:val="none"/>
                      <w:vertAlign w:val="baseline"/>
                      <w:lang w:val="en-US" w:eastAsia="zh-CN" w:bidi="ar"/>
                    </w:rPr>
                    <w:t>有组织</w:t>
                  </w:r>
                </w:p>
              </w:tc>
              <w:tc>
                <w:tcPr>
                  <w:tcW w:w="14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熔化颗粒物</w:t>
                  </w:r>
                </w:p>
              </w:tc>
              <w:tc>
                <w:tcPr>
                  <w:tcW w:w="43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eastAsia"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产排污系数法</w:t>
                  </w:r>
                </w:p>
              </w:tc>
              <w:tc>
                <w:tcPr>
                  <w:tcW w:w="7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sz w:val="21"/>
                      <w:szCs w:val="21"/>
                      <w:highlight w:val="none"/>
                    </w:rPr>
                  </w:pPr>
                  <w:r>
                    <w:rPr>
                      <w:rFonts w:hint="eastAsia"/>
                      <w:color w:val="auto"/>
                      <w:sz w:val="21"/>
                      <w:szCs w:val="21"/>
                      <w:highlight w:val="none"/>
                    </w:rPr>
                    <w:t>1.4175</w:t>
                  </w:r>
                </w:p>
              </w:tc>
              <w:tc>
                <w:tcPr>
                  <w:tcW w:w="7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10000</w:t>
                  </w:r>
                </w:p>
              </w:tc>
              <w:tc>
                <w:tcPr>
                  <w:tcW w:w="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0.4725</w:t>
                  </w:r>
                </w:p>
              </w:tc>
              <w:tc>
                <w:tcPr>
                  <w:tcW w:w="9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47.25</w:t>
                  </w:r>
                </w:p>
              </w:tc>
              <w:tc>
                <w:tcPr>
                  <w:tcW w:w="908" w:type="dxa"/>
                  <w:tcBorders>
                    <w:tl2br w:val="nil"/>
                    <w:tr2bl w:val="nil"/>
                  </w:tcBorders>
                  <w:noWrap w:val="0"/>
                  <w:vAlign w:val="center"/>
                </w:tcPr>
                <w:p>
                  <w:pPr>
                    <w:pStyle w:val="92"/>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highlight w:val="none"/>
                    </w:rPr>
                  </w:pPr>
                  <w:r>
                    <w:rPr>
                      <w:rFonts w:hint="eastAsia"/>
                      <w:color w:val="auto"/>
                      <w:sz w:val="21"/>
                      <w:szCs w:val="21"/>
                      <w:highlight w:val="none"/>
                    </w:rPr>
                    <w:t>布袋</w:t>
                  </w:r>
                </w:p>
                <w:p>
                  <w:pPr>
                    <w:pStyle w:val="92"/>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sz w:val="21"/>
                      <w:szCs w:val="21"/>
                      <w:highlight w:val="none"/>
                    </w:rPr>
                    <w:t>除尘器</w:t>
                  </w:r>
                </w:p>
              </w:tc>
              <w:tc>
                <w:tcPr>
                  <w:tcW w:w="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90</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95</w:t>
                  </w:r>
                </w:p>
              </w:tc>
              <w:tc>
                <w:tcPr>
                  <w:tcW w:w="4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是</w:t>
                  </w:r>
                </w:p>
              </w:tc>
              <w:tc>
                <w:tcPr>
                  <w:tcW w:w="40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产排污系数法</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lang w:val="en-US" w:eastAsia="zh-CN" w:bidi="ar"/>
                    </w:rPr>
                  </w:pPr>
                </w:p>
              </w:tc>
              <w:tc>
                <w:tcPr>
                  <w:tcW w:w="872"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0.2100</w:t>
                  </w:r>
                </w:p>
              </w:tc>
              <w:tc>
                <w:tcPr>
                  <w:tcW w:w="78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20000</w:t>
                  </w:r>
                </w:p>
              </w:tc>
              <w:tc>
                <w:tcPr>
                  <w:tcW w:w="766"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0.07</w:t>
                  </w:r>
                </w:p>
              </w:tc>
              <w:tc>
                <w:tcPr>
                  <w:tcW w:w="958"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3.5</w:t>
                  </w:r>
                </w:p>
              </w:tc>
              <w:tc>
                <w:tcPr>
                  <w:tcW w:w="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3000</w:t>
                  </w:r>
                </w:p>
              </w:tc>
              <w:tc>
                <w:tcPr>
                  <w:tcW w:w="74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浇铸</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车间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29" w:hRule="atLeast"/>
                <w:jc w:val="center"/>
              </w:trPr>
              <w:tc>
                <w:tcPr>
                  <w:tcW w:w="56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sz w:val="21"/>
                      <w:szCs w:val="21"/>
                      <w:highlight w:val="none"/>
                      <w:lang w:val="en-US" w:eastAsia="zh-CN"/>
                    </w:rPr>
                  </w:pPr>
                </w:p>
              </w:tc>
              <w:tc>
                <w:tcPr>
                  <w:tcW w:w="567" w:type="dxa"/>
                  <w:gridSpan w:val="2"/>
                  <w:vMerge w:val="continue"/>
                  <w:tcBorders>
                    <w:tl2br w:val="nil"/>
                    <w:tr2bl w:val="nil"/>
                  </w:tcBorders>
                  <w:noWrap w:val="0"/>
                  <w:vAlign w:val="center"/>
                </w:tcPr>
                <w:p>
                  <w:pPr>
                    <w:pStyle w:val="2"/>
                    <w:keepNext w:val="0"/>
                    <w:keepLines w:val="0"/>
                    <w:pageBreakBefore w:val="0"/>
                    <w:kinsoku/>
                    <w:wordWrap/>
                    <w:overflowPunct/>
                    <w:topLinePunct w:val="0"/>
                    <w:bidi w:val="0"/>
                    <w:adjustRightInd w:val="0"/>
                    <w:snapToGrid w:val="0"/>
                    <w:spacing w:line="240" w:lineRule="auto"/>
                    <w:jc w:val="both"/>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p>
              </w:tc>
              <w:tc>
                <w:tcPr>
                  <w:tcW w:w="364" w:type="dxa"/>
                  <w:vMerge w:val="continue"/>
                  <w:tcBorders>
                    <w:tl2br w:val="nil"/>
                    <w:tr2bl w:val="nil"/>
                  </w:tcBorders>
                  <w:noWrap w:val="0"/>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eastAsia" w:ascii="Times New Roman" w:eastAsia="宋体" w:cs="Times New Roman"/>
                      <w:b w:val="0"/>
                      <w:bCs w:val="0"/>
                      <w:color w:val="auto"/>
                      <w:kern w:val="0"/>
                      <w:sz w:val="21"/>
                      <w:szCs w:val="21"/>
                      <w:highlight w:val="none"/>
                      <w:vertAlign w:val="baseline"/>
                      <w:lang w:val="en-US" w:eastAsia="zh-CN" w:bidi="ar"/>
                    </w:rPr>
                  </w:pPr>
                </w:p>
              </w:tc>
              <w:tc>
                <w:tcPr>
                  <w:tcW w:w="14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浇注颗粒物</w:t>
                  </w:r>
                </w:p>
              </w:tc>
              <w:tc>
                <w:tcPr>
                  <w:tcW w:w="43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eastAsia" w:cs="Times New Roman"/>
                      <w:b w:val="0"/>
                      <w:bCs w:val="0"/>
                      <w:color w:val="auto"/>
                      <w:kern w:val="0"/>
                      <w:sz w:val="21"/>
                      <w:szCs w:val="21"/>
                      <w:highlight w:val="none"/>
                      <w:lang w:val="en-US" w:eastAsia="zh-CN" w:bidi="ar"/>
                    </w:rPr>
                  </w:pPr>
                </w:p>
              </w:tc>
              <w:tc>
                <w:tcPr>
                  <w:tcW w:w="7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sz w:val="21"/>
                      <w:szCs w:val="21"/>
                      <w:highlight w:val="none"/>
                    </w:rPr>
                  </w:pPr>
                  <w:r>
                    <w:rPr>
                      <w:rFonts w:hint="eastAsia"/>
                      <w:b w:val="0"/>
                      <w:bCs w:val="0"/>
                      <w:color w:val="auto"/>
                      <w:sz w:val="21"/>
                      <w:szCs w:val="21"/>
                      <w:highlight w:val="none"/>
                      <w:lang w:val="en-US" w:eastAsia="zh-CN"/>
                    </w:rPr>
                    <w:t>2.781</w:t>
                  </w:r>
                </w:p>
              </w:tc>
              <w:tc>
                <w:tcPr>
                  <w:tcW w:w="74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10000</w:t>
                  </w:r>
                </w:p>
              </w:tc>
              <w:tc>
                <w:tcPr>
                  <w:tcW w:w="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rPr>
                    <w:t>0.927</w:t>
                  </w:r>
                </w:p>
              </w:tc>
              <w:tc>
                <w:tcPr>
                  <w:tcW w:w="9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vertAlign w:val="baseline"/>
                      <w:lang w:val="en-US" w:eastAsia="zh-CN" w:bidi="ar"/>
                    </w:rPr>
                    <w:t>92.7</w:t>
                  </w:r>
                </w:p>
              </w:tc>
              <w:tc>
                <w:tcPr>
                  <w:tcW w:w="908" w:type="dxa"/>
                  <w:tcBorders>
                    <w:tl2br w:val="nil"/>
                    <w:tr2bl w:val="nil"/>
                  </w:tcBorders>
                  <w:noWrap w:val="0"/>
                  <w:vAlign w:val="center"/>
                </w:tcPr>
                <w:p>
                  <w:pPr>
                    <w:pStyle w:val="92"/>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highlight w:val="none"/>
                    </w:rPr>
                  </w:pPr>
                  <w:r>
                    <w:rPr>
                      <w:rFonts w:hint="eastAsia"/>
                      <w:color w:val="auto"/>
                      <w:sz w:val="21"/>
                      <w:szCs w:val="21"/>
                      <w:highlight w:val="none"/>
                    </w:rPr>
                    <w:t>布袋</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sz w:val="21"/>
                      <w:szCs w:val="21"/>
                      <w:highlight w:val="none"/>
                    </w:rPr>
                  </w:pPr>
                  <w:r>
                    <w:rPr>
                      <w:rFonts w:hint="eastAsia"/>
                      <w:color w:val="auto"/>
                      <w:sz w:val="21"/>
                      <w:szCs w:val="21"/>
                      <w:highlight w:val="none"/>
                    </w:rPr>
                    <w:t>除尘器</w:t>
                  </w:r>
                </w:p>
              </w:tc>
              <w:tc>
                <w:tcPr>
                  <w:tcW w:w="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90</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95</w:t>
                  </w:r>
                </w:p>
              </w:tc>
              <w:tc>
                <w:tcPr>
                  <w:tcW w:w="4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是</w:t>
                  </w:r>
                </w:p>
              </w:tc>
              <w:tc>
                <w:tcPr>
                  <w:tcW w:w="4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lang w:val="en-US" w:eastAsia="zh-CN" w:bidi="ar"/>
                    </w:rPr>
                  </w:pPr>
                </w:p>
              </w:tc>
              <w:tc>
                <w:tcPr>
                  <w:tcW w:w="87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sz w:val="21"/>
                      <w:szCs w:val="21"/>
                      <w:highlight w:val="none"/>
                      <w:lang w:val="en-US" w:eastAsia="zh-CN"/>
                    </w:rPr>
                  </w:pPr>
                </w:p>
              </w:tc>
              <w:tc>
                <w:tcPr>
                  <w:tcW w:w="7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lang w:val="en-US" w:eastAsia="zh-CN" w:bidi="ar"/>
                    </w:rPr>
                  </w:pPr>
                </w:p>
              </w:tc>
              <w:tc>
                <w:tcPr>
                  <w:tcW w:w="76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sz w:val="21"/>
                      <w:szCs w:val="21"/>
                      <w:highlight w:val="none"/>
                      <w:lang w:val="en-US" w:eastAsia="zh-CN"/>
                    </w:rPr>
                  </w:pPr>
                </w:p>
              </w:tc>
              <w:tc>
                <w:tcPr>
                  <w:tcW w:w="95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p>
              </w:tc>
              <w:tc>
                <w:tcPr>
                  <w:tcW w:w="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3000</w:t>
                  </w:r>
                </w:p>
              </w:tc>
              <w:tc>
                <w:tcPr>
                  <w:tcW w:w="74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44" w:hRule="atLeast"/>
                <w:jc w:val="center"/>
              </w:trPr>
              <w:tc>
                <w:tcPr>
                  <w:tcW w:w="56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sz w:val="21"/>
                      <w:szCs w:val="21"/>
                      <w:highlight w:val="none"/>
                      <w:lang w:val="en-US" w:eastAsia="zh-CN"/>
                    </w:rPr>
                  </w:pPr>
                </w:p>
              </w:tc>
              <w:tc>
                <w:tcPr>
                  <w:tcW w:w="567" w:type="dxa"/>
                  <w:gridSpan w:val="2"/>
                  <w:vMerge w:val="continue"/>
                  <w:tcBorders>
                    <w:tl2br w:val="nil"/>
                    <w:tr2bl w:val="nil"/>
                  </w:tcBorders>
                  <w:noWrap w:val="0"/>
                  <w:vAlign w:val="center"/>
                </w:tcPr>
                <w:p>
                  <w:pPr>
                    <w:pStyle w:val="2"/>
                    <w:keepNext w:val="0"/>
                    <w:keepLines w:val="0"/>
                    <w:pageBreakBefore w:val="0"/>
                    <w:kinsoku/>
                    <w:wordWrap/>
                    <w:overflowPunct/>
                    <w:topLinePunct w:val="0"/>
                    <w:bidi w:val="0"/>
                    <w:adjustRightInd w:val="0"/>
                    <w:snapToGrid w:val="0"/>
                    <w:spacing w:line="240" w:lineRule="auto"/>
                    <w:jc w:val="both"/>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p>
              </w:tc>
              <w:tc>
                <w:tcPr>
                  <w:tcW w:w="364" w:type="dxa"/>
                  <w:vMerge w:val="continue"/>
                  <w:tcBorders>
                    <w:tl2br w:val="nil"/>
                    <w:tr2bl w:val="nil"/>
                  </w:tcBorders>
                  <w:noWrap w:val="0"/>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eastAsia" w:ascii="Times New Roman" w:eastAsia="宋体" w:cs="Times New Roman"/>
                      <w:b w:val="0"/>
                      <w:bCs w:val="0"/>
                      <w:color w:val="auto"/>
                      <w:kern w:val="0"/>
                      <w:sz w:val="21"/>
                      <w:szCs w:val="21"/>
                      <w:highlight w:val="none"/>
                      <w:vertAlign w:val="baseline"/>
                      <w:lang w:val="en-US" w:eastAsia="zh-CN" w:bidi="ar"/>
                    </w:rPr>
                  </w:pPr>
                </w:p>
              </w:tc>
              <w:tc>
                <w:tcPr>
                  <w:tcW w:w="14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浇注非甲烷</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lang w:val="en-US" w:eastAsia="zh-CN" w:bidi="ar"/>
                    </w:rPr>
                    <w:t>总烃</w:t>
                  </w:r>
                </w:p>
              </w:tc>
              <w:tc>
                <w:tcPr>
                  <w:tcW w:w="43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eastAsia" w:cs="Times New Roman"/>
                      <w:b w:val="0"/>
                      <w:bCs w:val="0"/>
                      <w:color w:val="auto"/>
                      <w:kern w:val="0"/>
                      <w:sz w:val="21"/>
                      <w:szCs w:val="21"/>
                      <w:highlight w:val="none"/>
                      <w:lang w:val="en-US" w:eastAsia="zh-CN" w:bidi="ar"/>
                    </w:rPr>
                  </w:pPr>
                </w:p>
              </w:tc>
              <w:tc>
                <w:tcPr>
                  <w:tcW w:w="7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b w:val="0"/>
                      <w:bCs w:val="0"/>
                      <w:color w:val="auto"/>
                      <w:sz w:val="21"/>
                      <w:szCs w:val="21"/>
                      <w:highlight w:val="none"/>
                      <w:lang w:val="en-US" w:eastAsia="zh-CN"/>
                    </w:rPr>
                  </w:pPr>
                  <w:r>
                    <w:rPr>
                      <w:rFonts w:hint="eastAsia"/>
                      <w:color w:val="auto"/>
                      <w:sz w:val="21"/>
                      <w:szCs w:val="21"/>
                      <w:highlight w:val="none"/>
                      <w:lang w:val="en-US" w:eastAsia="zh-CN"/>
                    </w:rPr>
                    <w:t>1.3365</w:t>
                  </w:r>
                </w:p>
              </w:tc>
              <w:tc>
                <w:tcPr>
                  <w:tcW w:w="74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p>
              </w:tc>
              <w:tc>
                <w:tcPr>
                  <w:tcW w:w="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lang w:val="en-US" w:eastAsia="zh-CN"/>
                    </w:rPr>
                  </w:pPr>
                  <w:r>
                    <w:rPr>
                      <w:rFonts w:hint="eastAsia" w:cs="Times New Roman"/>
                      <w:color w:val="auto"/>
                      <w:kern w:val="0"/>
                      <w:sz w:val="21"/>
                      <w:szCs w:val="21"/>
                      <w:highlight w:val="none"/>
                      <w:lang w:val="en-US" w:eastAsia="zh-CN"/>
                    </w:rPr>
                    <w:t>0.4455</w:t>
                  </w:r>
                </w:p>
              </w:tc>
              <w:tc>
                <w:tcPr>
                  <w:tcW w:w="9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44.55</w:t>
                  </w:r>
                </w:p>
              </w:tc>
              <w:tc>
                <w:tcPr>
                  <w:tcW w:w="9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sz w:val="21"/>
                      <w:szCs w:val="21"/>
                      <w:highlight w:val="none"/>
                    </w:rPr>
                  </w:pPr>
                  <w:r>
                    <w:rPr>
                      <w:rFonts w:hint="eastAsia" w:cs="Times New Roman"/>
                      <w:color w:val="auto"/>
                      <w:kern w:val="0"/>
                      <w:sz w:val="21"/>
                      <w:szCs w:val="21"/>
                      <w:highlight w:val="none"/>
                      <w:lang w:val="en-US" w:eastAsia="zh-CN" w:bidi="ar"/>
                    </w:rPr>
                    <w:t>二级</w:t>
                  </w:r>
                  <w:r>
                    <w:rPr>
                      <w:rFonts w:hint="default" w:ascii="Times New Roman" w:hAnsi="Times New Roman" w:eastAsia="宋体" w:cs="Times New Roman"/>
                      <w:color w:val="auto"/>
                      <w:kern w:val="0"/>
                      <w:sz w:val="21"/>
                      <w:szCs w:val="21"/>
                      <w:highlight w:val="none"/>
                      <w:lang w:val="en-US" w:eastAsia="zh-CN" w:bidi="ar"/>
                    </w:rPr>
                    <w:t>活性炭吸附装置</w:t>
                  </w:r>
                </w:p>
              </w:tc>
              <w:tc>
                <w:tcPr>
                  <w:tcW w:w="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90</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50</w:t>
                  </w:r>
                </w:p>
              </w:tc>
              <w:tc>
                <w:tcPr>
                  <w:tcW w:w="4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是</w:t>
                  </w:r>
                </w:p>
              </w:tc>
              <w:tc>
                <w:tcPr>
                  <w:tcW w:w="4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lang w:val="en-US" w:eastAsia="zh-CN" w:bidi="ar"/>
                    </w:rPr>
                  </w:pPr>
                </w:p>
              </w:tc>
              <w:tc>
                <w:tcPr>
                  <w:tcW w:w="87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0.6683</w:t>
                  </w:r>
                </w:p>
              </w:tc>
              <w:tc>
                <w:tcPr>
                  <w:tcW w:w="7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lang w:val="en-US" w:eastAsia="zh-CN" w:bidi="ar"/>
                    </w:rPr>
                  </w:pPr>
                </w:p>
              </w:tc>
              <w:tc>
                <w:tcPr>
                  <w:tcW w:w="76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sz w:val="21"/>
                      <w:szCs w:val="21"/>
                      <w:highlight w:val="none"/>
                      <w:lang w:val="en-US" w:eastAsia="zh-CN"/>
                    </w:rPr>
                  </w:pPr>
                  <w:r>
                    <w:rPr>
                      <w:rFonts w:hint="eastAsia" w:cs="Times New Roman"/>
                      <w:b w:val="0"/>
                      <w:bCs w:val="0"/>
                      <w:color w:val="auto"/>
                      <w:kern w:val="0"/>
                      <w:sz w:val="21"/>
                      <w:szCs w:val="21"/>
                      <w:highlight w:val="none"/>
                      <w:lang w:val="en-US" w:eastAsia="zh-CN" w:bidi="ar"/>
                    </w:rPr>
                    <w:t>0.2228</w:t>
                  </w:r>
                </w:p>
              </w:tc>
              <w:tc>
                <w:tcPr>
                  <w:tcW w:w="9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11.14</w:t>
                  </w:r>
                </w:p>
              </w:tc>
              <w:tc>
                <w:tcPr>
                  <w:tcW w:w="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3000</w:t>
                  </w:r>
                </w:p>
              </w:tc>
              <w:tc>
                <w:tcPr>
                  <w:tcW w:w="74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2" w:hRule="atLeast"/>
                <w:jc w:val="center"/>
              </w:trPr>
              <w:tc>
                <w:tcPr>
                  <w:tcW w:w="56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color w:val="auto"/>
                      <w:sz w:val="21"/>
                      <w:szCs w:val="21"/>
                      <w:highlight w:val="none"/>
                      <w:lang w:val="en-US" w:eastAsia="zh-CN"/>
                    </w:rPr>
                  </w:pPr>
                </w:p>
              </w:tc>
              <w:tc>
                <w:tcPr>
                  <w:tcW w:w="931" w:type="dxa"/>
                  <w:gridSpan w:val="3"/>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b w:val="0"/>
                      <w:bCs w:val="0"/>
                      <w:color w:val="auto"/>
                      <w:sz w:val="21"/>
                      <w:szCs w:val="21"/>
                      <w:highlight w:val="none"/>
                      <w:lang w:val="en-US" w:eastAsia="zh-CN"/>
                    </w:rPr>
                    <w:t>无组织</w:t>
                  </w:r>
                </w:p>
              </w:tc>
              <w:tc>
                <w:tcPr>
                  <w:tcW w:w="14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颗粒物</w:t>
                  </w:r>
                </w:p>
              </w:tc>
              <w:tc>
                <w:tcPr>
                  <w:tcW w:w="43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lang w:val="en-US" w:eastAsia="zh-CN" w:bidi="ar"/>
                    </w:rPr>
                  </w:pPr>
                </w:p>
              </w:tc>
              <w:tc>
                <w:tcPr>
                  <w:tcW w:w="757" w:type="dxa"/>
                  <w:tcBorders>
                    <w:tl2br w:val="nil"/>
                    <w:tr2bl w:val="nil"/>
                  </w:tcBorders>
                  <w:noWrap w:val="0"/>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eastAsia"/>
                      <w:color w:val="auto"/>
                      <w:sz w:val="21"/>
                      <w:szCs w:val="21"/>
                    </w:rPr>
                    <w:t>0.4665</w:t>
                  </w:r>
                </w:p>
              </w:tc>
              <w:tc>
                <w:tcPr>
                  <w:tcW w:w="745" w:type="dxa"/>
                  <w:tcBorders>
                    <w:tl2br w:val="nil"/>
                    <w:tr2bl w:val="nil"/>
                  </w:tcBorders>
                  <w:noWrap w:val="0"/>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lang w:val="en-US" w:eastAsia="zh-CN" w:bidi="ar"/>
                    </w:rPr>
                    <w:t>/</w:t>
                  </w:r>
                </w:p>
              </w:tc>
              <w:tc>
                <w:tcPr>
                  <w:tcW w:w="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eastAsia"/>
                      <w:color w:val="auto"/>
                      <w:sz w:val="21"/>
                      <w:szCs w:val="21"/>
                      <w:lang w:val="en-US" w:eastAsia="zh-CN"/>
                    </w:rPr>
                    <w:t>0.1555</w:t>
                  </w:r>
                </w:p>
              </w:tc>
              <w:tc>
                <w:tcPr>
                  <w:tcW w:w="9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w:t>
                  </w:r>
                </w:p>
              </w:tc>
              <w:tc>
                <w:tcPr>
                  <w:tcW w:w="9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b w:val="0"/>
                      <w:bCs w:val="0"/>
                      <w:color w:val="auto"/>
                      <w:kern w:val="0"/>
                      <w:sz w:val="21"/>
                      <w:szCs w:val="21"/>
                      <w:highlight w:val="none"/>
                      <w:vertAlign w:val="baseline"/>
                      <w:lang w:val="en-US" w:eastAsia="zh-CN"/>
                    </w:rPr>
                  </w:pPr>
                  <w:r>
                    <w:rPr>
                      <w:rFonts w:hint="eastAsia"/>
                      <w:b w:val="0"/>
                      <w:bCs w:val="0"/>
                      <w:color w:val="auto"/>
                      <w:kern w:val="0"/>
                      <w:sz w:val="21"/>
                      <w:szCs w:val="21"/>
                      <w:highlight w:val="none"/>
                      <w:vertAlign w:val="baseline"/>
                      <w:lang w:val="en-US" w:eastAsia="zh-CN"/>
                    </w:rPr>
                    <w:t>车间阻隔</w:t>
                  </w:r>
                </w:p>
              </w:tc>
              <w:tc>
                <w:tcPr>
                  <w:tcW w:w="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95</w:t>
                  </w:r>
                </w:p>
              </w:tc>
              <w:tc>
                <w:tcPr>
                  <w:tcW w:w="4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w:t>
                  </w:r>
                </w:p>
              </w:tc>
              <w:tc>
                <w:tcPr>
                  <w:tcW w:w="4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lang w:val="en-US" w:eastAsia="zh-CN" w:bidi="ar"/>
                    </w:rPr>
                  </w:pPr>
                </w:p>
              </w:tc>
              <w:tc>
                <w:tcPr>
                  <w:tcW w:w="872" w:type="dxa"/>
                  <w:tcBorders>
                    <w:tl2br w:val="nil"/>
                    <w:tr2bl w:val="nil"/>
                  </w:tcBorders>
                  <w:noWrap w:val="0"/>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b w:val="0"/>
                      <w:bCs w:val="0"/>
                      <w:color w:val="auto"/>
                      <w:kern w:val="0"/>
                      <w:sz w:val="21"/>
                      <w:szCs w:val="21"/>
                      <w:highlight w:val="none"/>
                      <w:lang w:val="en-US" w:eastAsia="zh-CN" w:bidi="ar"/>
                    </w:rPr>
                  </w:pPr>
                  <w:r>
                    <w:rPr>
                      <w:rFonts w:hint="eastAsia"/>
                      <w:color w:val="auto"/>
                      <w:sz w:val="21"/>
                      <w:szCs w:val="21"/>
                    </w:rPr>
                    <w:t>0.023</w:t>
                  </w:r>
                  <w:r>
                    <w:rPr>
                      <w:rFonts w:hint="eastAsia"/>
                      <w:color w:val="auto"/>
                      <w:sz w:val="21"/>
                      <w:szCs w:val="21"/>
                      <w:lang w:val="en-US" w:eastAsia="zh-CN"/>
                    </w:rPr>
                    <w:t>4</w:t>
                  </w:r>
                </w:p>
              </w:tc>
              <w:tc>
                <w:tcPr>
                  <w:tcW w:w="780" w:type="dxa"/>
                  <w:tcBorders>
                    <w:tl2br w:val="nil"/>
                    <w:tr2bl w:val="nil"/>
                  </w:tcBorders>
                  <w:noWrap w:val="0"/>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w:t>
                  </w:r>
                </w:p>
              </w:tc>
              <w:tc>
                <w:tcPr>
                  <w:tcW w:w="76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eastAsia"/>
                      <w:color w:val="auto"/>
                      <w:sz w:val="21"/>
                      <w:szCs w:val="21"/>
                      <w:highlight w:val="none"/>
                      <w:lang w:val="en-US" w:eastAsia="zh-CN"/>
                    </w:rPr>
                    <w:t>0.0078</w:t>
                  </w:r>
                </w:p>
              </w:tc>
              <w:tc>
                <w:tcPr>
                  <w:tcW w:w="9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w:t>
                  </w:r>
                </w:p>
              </w:tc>
              <w:tc>
                <w:tcPr>
                  <w:tcW w:w="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3000</w:t>
                  </w:r>
                </w:p>
              </w:tc>
              <w:tc>
                <w:tcPr>
                  <w:tcW w:w="74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17" w:hRule="atLeast"/>
                <w:jc w:val="center"/>
              </w:trPr>
              <w:tc>
                <w:tcPr>
                  <w:tcW w:w="56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color w:val="auto"/>
                      <w:sz w:val="21"/>
                      <w:szCs w:val="21"/>
                      <w:highlight w:val="none"/>
                      <w:lang w:val="en-US" w:eastAsia="zh-CN"/>
                    </w:rPr>
                  </w:pPr>
                </w:p>
              </w:tc>
              <w:tc>
                <w:tcPr>
                  <w:tcW w:w="931" w:type="dxa"/>
                  <w:gridSpan w:val="3"/>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b w:val="0"/>
                      <w:bCs w:val="0"/>
                      <w:color w:val="auto"/>
                      <w:sz w:val="21"/>
                      <w:szCs w:val="21"/>
                      <w:highlight w:val="none"/>
                      <w:lang w:val="en-US" w:eastAsia="zh-CN"/>
                    </w:rPr>
                  </w:pPr>
                </w:p>
              </w:tc>
              <w:tc>
                <w:tcPr>
                  <w:tcW w:w="14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lang w:val="en-US" w:eastAsia="zh-CN" w:bidi="ar"/>
                    </w:rPr>
                    <w:t>非甲烷总烃</w:t>
                  </w:r>
                </w:p>
              </w:tc>
              <w:tc>
                <w:tcPr>
                  <w:tcW w:w="43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lang w:val="en-US" w:eastAsia="zh-CN" w:bidi="ar"/>
                    </w:rPr>
                  </w:pPr>
                </w:p>
              </w:tc>
              <w:tc>
                <w:tcPr>
                  <w:tcW w:w="757" w:type="dxa"/>
                  <w:tcBorders>
                    <w:tl2br w:val="nil"/>
                    <w:tr2bl w:val="nil"/>
                  </w:tcBorders>
                  <w:noWrap w:val="0"/>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rPr>
                    <w:t>0.1485</w:t>
                  </w:r>
                </w:p>
              </w:tc>
              <w:tc>
                <w:tcPr>
                  <w:tcW w:w="745" w:type="dxa"/>
                  <w:tcBorders>
                    <w:tl2br w:val="nil"/>
                    <w:tr2bl w:val="nil"/>
                  </w:tcBorders>
                  <w:noWrap w:val="0"/>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w:t>
                  </w:r>
                </w:p>
              </w:tc>
              <w:tc>
                <w:tcPr>
                  <w:tcW w:w="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sz w:val="21"/>
                      <w:szCs w:val="21"/>
                      <w:lang w:val="en-US" w:eastAsia="zh-CN"/>
                    </w:rPr>
                  </w:pPr>
                  <w:r>
                    <w:rPr>
                      <w:rFonts w:hint="eastAsia"/>
                      <w:color w:val="auto"/>
                      <w:sz w:val="21"/>
                      <w:szCs w:val="21"/>
                    </w:rPr>
                    <w:t>0.0495</w:t>
                  </w:r>
                </w:p>
              </w:tc>
              <w:tc>
                <w:tcPr>
                  <w:tcW w:w="9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w:t>
                  </w:r>
                </w:p>
              </w:tc>
              <w:tc>
                <w:tcPr>
                  <w:tcW w:w="9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b w:val="0"/>
                      <w:bCs w:val="0"/>
                      <w:color w:val="auto"/>
                      <w:kern w:val="0"/>
                      <w:sz w:val="21"/>
                      <w:szCs w:val="21"/>
                      <w:highlight w:val="none"/>
                      <w:vertAlign w:val="baseline"/>
                      <w:lang w:val="en-US" w:eastAsia="zh-CN"/>
                    </w:rPr>
                  </w:pPr>
                  <w:r>
                    <w:rPr>
                      <w:rFonts w:hint="eastAsia"/>
                      <w:b w:val="0"/>
                      <w:bCs w:val="0"/>
                      <w:color w:val="auto"/>
                      <w:kern w:val="0"/>
                      <w:sz w:val="21"/>
                      <w:szCs w:val="21"/>
                      <w:highlight w:val="none"/>
                      <w:vertAlign w:val="baseline"/>
                      <w:lang w:val="en-US" w:eastAsia="zh-CN"/>
                    </w:rPr>
                    <w:t>/</w:t>
                  </w:r>
                </w:p>
              </w:tc>
              <w:tc>
                <w:tcPr>
                  <w:tcW w:w="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w:t>
                  </w:r>
                </w:p>
              </w:tc>
              <w:tc>
                <w:tcPr>
                  <w:tcW w:w="4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w:t>
                  </w:r>
                </w:p>
              </w:tc>
              <w:tc>
                <w:tcPr>
                  <w:tcW w:w="4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lang w:val="en-US" w:eastAsia="zh-CN" w:bidi="ar"/>
                    </w:rPr>
                  </w:pPr>
                </w:p>
              </w:tc>
              <w:tc>
                <w:tcPr>
                  <w:tcW w:w="872" w:type="dxa"/>
                  <w:tcBorders>
                    <w:tl2br w:val="nil"/>
                    <w:tr2bl w:val="nil"/>
                  </w:tcBorders>
                  <w:noWrap w:val="0"/>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rPr>
                    <w:t>0.1485</w:t>
                  </w:r>
                </w:p>
              </w:tc>
              <w:tc>
                <w:tcPr>
                  <w:tcW w:w="780" w:type="dxa"/>
                  <w:tcBorders>
                    <w:tl2br w:val="nil"/>
                    <w:tr2bl w:val="nil"/>
                  </w:tcBorders>
                  <w:noWrap w:val="0"/>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w:t>
                  </w:r>
                </w:p>
              </w:tc>
              <w:tc>
                <w:tcPr>
                  <w:tcW w:w="76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sz w:val="21"/>
                      <w:szCs w:val="21"/>
                      <w:highlight w:val="none"/>
                      <w:lang w:val="en-US" w:eastAsia="zh-CN"/>
                    </w:rPr>
                  </w:pPr>
                  <w:r>
                    <w:rPr>
                      <w:rFonts w:hint="eastAsia"/>
                      <w:color w:val="auto"/>
                      <w:sz w:val="21"/>
                      <w:szCs w:val="21"/>
                      <w:highlight w:val="none"/>
                    </w:rPr>
                    <w:t>0.0495</w:t>
                  </w:r>
                </w:p>
              </w:tc>
              <w:tc>
                <w:tcPr>
                  <w:tcW w:w="9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w:t>
                  </w:r>
                </w:p>
              </w:tc>
              <w:tc>
                <w:tcPr>
                  <w:tcW w:w="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3000</w:t>
                  </w:r>
                </w:p>
              </w:tc>
              <w:tc>
                <w:tcPr>
                  <w:tcW w:w="74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23" w:hRule="atLeast"/>
                <w:jc w:val="center"/>
              </w:trPr>
              <w:tc>
                <w:tcPr>
                  <w:tcW w:w="56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
                    </w:rPr>
                  </w:pPr>
                  <w:r>
                    <w:rPr>
                      <w:rFonts w:hint="default"/>
                      <w:color w:val="auto"/>
                      <w:sz w:val="21"/>
                      <w:szCs w:val="21"/>
                      <w:highlight w:val="none"/>
                      <w:lang w:val="en-US" w:eastAsia="zh-CN"/>
                    </w:rPr>
                    <w:t>搅砂制芯</w:t>
                  </w:r>
                  <w:r>
                    <w:rPr>
                      <w:rFonts w:hint="eastAsia"/>
                      <w:color w:val="auto"/>
                      <w:sz w:val="21"/>
                      <w:szCs w:val="21"/>
                      <w:highlight w:val="none"/>
                      <w:lang w:val="en-US" w:eastAsia="zh-CN"/>
                    </w:rPr>
                    <w:t>废气</w:t>
                  </w:r>
                </w:p>
              </w:tc>
              <w:tc>
                <w:tcPr>
                  <w:tcW w:w="567" w:type="dxa"/>
                  <w:gridSpan w:val="2"/>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DA</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color w:val="auto"/>
                      <w:sz w:val="21"/>
                      <w:szCs w:val="21"/>
                      <w:highlight w:val="none"/>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00</w:t>
                  </w:r>
                  <w:r>
                    <w:rPr>
                      <w:rFonts w:hint="eastAsia" w:cs="Times New Roman"/>
                      <w:b w:val="0"/>
                      <w:bCs w:val="0"/>
                      <w:color w:val="auto"/>
                      <w:kern w:val="0"/>
                      <w:sz w:val="21"/>
                      <w:szCs w:val="21"/>
                      <w:highlight w:val="none"/>
                      <w:vertAlign w:val="baseline"/>
                      <w:lang w:val="en-US" w:eastAsia="zh-CN" w:bidi="ar"/>
                    </w:rPr>
                    <w:t>2</w:t>
                  </w:r>
                </w:p>
              </w:tc>
              <w:tc>
                <w:tcPr>
                  <w:tcW w:w="364"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有组织</w:t>
                  </w:r>
                </w:p>
              </w:tc>
              <w:tc>
                <w:tcPr>
                  <w:tcW w:w="14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颗粒物</w:t>
                  </w:r>
                </w:p>
              </w:tc>
              <w:tc>
                <w:tcPr>
                  <w:tcW w:w="43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eastAsia" w:ascii="Times New Roman" w:hAnsi="Times New Roman" w:eastAsia="宋体" w:cs="Times New Roman"/>
                      <w:b w:val="0"/>
                      <w:bCs w:val="0"/>
                      <w:color w:val="auto"/>
                      <w:kern w:val="0"/>
                      <w:sz w:val="21"/>
                      <w:szCs w:val="21"/>
                      <w:highlight w:val="none"/>
                      <w:lang w:val="en-US" w:eastAsia="zh-CN" w:bidi="ar"/>
                    </w:rPr>
                  </w:pPr>
                </w:p>
              </w:tc>
              <w:tc>
                <w:tcPr>
                  <w:tcW w:w="7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0.891</w:t>
                  </w:r>
                </w:p>
              </w:tc>
              <w:tc>
                <w:tcPr>
                  <w:tcW w:w="74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10000</w:t>
                  </w:r>
                </w:p>
              </w:tc>
              <w:tc>
                <w:tcPr>
                  <w:tcW w:w="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sz w:val="21"/>
                      <w:szCs w:val="21"/>
                      <w:highlight w:val="none"/>
                      <w:lang w:val="en-US" w:eastAsia="zh-CN"/>
                    </w:rPr>
                  </w:pPr>
                  <w:r>
                    <w:rPr>
                      <w:rFonts w:hint="eastAsia" w:cs="Times New Roman"/>
                      <w:color w:val="auto"/>
                      <w:kern w:val="0"/>
                      <w:sz w:val="21"/>
                      <w:szCs w:val="21"/>
                      <w:highlight w:val="none"/>
                      <w:lang w:val="en-US" w:eastAsia="zh-CN" w:bidi="ar"/>
                    </w:rPr>
                    <w:t>0.297</w:t>
                  </w:r>
                </w:p>
              </w:tc>
              <w:tc>
                <w:tcPr>
                  <w:tcW w:w="9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29.7</w:t>
                  </w:r>
                </w:p>
              </w:tc>
              <w:tc>
                <w:tcPr>
                  <w:tcW w:w="908"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eastAsia"/>
                      <w:color w:val="auto"/>
                      <w:kern w:val="0"/>
                      <w:sz w:val="21"/>
                      <w:szCs w:val="21"/>
                      <w:highlight w:val="none"/>
                      <w:vertAlign w:val="baseline"/>
                      <w:lang w:val="en-US" w:eastAsia="zh-CN"/>
                    </w:rPr>
                  </w:pPr>
                  <w:r>
                    <w:rPr>
                      <w:rFonts w:hint="eastAsia" w:cs="Times New Roman"/>
                      <w:color w:val="auto"/>
                      <w:kern w:val="0"/>
                      <w:sz w:val="21"/>
                      <w:szCs w:val="21"/>
                      <w:highlight w:val="none"/>
                      <w:lang w:val="en-US" w:eastAsia="zh-CN" w:bidi="ar"/>
                    </w:rPr>
                    <w:t>水喷淋</w:t>
                  </w:r>
                  <w:r>
                    <w:rPr>
                      <w:rFonts w:hint="default" w:ascii="Times New Roman" w:hAnsi="Times New Roman" w:eastAsia="宋体" w:cs="Times New Roman"/>
                      <w:color w:val="auto"/>
                      <w:kern w:val="0"/>
                      <w:sz w:val="21"/>
                      <w:szCs w:val="21"/>
                      <w:highlight w:val="none"/>
                      <w:lang w:val="en-US" w:eastAsia="zh-CN" w:bidi="ar"/>
                    </w:rPr>
                    <w:t>+</w:t>
                  </w:r>
                  <w:r>
                    <w:rPr>
                      <w:rFonts w:hint="eastAsia" w:cs="Times New Roman"/>
                      <w:color w:val="auto"/>
                      <w:kern w:val="0"/>
                      <w:sz w:val="21"/>
                      <w:szCs w:val="21"/>
                      <w:highlight w:val="none"/>
                      <w:lang w:val="en-US" w:eastAsia="zh-CN" w:bidi="ar"/>
                    </w:rPr>
                    <w:t>二级</w:t>
                  </w:r>
                  <w:r>
                    <w:rPr>
                      <w:rFonts w:hint="default" w:ascii="Times New Roman" w:hAnsi="Times New Roman" w:eastAsia="宋体" w:cs="Times New Roman"/>
                      <w:color w:val="auto"/>
                      <w:kern w:val="0"/>
                      <w:sz w:val="21"/>
                      <w:szCs w:val="21"/>
                      <w:highlight w:val="none"/>
                      <w:lang w:val="en-US" w:eastAsia="zh-CN" w:bidi="ar"/>
                    </w:rPr>
                    <w:t>活性炭吸附</w:t>
                  </w:r>
                  <w:r>
                    <w:rPr>
                      <w:rFonts w:hint="eastAsia" w:cs="Times New Roman"/>
                      <w:color w:val="auto"/>
                      <w:kern w:val="0"/>
                      <w:sz w:val="21"/>
                      <w:szCs w:val="21"/>
                      <w:highlight w:val="none"/>
                      <w:lang w:val="en-US" w:eastAsia="zh-CN" w:bidi="ar"/>
                    </w:rPr>
                    <w:t>装置</w:t>
                  </w:r>
                </w:p>
              </w:tc>
              <w:tc>
                <w:tcPr>
                  <w:tcW w:w="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90</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85</w:t>
                  </w:r>
                </w:p>
              </w:tc>
              <w:tc>
                <w:tcPr>
                  <w:tcW w:w="4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是</w:t>
                  </w:r>
                </w:p>
              </w:tc>
              <w:tc>
                <w:tcPr>
                  <w:tcW w:w="4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p>
              </w:tc>
              <w:tc>
                <w:tcPr>
                  <w:tcW w:w="87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sz w:val="21"/>
                      <w:szCs w:val="21"/>
                      <w:highlight w:val="none"/>
                      <w:lang w:val="en-US" w:eastAsia="zh-CN"/>
                    </w:rPr>
                  </w:pPr>
                  <w:r>
                    <w:rPr>
                      <w:rFonts w:hint="eastAsia" w:cs="Times New Roman"/>
                      <w:color w:val="auto"/>
                      <w:kern w:val="0"/>
                      <w:sz w:val="21"/>
                      <w:szCs w:val="21"/>
                      <w:highlight w:val="none"/>
                      <w:lang w:val="en-US" w:eastAsia="zh-CN" w:bidi="ar"/>
                    </w:rPr>
                    <w:t>0.1337</w:t>
                  </w:r>
                </w:p>
              </w:tc>
              <w:tc>
                <w:tcPr>
                  <w:tcW w:w="78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10000</w:t>
                  </w:r>
                </w:p>
              </w:tc>
              <w:tc>
                <w:tcPr>
                  <w:tcW w:w="76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sz w:val="21"/>
                      <w:szCs w:val="21"/>
                      <w:highlight w:val="none"/>
                      <w:lang w:val="en-US" w:eastAsia="zh-CN"/>
                    </w:rPr>
                  </w:pPr>
                  <w:r>
                    <w:rPr>
                      <w:rFonts w:hint="eastAsia" w:cs="Times New Roman"/>
                      <w:color w:val="auto"/>
                      <w:kern w:val="0"/>
                      <w:sz w:val="21"/>
                      <w:szCs w:val="21"/>
                      <w:highlight w:val="none"/>
                      <w:lang w:val="en-US" w:eastAsia="zh-CN" w:bidi="ar"/>
                    </w:rPr>
                    <w:t>0.0446</w:t>
                  </w:r>
                </w:p>
              </w:tc>
              <w:tc>
                <w:tcPr>
                  <w:tcW w:w="9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4.46</w:t>
                  </w:r>
                </w:p>
              </w:tc>
              <w:tc>
                <w:tcPr>
                  <w:tcW w:w="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3000</w:t>
                  </w:r>
                </w:p>
              </w:tc>
              <w:tc>
                <w:tcPr>
                  <w:tcW w:w="74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厂房车间1F</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0" w:hRule="atLeast"/>
                <w:jc w:val="center"/>
              </w:trPr>
              <w:tc>
                <w:tcPr>
                  <w:tcW w:w="56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
                    </w:rPr>
                  </w:pPr>
                </w:p>
              </w:tc>
              <w:tc>
                <w:tcPr>
                  <w:tcW w:w="567" w:type="dxa"/>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color w:val="auto"/>
                      <w:sz w:val="21"/>
                      <w:szCs w:val="21"/>
                      <w:highlight w:val="none"/>
                    </w:rPr>
                  </w:pPr>
                </w:p>
              </w:tc>
              <w:tc>
                <w:tcPr>
                  <w:tcW w:w="364"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color w:val="auto"/>
                      <w:sz w:val="21"/>
                      <w:szCs w:val="21"/>
                      <w:highlight w:val="none"/>
                    </w:rPr>
                  </w:pPr>
                </w:p>
              </w:tc>
              <w:tc>
                <w:tcPr>
                  <w:tcW w:w="14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非甲烷总烃</w:t>
                  </w:r>
                </w:p>
              </w:tc>
              <w:tc>
                <w:tcPr>
                  <w:tcW w:w="43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eastAsia" w:ascii="Times New Roman" w:hAnsi="Times New Roman" w:eastAsia="宋体" w:cs="Times New Roman"/>
                      <w:b w:val="0"/>
                      <w:bCs w:val="0"/>
                      <w:color w:val="auto"/>
                      <w:kern w:val="0"/>
                      <w:sz w:val="21"/>
                      <w:szCs w:val="21"/>
                      <w:highlight w:val="none"/>
                      <w:lang w:val="en-US" w:eastAsia="zh-CN" w:bidi="ar"/>
                    </w:rPr>
                  </w:pPr>
                </w:p>
              </w:tc>
              <w:tc>
                <w:tcPr>
                  <w:tcW w:w="7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0.135</w:t>
                  </w:r>
                </w:p>
              </w:tc>
              <w:tc>
                <w:tcPr>
                  <w:tcW w:w="74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p>
              </w:tc>
              <w:tc>
                <w:tcPr>
                  <w:tcW w:w="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sz w:val="21"/>
                      <w:szCs w:val="21"/>
                      <w:highlight w:val="none"/>
                      <w:lang w:val="en-US" w:eastAsia="zh-CN"/>
                    </w:rPr>
                  </w:pPr>
                  <w:r>
                    <w:rPr>
                      <w:rFonts w:hint="eastAsia" w:cs="Times New Roman"/>
                      <w:color w:val="auto"/>
                      <w:kern w:val="0"/>
                      <w:sz w:val="21"/>
                      <w:szCs w:val="21"/>
                      <w:highlight w:val="none"/>
                      <w:lang w:val="en-US" w:eastAsia="zh-CN" w:bidi="ar"/>
                    </w:rPr>
                    <w:t>0.045</w:t>
                  </w:r>
                </w:p>
              </w:tc>
              <w:tc>
                <w:tcPr>
                  <w:tcW w:w="9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4.5</w:t>
                  </w:r>
                </w:p>
              </w:tc>
              <w:tc>
                <w:tcPr>
                  <w:tcW w:w="90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eastAsia"/>
                      <w:color w:val="auto"/>
                      <w:kern w:val="0"/>
                      <w:sz w:val="21"/>
                      <w:szCs w:val="21"/>
                      <w:highlight w:val="none"/>
                      <w:vertAlign w:val="baseline"/>
                      <w:lang w:val="en-US" w:eastAsia="zh-CN"/>
                    </w:rPr>
                  </w:pPr>
                </w:p>
              </w:tc>
              <w:tc>
                <w:tcPr>
                  <w:tcW w:w="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90</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50</w:t>
                  </w:r>
                </w:p>
              </w:tc>
              <w:tc>
                <w:tcPr>
                  <w:tcW w:w="4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是</w:t>
                  </w:r>
                </w:p>
              </w:tc>
              <w:tc>
                <w:tcPr>
                  <w:tcW w:w="4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p>
              </w:tc>
              <w:tc>
                <w:tcPr>
                  <w:tcW w:w="87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sz w:val="21"/>
                      <w:szCs w:val="21"/>
                      <w:highlight w:val="none"/>
                      <w:lang w:val="en-US" w:eastAsia="zh-CN"/>
                    </w:rPr>
                  </w:pPr>
                  <w:r>
                    <w:rPr>
                      <w:rFonts w:hint="eastAsia" w:cs="Times New Roman"/>
                      <w:color w:val="auto"/>
                      <w:kern w:val="0"/>
                      <w:sz w:val="21"/>
                      <w:szCs w:val="21"/>
                      <w:highlight w:val="none"/>
                      <w:lang w:val="en-US" w:eastAsia="zh-CN" w:bidi="ar"/>
                    </w:rPr>
                    <w:t>0.0675</w:t>
                  </w:r>
                </w:p>
              </w:tc>
              <w:tc>
                <w:tcPr>
                  <w:tcW w:w="7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p>
              </w:tc>
              <w:tc>
                <w:tcPr>
                  <w:tcW w:w="76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sz w:val="21"/>
                      <w:szCs w:val="21"/>
                      <w:highlight w:val="none"/>
                      <w:lang w:val="en-US" w:eastAsia="zh-CN"/>
                    </w:rPr>
                  </w:pPr>
                  <w:r>
                    <w:rPr>
                      <w:rFonts w:hint="eastAsia" w:cs="Times New Roman"/>
                      <w:color w:val="auto"/>
                      <w:kern w:val="0"/>
                      <w:sz w:val="21"/>
                      <w:szCs w:val="21"/>
                      <w:highlight w:val="none"/>
                      <w:lang w:val="en-US" w:eastAsia="zh-CN" w:bidi="ar"/>
                    </w:rPr>
                    <w:t>0.0225</w:t>
                  </w:r>
                </w:p>
              </w:tc>
              <w:tc>
                <w:tcPr>
                  <w:tcW w:w="9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2.25</w:t>
                  </w:r>
                </w:p>
              </w:tc>
              <w:tc>
                <w:tcPr>
                  <w:tcW w:w="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3000</w:t>
                  </w:r>
                </w:p>
              </w:tc>
              <w:tc>
                <w:tcPr>
                  <w:tcW w:w="74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74" w:hRule="atLeast"/>
                <w:jc w:val="center"/>
              </w:trPr>
              <w:tc>
                <w:tcPr>
                  <w:tcW w:w="56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
                    </w:rPr>
                  </w:pPr>
                </w:p>
              </w:tc>
              <w:tc>
                <w:tcPr>
                  <w:tcW w:w="931" w:type="dxa"/>
                  <w:gridSpan w:val="3"/>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无组织</w:t>
                  </w:r>
                </w:p>
              </w:tc>
              <w:tc>
                <w:tcPr>
                  <w:tcW w:w="14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颗粒物</w:t>
                  </w:r>
                </w:p>
              </w:tc>
              <w:tc>
                <w:tcPr>
                  <w:tcW w:w="43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eastAsia" w:ascii="Times New Roman" w:hAnsi="Times New Roman" w:eastAsia="宋体" w:cs="Times New Roman"/>
                      <w:b w:val="0"/>
                      <w:bCs w:val="0"/>
                      <w:color w:val="auto"/>
                      <w:kern w:val="0"/>
                      <w:sz w:val="21"/>
                      <w:szCs w:val="21"/>
                      <w:highlight w:val="none"/>
                      <w:lang w:val="en-US" w:eastAsia="zh-CN" w:bidi="ar"/>
                    </w:rPr>
                  </w:pPr>
                </w:p>
              </w:tc>
              <w:tc>
                <w:tcPr>
                  <w:tcW w:w="757" w:type="dxa"/>
                  <w:tcBorders>
                    <w:tl2br w:val="nil"/>
                    <w:tr2bl w:val="nil"/>
                  </w:tcBorders>
                  <w:noWrap w:val="0"/>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s="Times New Roman"/>
                      <w:color w:val="auto"/>
                      <w:sz w:val="21"/>
                      <w:szCs w:val="21"/>
                      <w:highlight w:val="none"/>
                      <w:lang w:val="en-US" w:eastAsia="zh-CN"/>
                    </w:rPr>
                  </w:pPr>
                  <w:r>
                    <w:rPr>
                      <w:rFonts w:hint="eastAsia"/>
                      <w:color w:val="auto"/>
                      <w:sz w:val="21"/>
                      <w:szCs w:val="21"/>
                      <w:highlight w:val="none"/>
                      <w:lang w:val="en-US" w:eastAsia="zh-CN"/>
                    </w:rPr>
                    <w:t>0.099</w:t>
                  </w:r>
                </w:p>
              </w:tc>
              <w:tc>
                <w:tcPr>
                  <w:tcW w:w="745" w:type="dxa"/>
                  <w:tcBorders>
                    <w:tl2br w:val="nil"/>
                    <w:tr2bl w:val="nil"/>
                  </w:tcBorders>
                  <w:noWrap w:val="0"/>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bidi="ar"/>
                    </w:rPr>
                    <w:t>/</w:t>
                  </w:r>
                </w:p>
              </w:tc>
              <w:tc>
                <w:tcPr>
                  <w:tcW w:w="782" w:type="dxa"/>
                  <w:tcBorders>
                    <w:tl2br w:val="nil"/>
                    <w:tr2bl w:val="nil"/>
                  </w:tcBorders>
                  <w:noWrap w:val="0"/>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s="Times New Roman"/>
                      <w:color w:val="auto"/>
                      <w:sz w:val="21"/>
                      <w:szCs w:val="21"/>
                      <w:highlight w:val="none"/>
                      <w:lang w:val="en-US" w:eastAsia="zh-CN"/>
                    </w:rPr>
                  </w:pPr>
                  <w:r>
                    <w:rPr>
                      <w:rFonts w:hint="eastAsia"/>
                      <w:color w:val="auto"/>
                      <w:sz w:val="21"/>
                      <w:szCs w:val="21"/>
                      <w:highlight w:val="none"/>
                      <w:lang w:val="en-US" w:eastAsia="zh-CN"/>
                    </w:rPr>
                    <w:t>0.033</w:t>
                  </w:r>
                </w:p>
              </w:tc>
              <w:tc>
                <w:tcPr>
                  <w:tcW w:w="9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
                    </w:rPr>
                    <w:t>/</w:t>
                  </w:r>
                </w:p>
              </w:tc>
              <w:tc>
                <w:tcPr>
                  <w:tcW w:w="9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lang w:val="en-US" w:eastAsia="zh-CN" w:bidi="ar"/>
                    </w:rPr>
                    <w:t>车间阻隔</w:t>
                  </w:r>
                </w:p>
              </w:tc>
              <w:tc>
                <w:tcPr>
                  <w:tcW w:w="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lang w:val="en-US" w:eastAsia="zh-CN" w:bidi="ar"/>
                    </w:rPr>
                    <w:t>95</w:t>
                  </w:r>
                </w:p>
              </w:tc>
              <w:tc>
                <w:tcPr>
                  <w:tcW w:w="4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4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p>
              </w:tc>
              <w:tc>
                <w:tcPr>
                  <w:tcW w:w="872" w:type="dxa"/>
                  <w:tcBorders>
                    <w:tl2br w:val="nil"/>
                    <w:tr2bl w:val="nil"/>
                  </w:tcBorders>
                  <w:noWrap w:val="0"/>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s="Times New Roman"/>
                      <w:color w:val="auto"/>
                      <w:sz w:val="21"/>
                      <w:szCs w:val="21"/>
                      <w:highlight w:val="none"/>
                      <w:lang w:val="en-US" w:eastAsia="zh-CN"/>
                    </w:rPr>
                  </w:pPr>
                  <w:r>
                    <w:rPr>
                      <w:rFonts w:hint="eastAsia"/>
                      <w:color w:val="auto"/>
                      <w:sz w:val="21"/>
                      <w:szCs w:val="21"/>
                      <w:highlight w:val="none"/>
                    </w:rPr>
                    <w:t>0.00</w:t>
                  </w:r>
                  <w:r>
                    <w:rPr>
                      <w:rFonts w:hint="eastAsia"/>
                      <w:color w:val="auto"/>
                      <w:sz w:val="21"/>
                      <w:szCs w:val="21"/>
                      <w:highlight w:val="none"/>
                      <w:lang w:val="en-US" w:eastAsia="zh-CN"/>
                    </w:rPr>
                    <w:t>50</w:t>
                  </w:r>
                </w:p>
              </w:tc>
              <w:tc>
                <w:tcPr>
                  <w:tcW w:w="780" w:type="dxa"/>
                  <w:tcBorders>
                    <w:tl2br w:val="nil"/>
                    <w:tr2bl w:val="nil"/>
                  </w:tcBorders>
                  <w:noWrap w:val="0"/>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bidi="ar"/>
                    </w:rPr>
                    <w:t>/</w:t>
                  </w:r>
                </w:p>
              </w:tc>
              <w:tc>
                <w:tcPr>
                  <w:tcW w:w="766" w:type="dxa"/>
                  <w:tcBorders>
                    <w:tl2br w:val="nil"/>
                    <w:tr2bl w:val="nil"/>
                  </w:tcBorders>
                  <w:noWrap w:val="0"/>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s="Times New Roman"/>
                      <w:color w:val="auto"/>
                      <w:sz w:val="21"/>
                      <w:szCs w:val="21"/>
                      <w:highlight w:val="none"/>
                      <w:lang w:val="en-US" w:eastAsia="zh-CN"/>
                    </w:rPr>
                  </w:pPr>
                  <w:r>
                    <w:rPr>
                      <w:rFonts w:hint="eastAsia"/>
                      <w:color w:val="auto"/>
                      <w:sz w:val="21"/>
                      <w:szCs w:val="21"/>
                      <w:highlight w:val="none"/>
                    </w:rPr>
                    <w:t>0.001</w:t>
                  </w:r>
                  <w:r>
                    <w:rPr>
                      <w:rFonts w:hint="eastAsia"/>
                      <w:color w:val="auto"/>
                      <w:sz w:val="21"/>
                      <w:szCs w:val="21"/>
                      <w:highlight w:val="none"/>
                      <w:lang w:val="en-US" w:eastAsia="zh-CN"/>
                    </w:rPr>
                    <w:t>7</w:t>
                  </w:r>
                </w:p>
              </w:tc>
              <w:tc>
                <w:tcPr>
                  <w:tcW w:w="9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
                    </w:rPr>
                    <w:t>/</w:t>
                  </w:r>
                </w:p>
              </w:tc>
              <w:tc>
                <w:tcPr>
                  <w:tcW w:w="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3000</w:t>
                  </w:r>
                </w:p>
              </w:tc>
              <w:tc>
                <w:tcPr>
                  <w:tcW w:w="74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5" w:hRule="atLeast"/>
                <w:jc w:val="center"/>
              </w:trPr>
              <w:tc>
                <w:tcPr>
                  <w:tcW w:w="56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
                    </w:rPr>
                  </w:pPr>
                </w:p>
              </w:tc>
              <w:tc>
                <w:tcPr>
                  <w:tcW w:w="931" w:type="dxa"/>
                  <w:gridSpan w:val="3"/>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color w:val="auto"/>
                      <w:sz w:val="21"/>
                      <w:szCs w:val="21"/>
                      <w:highlight w:val="none"/>
                    </w:rPr>
                  </w:pPr>
                </w:p>
              </w:tc>
              <w:tc>
                <w:tcPr>
                  <w:tcW w:w="14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非甲烷总烃</w:t>
                  </w:r>
                </w:p>
              </w:tc>
              <w:tc>
                <w:tcPr>
                  <w:tcW w:w="43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eastAsia" w:ascii="Times New Roman" w:hAnsi="Times New Roman" w:eastAsia="宋体" w:cs="Times New Roman"/>
                      <w:b w:val="0"/>
                      <w:bCs w:val="0"/>
                      <w:color w:val="auto"/>
                      <w:kern w:val="0"/>
                      <w:sz w:val="21"/>
                      <w:szCs w:val="21"/>
                      <w:highlight w:val="none"/>
                      <w:lang w:val="en-US" w:eastAsia="zh-CN" w:bidi="ar"/>
                    </w:rPr>
                  </w:pPr>
                </w:p>
              </w:tc>
              <w:tc>
                <w:tcPr>
                  <w:tcW w:w="7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sz w:val="21"/>
                      <w:szCs w:val="21"/>
                      <w:highlight w:val="none"/>
                      <w:lang w:val="en-US" w:eastAsia="zh-CN"/>
                    </w:rPr>
                  </w:pPr>
                  <w:r>
                    <w:rPr>
                      <w:rFonts w:hint="eastAsia" w:cs="Times New Roman"/>
                      <w:color w:val="auto"/>
                      <w:kern w:val="0"/>
                      <w:sz w:val="21"/>
                      <w:szCs w:val="21"/>
                      <w:highlight w:val="none"/>
                      <w:lang w:val="en-US" w:eastAsia="zh-CN" w:bidi="ar"/>
                    </w:rPr>
                    <w:t>0.015</w:t>
                  </w:r>
                </w:p>
              </w:tc>
              <w:tc>
                <w:tcPr>
                  <w:tcW w:w="7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bidi="ar"/>
                    </w:rPr>
                    <w:t>/</w:t>
                  </w:r>
                </w:p>
              </w:tc>
              <w:tc>
                <w:tcPr>
                  <w:tcW w:w="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sz w:val="21"/>
                      <w:szCs w:val="21"/>
                      <w:highlight w:val="none"/>
                      <w:lang w:val="en-US" w:eastAsia="zh-CN"/>
                    </w:rPr>
                  </w:pPr>
                  <w:r>
                    <w:rPr>
                      <w:rFonts w:hint="eastAsia" w:cs="Times New Roman"/>
                      <w:color w:val="auto"/>
                      <w:kern w:val="0"/>
                      <w:sz w:val="21"/>
                      <w:szCs w:val="21"/>
                      <w:highlight w:val="none"/>
                      <w:lang w:val="en-US" w:eastAsia="zh-CN" w:bidi="ar"/>
                    </w:rPr>
                    <w:t>0.005</w:t>
                  </w:r>
                </w:p>
              </w:tc>
              <w:tc>
                <w:tcPr>
                  <w:tcW w:w="9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bidi="ar"/>
                    </w:rPr>
                    <w:t>/</w:t>
                  </w:r>
                </w:p>
              </w:tc>
              <w:tc>
                <w:tcPr>
                  <w:tcW w:w="9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vertAlign w:val="baseline"/>
                      <w:lang w:val="en-US" w:eastAsia="zh-CN"/>
                    </w:rPr>
                  </w:pPr>
                  <w:r>
                    <w:rPr>
                      <w:rFonts w:hint="eastAsia" w:cs="Times New Roman"/>
                      <w:color w:val="auto"/>
                      <w:kern w:val="0"/>
                      <w:sz w:val="21"/>
                      <w:szCs w:val="21"/>
                      <w:highlight w:val="none"/>
                      <w:lang w:val="en-US" w:eastAsia="zh-CN" w:bidi="ar"/>
                    </w:rPr>
                    <w:t>/</w:t>
                  </w:r>
                </w:p>
              </w:tc>
              <w:tc>
                <w:tcPr>
                  <w:tcW w:w="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color w:val="auto"/>
                      <w:kern w:val="0"/>
                      <w:sz w:val="21"/>
                      <w:szCs w:val="21"/>
                      <w:highlight w:val="none"/>
                      <w:lang w:val="en-US" w:eastAsia="zh-CN" w:bidi="ar"/>
                    </w:rPr>
                    <w:t>/</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color w:val="auto"/>
                      <w:kern w:val="0"/>
                      <w:sz w:val="21"/>
                      <w:szCs w:val="21"/>
                      <w:highlight w:val="none"/>
                      <w:lang w:val="en-US" w:eastAsia="zh-CN" w:bidi="ar"/>
                    </w:rPr>
                    <w:t>/</w:t>
                  </w:r>
                </w:p>
              </w:tc>
              <w:tc>
                <w:tcPr>
                  <w:tcW w:w="4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color w:val="auto"/>
                      <w:kern w:val="0"/>
                      <w:sz w:val="21"/>
                      <w:szCs w:val="21"/>
                      <w:highlight w:val="none"/>
                      <w:lang w:val="en-US" w:eastAsia="zh-CN" w:bidi="ar"/>
                    </w:rPr>
                    <w:t>/</w:t>
                  </w:r>
                </w:p>
              </w:tc>
              <w:tc>
                <w:tcPr>
                  <w:tcW w:w="4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p>
              </w:tc>
              <w:tc>
                <w:tcPr>
                  <w:tcW w:w="87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sz w:val="21"/>
                      <w:szCs w:val="21"/>
                      <w:highlight w:val="none"/>
                      <w:lang w:val="en-US" w:eastAsia="zh-CN"/>
                    </w:rPr>
                  </w:pPr>
                  <w:r>
                    <w:rPr>
                      <w:rFonts w:hint="eastAsia" w:cs="Times New Roman"/>
                      <w:color w:val="auto"/>
                      <w:kern w:val="0"/>
                      <w:sz w:val="21"/>
                      <w:szCs w:val="21"/>
                      <w:highlight w:val="none"/>
                      <w:lang w:val="en-US" w:eastAsia="zh-CN" w:bidi="ar"/>
                    </w:rPr>
                    <w:t>0.015</w:t>
                  </w:r>
                </w:p>
              </w:tc>
              <w:tc>
                <w:tcPr>
                  <w:tcW w:w="7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bidi="ar"/>
                    </w:rPr>
                    <w:t>/</w:t>
                  </w:r>
                </w:p>
              </w:tc>
              <w:tc>
                <w:tcPr>
                  <w:tcW w:w="76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sz w:val="21"/>
                      <w:szCs w:val="21"/>
                      <w:highlight w:val="none"/>
                      <w:lang w:val="en-US" w:eastAsia="zh-CN"/>
                    </w:rPr>
                  </w:pPr>
                  <w:r>
                    <w:rPr>
                      <w:rFonts w:hint="eastAsia" w:cs="Times New Roman"/>
                      <w:color w:val="auto"/>
                      <w:kern w:val="0"/>
                      <w:sz w:val="21"/>
                      <w:szCs w:val="21"/>
                      <w:highlight w:val="none"/>
                      <w:lang w:val="en-US" w:eastAsia="zh-CN" w:bidi="ar"/>
                    </w:rPr>
                    <w:t>0.005</w:t>
                  </w:r>
                </w:p>
              </w:tc>
              <w:tc>
                <w:tcPr>
                  <w:tcW w:w="9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bidi="ar"/>
                    </w:rPr>
                    <w:t>/</w:t>
                  </w:r>
                </w:p>
              </w:tc>
              <w:tc>
                <w:tcPr>
                  <w:tcW w:w="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3000</w:t>
                  </w:r>
                </w:p>
              </w:tc>
              <w:tc>
                <w:tcPr>
                  <w:tcW w:w="74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44" w:hRule="atLeast"/>
                <w:jc w:val="center"/>
              </w:trPr>
              <w:tc>
                <w:tcPr>
                  <w:tcW w:w="567" w:type="dxa"/>
                  <w:vMerge w:val="restart"/>
                  <w:tcBorders>
                    <w:tl2br w:val="nil"/>
                    <w:tr2bl w:val="nil"/>
                  </w:tcBorders>
                  <w:noWrap w:val="0"/>
                  <w:vAlign w:val="center"/>
                </w:tcPr>
                <w:p>
                  <w:pPr>
                    <w:pStyle w:val="2"/>
                    <w:keepNext w:val="0"/>
                    <w:keepLines w:val="0"/>
                    <w:pageBreakBefore w:val="0"/>
                    <w:numPr>
                      <w:ilvl w:val="0"/>
                      <w:numId w:val="0"/>
                    </w:numP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落砂</w:t>
                  </w:r>
                </w:p>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p>
                  <w:pPr>
                    <w:pStyle w:val="2"/>
                    <w:keepNext w:val="0"/>
                    <w:keepLines w:val="0"/>
                    <w:pageBreakBefore w:val="0"/>
                    <w:numPr>
                      <w:ilvl w:val="0"/>
                      <w:numId w:val="0"/>
                    </w:numPr>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压铸</w:t>
                  </w:r>
                </w:p>
                <w:p>
                  <w:pPr>
                    <w:pStyle w:val="2"/>
                    <w:keepNext w:val="0"/>
                    <w:keepLines w:val="0"/>
                    <w:pageBreakBefore w:val="0"/>
                    <w:numPr>
                      <w:ilvl w:val="0"/>
                      <w:numId w:val="0"/>
                    </w:numPr>
                    <w:kinsoku/>
                    <w:wordWrap/>
                    <w:overflowPunct/>
                    <w:topLinePunct w:val="0"/>
                    <w:bidi w:val="0"/>
                    <w:adjustRightInd w:val="0"/>
                    <w:snapToGrid w:val="0"/>
                    <w:spacing w:line="240" w:lineRule="auto"/>
                    <w:jc w:val="center"/>
                    <w:textAlignment w:val="auto"/>
                    <w:rPr>
                      <w:rFonts w:hint="eastAsia" w:asci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w:t>
                  </w:r>
                </w:p>
                <w:p>
                  <w:pPr>
                    <w:pStyle w:val="2"/>
                    <w:keepNext w:val="0"/>
                    <w:keepLines w:val="0"/>
                    <w:pageBreakBefore w:val="0"/>
                    <w:numPr>
                      <w:ilvl w:val="0"/>
                      <w:numId w:val="0"/>
                    </w:numPr>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锻造</w:t>
                  </w:r>
                </w:p>
                <w:p>
                  <w:pPr>
                    <w:pStyle w:val="2"/>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rPr>
                    <w:t>废气</w:t>
                  </w:r>
                </w:p>
              </w:tc>
              <w:tc>
                <w:tcPr>
                  <w:tcW w:w="567" w:type="dxa"/>
                  <w:gridSpan w:val="2"/>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DA</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003</w:t>
                  </w:r>
                </w:p>
              </w:tc>
              <w:tc>
                <w:tcPr>
                  <w:tcW w:w="364"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有组织</w:t>
                  </w:r>
                </w:p>
              </w:tc>
              <w:tc>
                <w:tcPr>
                  <w:tcW w:w="14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落砂颗粒物</w:t>
                  </w:r>
                </w:p>
              </w:tc>
              <w:tc>
                <w:tcPr>
                  <w:tcW w:w="43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eastAsia" w:ascii="Times New Roman" w:hAnsi="Times New Roman" w:eastAsia="宋体" w:cs="Times New Roman"/>
                      <w:b w:val="0"/>
                      <w:bCs w:val="0"/>
                      <w:color w:val="auto"/>
                      <w:kern w:val="0"/>
                      <w:sz w:val="21"/>
                      <w:szCs w:val="21"/>
                      <w:highlight w:val="none"/>
                      <w:lang w:val="en-US" w:eastAsia="zh-CN" w:bidi="ar"/>
                    </w:rPr>
                  </w:pPr>
                </w:p>
              </w:tc>
              <w:tc>
                <w:tcPr>
                  <w:tcW w:w="7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43.2</w:t>
                  </w:r>
                </w:p>
              </w:tc>
              <w:tc>
                <w:tcPr>
                  <w:tcW w:w="7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25000</w:t>
                  </w:r>
                </w:p>
              </w:tc>
              <w:tc>
                <w:tcPr>
                  <w:tcW w:w="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14.4</w:t>
                  </w:r>
                </w:p>
              </w:tc>
              <w:tc>
                <w:tcPr>
                  <w:tcW w:w="9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1440</w:t>
                  </w:r>
                </w:p>
              </w:tc>
              <w:tc>
                <w:tcPr>
                  <w:tcW w:w="908" w:type="dxa"/>
                  <w:tcBorders>
                    <w:tl2br w:val="nil"/>
                    <w:tr2bl w:val="nil"/>
                  </w:tcBorders>
                  <w:noWrap w:val="0"/>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布袋</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除尘器</w:t>
                  </w:r>
                </w:p>
              </w:tc>
              <w:tc>
                <w:tcPr>
                  <w:tcW w:w="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90</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95</w:t>
                  </w:r>
                </w:p>
              </w:tc>
              <w:tc>
                <w:tcPr>
                  <w:tcW w:w="4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是</w:t>
                  </w:r>
                </w:p>
              </w:tc>
              <w:tc>
                <w:tcPr>
                  <w:tcW w:w="4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p>
              </w:tc>
              <w:tc>
                <w:tcPr>
                  <w:tcW w:w="872"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2.6155</w:t>
                  </w:r>
                </w:p>
              </w:tc>
              <w:tc>
                <w:tcPr>
                  <w:tcW w:w="78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45000</w:t>
                  </w:r>
                </w:p>
              </w:tc>
              <w:tc>
                <w:tcPr>
                  <w:tcW w:w="766"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0.8718</w:t>
                  </w:r>
                </w:p>
              </w:tc>
              <w:tc>
                <w:tcPr>
                  <w:tcW w:w="958"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19.3733</w:t>
                  </w:r>
                </w:p>
              </w:tc>
              <w:tc>
                <w:tcPr>
                  <w:tcW w:w="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3000</w:t>
                  </w:r>
                </w:p>
              </w:tc>
              <w:tc>
                <w:tcPr>
                  <w:tcW w:w="74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厂房车间1F</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44" w:hRule="atLeast"/>
                <w:jc w:val="center"/>
              </w:trPr>
              <w:tc>
                <w:tcPr>
                  <w:tcW w:w="567" w:type="dxa"/>
                  <w:vMerge w:val="continue"/>
                  <w:tcBorders>
                    <w:tl2br w:val="nil"/>
                    <w:tr2bl w:val="nil"/>
                  </w:tcBorders>
                  <w:noWrap w:val="0"/>
                  <w:vAlign w:val="center"/>
                </w:tcPr>
                <w:p>
                  <w:pPr>
                    <w:pStyle w:val="2"/>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567" w:type="dxa"/>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sz w:val="21"/>
                      <w:szCs w:val="21"/>
                      <w:highlight w:val="none"/>
                      <w:lang w:val="en-US" w:eastAsia="zh-CN"/>
                    </w:rPr>
                  </w:pPr>
                </w:p>
              </w:tc>
              <w:tc>
                <w:tcPr>
                  <w:tcW w:w="364"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sz w:val="21"/>
                      <w:szCs w:val="21"/>
                      <w:highlight w:val="none"/>
                      <w:lang w:val="en-US" w:eastAsia="zh-CN"/>
                    </w:rPr>
                  </w:pPr>
                </w:p>
              </w:tc>
              <w:tc>
                <w:tcPr>
                  <w:tcW w:w="14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压铸颗粒物</w:t>
                  </w:r>
                </w:p>
              </w:tc>
              <w:tc>
                <w:tcPr>
                  <w:tcW w:w="43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eastAsia" w:ascii="Times New Roman" w:hAnsi="Times New Roman" w:eastAsia="宋体" w:cs="Times New Roman"/>
                      <w:b w:val="0"/>
                      <w:bCs w:val="0"/>
                      <w:color w:val="auto"/>
                      <w:kern w:val="0"/>
                      <w:sz w:val="21"/>
                      <w:szCs w:val="21"/>
                      <w:highlight w:val="none"/>
                      <w:lang w:val="en-US" w:eastAsia="zh-CN" w:bidi="ar"/>
                    </w:rPr>
                  </w:pPr>
                </w:p>
              </w:tc>
              <w:tc>
                <w:tcPr>
                  <w:tcW w:w="757" w:type="dxa"/>
                  <w:tcBorders>
                    <w:tl2br w:val="nil"/>
                    <w:tr2bl w:val="nil"/>
                  </w:tcBorders>
                  <w:noWrap w:val="0"/>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s="Times New Roman"/>
                      <w:color w:val="auto"/>
                      <w:kern w:val="0"/>
                      <w:sz w:val="21"/>
                      <w:szCs w:val="21"/>
                      <w:highlight w:val="none"/>
                      <w:lang w:val="en-US" w:eastAsia="zh-CN" w:bidi="ar"/>
                    </w:rPr>
                  </w:pPr>
                  <w:r>
                    <w:rPr>
                      <w:rFonts w:hint="eastAsia"/>
                      <w:color w:val="auto"/>
                      <w:sz w:val="21"/>
                      <w:szCs w:val="21"/>
                    </w:rPr>
                    <w:t>5.373</w:t>
                  </w:r>
                </w:p>
              </w:tc>
              <w:tc>
                <w:tcPr>
                  <w:tcW w:w="7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10000</w:t>
                  </w:r>
                </w:p>
              </w:tc>
              <w:tc>
                <w:tcPr>
                  <w:tcW w:w="782" w:type="dxa"/>
                  <w:tcBorders>
                    <w:tl2br w:val="nil"/>
                    <w:tr2bl w:val="nil"/>
                  </w:tcBorders>
                  <w:noWrap w:val="0"/>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s="Times New Roman"/>
                      <w:color w:val="auto"/>
                      <w:kern w:val="0"/>
                      <w:sz w:val="21"/>
                      <w:szCs w:val="21"/>
                      <w:highlight w:val="none"/>
                      <w:lang w:val="en-US" w:eastAsia="zh-CN" w:bidi="ar"/>
                    </w:rPr>
                  </w:pPr>
                  <w:r>
                    <w:rPr>
                      <w:rFonts w:hint="eastAsia"/>
                      <w:color w:val="auto"/>
                      <w:sz w:val="21"/>
                      <w:szCs w:val="21"/>
                    </w:rPr>
                    <w:t>1.791</w:t>
                  </w:r>
                </w:p>
              </w:tc>
              <w:tc>
                <w:tcPr>
                  <w:tcW w:w="973" w:type="dxa"/>
                  <w:tcBorders>
                    <w:tl2br w:val="nil"/>
                    <w:tr2bl w:val="nil"/>
                  </w:tcBorders>
                  <w:noWrap w:val="0"/>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s="Times New Roman"/>
                      <w:color w:val="auto"/>
                      <w:kern w:val="0"/>
                      <w:sz w:val="21"/>
                      <w:szCs w:val="21"/>
                      <w:highlight w:val="none"/>
                      <w:lang w:val="en-US" w:eastAsia="zh-CN" w:bidi="ar"/>
                    </w:rPr>
                  </w:pPr>
                  <w:r>
                    <w:rPr>
                      <w:rFonts w:hint="eastAsia"/>
                      <w:color w:val="auto"/>
                      <w:sz w:val="21"/>
                      <w:szCs w:val="21"/>
                    </w:rPr>
                    <w:t>179.1</w:t>
                  </w:r>
                </w:p>
              </w:tc>
              <w:tc>
                <w:tcPr>
                  <w:tcW w:w="908" w:type="dxa"/>
                  <w:tcBorders>
                    <w:tl2br w:val="nil"/>
                    <w:tr2bl w:val="nil"/>
                  </w:tcBorders>
                  <w:noWrap w:val="0"/>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布袋</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除尘器</w:t>
                  </w:r>
                </w:p>
              </w:tc>
              <w:tc>
                <w:tcPr>
                  <w:tcW w:w="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90</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95</w:t>
                  </w:r>
                </w:p>
              </w:tc>
              <w:tc>
                <w:tcPr>
                  <w:tcW w:w="4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是</w:t>
                  </w:r>
                </w:p>
              </w:tc>
              <w:tc>
                <w:tcPr>
                  <w:tcW w:w="4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p>
              </w:tc>
              <w:tc>
                <w:tcPr>
                  <w:tcW w:w="87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p>
              </w:tc>
              <w:tc>
                <w:tcPr>
                  <w:tcW w:w="7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p>
              </w:tc>
              <w:tc>
                <w:tcPr>
                  <w:tcW w:w="76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p>
              </w:tc>
              <w:tc>
                <w:tcPr>
                  <w:tcW w:w="95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p>
              </w:tc>
              <w:tc>
                <w:tcPr>
                  <w:tcW w:w="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3000</w:t>
                  </w:r>
                </w:p>
              </w:tc>
              <w:tc>
                <w:tcPr>
                  <w:tcW w:w="74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56" w:hRule="atLeast"/>
                <w:jc w:val="center"/>
              </w:trPr>
              <w:tc>
                <w:tcPr>
                  <w:tcW w:w="567" w:type="dxa"/>
                  <w:vMerge w:val="continue"/>
                  <w:tcBorders>
                    <w:tl2br w:val="nil"/>
                    <w:tr2bl w:val="nil"/>
                  </w:tcBorders>
                  <w:noWrap w:val="0"/>
                  <w:vAlign w:val="center"/>
                </w:tcPr>
                <w:p>
                  <w:pPr>
                    <w:pStyle w:val="2"/>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567" w:type="dxa"/>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sz w:val="21"/>
                      <w:szCs w:val="21"/>
                      <w:highlight w:val="none"/>
                      <w:lang w:val="en-US" w:eastAsia="zh-CN"/>
                    </w:rPr>
                  </w:pPr>
                </w:p>
              </w:tc>
              <w:tc>
                <w:tcPr>
                  <w:tcW w:w="364"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sz w:val="21"/>
                      <w:szCs w:val="21"/>
                      <w:highlight w:val="none"/>
                      <w:lang w:val="en-US" w:eastAsia="zh-CN"/>
                    </w:rPr>
                  </w:pPr>
                </w:p>
              </w:tc>
              <w:tc>
                <w:tcPr>
                  <w:tcW w:w="14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锻造颗粒物</w:t>
                  </w:r>
                </w:p>
              </w:tc>
              <w:tc>
                <w:tcPr>
                  <w:tcW w:w="43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eastAsia" w:ascii="Times New Roman" w:hAnsi="Times New Roman" w:eastAsia="宋体" w:cs="Times New Roman"/>
                      <w:b w:val="0"/>
                      <w:bCs w:val="0"/>
                      <w:color w:val="auto"/>
                      <w:kern w:val="0"/>
                      <w:sz w:val="21"/>
                      <w:szCs w:val="21"/>
                      <w:highlight w:val="none"/>
                      <w:lang w:val="en-US" w:eastAsia="zh-CN" w:bidi="ar"/>
                    </w:rPr>
                  </w:pPr>
                </w:p>
              </w:tc>
              <w:tc>
                <w:tcPr>
                  <w:tcW w:w="757" w:type="dxa"/>
                  <w:tcBorders>
                    <w:tl2br w:val="nil"/>
                    <w:tr2bl w:val="nil"/>
                  </w:tcBorders>
                  <w:noWrap w:val="0"/>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s="Times New Roman"/>
                      <w:color w:val="auto"/>
                      <w:kern w:val="0"/>
                      <w:sz w:val="21"/>
                      <w:szCs w:val="21"/>
                      <w:highlight w:val="none"/>
                      <w:lang w:val="en-US" w:eastAsia="zh-CN" w:bidi="ar"/>
                    </w:rPr>
                  </w:pPr>
                  <w:r>
                    <w:rPr>
                      <w:rFonts w:hint="eastAsia"/>
                      <w:color w:val="auto"/>
                      <w:sz w:val="21"/>
                      <w:szCs w:val="21"/>
                    </w:rPr>
                    <w:t>3.735</w:t>
                  </w:r>
                </w:p>
              </w:tc>
              <w:tc>
                <w:tcPr>
                  <w:tcW w:w="7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10000</w:t>
                  </w:r>
                </w:p>
              </w:tc>
              <w:tc>
                <w:tcPr>
                  <w:tcW w:w="782" w:type="dxa"/>
                  <w:tcBorders>
                    <w:tl2br w:val="nil"/>
                    <w:tr2bl w:val="nil"/>
                  </w:tcBorders>
                  <w:noWrap w:val="0"/>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s="Times New Roman"/>
                      <w:color w:val="auto"/>
                      <w:kern w:val="0"/>
                      <w:sz w:val="21"/>
                      <w:szCs w:val="21"/>
                      <w:highlight w:val="none"/>
                      <w:lang w:val="en-US" w:eastAsia="zh-CN" w:bidi="ar"/>
                    </w:rPr>
                  </w:pPr>
                  <w:r>
                    <w:rPr>
                      <w:rFonts w:hint="eastAsia"/>
                      <w:color w:val="auto"/>
                      <w:sz w:val="21"/>
                      <w:szCs w:val="21"/>
                    </w:rPr>
                    <w:t>1.245</w:t>
                  </w:r>
                </w:p>
              </w:tc>
              <w:tc>
                <w:tcPr>
                  <w:tcW w:w="973" w:type="dxa"/>
                  <w:tcBorders>
                    <w:tl2br w:val="nil"/>
                    <w:tr2bl w:val="nil"/>
                  </w:tcBorders>
                  <w:noWrap w:val="0"/>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s="Times New Roman"/>
                      <w:color w:val="auto"/>
                      <w:kern w:val="0"/>
                      <w:sz w:val="21"/>
                      <w:szCs w:val="21"/>
                      <w:highlight w:val="none"/>
                      <w:lang w:val="en-US" w:eastAsia="zh-CN" w:bidi="ar"/>
                    </w:rPr>
                  </w:pPr>
                  <w:r>
                    <w:rPr>
                      <w:rFonts w:hint="default" w:eastAsia="宋体"/>
                      <w:color w:val="auto"/>
                      <w:sz w:val="21"/>
                      <w:szCs w:val="21"/>
                      <w:lang w:val="en-US" w:eastAsia="zh-CN"/>
                    </w:rPr>
                    <w:t>124.5</w:t>
                  </w:r>
                </w:p>
              </w:tc>
              <w:tc>
                <w:tcPr>
                  <w:tcW w:w="908" w:type="dxa"/>
                  <w:tcBorders>
                    <w:tl2br w:val="nil"/>
                    <w:tr2bl w:val="nil"/>
                  </w:tcBorders>
                  <w:noWrap w:val="0"/>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布袋</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除尘器</w:t>
                  </w:r>
                </w:p>
              </w:tc>
              <w:tc>
                <w:tcPr>
                  <w:tcW w:w="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90</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95</w:t>
                  </w:r>
                </w:p>
              </w:tc>
              <w:tc>
                <w:tcPr>
                  <w:tcW w:w="4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是</w:t>
                  </w:r>
                </w:p>
              </w:tc>
              <w:tc>
                <w:tcPr>
                  <w:tcW w:w="4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p>
              </w:tc>
              <w:tc>
                <w:tcPr>
                  <w:tcW w:w="87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p>
              </w:tc>
              <w:tc>
                <w:tcPr>
                  <w:tcW w:w="7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p>
              </w:tc>
              <w:tc>
                <w:tcPr>
                  <w:tcW w:w="76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p>
              </w:tc>
              <w:tc>
                <w:tcPr>
                  <w:tcW w:w="95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p>
              </w:tc>
              <w:tc>
                <w:tcPr>
                  <w:tcW w:w="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3000</w:t>
                  </w:r>
                </w:p>
              </w:tc>
              <w:tc>
                <w:tcPr>
                  <w:tcW w:w="74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645" w:hRule="atLeast"/>
                <w:jc w:val="center"/>
              </w:trPr>
              <w:tc>
                <w:tcPr>
                  <w:tcW w:w="56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
                    </w:rPr>
                  </w:pPr>
                </w:p>
              </w:tc>
              <w:tc>
                <w:tcPr>
                  <w:tcW w:w="931"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无组织</w:t>
                  </w:r>
                </w:p>
              </w:tc>
              <w:tc>
                <w:tcPr>
                  <w:tcW w:w="14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颗粒物</w:t>
                  </w:r>
                </w:p>
              </w:tc>
              <w:tc>
                <w:tcPr>
                  <w:tcW w:w="43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eastAsia" w:ascii="Times New Roman" w:hAnsi="Times New Roman" w:eastAsia="宋体" w:cs="Times New Roman"/>
                      <w:b w:val="0"/>
                      <w:bCs w:val="0"/>
                      <w:color w:val="auto"/>
                      <w:kern w:val="0"/>
                      <w:sz w:val="21"/>
                      <w:szCs w:val="21"/>
                      <w:highlight w:val="none"/>
                      <w:lang w:val="en-US" w:eastAsia="zh-CN" w:bidi="ar"/>
                    </w:rPr>
                  </w:pPr>
                </w:p>
              </w:tc>
              <w:tc>
                <w:tcPr>
                  <w:tcW w:w="7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5.812</w:t>
                  </w:r>
                </w:p>
              </w:tc>
              <w:tc>
                <w:tcPr>
                  <w:tcW w:w="7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1.9373</w:t>
                  </w:r>
                </w:p>
              </w:tc>
              <w:tc>
                <w:tcPr>
                  <w:tcW w:w="9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9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车间阻隔</w:t>
                  </w:r>
                </w:p>
              </w:tc>
              <w:tc>
                <w:tcPr>
                  <w:tcW w:w="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95</w:t>
                  </w:r>
                </w:p>
              </w:tc>
              <w:tc>
                <w:tcPr>
                  <w:tcW w:w="4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4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p>
              </w:tc>
              <w:tc>
                <w:tcPr>
                  <w:tcW w:w="87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0.2906</w:t>
                  </w:r>
                </w:p>
              </w:tc>
              <w:tc>
                <w:tcPr>
                  <w:tcW w:w="7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76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0.0969</w:t>
                  </w:r>
                </w:p>
              </w:tc>
              <w:tc>
                <w:tcPr>
                  <w:tcW w:w="9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3000</w:t>
                  </w:r>
                </w:p>
              </w:tc>
              <w:tc>
                <w:tcPr>
                  <w:tcW w:w="74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91" w:hRule="atLeast"/>
                <w:jc w:val="center"/>
              </w:trPr>
              <w:tc>
                <w:tcPr>
                  <w:tcW w:w="567" w:type="dxa"/>
                  <w:vMerge w:val="restart"/>
                  <w:tcBorders>
                    <w:tl2br w:val="nil"/>
                    <w:tr2bl w:val="nil"/>
                  </w:tcBorders>
                  <w:noWrap w:val="0"/>
                  <w:vAlign w:val="center"/>
                </w:tcPr>
                <w:p>
                  <w:pPr>
                    <w:pStyle w:val="2"/>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抛光</w:t>
                  </w:r>
                </w:p>
                <w:p>
                  <w:pPr>
                    <w:pStyle w:val="2"/>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w:t>
                  </w:r>
                </w:p>
                <w:p>
                  <w:pPr>
                    <w:pStyle w:val="2"/>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抛</w:t>
                  </w:r>
                  <w:r>
                    <w:rPr>
                      <w:rFonts w:hint="eastAsia" w:ascii="Times New Roman" w:hAnsi="Times New Roman" w:eastAsia="宋体" w:cs="Times New Roman"/>
                      <w:color w:val="auto"/>
                      <w:sz w:val="21"/>
                      <w:szCs w:val="21"/>
                      <w:highlight w:val="none"/>
                      <w:lang w:val="en-US" w:eastAsia="zh-CN"/>
                    </w:rPr>
                    <w:t>丸</w:t>
                  </w:r>
                </w:p>
                <w:p>
                  <w:pPr>
                    <w:pStyle w:val="2"/>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废气</w:t>
                  </w:r>
                </w:p>
              </w:tc>
              <w:tc>
                <w:tcPr>
                  <w:tcW w:w="567" w:type="dxa"/>
                  <w:gridSpan w:val="2"/>
                  <w:vMerge w:val="restart"/>
                  <w:tcBorders>
                    <w:tl2br w:val="nil"/>
                    <w:tr2bl w:val="nil"/>
                  </w:tcBorders>
                  <w:noWrap w:val="0"/>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DA</w:t>
                  </w:r>
                </w:p>
                <w:p>
                  <w:pPr>
                    <w:pStyle w:val="2"/>
                    <w:keepNext w:val="0"/>
                    <w:keepLines w:val="0"/>
                    <w:pageBreakBefore w:val="0"/>
                    <w:kinsoku/>
                    <w:wordWrap/>
                    <w:overflowPunct/>
                    <w:topLinePunct w:val="0"/>
                    <w:bidi w:val="0"/>
                    <w:adjustRightInd w:val="0"/>
                    <w:snapToGrid w:val="0"/>
                    <w:spacing w:line="240" w:lineRule="auto"/>
                    <w:jc w:val="center"/>
                    <w:textAlignment w:val="auto"/>
                    <w:rPr>
                      <w:rFonts w:hint="eastAsia"/>
                      <w:b w:val="0"/>
                      <w:bCs w:val="0"/>
                      <w:color w:val="auto"/>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00</w:t>
                  </w:r>
                  <w:r>
                    <w:rPr>
                      <w:rFonts w:hint="eastAsia" w:ascii="Times New Roman" w:eastAsia="宋体" w:cs="Times New Roman"/>
                      <w:b w:val="0"/>
                      <w:bCs w:val="0"/>
                      <w:color w:val="auto"/>
                      <w:kern w:val="0"/>
                      <w:sz w:val="21"/>
                      <w:szCs w:val="21"/>
                      <w:highlight w:val="none"/>
                      <w:vertAlign w:val="baseline"/>
                      <w:lang w:val="en-US" w:eastAsia="zh-CN" w:bidi="ar"/>
                    </w:rPr>
                    <w:t>4</w:t>
                  </w:r>
                </w:p>
              </w:tc>
              <w:tc>
                <w:tcPr>
                  <w:tcW w:w="364" w:type="dxa"/>
                  <w:vMerge w:val="restart"/>
                  <w:tcBorders>
                    <w:tl2br w:val="nil"/>
                    <w:tr2bl w:val="nil"/>
                  </w:tcBorders>
                  <w:noWrap w:val="0"/>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有组织</w:t>
                  </w:r>
                </w:p>
                <w:p>
                  <w:pPr>
                    <w:pStyle w:val="2"/>
                    <w:keepNext w:val="0"/>
                    <w:keepLines w:val="0"/>
                    <w:pageBreakBefore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bidi="ar"/>
                    </w:rPr>
                  </w:pPr>
                </w:p>
              </w:tc>
              <w:tc>
                <w:tcPr>
                  <w:tcW w:w="14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抛光颗粒物</w:t>
                  </w:r>
                </w:p>
              </w:tc>
              <w:tc>
                <w:tcPr>
                  <w:tcW w:w="43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eastAsia" w:ascii="Times New Roman" w:hAnsi="Times New Roman" w:eastAsia="宋体" w:cs="Times New Roman"/>
                      <w:b w:val="0"/>
                      <w:bCs w:val="0"/>
                      <w:color w:val="auto"/>
                      <w:kern w:val="0"/>
                      <w:sz w:val="21"/>
                      <w:szCs w:val="21"/>
                      <w:highlight w:val="none"/>
                      <w:lang w:val="en-US" w:eastAsia="zh-CN" w:bidi="ar"/>
                    </w:rPr>
                  </w:pPr>
                </w:p>
              </w:tc>
              <w:tc>
                <w:tcPr>
                  <w:tcW w:w="7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lang w:val="en-US" w:eastAsia="zh-CN" w:bidi="ar"/>
                    </w:rPr>
                    <w:t>18.834</w:t>
                  </w:r>
                </w:p>
              </w:tc>
              <w:tc>
                <w:tcPr>
                  <w:tcW w:w="7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15000</w:t>
                  </w:r>
                </w:p>
              </w:tc>
              <w:tc>
                <w:tcPr>
                  <w:tcW w:w="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lang w:val="en-US" w:eastAsia="zh-CN" w:bidi="ar"/>
                    </w:rPr>
                    <w:t>6.278</w:t>
                  </w:r>
                </w:p>
              </w:tc>
              <w:tc>
                <w:tcPr>
                  <w:tcW w:w="9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418.5333</w:t>
                  </w:r>
                </w:p>
              </w:tc>
              <w:tc>
                <w:tcPr>
                  <w:tcW w:w="908" w:type="dxa"/>
                  <w:tcBorders>
                    <w:tl2br w:val="nil"/>
                    <w:tr2bl w:val="nil"/>
                  </w:tcBorders>
                  <w:noWrap w:val="0"/>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布袋</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除尘器</w:t>
                  </w:r>
                </w:p>
              </w:tc>
              <w:tc>
                <w:tcPr>
                  <w:tcW w:w="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100</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95</w:t>
                  </w:r>
                </w:p>
              </w:tc>
              <w:tc>
                <w:tcPr>
                  <w:tcW w:w="4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是</w:t>
                  </w:r>
                </w:p>
              </w:tc>
              <w:tc>
                <w:tcPr>
                  <w:tcW w:w="4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p>
              </w:tc>
              <w:tc>
                <w:tcPr>
                  <w:tcW w:w="872"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lang w:val="en-US" w:eastAsia="zh-CN" w:bidi="ar"/>
                    </w:rPr>
                    <w:t>1.2921</w:t>
                  </w:r>
                </w:p>
              </w:tc>
              <w:tc>
                <w:tcPr>
                  <w:tcW w:w="78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25000</w:t>
                  </w:r>
                </w:p>
              </w:tc>
              <w:tc>
                <w:tcPr>
                  <w:tcW w:w="766"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0.4307</w:t>
                  </w:r>
                </w:p>
              </w:tc>
              <w:tc>
                <w:tcPr>
                  <w:tcW w:w="958"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17.228</w:t>
                  </w:r>
                </w:p>
              </w:tc>
              <w:tc>
                <w:tcPr>
                  <w:tcW w:w="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3000</w:t>
                  </w:r>
                </w:p>
              </w:tc>
              <w:tc>
                <w:tcPr>
                  <w:tcW w:w="74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厂房车间1F</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44" w:hRule="atLeast"/>
                <w:jc w:val="center"/>
              </w:trPr>
              <w:tc>
                <w:tcPr>
                  <w:tcW w:w="567" w:type="dxa"/>
                  <w:vMerge w:val="continue"/>
                  <w:tcBorders>
                    <w:tl2br w:val="nil"/>
                    <w:tr2bl w:val="nil"/>
                  </w:tcBorders>
                  <w:noWrap w:val="0"/>
                  <w:vAlign w:val="center"/>
                </w:tcPr>
                <w:p>
                  <w:pPr>
                    <w:pStyle w:val="2"/>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67" w:type="dxa"/>
                  <w:gridSpan w:val="2"/>
                  <w:vMerge w:val="continue"/>
                  <w:tcBorders>
                    <w:tl2br w:val="nil"/>
                    <w:tr2bl w:val="nil"/>
                  </w:tcBorders>
                  <w:noWrap w:val="0"/>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bidi="ar"/>
                    </w:rPr>
                  </w:pPr>
                </w:p>
              </w:tc>
              <w:tc>
                <w:tcPr>
                  <w:tcW w:w="364" w:type="dxa"/>
                  <w:vMerge w:val="continue"/>
                  <w:tcBorders>
                    <w:tl2br w:val="nil"/>
                    <w:tr2bl w:val="nil"/>
                  </w:tcBorders>
                  <w:noWrap w:val="0"/>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bidi="ar"/>
                    </w:rPr>
                  </w:pPr>
                </w:p>
              </w:tc>
              <w:tc>
                <w:tcPr>
                  <w:tcW w:w="14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color w:val="auto"/>
                      <w:kern w:val="0"/>
                      <w:sz w:val="21"/>
                      <w:szCs w:val="21"/>
                      <w:highlight w:val="none"/>
                      <w:lang w:val="en-US" w:eastAsia="zh-CN" w:bidi="ar"/>
                    </w:rPr>
                    <w:t>抛丸颗粒物</w:t>
                  </w:r>
                </w:p>
              </w:tc>
              <w:tc>
                <w:tcPr>
                  <w:tcW w:w="43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auto"/>
                      <w:kern w:val="0"/>
                      <w:sz w:val="21"/>
                      <w:szCs w:val="21"/>
                      <w:highlight w:val="none"/>
                      <w:lang w:val="en-US" w:eastAsia="zh-CN" w:bidi="ar"/>
                    </w:rPr>
                  </w:pPr>
                </w:p>
              </w:tc>
              <w:tc>
                <w:tcPr>
                  <w:tcW w:w="7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bidi="ar"/>
                    </w:rPr>
                  </w:pPr>
                  <w:r>
                    <w:rPr>
                      <w:rFonts w:hint="default" w:cs="Times New Roman"/>
                      <w:color w:val="auto"/>
                      <w:kern w:val="0"/>
                      <w:sz w:val="21"/>
                      <w:szCs w:val="21"/>
                      <w:highlight w:val="none"/>
                      <w:lang w:val="en-US" w:eastAsia="zh-CN" w:bidi="ar"/>
                    </w:rPr>
                    <w:t>7.008</w:t>
                  </w:r>
                </w:p>
              </w:tc>
              <w:tc>
                <w:tcPr>
                  <w:tcW w:w="7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10000</w:t>
                  </w:r>
                </w:p>
              </w:tc>
              <w:tc>
                <w:tcPr>
                  <w:tcW w:w="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bidi="ar"/>
                    </w:rPr>
                  </w:pPr>
                  <w:r>
                    <w:rPr>
                      <w:rFonts w:hint="default" w:cs="Times New Roman"/>
                      <w:color w:val="auto"/>
                      <w:kern w:val="0"/>
                      <w:sz w:val="21"/>
                      <w:szCs w:val="21"/>
                      <w:highlight w:val="none"/>
                      <w:lang w:val="en-US" w:eastAsia="zh-CN" w:bidi="ar"/>
                    </w:rPr>
                    <w:t>2.336</w:t>
                  </w:r>
                </w:p>
              </w:tc>
              <w:tc>
                <w:tcPr>
                  <w:tcW w:w="9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233.6</w:t>
                  </w:r>
                </w:p>
              </w:tc>
              <w:tc>
                <w:tcPr>
                  <w:tcW w:w="908" w:type="dxa"/>
                  <w:tcBorders>
                    <w:tl2br w:val="nil"/>
                    <w:tr2bl w:val="nil"/>
                  </w:tcBorders>
                  <w:noWrap w:val="0"/>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布袋</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除尘器</w:t>
                  </w:r>
                </w:p>
              </w:tc>
              <w:tc>
                <w:tcPr>
                  <w:tcW w:w="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100</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95</w:t>
                  </w:r>
                </w:p>
              </w:tc>
              <w:tc>
                <w:tcPr>
                  <w:tcW w:w="4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是</w:t>
                  </w:r>
                </w:p>
              </w:tc>
              <w:tc>
                <w:tcPr>
                  <w:tcW w:w="4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p>
              </w:tc>
              <w:tc>
                <w:tcPr>
                  <w:tcW w:w="87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bidi="ar"/>
                    </w:rPr>
                  </w:pPr>
                </w:p>
              </w:tc>
              <w:tc>
                <w:tcPr>
                  <w:tcW w:w="7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p>
              </w:tc>
              <w:tc>
                <w:tcPr>
                  <w:tcW w:w="76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95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p>
              </w:tc>
              <w:tc>
                <w:tcPr>
                  <w:tcW w:w="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3000</w:t>
                  </w:r>
                </w:p>
              </w:tc>
              <w:tc>
                <w:tcPr>
                  <w:tcW w:w="74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814" w:hRule="atLeast"/>
                <w:jc w:val="center"/>
              </w:trPr>
              <w:tc>
                <w:tcPr>
                  <w:tcW w:w="567" w:type="dxa"/>
                  <w:vMerge w:val="restart"/>
                  <w:tcBorders>
                    <w:tl2br w:val="nil"/>
                    <w:tr2bl w:val="nil"/>
                  </w:tcBorders>
                  <w:noWrap w:val="0"/>
                  <w:vAlign w:val="center"/>
                </w:tcPr>
                <w:p>
                  <w:pPr>
                    <w:pStyle w:val="2"/>
                    <w:keepNext w:val="0"/>
                    <w:keepLines w:val="0"/>
                    <w:pageBreakBefore w:val="0"/>
                    <w:numPr>
                      <w:ilvl w:val="0"/>
                      <w:numId w:val="0"/>
                    </w:numPr>
                    <w:kinsoku/>
                    <w:wordWrap/>
                    <w:overflowPunct/>
                    <w:topLinePunct w:val="0"/>
                    <w:bidi w:val="0"/>
                    <w:adjustRightInd w:val="0"/>
                    <w:snapToGrid w:val="0"/>
                    <w:spacing w:line="240" w:lineRule="auto"/>
                    <w:jc w:val="center"/>
                    <w:textAlignment w:val="auto"/>
                    <w:rPr>
                      <w:rFonts w:hint="eastAsia" w:ascii="Times New Roman" w:eastAsia="宋体" w:cs="Times New Roman"/>
                      <w:color w:val="auto"/>
                      <w:kern w:val="2"/>
                      <w:sz w:val="21"/>
                      <w:szCs w:val="21"/>
                      <w:highlight w:val="none"/>
                      <w:lang w:val="en-US" w:eastAsia="zh-CN" w:bidi="ar-SA"/>
                    </w:rPr>
                  </w:pPr>
                  <w:r>
                    <w:rPr>
                      <w:rFonts w:hint="eastAsia" w:ascii="Times New Roman" w:eastAsia="宋体" w:cs="Times New Roman"/>
                      <w:color w:val="auto"/>
                      <w:kern w:val="2"/>
                      <w:sz w:val="21"/>
                      <w:szCs w:val="21"/>
                      <w:highlight w:val="none"/>
                      <w:lang w:val="en-US" w:eastAsia="zh-CN" w:bidi="ar-SA"/>
                    </w:rPr>
                    <w:t>注塑</w:t>
                  </w:r>
                </w:p>
                <w:p>
                  <w:pPr>
                    <w:pStyle w:val="2"/>
                    <w:keepNext w:val="0"/>
                    <w:keepLines w:val="0"/>
                    <w:pageBreakBefore w:val="0"/>
                    <w:numPr>
                      <w:ilvl w:val="0"/>
                      <w:numId w:val="0"/>
                    </w:numP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eastAsia="宋体" w:cs="Times New Roman"/>
                      <w:color w:val="auto"/>
                      <w:kern w:val="2"/>
                      <w:sz w:val="21"/>
                      <w:szCs w:val="21"/>
                      <w:highlight w:val="none"/>
                      <w:lang w:val="en-US" w:eastAsia="zh-CN" w:bidi="ar-SA"/>
                    </w:rPr>
                    <w:t>废气</w:t>
                  </w:r>
                </w:p>
              </w:tc>
              <w:tc>
                <w:tcPr>
                  <w:tcW w:w="567" w:type="dxa"/>
                  <w:gridSpan w:val="2"/>
                  <w:tcBorders>
                    <w:tl2br w:val="nil"/>
                    <w:tr2bl w:val="nil"/>
                  </w:tcBorders>
                  <w:noWrap w:val="0"/>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DA</w:t>
                  </w:r>
                </w:p>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olor w:val="auto"/>
                      <w:sz w:val="21"/>
                      <w:szCs w:val="21"/>
                      <w:highlight w:val="none"/>
                      <w:lang w:val="en-US"/>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00</w:t>
                  </w:r>
                  <w:r>
                    <w:rPr>
                      <w:rFonts w:hint="eastAsia" w:ascii="Times New Roman" w:eastAsia="宋体" w:cs="Times New Roman"/>
                      <w:b w:val="0"/>
                      <w:bCs w:val="0"/>
                      <w:color w:val="auto"/>
                      <w:kern w:val="0"/>
                      <w:sz w:val="21"/>
                      <w:szCs w:val="21"/>
                      <w:highlight w:val="none"/>
                      <w:vertAlign w:val="baseline"/>
                      <w:lang w:val="en-US" w:eastAsia="zh-CN" w:bidi="ar"/>
                    </w:rPr>
                    <w:t>5</w:t>
                  </w:r>
                </w:p>
              </w:tc>
              <w:tc>
                <w:tcPr>
                  <w:tcW w:w="364" w:type="dxa"/>
                  <w:tcBorders>
                    <w:tl2br w:val="nil"/>
                    <w:tr2bl w:val="nil"/>
                  </w:tcBorders>
                  <w:noWrap w:val="0"/>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有组织</w:t>
                  </w:r>
                </w:p>
              </w:tc>
              <w:tc>
                <w:tcPr>
                  <w:tcW w:w="14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注塑</w:t>
                  </w:r>
                  <w:r>
                    <w:rPr>
                      <w:rFonts w:hint="default" w:ascii="Times New Roman" w:hAnsi="Times New Roman" w:eastAsia="宋体" w:cs="Times New Roman"/>
                      <w:b w:val="0"/>
                      <w:bCs w:val="0"/>
                      <w:color w:val="auto"/>
                      <w:kern w:val="0"/>
                      <w:sz w:val="21"/>
                      <w:szCs w:val="21"/>
                      <w:highlight w:val="none"/>
                      <w:vertAlign w:val="baseline"/>
                      <w:lang w:val="en-US" w:eastAsia="zh-CN" w:bidi="ar"/>
                    </w:rPr>
                    <w:t>非甲烷总烃</w:t>
                  </w:r>
                </w:p>
              </w:tc>
              <w:tc>
                <w:tcPr>
                  <w:tcW w:w="43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eastAsia" w:ascii="Times New Roman" w:hAnsi="Times New Roman" w:eastAsia="宋体" w:cs="Times New Roman"/>
                      <w:b w:val="0"/>
                      <w:bCs w:val="0"/>
                      <w:color w:val="auto"/>
                      <w:kern w:val="0"/>
                      <w:sz w:val="21"/>
                      <w:szCs w:val="21"/>
                      <w:highlight w:val="none"/>
                      <w:lang w:val="en-US" w:eastAsia="zh-CN" w:bidi="ar"/>
                    </w:rPr>
                  </w:pPr>
                </w:p>
              </w:tc>
              <w:tc>
                <w:tcPr>
                  <w:tcW w:w="7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0.945</w:t>
                  </w:r>
                </w:p>
              </w:tc>
              <w:tc>
                <w:tcPr>
                  <w:tcW w:w="7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5000</w:t>
                  </w:r>
                </w:p>
              </w:tc>
              <w:tc>
                <w:tcPr>
                  <w:tcW w:w="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0.315</w:t>
                  </w:r>
                </w:p>
              </w:tc>
              <w:tc>
                <w:tcPr>
                  <w:tcW w:w="9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63</w:t>
                  </w:r>
                </w:p>
              </w:tc>
              <w:tc>
                <w:tcPr>
                  <w:tcW w:w="9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bidi="ar"/>
                    </w:rPr>
                    <w:t>二级</w:t>
                  </w:r>
                  <w:r>
                    <w:rPr>
                      <w:rFonts w:hint="default" w:ascii="Times New Roman" w:hAnsi="Times New Roman" w:eastAsia="宋体" w:cs="Times New Roman"/>
                      <w:color w:val="auto"/>
                      <w:kern w:val="0"/>
                      <w:sz w:val="21"/>
                      <w:szCs w:val="21"/>
                      <w:highlight w:val="none"/>
                      <w:lang w:val="en-US" w:eastAsia="zh-CN" w:bidi="ar"/>
                    </w:rPr>
                    <w:t>活性炭吸附</w:t>
                  </w:r>
                  <w:r>
                    <w:rPr>
                      <w:rFonts w:hint="eastAsia" w:cs="Times New Roman"/>
                      <w:color w:val="auto"/>
                      <w:kern w:val="0"/>
                      <w:sz w:val="21"/>
                      <w:szCs w:val="21"/>
                      <w:highlight w:val="none"/>
                      <w:lang w:val="en-US" w:eastAsia="zh-CN" w:bidi="ar"/>
                    </w:rPr>
                    <w:t>装置</w:t>
                  </w:r>
                </w:p>
              </w:tc>
              <w:tc>
                <w:tcPr>
                  <w:tcW w:w="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90</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50</w:t>
                  </w:r>
                </w:p>
              </w:tc>
              <w:tc>
                <w:tcPr>
                  <w:tcW w:w="4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default" w:cs="Times New Roman"/>
                      <w:color w:val="auto"/>
                      <w:kern w:val="0"/>
                      <w:sz w:val="21"/>
                      <w:szCs w:val="21"/>
                      <w:highlight w:val="none"/>
                      <w:lang w:val="en-US" w:eastAsia="zh-CN"/>
                    </w:rPr>
                    <w:t>是</w:t>
                  </w:r>
                </w:p>
              </w:tc>
              <w:tc>
                <w:tcPr>
                  <w:tcW w:w="40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rPr>
                  </w:pPr>
                </w:p>
              </w:tc>
              <w:tc>
                <w:tcPr>
                  <w:tcW w:w="87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0.4725</w:t>
                  </w:r>
                </w:p>
              </w:tc>
              <w:tc>
                <w:tcPr>
                  <w:tcW w:w="7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5000</w:t>
                  </w:r>
                </w:p>
              </w:tc>
              <w:tc>
                <w:tcPr>
                  <w:tcW w:w="76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0.1575</w:t>
                  </w:r>
                </w:p>
              </w:tc>
              <w:tc>
                <w:tcPr>
                  <w:tcW w:w="9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31.5</w:t>
                  </w:r>
                </w:p>
              </w:tc>
              <w:tc>
                <w:tcPr>
                  <w:tcW w:w="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rPr>
                  </w:pPr>
                  <w:r>
                    <w:rPr>
                      <w:rFonts w:hint="eastAsia" w:cs="Times New Roman"/>
                      <w:b w:val="0"/>
                      <w:bCs w:val="0"/>
                      <w:color w:val="auto"/>
                      <w:kern w:val="0"/>
                      <w:sz w:val="21"/>
                      <w:szCs w:val="21"/>
                      <w:highlight w:val="none"/>
                      <w:vertAlign w:val="baseline"/>
                      <w:lang w:val="en-US" w:eastAsia="zh-CN" w:bidi="ar"/>
                    </w:rPr>
                    <w:t>3000</w:t>
                  </w:r>
                </w:p>
              </w:tc>
              <w:tc>
                <w:tcPr>
                  <w:tcW w:w="74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厂房车间3F</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08" w:hRule="atLeast"/>
                <w:jc w:val="center"/>
              </w:trPr>
              <w:tc>
                <w:tcPr>
                  <w:tcW w:w="567" w:type="dxa"/>
                  <w:vMerge w:val="continue"/>
                  <w:tcBorders>
                    <w:tl2br w:val="nil"/>
                    <w:tr2bl w:val="nil"/>
                  </w:tcBorders>
                  <w:noWrap w:val="0"/>
                  <w:vAlign w:val="center"/>
                </w:tcPr>
                <w:p>
                  <w:pPr>
                    <w:pStyle w:val="2"/>
                    <w:keepNext w:val="0"/>
                    <w:keepLines w:val="0"/>
                    <w:pageBreakBefore w:val="0"/>
                    <w:numPr>
                      <w:ilvl w:val="0"/>
                      <w:numId w:val="0"/>
                    </w:numP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931"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color w:val="auto"/>
                      <w:sz w:val="21"/>
                      <w:szCs w:val="21"/>
                      <w:highlight w:val="none"/>
                    </w:rPr>
                  </w:pPr>
                  <w:r>
                    <w:rPr>
                      <w:rFonts w:hint="eastAsia"/>
                      <w:b w:val="0"/>
                      <w:bCs w:val="0"/>
                      <w:color w:val="auto"/>
                      <w:sz w:val="21"/>
                      <w:szCs w:val="21"/>
                      <w:highlight w:val="none"/>
                      <w:lang w:val="en-US" w:eastAsia="zh-CN"/>
                    </w:rPr>
                    <w:t>无组织</w:t>
                  </w:r>
                </w:p>
              </w:tc>
              <w:tc>
                <w:tcPr>
                  <w:tcW w:w="14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注塑</w:t>
                  </w:r>
                  <w:r>
                    <w:rPr>
                      <w:rFonts w:hint="default" w:ascii="Times New Roman" w:hAnsi="Times New Roman" w:eastAsia="宋体" w:cs="Times New Roman"/>
                      <w:b w:val="0"/>
                      <w:bCs w:val="0"/>
                      <w:color w:val="auto"/>
                      <w:kern w:val="0"/>
                      <w:sz w:val="21"/>
                      <w:szCs w:val="21"/>
                      <w:highlight w:val="none"/>
                      <w:vertAlign w:val="baseline"/>
                      <w:lang w:val="en-US" w:eastAsia="zh-CN" w:bidi="ar"/>
                    </w:rPr>
                    <w:t>非甲烷总烃</w:t>
                  </w:r>
                </w:p>
              </w:tc>
              <w:tc>
                <w:tcPr>
                  <w:tcW w:w="43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eastAsia" w:ascii="Times New Roman" w:hAnsi="Times New Roman" w:eastAsia="宋体" w:cs="Times New Roman"/>
                      <w:b w:val="0"/>
                      <w:bCs w:val="0"/>
                      <w:color w:val="auto"/>
                      <w:kern w:val="0"/>
                      <w:sz w:val="21"/>
                      <w:szCs w:val="21"/>
                      <w:highlight w:val="none"/>
                      <w:lang w:val="en-US" w:eastAsia="zh-CN" w:bidi="ar"/>
                    </w:rPr>
                  </w:pPr>
                </w:p>
              </w:tc>
              <w:tc>
                <w:tcPr>
                  <w:tcW w:w="7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bidi="ar"/>
                    </w:rPr>
                    <w:t>0.105</w:t>
                  </w:r>
                </w:p>
              </w:tc>
              <w:tc>
                <w:tcPr>
                  <w:tcW w:w="7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c>
                <w:tcPr>
                  <w:tcW w:w="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bidi="ar"/>
                    </w:rPr>
                    <w:t>0.035</w:t>
                  </w:r>
                </w:p>
              </w:tc>
              <w:tc>
                <w:tcPr>
                  <w:tcW w:w="9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color w:val="auto"/>
                      <w:kern w:val="0"/>
                      <w:sz w:val="21"/>
                      <w:szCs w:val="21"/>
                      <w:highlight w:val="none"/>
                      <w:vertAlign w:val="baseline"/>
                      <w:lang w:val="en-US" w:eastAsia="zh-CN"/>
                    </w:rPr>
                    <w:t>/</w:t>
                  </w:r>
                </w:p>
              </w:tc>
              <w:tc>
                <w:tcPr>
                  <w:tcW w:w="9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color w:val="auto"/>
                      <w:kern w:val="0"/>
                      <w:sz w:val="21"/>
                      <w:szCs w:val="21"/>
                      <w:highlight w:val="none"/>
                      <w:vertAlign w:val="baseline"/>
                      <w:lang w:val="en-US" w:eastAsia="zh-CN"/>
                    </w:rPr>
                    <w:t>/</w:t>
                  </w:r>
                </w:p>
              </w:tc>
              <w:tc>
                <w:tcPr>
                  <w:tcW w:w="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cs="Times New Roman"/>
                      <w:b w:val="0"/>
                      <w:bCs w:val="0"/>
                      <w:color w:val="auto"/>
                      <w:kern w:val="0"/>
                      <w:sz w:val="21"/>
                      <w:szCs w:val="21"/>
                      <w:highlight w:val="none"/>
                      <w:vertAlign w:val="baseline"/>
                      <w:lang w:val="en-US" w:eastAsia="zh-CN" w:bidi="ar"/>
                    </w:rPr>
                    <w:t>/</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cs="Times New Roman"/>
                      <w:b w:val="0"/>
                      <w:bCs w:val="0"/>
                      <w:color w:val="auto"/>
                      <w:kern w:val="0"/>
                      <w:sz w:val="21"/>
                      <w:szCs w:val="21"/>
                      <w:highlight w:val="none"/>
                      <w:vertAlign w:val="baseline"/>
                      <w:lang w:val="en-US" w:eastAsia="zh-CN" w:bidi="ar"/>
                    </w:rPr>
                    <w:t>/</w:t>
                  </w:r>
                </w:p>
              </w:tc>
              <w:tc>
                <w:tcPr>
                  <w:tcW w:w="4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rPr>
                  </w:pPr>
                  <w:r>
                    <w:rPr>
                      <w:rFonts w:hint="eastAsia" w:cs="Times New Roman"/>
                      <w:b w:val="0"/>
                      <w:bCs w:val="0"/>
                      <w:color w:val="auto"/>
                      <w:kern w:val="0"/>
                      <w:sz w:val="21"/>
                      <w:szCs w:val="21"/>
                      <w:highlight w:val="none"/>
                      <w:vertAlign w:val="baseline"/>
                      <w:lang w:val="en-US" w:eastAsia="zh-CN" w:bidi="ar"/>
                    </w:rPr>
                    <w:t>/</w:t>
                  </w:r>
                </w:p>
              </w:tc>
              <w:tc>
                <w:tcPr>
                  <w:tcW w:w="4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rPr>
                  </w:pPr>
                </w:p>
              </w:tc>
              <w:tc>
                <w:tcPr>
                  <w:tcW w:w="87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bidi="ar"/>
                    </w:rPr>
                    <w:t>0.105</w:t>
                  </w:r>
                </w:p>
              </w:tc>
              <w:tc>
                <w:tcPr>
                  <w:tcW w:w="7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c>
                <w:tcPr>
                  <w:tcW w:w="76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0.035</w:t>
                  </w:r>
                </w:p>
              </w:tc>
              <w:tc>
                <w:tcPr>
                  <w:tcW w:w="9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color w:val="auto"/>
                      <w:kern w:val="0"/>
                      <w:sz w:val="21"/>
                      <w:szCs w:val="21"/>
                      <w:highlight w:val="none"/>
                      <w:vertAlign w:val="baseline"/>
                      <w:lang w:val="en-US" w:eastAsia="zh-CN"/>
                    </w:rPr>
                    <w:t>/</w:t>
                  </w:r>
                </w:p>
              </w:tc>
              <w:tc>
                <w:tcPr>
                  <w:tcW w:w="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cs="Times New Roman"/>
                      <w:b w:val="0"/>
                      <w:bCs w:val="0"/>
                      <w:color w:val="auto"/>
                      <w:kern w:val="0"/>
                      <w:sz w:val="21"/>
                      <w:szCs w:val="21"/>
                      <w:highlight w:val="none"/>
                      <w:vertAlign w:val="baseline"/>
                      <w:lang w:val="en-US" w:eastAsia="zh-CN" w:bidi="ar"/>
                    </w:rPr>
                    <w:t>3000</w:t>
                  </w:r>
                </w:p>
              </w:tc>
              <w:tc>
                <w:tcPr>
                  <w:tcW w:w="74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61" w:hRule="atLeast"/>
                <w:jc w:val="center"/>
              </w:trPr>
              <w:tc>
                <w:tcPr>
                  <w:tcW w:w="567" w:type="dxa"/>
                  <w:vMerge w:val="restart"/>
                  <w:tcBorders>
                    <w:tl2br w:val="nil"/>
                    <w:tr2bl w:val="nil"/>
                  </w:tcBorders>
                  <w:noWrap w:val="0"/>
                  <w:vAlign w:val="center"/>
                </w:tcPr>
                <w:p>
                  <w:pPr>
                    <w:pStyle w:val="2"/>
                    <w:keepNext w:val="0"/>
                    <w:keepLines w:val="0"/>
                    <w:pageBreakBefore w:val="0"/>
                    <w:numPr>
                      <w:ilvl w:val="0"/>
                      <w:numId w:val="0"/>
                    </w:numP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eastAsia="宋体" w:cs="Times New Roman"/>
                      <w:color w:val="auto"/>
                      <w:kern w:val="2"/>
                      <w:sz w:val="21"/>
                      <w:szCs w:val="21"/>
                      <w:highlight w:val="none"/>
                      <w:lang w:val="en-US" w:eastAsia="zh-CN" w:bidi="ar-SA"/>
                    </w:rPr>
                    <w:t>喷漆烘干、压合封边、</w:t>
                  </w:r>
                  <w:r>
                    <w:rPr>
                      <w:rFonts w:hint="default" w:ascii="Times New Roman" w:hAnsi="Times New Roman" w:eastAsia="宋体" w:cs="Times New Roman"/>
                      <w:color w:val="auto"/>
                      <w:kern w:val="0"/>
                      <w:sz w:val="21"/>
                      <w:szCs w:val="21"/>
                      <w:highlight w:val="none"/>
                      <w:lang w:val="en-US" w:eastAsia="zh-CN" w:bidi="ar"/>
                    </w:rPr>
                    <w:t>开料</w:t>
                  </w:r>
                  <w:r>
                    <w:rPr>
                      <w:rFonts w:hint="eastAsia" w:asci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磨光</w:t>
                  </w:r>
                  <w:r>
                    <w:rPr>
                      <w:rFonts w:hint="eastAsia" w:asci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机加工废气</w:t>
                  </w:r>
                </w:p>
              </w:tc>
              <w:tc>
                <w:tcPr>
                  <w:tcW w:w="567" w:type="dxa"/>
                  <w:gridSpan w:val="2"/>
                  <w:vMerge w:val="restart"/>
                  <w:tcBorders>
                    <w:tl2br w:val="nil"/>
                    <w:tr2bl w:val="nil"/>
                  </w:tcBorders>
                  <w:noWrap w:val="0"/>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DA</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b w:val="0"/>
                      <w:bCs w:val="0"/>
                      <w:color w:val="auto"/>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00</w:t>
                  </w:r>
                  <w:r>
                    <w:rPr>
                      <w:rFonts w:hint="eastAsia" w:cs="Times New Roman"/>
                      <w:b w:val="0"/>
                      <w:bCs w:val="0"/>
                      <w:color w:val="auto"/>
                      <w:kern w:val="0"/>
                      <w:sz w:val="21"/>
                      <w:szCs w:val="21"/>
                      <w:highlight w:val="none"/>
                      <w:vertAlign w:val="baseline"/>
                      <w:lang w:val="en-US" w:eastAsia="zh-CN" w:bidi="ar"/>
                    </w:rPr>
                    <w:t>6</w:t>
                  </w:r>
                </w:p>
              </w:tc>
              <w:tc>
                <w:tcPr>
                  <w:tcW w:w="364"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有组织</w:t>
                  </w:r>
                </w:p>
              </w:tc>
              <w:tc>
                <w:tcPr>
                  <w:tcW w:w="14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喷漆颗粒物</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eastAsia" w:ascii="Times New Roman" w:hAnsi="Times New Roman" w:eastAsia="宋体" w:cs="Times New Roman"/>
                      <w:b w:val="0"/>
                      <w:bCs w:val="0"/>
                      <w:color w:val="auto"/>
                      <w:kern w:val="0"/>
                      <w:sz w:val="21"/>
                      <w:szCs w:val="21"/>
                      <w:highlight w:val="none"/>
                      <w:lang w:val="en-US" w:eastAsia="zh-CN" w:bidi="ar"/>
                    </w:rPr>
                  </w:pPr>
                </w:p>
              </w:tc>
              <w:tc>
                <w:tcPr>
                  <w:tcW w:w="7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ascii="Times New Roman" w:cs="Times New Roman"/>
                      <w:color w:val="auto"/>
                      <w:sz w:val="21"/>
                      <w:szCs w:val="21"/>
                      <w:highlight w:val="none"/>
                      <w:vertAlign w:val="baseline"/>
                      <w:lang w:val="en-US" w:eastAsia="zh-CN"/>
                    </w:rPr>
                    <w:t>0.0042</w:t>
                  </w:r>
                </w:p>
              </w:tc>
              <w:tc>
                <w:tcPr>
                  <w:tcW w:w="7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bidi="ar"/>
                    </w:rPr>
                    <w:t>5000</w:t>
                  </w:r>
                </w:p>
              </w:tc>
              <w:tc>
                <w:tcPr>
                  <w:tcW w:w="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default" w:ascii="Times New Roman" w:hAnsi="Times New Roman" w:cs="Times New Roman"/>
                      <w:color w:val="auto"/>
                      <w:sz w:val="21"/>
                      <w:szCs w:val="21"/>
                      <w:highlight w:val="none"/>
                      <w:vertAlign w:val="baseline"/>
                      <w:lang w:val="en-US" w:eastAsia="zh-CN"/>
                    </w:rPr>
                    <w:t>0.0014</w:t>
                  </w:r>
                </w:p>
              </w:tc>
              <w:tc>
                <w:tcPr>
                  <w:tcW w:w="9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vertAlign w:val="baseline"/>
                      <w:lang w:val="en-US" w:eastAsia="zh-CN"/>
                    </w:rPr>
                  </w:pPr>
                  <w:r>
                    <w:rPr>
                      <w:rFonts w:hint="eastAsia" w:ascii="Times New Roman" w:cs="Times New Roman"/>
                      <w:color w:val="auto"/>
                      <w:sz w:val="21"/>
                      <w:szCs w:val="21"/>
                      <w:highlight w:val="none"/>
                      <w:vertAlign w:val="baseline"/>
                      <w:lang w:val="en-US" w:eastAsia="zh-CN"/>
                    </w:rPr>
                    <w:t>0.28</w:t>
                  </w:r>
                </w:p>
              </w:tc>
              <w:tc>
                <w:tcPr>
                  <w:tcW w:w="908" w:type="dxa"/>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水帘</w:t>
                  </w:r>
                </w:p>
                <w:p>
                  <w:pPr>
                    <w:keepNext w:val="0"/>
                    <w:keepLines w:val="0"/>
                    <w:pageBreakBefore w:val="0"/>
                    <w:widowControl/>
                    <w:suppressLineNumbers w:val="0"/>
                    <w:kinsoku/>
                    <w:wordWrap/>
                    <w:overflowPunct/>
                    <w:topLinePunct w:val="0"/>
                    <w:bidi w:val="0"/>
                    <w:adjustRightInd w:val="0"/>
                    <w:snapToGrid w:val="0"/>
                    <w:jc w:val="center"/>
                    <w:textAlignment w:val="auto"/>
                    <w:rPr>
                      <w:rFonts w:hint="eastAsia"/>
                      <w:color w:val="auto"/>
                      <w:kern w:val="0"/>
                      <w:sz w:val="21"/>
                      <w:szCs w:val="21"/>
                      <w:highlight w:val="none"/>
                      <w:vertAlign w:val="baseline"/>
                      <w:lang w:val="en-US" w:eastAsia="zh-CN"/>
                    </w:rPr>
                  </w:pPr>
                  <w:r>
                    <w:rPr>
                      <w:rFonts w:hint="eastAsia" w:ascii="Times New Roman" w:hAnsi="Times New Roman" w:eastAsia="宋体" w:cs="Times New Roman"/>
                      <w:color w:val="auto"/>
                      <w:kern w:val="2"/>
                      <w:sz w:val="21"/>
                      <w:szCs w:val="21"/>
                      <w:highlight w:val="none"/>
                      <w:vertAlign w:val="baseline"/>
                      <w:lang w:val="en-US" w:eastAsia="zh-CN" w:bidi="ar-SA"/>
                    </w:rPr>
                    <w:t>除漆雾</w:t>
                  </w:r>
                </w:p>
              </w:tc>
              <w:tc>
                <w:tcPr>
                  <w:tcW w:w="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color w:val="auto"/>
                      <w:kern w:val="0"/>
                      <w:sz w:val="21"/>
                      <w:szCs w:val="21"/>
                      <w:highlight w:val="none"/>
                      <w:lang w:val="en-US" w:eastAsia="zh-CN" w:bidi="ar"/>
                    </w:rPr>
                    <w:t>95</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color w:val="auto"/>
                      <w:kern w:val="0"/>
                      <w:sz w:val="21"/>
                      <w:szCs w:val="21"/>
                      <w:highlight w:val="none"/>
                      <w:lang w:val="en-US" w:eastAsia="zh-CN" w:bidi="ar"/>
                    </w:rPr>
                    <w:t>80</w:t>
                  </w:r>
                </w:p>
              </w:tc>
              <w:tc>
                <w:tcPr>
                  <w:tcW w:w="4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是</w:t>
                  </w:r>
                </w:p>
              </w:tc>
              <w:tc>
                <w:tcPr>
                  <w:tcW w:w="4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rPr>
                  </w:pPr>
                </w:p>
              </w:tc>
              <w:tc>
                <w:tcPr>
                  <w:tcW w:w="872"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0.0065</w:t>
                  </w:r>
                </w:p>
              </w:tc>
              <w:tc>
                <w:tcPr>
                  <w:tcW w:w="78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16000</w:t>
                  </w:r>
                </w:p>
              </w:tc>
              <w:tc>
                <w:tcPr>
                  <w:tcW w:w="766"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0.0022</w:t>
                  </w:r>
                </w:p>
              </w:tc>
              <w:tc>
                <w:tcPr>
                  <w:tcW w:w="958"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0.1354</w:t>
                  </w:r>
                </w:p>
              </w:tc>
              <w:tc>
                <w:tcPr>
                  <w:tcW w:w="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3000</w:t>
                  </w:r>
                </w:p>
              </w:tc>
              <w:tc>
                <w:tcPr>
                  <w:tcW w:w="74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color w:val="auto"/>
                      <w:kern w:val="2"/>
                      <w:sz w:val="21"/>
                      <w:szCs w:val="21"/>
                      <w:highlight w:val="none"/>
                      <w:lang w:val="en-US" w:eastAsia="zh-CN" w:bidi="ar-SA"/>
                    </w:rPr>
                    <w:t>喷漆、烘干、</w:t>
                  </w:r>
                  <w:r>
                    <w:rPr>
                      <w:rFonts w:hint="eastAsia" w:ascii="Times New Roman" w:eastAsia="宋体" w:cs="Times New Roman"/>
                      <w:color w:val="auto"/>
                      <w:kern w:val="2"/>
                      <w:sz w:val="21"/>
                      <w:szCs w:val="21"/>
                      <w:highlight w:val="none"/>
                      <w:lang w:val="en-US" w:eastAsia="zh-CN" w:bidi="ar-SA"/>
                    </w:rPr>
                    <w:t>封边、</w:t>
                  </w:r>
                  <w:r>
                    <w:rPr>
                      <w:rFonts w:hint="default" w:ascii="Times New Roman" w:hAnsi="Times New Roman" w:eastAsia="宋体" w:cs="Times New Roman"/>
                      <w:color w:val="auto"/>
                      <w:kern w:val="0"/>
                      <w:sz w:val="21"/>
                      <w:szCs w:val="21"/>
                      <w:highlight w:val="none"/>
                      <w:lang w:val="en-US" w:eastAsia="zh-CN" w:bidi="ar"/>
                    </w:rPr>
                    <w:t>开料</w:t>
                  </w:r>
                  <w:r>
                    <w:rPr>
                      <w:rFonts w:hint="eastAsia" w:asci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磨光</w:t>
                  </w:r>
                  <w:r>
                    <w:rPr>
                      <w:rFonts w:hint="eastAsia" w:asci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机加工</w:t>
                  </w:r>
                  <w:r>
                    <w:rPr>
                      <w:rFonts w:hint="eastAsia" w:cs="Times New Roman"/>
                      <w:color w:val="auto"/>
                      <w:kern w:val="0"/>
                      <w:sz w:val="21"/>
                      <w:szCs w:val="21"/>
                      <w:highlight w:val="none"/>
                      <w:lang w:val="en-US" w:eastAsia="zh-CN" w:bidi="ar"/>
                    </w:rPr>
                    <w:t>位于6F；贴合工序位于9F</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44" w:hRule="atLeast"/>
                <w:jc w:val="center"/>
              </w:trPr>
              <w:tc>
                <w:tcPr>
                  <w:tcW w:w="567" w:type="dxa"/>
                  <w:vMerge w:val="continue"/>
                  <w:tcBorders>
                    <w:tl2br w:val="nil"/>
                    <w:tr2bl w:val="nil"/>
                  </w:tcBorders>
                  <w:noWrap w:val="0"/>
                  <w:vAlign w:val="center"/>
                </w:tcPr>
                <w:p>
                  <w:pPr>
                    <w:pStyle w:val="2"/>
                    <w:keepNext w:val="0"/>
                    <w:keepLines w:val="0"/>
                    <w:pageBreakBefore w:val="0"/>
                    <w:numPr>
                      <w:ilvl w:val="0"/>
                      <w:numId w:val="0"/>
                    </w:numP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567" w:type="dxa"/>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b w:val="0"/>
                      <w:bCs w:val="0"/>
                      <w:color w:val="auto"/>
                      <w:sz w:val="21"/>
                      <w:szCs w:val="21"/>
                      <w:highlight w:val="none"/>
                      <w:lang w:val="en-US" w:eastAsia="zh-CN"/>
                    </w:rPr>
                  </w:pPr>
                </w:p>
              </w:tc>
              <w:tc>
                <w:tcPr>
                  <w:tcW w:w="364"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b w:val="0"/>
                      <w:bCs w:val="0"/>
                      <w:color w:val="auto"/>
                      <w:sz w:val="21"/>
                      <w:szCs w:val="21"/>
                      <w:highlight w:val="none"/>
                      <w:lang w:val="en-US" w:eastAsia="zh-CN"/>
                    </w:rPr>
                  </w:pPr>
                </w:p>
              </w:tc>
              <w:tc>
                <w:tcPr>
                  <w:tcW w:w="14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color w:val="auto"/>
                      <w:sz w:val="21"/>
                      <w:szCs w:val="21"/>
                      <w:highlight w:val="none"/>
                      <w:lang w:val="en-US" w:eastAsia="zh-CN"/>
                    </w:rPr>
                    <w:t>开料</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磨光</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机加工</w:t>
                  </w:r>
                  <w:r>
                    <w:rPr>
                      <w:rFonts w:hint="default" w:ascii="Times New Roman" w:hAnsi="Times New Roman" w:eastAsia="宋体" w:cs="Times New Roman"/>
                      <w:b w:val="0"/>
                      <w:bCs w:val="0"/>
                      <w:color w:val="auto"/>
                      <w:kern w:val="0"/>
                      <w:sz w:val="21"/>
                      <w:szCs w:val="21"/>
                      <w:highlight w:val="none"/>
                      <w:vertAlign w:val="baseline"/>
                      <w:lang w:val="en-US" w:eastAsia="zh-CN" w:bidi="ar"/>
                    </w:rPr>
                    <w:t>颗粒物</w:t>
                  </w:r>
                </w:p>
              </w:tc>
              <w:tc>
                <w:tcPr>
                  <w:tcW w:w="43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eastAsia" w:ascii="Times New Roman" w:hAnsi="Times New Roman" w:eastAsia="宋体" w:cs="Times New Roman"/>
                      <w:b w:val="0"/>
                      <w:bCs w:val="0"/>
                      <w:color w:val="auto"/>
                      <w:kern w:val="0"/>
                      <w:sz w:val="21"/>
                      <w:szCs w:val="21"/>
                      <w:highlight w:val="none"/>
                      <w:lang w:val="en-US" w:eastAsia="zh-CN" w:bidi="ar"/>
                    </w:rPr>
                  </w:pPr>
                </w:p>
              </w:tc>
              <w:tc>
                <w:tcPr>
                  <w:tcW w:w="7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0.1139</w:t>
                  </w:r>
                </w:p>
              </w:tc>
              <w:tc>
                <w:tcPr>
                  <w:tcW w:w="7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5000</w:t>
                  </w:r>
                </w:p>
              </w:tc>
              <w:tc>
                <w:tcPr>
                  <w:tcW w:w="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vertAlign w:val="baseline"/>
                      <w:lang w:val="en-US" w:eastAsia="zh-CN"/>
                    </w:rPr>
                    <w:t>0.0380</w:t>
                  </w:r>
                </w:p>
              </w:tc>
              <w:tc>
                <w:tcPr>
                  <w:tcW w:w="9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7.6</w:t>
                  </w:r>
                </w:p>
              </w:tc>
              <w:tc>
                <w:tcPr>
                  <w:tcW w:w="9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布袋除尘器</w:t>
                  </w:r>
                </w:p>
              </w:tc>
              <w:tc>
                <w:tcPr>
                  <w:tcW w:w="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90</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95</w:t>
                  </w:r>
                </w:p>
              </w:tc>
              <w:tc>
                <w:tcPr>
                  <w:tcW w:w="4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是</w:t>
                  </w:r>
                </w:p>
              </w:tc>
              <w:tc>
                <w:tcPr>
                  <w:tcW w:w="40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rPr>
                  </w:pPr>
                </w:p>
              </w:tc>
              <w:tc>
                <w:tcPr>
                  <w:tcW w:w="87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p>
              </w:tc>
              <w:tc>
                <w:tcPr>
                  <w:tcW w:w="7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p>
              </w:tc>
              <w:tc>
                <w:tcPr>
                  <w:tcW w:w="76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p>
              </w:tc>
              <w:tc>
                <w:tcPr>
                  <w:tcW w:w="95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vertAlign w:val="baseline"/>
                      <w:lang w:val="en-US" w:eastAsia="zh-CN"/>
                    </w:rPr>
                  </w:pPr>
                </w:p>
              </w:tc>
              <w:tc>
                <w:tcPr>
                  <w:tcW w:w="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3000</w:t>
                  </w:r>
                </w:p>
              </w:tc>
              <w:tc>
                <w:tcPr>
                  <w:tcW w:w="74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44" w:hRule="atLeast"/>
                <w:jc w:val="center"/>
              </w:trPr>
              <w:tc>
                <w:tcPr>
                  <w:tcW w:w="567" w:type="dxa"/>
                  <w:vMerge w:val="continue"/>
                  <w:tcBorders>
                    <w:tl2br w:val="nil"/>
                    <w:tr2bl w:val="nil"/>
                  </w:tcBorders>
                  <w:noWrap w:val="0"/>
                  <w:vAlign w:val="center"/>
                </w:tcPr>
                <w:p>
                  <w:pPr>
                    <w:pStyle w:val="2"/>
                    <w:keepNext w:val="0"/>
                    <w:keepLines w:val="0"/>
                    <w:pageBreakBefore w:val="0"/>
                    <w:numPr>
                      <w:ilvl w:val="0"/>
                      <w:numId w:val="0"/>
                    </w:numP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567" w:type="dxa"/>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b w:val="0"/>
                      <w:bCs w:val="0"/>
                      <w:color w:val="auto"/>
                      <w:sz w:val="21"/>
                      <w:szCs w:val="21"/>
                      <w:highlight w:val="none"/>
                      <w:lang w:val="en-US" w:eastAsia="zh-CN"/>
                    </w:rPr>
                  </w:pPr>
                </w:p>
              </w:tc>
              <w:tc>
                <w:tcPr>
                  <w:tcW w:w="364"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b w:val="0"/>
                      <w:bCs w:val="0"/>
                      <w:color w:val="auto"/>
                      <w:sz w:val="21"/>
                      <w:szCs w:val="21"/>
                      <w:highlight w:val="none"/>
                      <w:lang w:val="en-US" w:eastAsia="zh-CN"/>
                    </w:rPr>
                  </w:pPr>
                </w:p>
              </w:tc>
              <w:tc>
                <w:tcPr>
                  <w:tcW w:w="14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烘干</w:t>
                  </w:r>
                  <w:r>
                    <w:rPr>
                      <w:rFonts w:hint="default" w:ascii="Times New Roman" w:hAnsi="Times New Roman" w:eastAsia="宋体" w:cs="Times New Roman"/>
                      <w:b w:val="0"/>
                      <w:bCs w:val="0"/>
                      <w:color w:val="auto"/>
                      <w:kern w:val="0"/>
                      <w:sz w:val="21"/>
                      <w:szCs w:val="21"/>
                      <w:highlight w:val="none"/>
                      <w:vertAlign w:val="baseline"/>
                      <w:lang w:val="en-US" w:eastAsia="zh-CN" w:bidi="ar"/>
                    </w:rPr>
                    <w:t>非甲烷总烃</w:t>
                  </w:r>
                </w:p>
              </w:tc>
              <w:tc>
                <w:tcPr>
                  <w:tcW w:w="43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eastAsia" w:ascii="Times New Roman" w:hAnsi="Times New Roman" w:eastAsia="宋体" w:cs="Times New Roman"/>
                      <w:b w:val="0"/>
                      <w:bCs w:val="0"/>
                      <w:color w:val="auto"/>
                      <w:kern w:val="0"/>
                      <w:sz w:val="21"/>
                      <w:szCs w:val="21"/>
                      <w:highlight w:val="none"/>
                      <w:lang w:val="en-US" w:eastAsia="zh-CN" w:bidi="ar"/>
                    </w:rPr>
                  </w:pPr>
                </w:p>
              </w:tc>
              <w:tc>
                <w:tcPr>
                  <w:tcW w:w="7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ascii="Times New Roman" w:cs="Times New Roman"/>
                      <w:color w:val="auto"/>
                      <w:sz w:val="21"/>
                      <w:szCs w:val="21"/>
                      <w:highlight w:val="none"/>
                      <w:vertAlign w:val="baseline"/>
                      <w:lang w:val="en-US" w:eastAsia="zh-CN"/>
                    </w:rPr>
                    <w:t>0.0090</w:t>
                  </w:r>
                </w:p>
              </w:tc>
              <w:tc>
                <w:tcPr>
                  <w:tcW w:w="7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bidi="ar"/>
                    </w:rPr>
                    <w:t>5000</w:t>
                  </w:r>
                </w:p>
              </w:tc>
              <w:tc>
                <w:tcPr>
                  <w:tcW w:w="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default" w:ascii="Times New Roman" w:hAnsi="Times New Roman" w:cs="Times New Roman"/>
                      <w:color w:val="auto"/>
                      <w:sz w:val="21"/>
                      <w:szCs w:val="21"/>
                      <w:highlight w:val="none"/>
                      <w:vertAlign w:val="baseline"/>
                      <w:lang w:val="en-US" w:eastAsia="zh-CN"/>
                    </w:rPr>
                    <w:t>0.003</w:t>
                  </w:r>
                </w:p>
              </w:tc>
              <w:tc>
                <w:tcPr>
                  <w:tcW w:w="9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vertAlign w:val="baseline"/>
                      <w:lang w:val="en-US" w:eastAsia="zh-CN"/>
                    </w:rPr>
                  </w:pPr>
                  <w:r>
                    <w:rPr>
                      <w:rFonts w:hint="eastAsia" w:cs="Times New Roman"/>
                      <w:color w:val="auto"/>
                      <w:sz w:val="21"/>
                      <w:szCs w:val="21"/>
                      <w:highlight w:val="none"/>
                      <w:vertAlign w:val="baseline"/>
                      <w:lang w:val="en-US" w:eastAsia="zh-CN"/>
                    </w:rPr>
                    <w:t>0.6</w:t>
                  </w:r>
                </w:p>
              </w:tc>
              <w:tc>
                <w:tcPr>
                  <w:tcW w:w="9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vertAlign w:val="baseline"/>
                      <w:lang w:val="en-US" w:eastAsia="zh-CN"/>
                    </w:rPr>
                  </w:pPr>
                  <w:r>
                    <w:rPr>
                      <w:rFonts w:hint="eastAsia" w:cs="Times New Roman"/>
                      <w:color w:val="auto"/>
                      <w:kern w:val="0"/>
                      <w:sz w:val="21"/>
                      <w:szCs w:val="21"/>
                      <w:highlight w:val="none"/>
                      <w:lang w:val="en-US" w:eastAsia="zh-CN" w:bidi="ar"/>
                    </w:rPr>
                    <w:t>二级</w:t>
                  </w:r>
                  <w:r>
                    <w:rPr>
                      <w:rFonts w:hint="default" w:ascii="Times New Roman" w:hAnsi="Times New Roman" w:eastAsia="宋体" w:cs="Times New Roman"/>
                      <w:color w:val="auto"/>
                      <w:kern w:val="0"/>
                      <w:sz w:val="21"/>
                      <w:szCs w:val="21"/>
                      <w:highlight w:val="none"/>
                      <w:lang w:val="en-US" w:eastAsia="zh-CN" w:bidi="ar"/>
                    </w:rPr>
                    <w:t>活性炭吸附</w:t>
                  </w:r>
                  <w:r>
                    <w:rPr>
                      <w:rFonts w:hint="eastAsia" w:cs="Times New Roman"/>
                      <w:color w:val="auto"/>
                      <w:kern w:val="0"/>
                      <w:sz w:val="21"/>
                      <w:szCs w:val="21"/>
                      <w:highlight w:val="none"/>
                      <w:lang w:val="en-US" w:eastAsia="zh-CN" w:bidi="ar"/>
                    </w:rPr>
                    <w:t>装置</w:t>
                  </w:r>
                </w:p>
              </w:tc>
              <w:tc>
                <w:tcPr>
                  <w:tcW w:w="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color w:val="auto"/>
                      <w:kern w:val="0"/>
                      <w:sz w:val="21"/>
                      <w:szCs w:val="21"/>
                      <w:highlight w:val="none"/>
                      <w:lang w:val="en-US" w:eastAsia="zh-CN" w:bidi="ar"/>
                    </w:rPr>
                    <w:t>95</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color w:val="auto"/>
                      <w:kern w:val="0"/>
                      <w:sz w:val="21"/>
                      <w:szCs w:val="21"/>
                      <w:highlight w:val="none"/>
                      <w:lang w:val="en-US" w:eastAsia="zh-CN" w:bidi="ar"/>
                    </w:rPr>
                    <w:t>50</w:t>
                  </w:r>
                </w:p>
              </w:tc>
              <w:tc>
                <w:tcPr>
                  <w:tcW w:w="4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是</w:t>
                  </w:r>
                </w:p>
              </w:tc>
              <w:tc>
                <w:tcPr>
                  <w:tcW w:w="4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rPr>
                  </w:pPr>
                </w:p>
              </w:tc>
              <w:tc>
                <w:tcPr>
                  <w:tcW w:w="872"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0.0047</w:t>
                  </w:r>
                </w:p>
              </w:tc>
              <w:tc>
                <w:tcPr>
                  <w:tcW w:w="7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p>
              </w:tc>
              <w:tc>
                <w:tcPr>
                  <w:tcW w:w="766"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0.0016</w:t>
                  </w:r>
                </w:p>
              </w:tc>
              <w:tc>
                <w:tcPr>
                  <w:tcW w:w="958"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0.0979</w:t>
                  </w:r>
                </w:p>
              </w:tc>
              <w:tc>
                <w:tcPr>
                  <w:tcW w:w="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3000</w:t>
                  </w:r>
                </w:p>
              </w:tc>
              <w:tc>
                <w:tcPr>
                  <w:tcW w:w="74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73" w:hRule="atLeast"/>
                <w:jc w:val="center"/>
              </w:trPr>
              <w:tc>
                <w:tcPr>
                  <w:tcW w:w="567" w:type="dxa"/>
                  <w:vMerge w:val="continue"/>
                  <w:tcBorders>
                    <w:tl2br w:val="nil"/>
                    <w:tr2bl w:val="nil"/>
                  </w:tcBorders>
                  <w:noWrap w:val="0"/>
                  <w:vAlign w:val="center"/>
                </w:tcPr>
                <w:p>
                  <w:pPr>
                    <w:pStyle w:val="2"/>
                    <w:keepNext w:val="0"/>
                    <w:keepLines w:val="0"/>
                    <w:pageBreakBefore w:val="0"/>
                    <w:numPr>
                      <w:ilvl w:val="0"/>
                      <w:numId w:val="0"/>
                    </w:numP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567" w:type="dxa"/>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b w:val="0"/>
                      <w:bCs w:val="0"/>
                      <w:color w:val="auto"/>
                      <w:sz w:val="21"/>
                      <w:szCs w:val="21"/>
                      <w:highlight w:val="none"/>
                      <w:lang w:val="en-US" w:eastAsia="zh-CN"/>
                    </w:rPr>
                  </w:pPr>
                </w:p>
              </w:tc>
              <w:tc>
                <w:tcPr>
                  <w:tcW w:w="364"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b w:val="0"/>
                      <w:bCs w:val="0"/>
                      <w:color w:val="auto"/>
                      <w:sz w:val="21"/>
                      <w:szCs w:val="21"/>
                      <w:highlight w:val="none"/>
                      <w:lang w:val="en-US" w:eastAsia="zh-CN"/>
                    </w:rPr>
                  </w:pPr>
                </w:p>
              </w:tc>
              <w:tc>
                <w:tcPr>
                  <w:tcW w:w="14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压合、封边</w:t>
                  </w:r>
                  <w:r>
                    <w:rPr>
                      <w:rFonts w:hint="default" w:ascii="Times New Roman" w:hAnsi="Times New Roman" w:eastAsia="宋体" w:cs="Times New Roman"/>
                      <w:b w:val="0"/>
                      <w:bCs w:val="0"/>
                      <w:color w:val="auto"/>
                      <w:kern w:val="0"/>
                      <w:sz w:val="21"/>
                      <w:szCs w:val="21"/>
                      <w:highlight w:val="none"/>
                      <w:vertAlign w:val="baseline"/>
                      <w:lang w:val="en-US" w:eastAsia="zh-CN" w:bidi="ar"/>
                    </w:rPr>
                    <w:t>非甲烷总烃</w:t>
                  </w:r>
                </w:p>
              </w:tc>
              <w:tc>
                <w:tcPr>
                  <w:tcW w:w="43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eastAsia" w:ascii="Times New Roman" w:hAnsi="Times New Roman" w:eastAsia="宋体" w:cs="Times New Roman"/>
                      <w:b w:val="0"/>
                      <w:bCs w:val="0"/>
                      <w:color w:val="auto"/>
                      <w:kern w:val="0"/>
                      <w:sz w:val="21"/>
                      <w:szCs w:val="21"/>
                      <w:highlight w:val="none"/>
                      <w:lang w:val="en-US" w:eastAsia="zh-CN" w:bidi="ar"/>
                    </w:rPr>
                  </w:pPr>
                </w:p>
              </w:tc>
              <w:tc>
                <w:tcPr>
                  <w:tcW w:w="7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0.000</w:t>
                  </w:r>
                  <w:r>
                    <w:rPr>
                      <w:rFonts w:hint="eastAsia" w:cs="Times New Roman"/>
                      <w:color w:val="auto"/>
                      <w:kern w:val="0"/>
                      <w:sz w:val="21"/>
                      <w:szCs w:val="21"/>
                      <w:highlight w:val="none"/>
                      <w:lang w:val="en-US" w:eastAsia="zh-CN" w:bidi="ar"/>
                    </w:rPr>
                    <w:t>4</w:t>
                  </w:r>
                </w:p>
              </w:tc>
              <w:tc>
                <w:tcPr>
                  <w:tcW w:w="7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1000</w:t>
                  </w:r>
                </w:p>
              </w:tc>
              <w:tc>
                <w:tcPr>
                  <w:tcW w:w="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vertAlign w:val="baseline"/>
                      <w:lang w:val="en-US" w:eastAsia="zh-CN"/>
                    </w:rPr>
                    <w:t>0.00012</w:t>
                  </w:r>
                </w:p>
              </w:tc>
              <w:tc>
                <w:tcPr>
                  <w:tcW w:w="9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0.12</w:t>
                  </w:r>
                </w:p>
              </w:tc>
              <w:tc>
                <w:tcPr>
                  <w:tcW w:w="9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vertAlign w:val="baseline"/>
                      <w:lang w:val="en-US" w:eastAsia="zh-CN"/>
                    </w:rPr>
                  </w:pPr>
                  <w:r>
                    <w:rPr>
                      <w:rFonts w:hint="eastAsia" w:cs="Times New Roman"/>
                      <w:color w:val="auto"/>
                      <w:kern w:val="0"/>
                      <w:sz w:val="21"/>
                      <w:szCs w:val="21"/>
                      <w:highlight w:val="none"/>
                      <w:lang w:val="en-US" w:eastAsia="zh-CN" w:bidi="ar"/>
                    </w:rPr>
                    <w:t>二级</w:t>
                  </w:r>
                  <w:r>
                    <w:rPr>
                      <w:rFonts w:hint="default" w:ascii="Times New Roman" w:hAnsi="Times New Roman" w:eastAsia="宋体" w:cs="Times New Roman"/>
                      <w:color w:val="auto"/>
                      <w:kern w:val="0"/>
                      <w:sz w:val="21"/>
                      <w:szCs w:val="21"/>
                      <w:highlight w:val="none"/>
                      <w:lang w:val="en-US" w:eastAsia="zh-CN" w:bidi="ar"/>
                    </w:rPr>
                    <w:t>活性炭吸附</w:t>
                  </w:r>
                  <w:r>
                    <w:rPr>
                      <w:rFonts w:hint="eastAsia" w:cs="Times New Roman"/>
                      <w:color w:val="auto"/>
                      <w:kern w:val="0"/>
                      <w:sz w:val="21"/>
                      <w:szCs w:val="21"/>
                      <w:highlight w:val="none"/>
                      <w:lang w:val="en-US" w:eastAsia="zh-CN" w:bidi="ar"/>
                    </w:rPr>
                    <w:t>装置</w:t>
                  </w:r>
                </w:p>
              </w:tc>
              <w:tc>
                <w:tcPr>
                  <w:tcW w:w="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90</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50</w:t>
                  </w:r>
                </w:p>
              </w:tc>
              <w:tc>
                <w:tcPr>
                  <w:tcW w:w="4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是</w:t>
                  </w:r>
                </w:p>
              </w:tc>
              <w:tc>
                <w:tcPr>
                  <w:tcW w:w="40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rPr>
                  </w:pPr>
                </w:p>
              </w:tc>
              <w:tc>
                <w:tcPr>
                  <w:tcW w:w="87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p>
              </w:tc>
              <w:tc>
                <w:tcPr>
                  <w:tcW w:w="7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p>
              </w:tc>
              <w:tc>
                <w:tcPr>
                  <w:tcW w:w="76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p>
              </w:tc>
              <w:tc>
                <w:tcPr>
                  <w:tcW w:w="95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vertAlign w:val="baseline"/>
                      <w:lang w:val="en-US" w:eastAsia="zh-CN"/>
                    </w:rPr>
                  </w:pPr>
                </w:p>
              </w:tc>
              <w:tc>
                <w:tcPr>
                  <w:tcW w:w="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3000</w:t>
                  </w:r>
                </w:p>
              </w:tc>
              <w:tc>
                <w:tcPr>
                  <w:tcW w:w="74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90" w:hRule="atLeast"/>
                <w:jc w:val="center"/>
              </w:trPr>
              <w:tc>
                <w:tcPr>
                  <w:tcW w:w="567" w:type="dxa"/>
                  <w:vMerge w:val="continue"/>
                  <w:tcBorders>
                    <w:tl2br w:val="nil"/>
                    <w:tr2bl w:val="nil"/>
                  </w:tcBorders>
                  <w:noWrap w:val="0"/>
                  <w:vAlign w:val="center"/>
                </w:tcPr>
                <w:p>
                  <w:pPr>
                    <w:pStyle w:val="2"/>
                    <w:keepNext w:val="0"/>
                    <w:keepLines w:val="0"/>
                    <w:pageBreakBefore w:val="0"/>
                    <w:numPr>
                      <w:ilvl w:val="0"/>
                      <w:numId w:val="0"/>
                    </w:numP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931" w:type="dxa"/>
                  <w:gridSpan w:val="3"/>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无组织</w:t>
                  </w:r>
                </w:p>
              </w:tc>
              <w:tc>
                <w:tcPr>
                  <w:tcW w:w="14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颗粒物</w:t>
                  </w:r>
                </w:p>
              </w:tc>
              <w:tc>
                <w:tcPr>
                  <w:tcW w:w="43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eastAsia" w:ascii="Times New Roman" w:hAnsi="Times New Roman" w:eastAsia="宋体" w:cs="Times New Roman"/>
                      <w:b w:val="0"/>
                      <w:bCs w:val="0"/>
                      <w:color w:val="auto"/>
                      <w:kern w:val="0"/>
                      <w:sz w:val="21"/>
                      <w:szCs w:val="21"/>
                      <w:highlight w:val="none"/>
                      <w:lang w:val="en-US" w:eastAsia="zh-CN" w:bidi="ar"/>
                    </w:rPr>
                  </w:pPr>
                </w:p>
              </w:tc>
              <w:tc>
                <w:tcPr>
                  <w:tcW w:w="7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0.0129</w:t>
                  </w:r>
                </w:p>
              </w:tc>
              <w:tc>
                <w:tcPr>
                  <w:tcW w:w="7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0.0043</w:t>
                  </w:r>
                </w:p>
              </w:tc>
              <w:tc>
                <w:tcPr>
                  <w:tcW w:w="9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9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w:t>
                  </w:r>
                </w:p>
              </w:tc>
              <w:tc>
                <w:tcPr>
                  <w:tcW w:w="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4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w:t>
                  </w:r>
                </w:p>
              </w:tc>
              <w:tc>
                <w:tcPr>
                  <w:tcW w:w="4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rPr>
                  </w:pPr>
                </w:p>
              </w:tc>
              <w:tc>
                <w:tcPr>
                  <w:tcW w:w="87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0.0129</w:t>
                  </w:r>
                </w:p>
              </w:tc>
              <w:tc>
                <w:tcPr>
                  <w:tcW w:w="7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76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0.0043</w:t>
                  </w:r>
                </w:p>
              </w:tc>
              <w:tc>
                <w:tcPr>
                  <w:tcW w:w="9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3000</w:t>
                  </w:r>
                </w:p>
              </w:tc>
              <w:tc>
                <w:tcPr>
                  <w:tcW w:w="74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27" w:hRule="atLeast"/>
                <w:jc w:val="center"/>
              </w:trPr>
              <w:tc>
                <w:tcPr>
                  <w:tcW w:w="567" w:type="dxa"/>
                  <w:vMerge w:val="continue"/>
                  <w:tcBorders>
                    <w:tl2br w:val="nil"/>
                    <w:tr2bl w:val="nil"/>
                  </w:tcBorders>
                  <w:noWrap w:val="0"/>
                  <w:vAlign w:val="center"/>
                </w:tcPr>
                <w:p>
                  <w:pPr>
                    <w:pStyle w:val="2"/>
                    <w:keepNext w:val="0"/>
                    <w:keepLines w:val="0"/>
                    <w:pageBreakBefore w:val="0"/>
                    <w:numPr>
                      <w:ilvl w:val="0"/>
                      <w:numId w:val="0"/>
                    </w:numP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931" w:type="dxa"/>
                  <w:gridSpan w:val="3"/>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b w:val="0"/>
                      <w:bCs w:val="0"/>
                      <w:color w:val="auto"/>
                      <w:sz w:val="21"/>
                      <w:szCs w:val="21"/>
                      <w:highlight w:val="none"/>
                      <w:lang w:val="en-US" w:eastAsia="zh-CN"/>
                    </w:rPr>
                  </w:pPr>
                </w:p>
              </w:tc>
              <w:tc>
                <w:tcPr>
                  <w:tcW w:w="14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非甲烷总烃</w:t>
                  </w:r>
                </w:p>
              </w:tc>
              <w:tc>
                <w:tcPr>
                  <w:tcW w:w="43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eastAsia" w:ascii="Times New Roman" w:hAnsi="Times New Roman" w:eastAsia="宋体" w:cs="Times New Roman"/>
                      <w:b w:val="0"/>
                      <w:bCs w:val="0"/>
                      <w:color w:val="auto"/>
                      <w:kern w:val="0"/>
                      <w:sz w:val="21"/>
                      <w:szCs w:val="21"/>
                      <w:highlight w:val="none"/>
                      <w:lang w:val="en-US" w:eastAsia="zh-CN" w:bidi="ar"/>
                    </w:rPr>
                  </w:pPr>
                </w:p>
              </w:tc>
              <w:tc>
                <w:tcPr>
                  <w:tcW w:w="7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0.00054</w:t>
                  </w:r>
                </w:p>
              </w:tc>
              <w:tc>
                <w:tcPr>
                  <w:tcW w:w="7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0.00018</w:t>
                  </w:r>
                </w:p>
              </w:tc>
              <w:tc>
                <w:tcPr>
                  <w:tcW w:w="9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9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w:t>
                  </w:r>
                </w:p>
              </w:tc>
              <w:tc>
                <w:tcPr>
                  <w:tcW w:w="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4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w:t>
                  </w:r>
                </w:p>
              </w:tc>
              <w:tc>
                <w:tcPr>
                  <w:tcW w:w="4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rPr>
                  </w:pPr>
                </w:p>
              </w:tc>
              <w:tc>
                <w:tcPr>
                  <w:tcW w:w="87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0.00054</w:t>
                  </w:r>
                </w:p>
              </w:tc>
              <w:tc>
                <w:tcPr>
                  <w:tcW w:w="7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76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0.00018</w:t>
                  </w:r>
                </w:p>
              </w:tc>
              <w:tc>
                <w:tcPr>
                  <w:tcW w:w="9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3000</w:t>
                  </w:r>
                </w:p>
              </w:tc>
              <w:tc>
                <w:tcPr>
                  <w:tcW w:w="74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48" w:hRule="atLeast"/>
                <w:jc w:val="center"/>
              </w:trPr>
              <w:tc>
                <w:tcPr>
                  <w:tcW w:w="567" w:type="dxa"/>
                  <w:vMerge w:val="restart"/>
                  <w:tcBorders>
                    <w:tl2br w:val="nil"/>
                    <w:tr2bl w:val="nil"/>
                  </w:tcBorders>
                  <w:noWrap w:val="0"/>
                  <w:vAlign w:val="center"/>
                </w:tcPr>
                <w:p>
                  <w:pPr>
                    <w:keepNext w:val="0"/>
                    <w:keepLines w:val="0"/>
                    <w:pageBreakBefore w:val="0"/>
                    <w:numPr>
                      <w:ilvl w:val="0"/>
                      <w:numId w:val="0"/>
                    </w:numP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烹饪</w:t>
                  </w:r>
                </w:p>
              </w:tc>
              <w:tc>
                <w:tcPr>
                  <w:tcW w:w="4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DA</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0</w:t>
                  </w:r>
                  <w:r>
                    <w:rPr>
                      <w:rFonts w:hint="eastAsia" w:cs="Times New Roman"/>
                      <w:b w:val="0"/>
                      <w:bCs w:val="0"/>
                      <w:color w:val="auto"/>
                      <w:kern w:val="0"/>
                      <w:sz w:val="21"/>
                      <w:szCs w:val="21"/>
                      <w:highlight w:val="none"/>
                      <w:vertAlign w:val="baseline"/>
                      <w:lang w:val="en-US" w:eastAsia="zh-CN" w:bidi="ar"/>
                    </w:rPr>
                    <w:t>07</w:t>
                  </w:r>
                </w:p>
              </w:tc>
              <w:tc>
                <w:tcPr>
                  <w:tcW w:w="466"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有组织</w:t>
                  </w:r>
                </w:p>
              </w:tc>
              <w:tc>
                <w:tcPr>
                  <w:tcW w:w="14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油烟</w:t>
                  </w:r>
                </w:p>
              </w:tc>
              <w:tc>
                <w:tcPr>
                  <w:tcW w:w="43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eastAsia" w:ascii="Times New Roman" w:hAnsi="Times New Roman" w:eastAsia="宋体" w:cs="Times New Roman"/>
                      <w:b w:val="0"/>
                      <w:bCs w:val="0"/>
                      <w:color w:val="auto"/>
                      <w:kern w:val="0"/>
                      <w:sz w:val="21"/>
                      <w:szCs w:val="21"/>
                      <w:highlight w:val="none"/>
                      <w:lang w:val="en-US" w:eastAsia="zh-CN" w:bidi="ar"/>
                    </w:rPr>
                  </w:pPr>
                </w:p>
              </w:tc>
              <w:tc>
                <w:tcPr>
                  <w:tcW w:w="7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0.0239</w:t>
                  </w:r>
                </w:p>
              </w:tc>
              <w:tc>
                <w:tcPr>
                  <w:tcW w:w="7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10000</w:t>
                  </w:r>
                </w:p>
              </w:tc>
              <w:tc>
                <w:tcPr>
                  <w:tcW w:w="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0.0100</w:t>
                  </w:r>
                </w:p>
              </w:tc>
              <w:tc>
                <w:tcPr>
                  <w:tcW w:w="9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0.9958</w:t>
                  </w:r>
                </w:p>
              </w:tc>
              <w:tc>
                <w:tcPr>
                  <w:tcW w:w="9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油烟净化</w:t>
                  </w:r>
                  <w:r>
                    <w:rPr>
                      <w:rFonts w:hint="eastAsia" w:cs="Times New Roman"/>
                      <w:color w:val="auto"/>
                      <w:kern w:val="0"/>
                      <w:sz w:val="21"/>
                      <w:szCs w:val="21"/>
                      <w:highlight w:val="none"/>
                      <w:lang w:val="en-US" w:eastAsia="zh-CN" w:bidi="ar"/>
                    </w:rPr>
                    <w:t>器</w:t>
                  </w:r>
                </w:p>
              </w:tc>
              <w:tc>
                <w:tcPr>
                  <w:tcW w:w="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95</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80</w:t>
                  </w:r>
                </w:p>
              </w:tc>
              <w:tc>
                <w:tcPr>
                  <w:tcW w:w="4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是</w:t>
                  </w:r>
                </w:p>
              </w:tc>
              <w:tc>
                <w:tcPr>
                  <w:tcW w:w="4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87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0.0048</w:t>
                  </w:r>
                </w:p>
              </w:tc>
              <w:tc>
                <w:tcPr>
                  <w:tcW w:w="7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10000</w:t>
                  </w:r>
                </w:p>
              </w:tc>
              <w:tc>
                <w:tcPr>
                  <w:tcW w:w="76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0.002</w:t>
                  </w:r>
                </w:p>
              </w:tc>
              <w:tc>
                <w:tcPr>
                  <w:tcW w:w="9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0.2</w:t>
                  </w:r>
                </w:p>
              </w:tc>
              <w:tc>
                <w:tcPr>
                  <w:tcW w:w="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2400</w:t>
                  </w:r>
                </w:p>
              </w:tc>
              <w:tc>
                <w:tcPr>
                  <w:tcW w:w="74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综合楼1F</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25" w:hRule="atLeast"/>
                <w:jc w:val="center"/>
              </w:trPr>
              <w:tc>
                <w:tcPr>
                  <w:tcW w:w="567" w:type="dxa"/>
                  <w:vMerge w:val="continue"/>
                  <w:tcBorders>
                    <w:tl2br w:val="nil"/>
                    <w:tr2bl w:val="nil"/>
                  </w:tcBorders>
                  <w:noWrap w:val="0"/>
                  <w:vAlign w:val="center"/>
                </w:tcPr>
                <w:p>
                  <w:pPr>
                    <w:keepNext w:val="0"/>
                    <w:keepLines w:val="0"/>
                    <w:pageBreakBefore w:val="0"/>
                    <w:numPr>
                      <w:ilvl w:val="0"/>
                      <w:numId w:val="0"/>
                    </w:numPr>
                    <w:kinsoku/>
                    <w:wordWrap/>
                    <w:overflowPunct/>
                    <w:topLinePunct w:val="0"/>
                    <w:bidi w:val="0"/>
                    <w:adjustRightInd w:val="0"/>
                    <w:snapToGrid w:val="0"/>
                    <w:spacing w:line="240" w:lineRule="auto"/>
                    <w:jc w:val="center"/>
                    <w:textAlignment w:val="auto"/>
                    <w:rPr>
                      <w:rFonts w:hint="eastAsia" w:cs="Times New Roman"/>
                      <w:color w:val="auto"/>
                      <w:kern w:val="2"/>
                      <w:sz w:val="21"/>
                      <w:szCs w:val="21"/>
                      <w:highlight w:val="none"/>
                      <w:lang w:val="en-US" w:eastAsia="zh-CN" w:bidi="ar-SA"/>
                    </w:rPr>
                  </w:pPr>
                </w:p>
              </w:tc>
              <w:tc>
                <w:tcPr>
                  <w:tcW w:w="931"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无组织</w:t>
                  </w:r>
                </w:p>
              </w:tc>
              <w:tc>
                <w:tcPr>
                  <w:tcW w:w="14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油烟</w:t>
                  </w:r>
                </w:p>
              </w:tc>
              <w:tc>
                <w:tcPr>
                  <w:tcW w:w="43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eastAsia" w:ascii="Times New Roman" w:hAnsi="Times New Roman" w:eastAsia="宋体" w:cs="Times New Roman"/>
                      <w:b w:val="0"/>
                      <w:bCs w:val="0"/>
                      <w:color w:val="auto"/>
                      <w:kern w:val="0"/>
                      <w:sz w:val="21"/>
                      <w:szCs w:val="21"/>
                      <w:highlight w:val="none"/>
                      <w:lang w:val="en-US" w:eastAsia="zh-CN" w:bidi="ar"/>
                    </w:rPr>
                  </w:pPr>
                </w:p>
              </w:tc>
              <w:tc>
                <w:tcPr>
                  <w:tcW w:w="7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0.0013</w:t>
                  </w:r>
                </w:p>
              </w:tc>
              <w:tc>
                <w:tcPr>
                  <w:tcW w:w="7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0.0005</w:t>
                  </w:r>
                </w:p>
              </w:tc>
              <w:tc>
                <w:tcPr>
                  <w:tcW w:w="9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9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cs="Times New Roman"/>
                      <w:b w:val="0"/>
                      <w:bCs w:val="0"/>
                      <w:color w:val="auto"/>
                      <w:kern w:val="0"/>
                      <w:sz w:val="21"/>
                      <w:szCs w:val="21"/>
                      <w:highlight w:val="none"/>
                      <w:vertAlign w:val="baseline"/>
                      <w:lang w:val="en-US" w:eastAsia="zh-CN" w:bidi="ar"/>
                    </w:rPr>
                    <w:t>/</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cs="Times New Roman"/>
                      <w:b w:val="0"/>
                      <w:bCs w:val="0"/>
                      <w:color w:val="auto"/>
                      <w:kern w:val="0"/>
                      <w:sz w:val="21"/>
                      <w:szCs w:val="21"/>
                      <w:highlight w:val="none"/>
                      <w:vertAlign w:val="baseline"/>
                      <w:lang w:val="en-US" w:eastAsia="zh-CN" w:bidi="ar"/>
                    </w:rPr>
                    <w:t>/</w:t>
                  </w:r>
                </w:p>
              </w:tc>
              <w:tc>
                <w:tcPr>
                  <w:tcW w:w="4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cs="Times New Roman"/>
                      <w:b w:val="0"/>
                      <w:bCs w:val="0"/>
                      <w:color w:val="auto"/>
                      <w:kern w:val="0"/>
                      <w:sz w:val="21"/>
                      <w:szCs w:val="21"/>
                      <w:highlight w:val="none"/>
                      <w:vertAlign w:val="baseline"/>
                      <w:lang w:val="en-US" w:eastAsia="zh-CN" w:bidi="ar"/>
                    </w:rPr>
                    <w:t>/</w:t>
                  </w:r>
                </w:p>
              </w:tc>
              <w:tc>
                <w:tcPr>
                  <w:tcW w:w="4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87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0.0013</w:t>
                  </w:r>
                </w:p>
              </w:tc>
              <w:tc>
                <w:tcPr>
                  <w:tcW w:w="7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76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0.0005</w:t>
                  </w:r>
                </w:p>
              </w:tc>
              <w:tc>
                <w:tcPr>
                  <w:tcW w:w="9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2400</w:t>
                  </w:r>
                </w:p>
              </w:tc>
              <w:tc>
                <w:tcPr>
                  <w:tcW w:w="74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783" w:hRule="atLeast"/>
                <w:jc w:val="center"/>
              </w:trPr>
              <w:tc>
                <w:tcPr>
                  <w:tcW w:w="567" w:type="dxa"/>
                  <w:tcBorders>
                    <w:tl2br w:val="nil"/>
                    <w:tr2bl w:val="nil"/>
                  </w:tcBorders>
                  <w:noWrap w:val="0"/>
                  <w:vAlign w:val="center"/>
                </w:tcPr>
                <w:p>
                  <w:pPr>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焊接</w:t>
                  </w:r>
                </w:p>
              </w:tc>
              <w:tc>
                <w:tcPr>
                  <w:tcW w:w="931"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无组织</w:t>
                  </w:r>
                </w:p>
              </w:tc>
              <w:tc>
                <w:tcPr>
                  <w:tcW w:w="14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颗粒物</w:t>
                  </w:r>
                </w:p>
              </w:tc>
              <w:tc>
                <w:tcPr>
                  <w:tcW w:w="43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eastAsia" w:cs="Times New Roman"/>
                      <w:b w:val="0"/>
                      <w:bCs w:val="0"/>
                      <w:color w:val="auto"/>
                      <w:kern w:val="0"/>
                      <w:sz w:val="21"/>
                      <w:szCs w:val="21"/>
                      <w:highlight w:val="none"/>
                      <w:lang w:val="en-US" w:eastAsia="zh-CN" w:bidi="ar"/>
                    </w:rPr>
                  </w:pPr>
                </w:p>
              </w:tc>
              <w:tc>
                <w:tcPr>
                  <w:tcW w:w="7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0.013</w:t>
                  </w:r>
                </w:p>
              </w:tc>
              <w:tc>
                <w:tcPr>
                  <w:tcW w:w="7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0.0027</w:t>
                  </w:r>
                </w:p>
              </w:tc>
              <w:tc>
                <w:tcPr>
                  <w:tcW w:w="9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9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移动式烟雾除尘器</w:t>
                  </w:r>
                </w:p>
              </w:tc>
              <w:tc>
                <w:tcPr>
                  <w:tcW w:w="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95</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w:t>
                  </w:r>
                </w:p>
              </w:tc>
              <w:tc>
                <w:tcPr>
                  <w:tcW w:w="4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w:t>
                  </w:r>
                </w:p>
              </w:tc>
              <w:tc>
                <w:tcPr>
                  <w:tcW w:w="4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lang w:val="en-US" w:eastAsia="zh-CN" w:bidi="ar"/>
                    </w:rPr>
                  </w:pPr>
                </w:p>
              </w:tc>
              <w:tc>
                <w:tcPr>
                  <w:tcW w:w="87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0.0007</w:t>
                  </w:r>
                </w:p>
              </w:tc>
              <w:tc>
                <w:tcPr>
                  <w:tcW w:w="7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76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0.0002</w:t>
                  </w:r>
                </w:p>
              </w:tc>
              <w:tc>
                <w:tcPr>
                  <w:tcW w:w="9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3000</w:t>
                  </w:r>
                </w:p>
              </w:tc>
              <w:tc>
                <w:tcPr>
                  <w:tcW w:w="74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厂房车间4F、5F</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1143" w:hRule="atLeast"/>
                <w:jc w:val="center"/>
              </w:trPr>
              <w:tc>
                <w:tcPr>
                  <w:tcW w:w="14076" w:type="dxa"/>
                  <w:gridSpan w:val="21"/>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bCs/>
                      <w:color w:val="auto"/>
                      <w:kern w:val="0"/>
                      <w:sz w:val="21"/>
                      <w:szCs w:val="21"/>
                      <w:highlight w:val="none"/>
                      <w:lang w:val="en-US" w:eastAsia="zh-CN" w:bidi="ar"/>
                    </w:rPr>
                    <w:t>备注：</w:t>
                  </w:r>
                  <w:r>
                    <w:rPr>
                      <w:rFonts w:hint="eastAsia" w:ascii="Times New Roman" w:hAnsi="Times New Roman" w:eastAsia="宋体" w:cs="Times New Roman"/>
                      <w:b/>
                      <w:bCs/>
                      <w:color w:val="auto"/>
                      <w:kern w:val="0"/>
                      <w:sz w:val="21"/>
                      <w:szCs w:val="21"/>
                      <w:highlight w:val="none"/>
                      <w:lang w:val="en-US" w:eastAsia="zh-CN" w:bidi="ar"/>
                    </w:rPr>
                    <w:t>1、</w:t>
                  </w:r>
                  <w:r>
                    <w:rPr>
                      <w:rFonts w:hint="default" w:ascii="Times New Roman" w:hAnsi="Times New Roman" w:eastAsia="宋体" w:cs="Times New Roman"/>
                      <w:b/>
                      <w:bCs/>
                      <w:color w:val="auto"/>
                      <w:kern w:val="0"/>
                      <w:sz w:val="21"/>
                      <w:szCs w:val="21"/>
                      <w:highlight w:val="none"/>
                      <w:lang w:val="en-US" w:eastAsia="zh-CN" w:bidi="ar"/>
                    </w:rPr>
                    <w:t>由于项目搅砂制芯区、锻造和落砂和压铸区、抛光和抛丸区距离相距较远，布设排气简管道相对困难，故搅搅砂制芯区、锻造和落砂和压铸区、抛光和抛丸区分区单独设立排气简，分别为排气筒DA002、DA003、DA004；塑料卫浴配件与浴室柜加工区域不在一个楼层，布设排气简管道相对困难，故塑料卫浴配件与浴室柜加工区域单独设立排气简，分别为排气筒DA005、DA006；</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leftChars="0"/>
                    <w:jc w:val="left"/>
                    <w:textAlignment w:val="auto"/>
                    <w:rPr>
                      <w:rFonts w:hint="default"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2</w:t>
                  </w:r>
                  <w:r>
                    <w:rPr>
                      <w:rFonts w:hint="default" w:ascii="Times New Roman" w:hAnsi="Times New Roman" w:eastAsia="宋体" w:cs="Times New Roman"/>
                      <w:b/>
                      <w:bCs/>
                      <w:color w:val="auto"/>
                      <w:kern w:val="0"/>
                      <w:sz w:val="21"/>
                      <w:szCs w:val="21"/>
                      <w:highlight w:val="none"/>
                      <w:lang w:val="en-US" w:eastAsia="zh-CN" w:bidi="ar"/>
                    </w:rPr>
                    <w:t>、参照《排污许可证申请与核发技术规范 金属铸造工业》、《铸造工业大气污染防治可行技术指南》水喷淋、布袋除尘器为可行技术，活性炭吸附为未明确规定可行技术，根据废气处理设施达标性分析，浇注及制芯废气处理后非甲烷总烃可达标排放，项目浇注及制芯废气以</w:t>
                  </w:r>
                  <w:r>
                    <w:rPr>
                      <w:rFonts w:hint="eastAsia" w:cs="Times New Roman"/>
                      <w:b/>
                      <w:bCs/>
                      <w:color w:val="auto"/>
                      <w:kern w:val="0"/>
                      <w:sz w:val="21"/>
                      <w:szCs w:val="21"/>
                      <w:highlight w:val="none"/>
                      <w:lang w:val="en-US" w:eastAsia="zh-CN" w:bidi="ar"/>
                    </w:rPr>
                    <w:t>二级</w:t>
                  </w:r>
                  <w:r>
                    <w:rPr>
                      <w:rFonts w:hint="default" w:ascii="Times New Roman" w:hAnsi="Times New Roman" w:eastAsia="宋体" w:cs="Times New Roman"/>
                      <w:b/>
                      <w:bCs/>
                      <w:color w:val="auto"/>
                      <w:kern w:val="0"/>
                      <w:sz w:val="21"/>
                      <w:szCs w:val="21"/>
                      <w:highlight w:val="none"/>
                      <w:lang w:val="en-US" w:eastAsia="zh-CN" w:bidi="ar"/>
                    </w:rPr>
                    <w:t>活性炭吸附设施为净化措施属于可行技术；参照《排污许可证申请与核发技术规范 橡胶和塑料制品工业》以</w:t>
                  </w:r>
                  <w:r>
                    <w:rPr>
                      <w:rFonts w:hint="eastAsia" w:cs="Times New Roman"/>
                      <w:b/>
                      <w:bCs/>
                      <w:color w:val="auto"/>
                      <w:kern w:val="0"/>
                      <w:sz w:val="21"/>
                      <w:szCs w:val="21"/>
                      <w:highlight w:val="none"/>
                      <w:lang w:val="en-US" w:eastAsia="zh-CN" w:bidi="ar"/>
                    </w:rPr>
                    <w:t>二级</w:t>
                  </w:r>
                  <w:r>
                    <w:rPr>
                      <w:rFonts w:hint="default" w:ascii="Times New Roman" w:hAnsi="Times New Roman" w:eastAsia="宋体" w:cs="Times New Roman"/>
                      <w:b/>
                      <w:bCs/>
                      <w:color w:val="auto"/>
                      <w:kern w:val="0"/>
                      <w:sz w:val="21"/>
                      <w:szCs w:val="21"/>
                      <w:highlight w:val="none"/>
                      <w:lang w:val="en-US" w:eastAsia="zh-CN" w:bidi="ar"/>
                    </w:rPr>
                    <w:t>活性炭吸附装置为措施属于可行技术；参照《排污许可证申请与核发技术规范 家具制造工业》以水帘、活性炭吸附装置、袋式除尘器为措施属于可行技术；</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leftChars="0"/>
                    <w:jc w:val="left"/>
                    <w:textAlignment w:val="auto"/>
                    <w:rPr>
                      <w:rFonts w:hint="default" w:ascii="宋体" w:hAnsi="宋体" w:eastAsia="宋体" w:cs="宋体"/>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3、</w:t>
                  </w:r>
                  <w:r>
                    <w:rPr>
                      <w:rFonts w:hint="eastAsia" w:cs="Times New Roman"/>
                      <w:b/>
                      <w:bCs/>
                      <w:color w:val="auto"/>
                      <w:kern w:val="0"/>
                      <w:sz w:val="21"/>
                      <w:szCs w:val="21"/>
                      <w:highlight w:val="none"/>
                      <w:lang w:val="en-US" w:eastAsia="zh-CN" w:bidi="ar"/>
                    </w:rPr>
                    <w:t>DA001~DA006</w:t>
                  </w:r>
                  <w:r>
                    <w:rPr>
                      <w:rFonts w:hint="eastAsia" w:ascii="Times New Roman" w:hAnsi="Times New Roman" w:eastAsia="宋体" w:cs="Times New Roman"/>
                      <w:b/>
                      <w:bCs/>
                      <w:color w:val="auto"/>
                      <w:kern w:val="0"/>
                      <w:sz w:val="21"/>
                      <w:szCs w:val="21"/>
                      <w:highlight w:val="none"/>
                      <w:lang w:val="en-US" w:eastAsia="zh-CN" w:bidi="ar"/>
                    </w:rPr>
                    <w:t>排气筒设计排放距离均大于30m以上，不存在等效排气筒现象。</w:t>
                  </w:r>
                </w:p>
              </w:tc>
            </w:tr>
          </w:tbl>
          <w:p>
            <w:pPr>
              <w:keepNext w:val="0"/>
              <w:keepLines w:val="0"/>
              <w:pageBreakBefore w:val="0"/>
              <w:widowControl/>
              <w:suppressLineNumbers w:val="0"/>
              <w:kinsoku/>
              <w:wordWrap/>
              <w:overflowPunct/>
              <w:topLinePunct w:val="0"/>
              <w:autoSpaceDE/>
              <w:autoSpaceDN/>
              <w:bidi w:val="0"/>
              <w:adjustRightInd w:val="0"/>
              <w:snapToGrid/>
              <w:spacing w:before="157" w:beforeLines="50" w:line="360" w:lineRule="auto"/>
              <w:ind w:firstLine="480" w:firstLineChars="200"/>
              <w:jc w:val="left"/>
              <w:textAlignment w:val="auto"/>
              <w:rPr>
                <w:color w:val="auto"/>
                <w:sz w:val="24"/>
                <w:szCs w:val="24"/>
                <w:highlight w:val="none"/>
              </w:rPr>
            </w:pPr>
            <w:r>
              <w:rPr>
                <w:rFonts w:hint="eastAsia" w:ascii="宋体" w:hAnsi="宋体" w:eastAsia="宋体" w:cs="宋体"/>
                <w:color w:val="auto"/>
                <w:kern w:val="0"/>
                <w:sz w:val="24"/>
                <w:szCs w:val="24"/>
                <w:highlight w:val="none"/>
                <w:lang w:val="en-US" w:eastAsia="zh-CN" w:bidi="ar"/>
              </w:rPr>
              <w:t>根据《固定污染源排污许可分类管理名录（</w:t>
            </w:r>
            <w:r>
              <w:rPr>
                <w:rFonts w:hint="default" w:ascii="Times New Roman" w:hAnsi="Times New Roman" w:eastAsia="宋体" w:cs="Times New Roman"/>
                <w:color w:val="auto"/>
                <w:kern w:val="0"/>
                <w:sz w:val="24"/>
                <w:szCs w:val="24"/>
                <w:highlight w:val="none"/>
                <w:lang w:val="en-US" w:eastAsia="zh-CN" w:bidi="ar"/>
              </w:rPr>
              <w:t xml:space="preserve">2019 </w:t>
            </w:r>
            <w:r>
              <w:rPr>
                <w:rFonts w:hint="eastAsia" w:ascii="宋体" w:hAnsi="宋体" w:eastAsia="宋体" w:cs="宋体"/>
                <w:color w:val="auto"/>
                <w:kern w:val="0"/>
                <w:sz w:val="24"/>
                <w:szCs w:val="24"/>
                <w:highlight w:val="none"/>
                <w:lang w:val="en-US" w:eastAsia="zh-CN" w:bidi="ar"/>
              </w:rPr>
              <w:t>年版）》，根据《排污单位自行监测技术指南总则》（</w:t>
            </w:r>
            <w:r>
              <w:rPr>
                <w:rFonts w:hint="default" w:ascii="Times New Roman" w:hAnsi="Times New Roman" w:eastAsia="宋体" w:cs="Times New Roman"/>
                <w:color w:val="auto"/>
                <w:kern w:val="0"/>
                <w:sz w:val="24"/>
                <w:szCs w:val="24"/>
                <w:highlight w:val="none"/>
                <w:lang w:val="en-US" w:eastAsia="zh-CN" w:bidi="ar"/>
              </w:rPr>
              <w:t>HJ819-2017</w:t>
            </w:r>
            <w:r>
              <w:rPr>
                <w:rFonts w:hint="eastAsia" w:ascii="宋体" w:hAnsi="宋体" w:eastAsia="宋体" w:cs="宋体"/>
                <w:color w:val="auto"/>
                <w:kern w:val="0"/>
                <w:sz w:val="24"/>
                <w:szCs w:val="24"/>
                <w:highlight w:val="none"/>
                <w:lang w:val="en-US" w:eastAsia="zh-CN" w:bidi="ar"/>
              </w:rPr>
              <w:t>）及</w:t>
            </w:r>
            <w:r>
              <w:rPr>
                <w:rFonts w:hint="eastAsia" w:ascii="宋体" w:hAnsi="宋体" w:cs="宋体"/>
                <w:color w:val="auto"/>
                <w:kern w:val="0"/>
                <w:sz w:val="24"/>
                <w:szCs w:val="24"/>
                <w:highlight w:val="none"/>
                <w:lang w:val="en-US" w:eastAsia="zh-CN" w:bidi="ar"/>
              </w:rPr>
              <w:t>相关</w:t>
            </w:r>
            <w:r>
              <w:rPr>
                <w:rFonts w:hint="eastAsia" w:ascii="宋体" w:hAnsi="宋体" w:eastAsia="宋体" w:cs="宋体"/>
                <w:color w:val="auto"/>
                <w:kern w:val="0"/>
                <w:sz w:val="24"/>
                <w:szCs w:val="24"/>
                <w:highlight w:val="none"/>
                <w:lang w:val="en-US" w:eastAsia="zh-CN" w:bidi="ar"/>
              </w:rPr>
              <w:t>排污许可证申请与核发技术规范</w:t>
            </w:r>
            <w:r>
              <w:rPr>
                <w:rFonts w:hint="eastAsia" w:ascii="宋体"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根据本评价分析的污染物产生和排放情况，废气监测指标为非主要监测指标，废气排放口为非主要排放口，</w:t>
            </w:r>
            <w:r>
              <w:rPr>
                <w:rFonts w:hint="eastAsia" w:ascii="宋体" w:hAnsi="宋体" w:cs="宋体"/>
                <w:color w:val="auto"/>
                <w:kern w:val="0"/>
                <w:sz w:val="24"/>
                <w:szCs w:val="24"/>
                <w:highlight w:val="none"/>
                <w:lang w:val="en-US" w:eastAsia="zh-CN" w:bidi="ar"/>
              </w:rPr>
              <w:t>建设单位应</w:t>
            </w:r>
            <w:r>
              <w:rPr>
                <w:rFonts w:hint="eastAsia" w:ascii="宋体" w:hAnsi="宋体" w:eastAsia="宋体" w:cs="宋体"/>
                <w:color w:val="auto"/>
                <w:kern w:val="0"/>
                <w:sz w:val="24"/>
                <w:szCs w:val="24"/>
                <w:highlight w:val="none"/>
                <w:lang w:val="en-US" w:eastAsia="zh-CN" w:bidi="ar"/>
              </w:rPr>
              <w:t>根据《排污单位自行监测技术指南 总则》（</w:t>
            </w:r>
            <w:r>
              <w:rPr>
                <w:rFonts w:hint="default" w:ascii="Times New Roman" w:hAnsi="Times New Roman" w:eastAsia="宋体" w:cs="Times New Roman"/>
                <w:color w:val="auto"/>
                <w:kern w:val="0"/>
                <w:sz w:val="24"/>
                <w:szCs w:val="24"/>
                <w:highlight w:val="none"/>
                <w:lang w:val="en-US" w:eastAsia="zh-CN" w:bidi="ar"/>
              </w:rPr>
              <w:t>HJ 819-2017</w:t>
            </w:r>
            <w:r>
              <w:rPr>
                <w:rFonts w:hint="eastAsia" w:ascii="宋体" w:hAnsi="宋体" w:eastAsia="宋体" w:cs="宋体"/>
                <w:color w:val="auto"/>
                <w:kern w:val="0"/>
                <w:sz w:val="24"/>
                <w:szCs w:val="24"/>
                <w:highlight w:val="none"/>
                <w:lang w:val="en-US" w:eastAsia="zh-CN" w:bidi="ar"/>
              </w:rPr>
              <w:t>）和相关行业技术规范</w:t>
            </w:r>
            <w:r>
              <w:rPr>
                <w:rFonts w:hint="default" w:ascii="Times New Roman" w:hAnsi="Times New Roman" w:eastAsia="宋体" w:cs="Times New Roman"/>
                <w:color w:val="auto"/>
                <w:sz w:val="24"/>
                <w:szCs w:val="24"/>
                <w:highlight w:val="none"/>
                <w:lang w:val="en-US" w:eastAsia="zh-CN"/>
              </w:rPr>
              <w:t>的要求制定监测计划</w:t>
            </w:r>
            <w:r>
              <w:rPr>
                <w:rFonts w:hint="eastAsia" w:ascii="宋体" w:hAnsi="宋体" w:eastAsia="宋体" w:cs="宋体"/>
                <w:color w:val="auto"/>
                <w:kern w:val="0"/>
                <w:sz w:val="24"/>
                <w:szCs w:val="24"/>
                <w:highlight w:val="none"/>
                <w:lang w:val="en-US" w:eastAsia="zh-CN" w:bidi="ar"/>
              </w:rPr>
              <w:t>，并结合项目运营期间污染物排放特点，制定本项目的污染源监测计划，建议建设</w:t>
            </w:r>
            <w:r>
              <w:rPr>
                <w:rFonts w:hint="default" w:ascii="Times New Roman" w:hAnsi="Times New Roman" w:eastAsia="宋体" w:cs="Times New Roman"/>
                <w:color w:val="auto"/>
                <w:kern w:val="0"/>
                <w:sz w:val="24"/>
                <w:szCs w:val="24"/>
                <w:highlight w:val="none"/>
                <w:lang w:val="en-US" w:eastAsia="zh-CN" w:bidi="ar"/>
              </w:rPr>
              <w:t>单位在投产后开展自行监测。监测分析方法按照现行国家、部颁标准和有关规定执行。本项目运营期</w:t>
            </w:r>
            <w:r>
              <w:rPr>
                <w:rFonts w:hint="eastAsia" w:cs="Times New Roman"/>
                <w:color w:val="auto"/>
                <w:kern w:val="0"/>
                <w:sz w:val="24"/>
                <w:szCs w:val="24"/>
                <w:highlight w:val="none"/>
                <w:lang w:val="en-US" w:eastAsia="zh-CN" w:bidi="ar"/>
              </w:rPr>
              <w:t>废气</w:t>
            </w:r>
            <w:r>
              <w:rPr>
                <w:rFonts w:hint="default" w:ascii="Times New Roman" w:hAnsi="Times New Roman" w:eastAsia="宋体" w:cs="Times New Roman"/>
                <w:color w:val="auto"/>
                <w:kern w:val="0"/>
                <w:sz w:val="24"/>
                <w:szCs w:val="24"/>
                <w:highlight w:val="none"/>
                <w:lang w:val="en-US" w:eastAsia="zh-CN" w:bidi="ar"/>
              </w:rPr>
              <w:t>自行监测内容如下</w:t>
            </w:r>
            <w:r>
              <w:rPr>
                <w:rFonts w:hint="default" w:ascii="Times New Roman" w:hAnsi="Times New Roman" w:cs="Times New Roman"/>
                <w:color w:val="auto"/>
                <w:kern w:val="0"/>
                <w:sz w:val="24"/>
                <w:szCs w:val="24"/>
                <w:highlight w:val="none"/>
                <w:lang w:val="en-US" w:eastAsia="zh-CN" w:bidi="ar"/>
              </w:rPr>
              <w:t>表4</w:t>
            </w:r>
            <w:r>
              <w:rPr>
                <w:rFonts w:hint="eastAsia" w:cs="Times New Roman"/>
                <w:color w:val="auto"/>
                <w:kern w:val="0"/>
                <w:sz w:val="24"/>
                <w:szCs w:val="24"/>
                <w:highlight w:val="none"/>
                <w:lang w:val="en-US" w:eastAsia="zh-CN" w:bidi="ar"/>
              </w:rPr>
              <w:t>.2</w:t>
            </w:r>
            <w:r>
              <w:rPr>
                <w:rFonts w:hint="default" w:ascii="Times New Roman" w:hAnsi="Times New Roman"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7</w:t>
            </w:r>
            <w:r>
              <w:rPr>
                <w:rFonts w:hint="default"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jc w:val="center"/>
              <w:textAlignment w:val="auto"/>
              <w:rPr>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表 </w:t>
            </w:r>
            <w:r>
              <w:rPr>
                <w:rFonts w:hint="eastAsia" w:ascii="Times New Roman" w:hAnsi="Times New Roman" w:eastAsia="宋体" w:cs="Times New Roman"/>
                <w:b/>
                <w:bCs/>
                <w:color w:val="auto"/>
                <w:kern w:val="0"/>
                <w:sz w:val="24"/>
                <w:szCs w:val="24"/>
                <w:highlight w:val="none"/>
                <w:lang w:val="en-US" w:eastAsia="zh-CN" w:bidi="ar"/>
              </w:rPr>
              <w:t>4</w:t>
            </w:r>
            <w:r>
              <w:rPr>
                <w:rFonts w:hint="eastAsia" w:cs="Times New Roman"/>
                <w:b/>
                <w:bCs/>
                <w:color w:val="auto"/>
                <w:kern w:val="0"/>
                <w:sz w:val="24"/>
                <w:szCs w:val="24"/>
                <w:highlight w:val="none"/>
                <w:lang w:val="en-US" w:eastAsia="zh-CN" w:bidi="ar"/>
              </w:rPr>
              <w:t>.2</w:t>
            </w:r>
            <w:r>
              <w:rPr>
                <w:rFonts w:hint="eastAsia" w:ascii="Times New Roman" w:hAnsi="Times New Roman" w:eastAsia="宋体" w:cs="Times New Roman"/>
                <w:b/>
                <w:bCs/>
                <w:color w:val="auto"/>
                <w:kern w:val="0"/>
                <w:sz w:val="24"/>
                <w:szCs w:val="24"/>
                <w:highlight w:val="none"/>
                <w:lang w:val="en-US" w:eastAsia="zh-CN" w:bidi="ar"/>
              </w:rPr>
              <w:t>-</w:t>
            </w:r>
            <w:r>
              <w:rPr>
                <w:rFonts w:hint="eastAsia" w:cs="Times New Roman"/>
                <w:b/>
                <w:bCs/>
                <w:color w:val="auto"/>
                <w:kern w:val="0"/>
                <w:sz w:val="24"/>
                <w:szCs w:val="24"/>
                <w:highlight w:val="none"/>
                <w:lang w:val="en-US" w:eastAsia="zh-CN" w:bidi="ar"/>
              </w:rPr>
              <w:t>7</w:t>
            </w:r>
            <w:r>
              <w:rPr>
                <w:rFonts w:hint="eastAsia" w:ascii="宋体" w:hAnsi="宋体" w:eastAsia="宋体" w:cs="宋体"/>
                <w:b/>
                <w:bCs/>
                <w:color w:val="auto"/>
                <w:kern w:val="0"/>
                <w:sz w:val="24"/>
                <w:szCs w:val="24"/>
                <w:highlight w:val="none"/>
                <w:lang w:val="en-US" w:eastAsia="zh-CN" w:bidi="ar"/>
              </w:rPr>
              <w:t>项目废气排放情况及监测要求一览表</w:t>
            </w:r>
          </w:p>
          <w:tbl>
            <w:tblPr>
              <w:tblStyle w:val="29"/>
              <w:tblW w:w="14184"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144"/>
              <w:gridCol w:w="668"/>
              <w:gridCol w:w="764"/>
              <w:gridCol w:w="859"/>
              <w:gridCol w:w="120"/>
              <w:gridCol w:w="425"/>
              <w:gridCol w:w="911"/>
              <w:gridCol w:w="442"/>
              <w:gridCol w:w="798"/>
              <w:gridCol w:w="846"/>
              <w:gridCol w:w="4977"/>
              <w:gridCol w:w="773"/>
              <w:gridCol w:w="784"/>
              <w:gridCol w:w="587"/>
              <w:gridCol w:w="86"/>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86" w:type="dxa"/>
                <w:trHeight w:val="353" w:hRule="atLeast"/>
                <w:jc w:val="center"/>
              </w:trPr>
              <w:tc>
                <w:tcPr>
                  <w:tcW w:w="6977" w:type="dxa"/>
                  <w:gridSpan w:val="10"/>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排放口基本情况</w:t>
                  </w:r>
                </w:p>
              </w:tc>
              <w:tc>
                <w:tcPr>
                  <w:tcW w:w="4977" w:type="dxa"/>
                  <w:vMerge w:val="restart"/>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kern w:val="0"/>
                      <w:sz w:val="21"/>
                      <w:szCs w:val="21"/>
                      <w:highlight w:val="none"/>
                      <w:lang w:val="en-US" w:eastAsia="zh-CN" w:bidi="ar"/>
                    </w:rPr>
                    <w:t>排放标准</w:t>
                  </w:r>
                </w:p>
              </w:tc>
              <w:tc>
                <w:tcPr>
                  <w:tcW w:w="2144" w:type="dxa"/>
                  <w:gridSpan w:val="3"/>
                  <w:vMerge w:val="restart"/>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监测要求</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86" w:type="dxa"/>
                <w:trHeight w:val="90" w:hRule="atLeast"/>
                <w:jc w:val="center"/>
              </w:trPr>
              <w:tc>
                <w:tcPr>
                  <w:tcW w:w="1812" w:type="dxa"/>
                  <w:gridSpan w:val="2"/>
                  <w:vMerge w:val="restart"/>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kern w:val="0"/>
                      <w:sz w:val="21"/>
                      <w:szCs w:val="21"/>
                      <w:highlight w:val="none"/>
                      <w:lang w:val="en-US" w:eastAsia="zh-CN" w:bidi="ar"/>
                    </w:rPr>
                    <w:t>编号及名称</w:t>
                  </w:r>
                </w:p>
              </w:tc>
              <w:tc>
                <w:tcPr>
                  <w:tcW w:w="764" w:type="dxa"/>
                  <w:vMerge w:val="restart"/>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风量</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kern w:val="0"/>
                      <w:sz w:val="21"/>
                      <w:szCs w:val="21"/>
                      <w:highlight w:val="none"/>
                      <w:lang w:val="en-US" w:eastAsia="zh-CN" w:bidi="ar"/>
                    </w:rPr>
                    <w:t>(m</w:t>
                  </w:r>
                  <w:r>
                    <w:rPr>
                      <w:rFonts w:hint="default" w:ascii="Times New Roman" w:hAnsi="Times New Roman" w:eastAsia="宋体" w:cs="Times New Roman"/>
                      <w:b/>
                      <w:bCs/>
                      <w:color w:val="auto"/>
                      <w:kern w:val="0"/>
                      <w:sz w:val="21"/>
                      <w:szCs w:val="21"/>
                      <w:highlight w:val="none"/>
                      <w:vertAlign w:val="superscript"/>
                      <w:lang w:val="en-US" w:eastAsia="zh-CN" w:bidi="ar"/>
                    </w:rPr>
                    <w:t>3</w:t>
                  </w:r>
                  <w:r>
                    <w:rPr>
                      <w:rFonts w:hint="default" w:ascii="Times New Roman" w:hAnsi="Times New Roman" w:eastAsia="宋体" w:cs="Times New Roman"/>
                      <w:b/>
                      <w:bCs/>
                      <w:color w:val="auto"/>
                      <w:kern w:val="0"/>
                      <w:sz w:val="21"/>
                      <w:szCs w:val="21"/>
                      <w:highlight w:val="none"/>
                      <w:lang w:val="en-US" w:eastAsia="zh-CN" w:bidi="ar"/>
                    </w:rPr>
                    <w:t>/h)</w:t>
                  </w:r>
                </w:p>
              </w:tc>
              <w:tc>
                <w:tcPr>
                  <w:tcW w:w="859" w:type="dxa"/>
                  <w:vMerge w:val="restart"/>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kern w:val="0"/>
                      <w:sz w:val="21"/>
                      <w:szCs w:val="21"/>
                      <w:highlight w:val="none"/>
                      <w:lang w:val="en-US" w:eastAsia="zh-CN" w:bidi="ar"/>
                    </w:rPr>
                    <w:t>排气筒高度(m)</w:t>
                  </w:r>
                </w:p>
              </w:tc>
              <w:tc>
                <w:tcPr>
                  <w:tcW w:w="545" w:type="dxa"/>
                  <w:gridSpan w:val="2"/>
                  <w:vMerge w:val="restart"/>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出口内径</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kern w:val="0"/>
                      <w:sz w:val="21"/>
                      <w:szCs w:val="21"/>
                      <w:highlight w:val="none"/>
                      <w:lang w:val="en-US" w:eastAsia="zh-CN" w:bidi="ar"/>
                    </w:rPr>
                    <w:t>(m)</w:t>
                  </w:r>
                </w:p>
              </w:tc>
              <w:tc>
                <w:tcPr>
                  <w:tcW w:w="911" w:type="dxa"/>
                  <w:vMerge w:val="restart"/>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kern w:val="0"/>
                      <w:sz w:val="21"/>
                      <w:szCs w:val="21"/>
                      <w:highlight w:val="none"/>
                      <w:lang w:val="en-US" w:eastAsia="zh-CN" w:bidi="ar"/>
                    </w:rPr>
                    <w:t>烟气温度(℃)</w:t>
                  </w:r>
                </w:p>
              </w:tc>
              <w:tc>
                <w:tcPr>
                  <w:tcW w:w="442" w:type="dxa"/>
                  <w:vMerge w:val="restart"/>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kern w:val="0"/>
                      <w:sz w:val="21"/>
                      <w:szCs w:val="21"/>
                      <w:highlight w:val="none"/>
                      <w:lang w:val="en-US" w:eastAsia="zh-CN" w:bidi="ar"/>
                    </w:rPr>
                    <w:t>类型</w:t>
                  </w:r>
                </w:p>
              </w:tc>
              <w:tc>
                <w:tcPr>
                  <w:tcW w:w="1644" w:type="dxa"/>
                  <w:gridSpan w:val="2"/>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kern w:val="0"/>
                      <w:sz w:val="21"/>
                      <w:szCs w:val="21"/>
                      <w:highlight w:val="none"/>
                      <w:lang w:val="en-US" w:eastAsia="zh-CN" w:bidi="ar"/>
                    </w:rPr>
                    <w:t>地理坐标</w:t>
                  </w:r>
                </w:p>
              </w:tc>
              <w:tc>
                <w:tcPr>
                  <w:tcW w:w="4977" w:type="dxa"/>
                  <w:vMerge w:val="continue"/>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rPr>
                  </w:pPr>
                </w:p>
              </w:tc>
              <w:tc>
                <w:tcPr>
                  <w:tcW w:w="2144" w:type="dxa"/>
                  <w:gridSpan w:val="3"/>
                  <w:vMerge w:val="continue"/>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86" w:type="dxa"/>
                <w:trHeight w:val="541" w:hRule="atLeast"/>
                <w:jc w:val="center"/>
              </w:trPr>
              <w:tc>
                <w:tcPr>
                  <w:tcW w:w="1812" w:type="dxa"/>
                  <w:gridSpan w:val="2"/>
                  <w:vMerge w:val="continue"/>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rPr>
                  </w:pPr>
                </w:p>
              </w:tc>
              <w:tc>
                <w:tcPr>
                  <w:tcW w:w="764" w:type="dxa"/>
                  <w:vMerge w:val="continue"/>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rPr>
                  </w:pPr>
                </w:p>
              </w:tc>
              <w:tc>
                <w:tcPr>
                  <w:tcW w:w="859" w:type="dxa"/>
                  <w:vMerge w:val="continue"/>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rPr>
                  </w:pPr>
                </w:p>
              </w:tc>
              <w:tc>
                <w:tcPr>
                  <w:tcW w:w="545" w:type="dxa"/>
                  <w:gridSpan w:val="2"/>
                  <w:vMerge w:val="continue"/>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rPr>
                  </w:pPr>
                </w:p>
              </w:tc>
              <w:tc>
                <w:tcPr>
                  <w:tcW w:w="911" w:type="dxa"/>
                  <w:vMerge w:val="continue"/>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rPr>
                  </w:pPr>
                </w:p>
              </w:tc>
              <w:tc>
                <w:tcPr>
                  <w:tcW w:w="442" w:type="dxa"/>
                  <w:vMerge w:val="continue"/>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rPr>
                  </w:pPr>
                </w:p>
              </w:tc>
              <w:tc>
                <w:tcPr>
                  <w:tcW w:w="798"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kern w:val="0"/>
                      <w:sz w:val="21"/>
                      <w:szCs w:val="21"/>
                      <w:highlight w:val="none"/>
                      <w:lang w:val="en-US" w:eastAsia="zh-CN" w:bidi="ar"/>
                    </w:rPr>
                    <w:t>东经</w:t>
                  </w:r>
                </w:p>
              </w:tc>
              <w:tc>
                <w:tcPr>
                  <w:tcW w:w="846"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kern w:val="0"/>
                      <w:sz w:val="21"/>
                      <w:szCs w:val="21"/>
                      <w:highlight w:val="none"/>
                      <w:lang w:val="en-US" w:eastAsia="zh-CN" w:bidi="ar"/>
                    </w:rPr>
                    <w:t>北纬</w:t>
                  </w:r>
                </w:p>
              </w:tc>
              <w:tc>
                <w:tcPr>
                  <w:tcW w:w="4977" w:type="dxa"/>
                  <w:vMerge w:val="continue"/>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rPr>
                  </w:pPr>
                </w:p>
              </w:tc>
              <w:tc>
                <w:tcPr>
                  <w:tcW w:w="773"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监测</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kern w:val="0"/>
                      <w:sz w:val="21"/>
                      <w:szCs w:val="21"/>
                      <w:highlight w:val="none"/>
                      <w:lang w:val="en-US" w:eastAsia="zh-CN" w:bidi="ar"/>
                    </w:rPr>
                    <w:t>因子</w:t>
                  </w:r>
                </w:p>
              </w:tc>
              <w:tc>
                <w:tcPr>
                  <w:tcW w:w="784"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监测</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rPr>
                  </w:pPr>
                  <w:r>
                    <w:rPr>
                      <w:rFonts w:hint="default" w:ascii="Times New Roman" w:hAnsi="Times New Roman" w:eastAsia="宋体" w:cs="Times New Roman"/>
                      <w:b/>
                      <w:bCs/>
                      <w:color w:val="auto"/>
                      <w:kern w:val="0"/>
                      <w:sz w:val="21"/>
                      <w:szCs w:val="21"/>
                      <w:highlight w:val="none"/>
                      <w:lang w:val="en-US" w:eastAsia="zh-CN" w:bidi="ar"/>
                    </w:rPr>
                    <w:t>点位</w:t>
                  </w:r>
                </w:p>
              </w:tc>
              <w:tc>
                <w:tcPr>
                  <w:tcW w:w="587" w:type="dxa"/>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监测</w:t>
                  </w:r>
                </w:p>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频次</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86" w:type="dxa"/>
                <w:trHeight w:val="541" w:hRule="atLeast"/>
                <w:jc w:val="center"/>
              </w:trPr>
              <w:tc>
                <w:tcPr>
                  <w:tcW w:w="1144" w:type="dxa"/>
                  <w:tcBorders>
                    <w:tl2br w:val="nil"/>
                    <w:tr2bl w:val="nil"/>
                  </w:tcBorders>
                  <w:noWrap w:val="0"/>
                  <w:tcMar>
                    <w:top w:w="0" w:type="dxa"/>
                    <w:left w:w="11" w:type="dxa"/>
                    <w:bottom w:w="0" w:type="dxa"/>
                    <w:right w:w="11" w:type="dxa"/>
                  </w:tcMar>
                  <w:vAlign w:val="center"/>
                </w:tcPr>
                <w:p>
                  <w:pPr>
                    <w:pStyle w:val="9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olor w:val="auto"/>
                      <w:sz w:val="21"/>
                      <w:szCs w:val="21"/>
                      <w:highlight w:val="none"/>
                      <w:lang w:val="en-US" w:eastAsia="zh-CN"/>
                    </w:rPr>
                  </w:pPr>
                  <w:r>
                    <w:rPr>
                      <w:rFonts w:hint="eastAsia"/>
                      <w:color w:val="auto"/>
                      <w:sz w:val="21"/>
                      <w:szCs w:val="21"/>
                      <w:highlight w:val="none"/>
                      <w:lang w:val="en-US" w:eastAsia="zh-CN"/>
                    </w:rPr>
                    <w:t>熔化、浇注废气排放口</w:t>
                  </w:r>
                </w:p>
              </w:tc>
              <w:tc>
                <w:tcPr>
                  <w:tcW w:w="668"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lang w:val="en-US" w:eastAsia="zh-CN" w:bidi="ar"/>
                    </w:rPr>
                    <w:t>DA00</w:t>
                  </w:r>
                  <w:r>
                    <w:rPr>
                      <w:rFonts w:hint="eastAsia" w:cs="Times New Roman"/>
                      <w:color w:val="auto"/>
                      <w:kern w:val="0"/>
                      <w:sz w:val="21"/>
                      <w:szCs w:val="21"/>
                      <w:lang w:val="en-US" w:eastAsia="zh-CN" w:bidi="ar"/>
                    </w:rPr>
                    <w:t>1</w:t>
                  </w:r>
                </w:p>
              </w:tc>
              <w:tc>
                <w:tcPr>
                  <w:tcW w:w="764" w:type="dxa"/>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eastAsia" w:ascii="Times New Roman" w:eastAsia="宋体" w:cs="Times New Roman"/>
                      <w:color w:val="auto"/>
                      <w:sz w:val="21"/>
                      <w:szCs w:val="21"/>
                      <w:highlight w:val="none"/>
                      <w:vertAlign w:val="baseline"/>
                      <w:lang w:val="en-US" w:eastAsia="zh-CN"/>
                    </w:rPr>
                  </w:pPr>
                  <w:r>
                    <w:rPr>
                      <w:rFonts w:hint="eastAsia" w:ascii="Times New Roman" w:eastAsia="宋体" w:cs="Times New Roman"/>
                      <w:color w:val="auto"/>
                      <w:sz w:val="21"/>
                      <w:szCs w:val="21"/>
                      <w:vertAlign w:val="baseline"/>
                      <w:lang w:val="en-US" w:eastAsia="zh-CN"/>
                    </w:rPr>
                    <w:t>20000</w:t>
                  </w:r>
                </w:p>
              </w:tc>
              <w:tc>
                <w:tcPr>
                  <w:tcW w:w="859" w:type="dxa"/>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545" w:type="dxa"/>
                  <w:gridSpan w:val="2"/>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vertAlign w:val="baseline"/>
                      <w:lang w:val="en-US" w:eastAsia="zh-CN"/>
                    </w:rPr>
                    <w:t>0.5</w:t>
                  </w:r>
                </w:p>
              </w:tc>
              <w:tc>
                <w:tcPr>
                  <w:tcW w:w="911" w:type="dxa"/>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vertAlign w:val="baseline"/>
                      <w:lang w:val="en-US" w:eastAsia="zh-CN"/>
                    </w:rPr>
                    <w:t>4</w:t>
                  </w:r>
                  <w:r>
                    <w:rPr>
                      <w:rFonts w:hint="eastAsia" w:ascii="Times New Roman" w:eastAsia="宋体" w:cs="Times New Roman"/>
                      <w:color w:val="auto"/>
                      <w:sz w:val="21"/>
                      <w:szCs w:val="21"/>
                      <w:vertAlign w:val="baseline"/>
                      <w:lang w:val="en-US" w:eastAsia="zh-CN"/>
                    </w:rPr>
                    <w:t>0</w:t>
                  </w:r>
                </w:p>
              </w:tc>
              <w:tc>
                <w:tcPr>
                  <w:tcW w:w="442" w:type="dxa"/>
                  <w:vMerge w:val="continue"/>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798" w:type="dxa"/>
                  <w:tcBorders>
                    <w:tl2br w:val="nil"/>
                    <w:tr2bl w:val="nil"/>
                  </w:tcBorders>
                  <w:noWrap w:val="0"/>
                  <w:tcMar>
                    <w:top w:w="0" w:type="dxa"/>
                    <w:left w:w="11" w:type="dxa"/>
                    <w:bottom w:w="0" w:type="dxa"/>
                    <w:right w:w="11" w:type="dxa"/>
                  </w:tcMar>
                  <w:vAlign w:val="center"/>
                </w:tcPr>
                <w:p>
                  <w:pPr>
                    <w:pStyle w:val="24"/>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118°21′6.823″</w:t>
                  </w:r>
                </w:p>
              </w:tc>
              <w:tc>
                <w:tcPr>
                  <w:tcW w:w="846" w:type="dxa"/>
                  <w:tcBorders>
                    <w:tl2br w:val="nil"/>
                    <w:tr2bl w:val="nil"/>
                  </w:tcBorders>
                  <w:noWrap w:val="0"/>
                  <w:tcMar>
                    <w:top w:w="0" w:type="dxa"/>
                    <w:left w:w="11" w:type="dxa"/>
                    <w:bottom w:w="0" w:type="dxa"/>
                    <w:right w:w="11" w:type="dxa"/>
                  </w:tcMar>
                  <w:vAlign w:val="center"/>
                </w:tcPr>
                <w:p>
                  <w:pPr>
                    <w:pStyle w:val="24"/>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25°1′1.304″</w:t>
                  </w:r>
                </w:p>
              </w:tc>
              <w:tc>
                <w:tcPr>
                  <w:tcW w:w="4977" w:type="dxa"/>
                  <w:tcBorders>
                    <w:tl2br w:val="nil"/>
                    <w:tr2bl w:val="nil"/>
                  </w:tcBorders>
                  <w:noWrap w:val="0"/>
                  <w:tcMar>
                    <w:top w:w="0" w:type="dxa"/>
                    <w:left w:w="11" w:type="dxa"/>
                    <w:bottom w:w="0" w:type="dxa"/>
                    <w:right w:w="11" w:type="dxa"/>
                  </w:tcMar>
                  <w:vAlign w:val="center"/>
                </w:tcPr>
                <w:p>
                  <w:pPr>
                    <w:pStyle w:val="24"/>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lang w:val="en-US" w:eastAsia="zh-CN" w:bidi="ar"/>
                    </w:rPr>
                    <w:t>执行《铸造工业大气污染物排放标准》（GB39726-2020）表1标准限值</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颗粒物</w:t>
                  </w:r>
                  <w:r>
                    <w:rPr>
                      <w:rFonts w:hint="default" w:ascii="Times New Roman" w:hAnsi="Times New Roman" w:eastAsia="宋体" w:cs="Times New Roman"/>
                      <w:color w:val="auto"/>
                      <w:kern w:val="0"/>
                      <w:sz w:val="21"/>
                      <w:szCs w:val="21"/>
                      <w:lang w:val="en-US" w:eastAsia="zh-CN" w:bidi="ar"/>
                    </w:rPr>
                    <w:t>≤30mg/m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非甲烷总烃</w:t>
                  </w:r>
                  <w:r>
                    <w:rPr>
                      <w:rFonts w:hint="default" w:ascii="Times New Roman" w:hAnsi="Times New Roman" w:eastAsia="宋体" w:cs="Times New Roman"/>
                      <w:color w:val="auto"/>
                      <w:kern w:val="0"/>
                      <w:sz w:val="21"/>
                      <w:szCs w:val="21"/>
                      <w:lang w:val="en-US" w:eastAsia="zh-CN" w:bidi="ar"/>
                    </w:rPr>
                    <w:t>≤100mg/m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sz w:val="21"/>
                      <w:szCs w:val="21"/>
                      <w:lang w:eastAsia="zh-CN"/>
                    </w:rPr>
                    <w:t>）</w:t>
                  </w:r>
                </w:p>
              </w:tc>
              <w:tc>
                <w:tcPr>
                  <w:tcW w:w="773"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lang w:val="en-US" w:eastAsia="zh-CN" w:bidi="ar"/>
                    </w:rPr>
                    <w:t>颗粒物、</w:t>
                  </w:r>
                  <w:r>
                    <w:rPr>
                      <w:rFonts w:hint="eastAsia" w:ascii="宋体" w:hAnsi="宋体" w:eastAsia="宋体" w:cs="宋体"/>
                      <w:color w:val="auto"/>
                      <w:kern w:val="0"/>
                      <w:sz w:val="21"/>
                      <w:szCs w:val="21"/>
                      <w:lang w:val="en-US" w:eastAsia="zh-CN" w:bidi="ar"/>
                    </w:rPr>
                    <w:t>非甲烷总烃</w:t>
                  </w:r>
                </w:p>
              </w:tc>
              <w:tc>
                <w:tcPr>
                  <w:tcW w:w="784"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lang w:val="en-US" w:eastAsia="zh-CN" w:bidi="ar"/>
                    </w:rPr>
                    <w:t>排气筒</w:t>
                  </w:r>
                </w:p>
              </w:tc>
              <w:tc>
                <w:tcPr>
                  <w:tcW w:w="587"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lang w:val="en-US" w:eastAsia="zh-CN" w:bidi="ar"/>
                    </w:rPr>
                    <w:t>1次/年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86" w:type="dxa"/>
                <w:trHeight w:val="541" w:hRule="atLeast"/>
                <w:jc w:val="center"/>
              </w:trPr>
              <w:tc>
                <w:tcPr>
                  <w:tcW w:w="1144" w:type="dxa"/>
                  <w:tcBorders>
                    <w:tl2br w:val="nil"/>
                    <w:tr2bl w:val="nil"/>
                  </w:tcBorders>
                  <w:noWrap w:val="0"/>
                  <w:tcMar>
                    <w:top w:w="0" w:type="dxa"/>
                    <w:left w:w="11" w:type="dxa"/>
                    <w:bottom w:w="0" w:type="dxa"/>
                    <w:right w:w="11" w:type="dxa"/>
                  </w:tcMar>
                  <w:vAlign w:val="center"/>
                </w:tcPr>
                <w:p>
                  <w:pPr>
                    <w:pStyle w:val="9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olor w:val="auto"/>
                      <w:sz w:val="21"/>
                      <w:szCs w:val="21"/>
                      <w:highlight w:val="none"/>
                      <w:lang w:val="en-US" w:eastAsia="zh-CN"/>
                    </w:rPr>
                  </w:pPr>
                  <w:r>
                    <w:rPr>
                      <w:rFonts w:hint="default"/>
                      <w:color w:val="auto"/>
                      <w:sz w:val="21"/>
                      <w:szCs w:val="21"/>
                      <w:highlight w:val="none"/>
                      <w:lang w:val="en-US" w:eastAsia="zh-CN"/>
                    </w:rPr>
                    <w:t>搅砂制芯</w:t>
                  </w:r>
                  <w:r>
                    <w:rPr>
                      <w:rFonts w:hint="eastAsia"/>
                      <w:color w:val="auto"/>
                      <w:sz w:val="21"/>
                      <w:szCs w:val="21"/>
                      <w:highlight w:val="none"/>
                      <w:lang w:val="en-US" w:eastAsia="zh-CN"/>
                    </w:rPr>
                    <w:t>废气排放口</w:t>
                  </w:r>
                </w:p>
              </w:tc>
              <w:tc>
                <w:tcPr>
                  <w:tcW w:w="668"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lang w:val="en-US" w:eastAsia="zh-CN" w:bidi="ar"/>
                    </w:rPr>
                    <w:t>DA00</w:t>
                  </w:r>
                  <w:r>
                    <w:rPr>
                      <w:rFonts w:hint="eastAsia" w:cs="Times New Roman"/>
                      <w:color w:val="auto"/>
                      <w:kern w:val="0"/>
                      <w:sz w:val="21"/>
                      <w:szCs w:val="21"/>
                      <w:lang w:val="en-US" w:eastAsia="zh-CN" w:bidi="ar"/>
                    </w:rPr>
                    <w:t>2</w:t>
                  </w:r>
                </w:p>
              </w:tc>
              <w:tc>
                <w:tcPr>
                  <w:tcW w:w="764" w:type="dxa"/>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eastAsia" w:ascii="Times New Roman" w:eastAsia="宋体" w:cs="Times New Roman"/>
                      <w:color w:val="auto"/>
                      <w:sz w:val="21"/>
                      <w:szCs w:val="21"/>
                      <w:highlight w:val="none"/>
                      <w:vertAlign w:val="baseline"/>
                      <w:lang w:val="en-US" w:eastAsia="zh-CN"/>
                    </w:rPr>
                  </w:pPr>
                  <w:r>
                    <w:rPr>
                      <w:rFonts w:hint="eastAsia" w:ascii="Times New Roman" w:eastAsia="宋体" w:cs="Times New Roman"/>
                      <w:color w:val="auto"/>
                      <w:sz w:val="21"/>
                      <w:szCs w:val="21"/>
                      <w:vertAlign w:val="baseline"/>
                      <w:lang w:val="en-US" w:eastAsia="zh-CN"/>
                    </w:rPr>
                    <w:t>10000</w:t>
                  </w:r>
                </w:p>
              </w:tc>
              <w:tc>
                <w:tcPr>
                  <w:tcW w:w="859" w:type="dxa"/>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545" w:type="dxa"/>
                  <w:gridSpan w:val="2"/>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eastAsia="宋体" w:cs="Times New Roman"/>
                      <w:color w:val="auto"/>
                      <w:sz w:val="21"/>
                      <w:szCs w:val="21"/>
                      <w:vertAlign w:val="baseline"/>
                      <w:lang w:val="en-US" w:eastAsia="zh-CN"/>
                    </w:rPr>
                    <w:t>0.5</w:t>
                  </w:r>
                </w:p>
              </w:tc>
              <w:tc>
                <w:tcPr>
                  <w:tcW w:w="911"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lang w:val="en-US" w:eastAsia="zh-CN" w:bidi="ar"/>
                    </w:rPr>
                    <w:t>4</w:t>
                  </w:r>
                  <w:r>
                    <w:rPr>
                      <w:rFonts w:hint="eastAsia" w:cs="Times New Roman"/>
                      <w:color w:val="auto"/>
                      <w:kern w:val="0"/>
                      <w:sz w:val="21"/>
                      <w:szCs w:val="21"/>
                      <w:lang w:val="en-US" w:eastAsia="zh-CN" w:bidi="ar"/>
                    </w:rPr>
                    <w:t>0</w:t>
                  </w:r>
                </w:p>
              </w:tc>
              <w:tc>
                <w:tcPr>
                  <w:tcW w:w="442" w:type="dxa"/>
                  <w:vMerge w:val="continue"/>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798" w:type="dxa"/>
                  <w:tcBorders>
                    <w:tl2br w:val="nil"/>
                    <w:tr2bl w:val="nil"/>
                  </w:tcBorders>
                  <w:noWrap w:val="0"/>
                  <w:tcMar>
                    <w:top w:w="0" w:type="dxa"/>
                    <w:left w:w="11" w:type="dxa"/>
                    <w:bottom w:w="0" w:type="dxa"/>
                    <w:right w:w="11" w:type="dxa"/>
                  </w:tcMar>
                  <w:vAlign w:val="center"/>
                </w:tcPr>
                <w:p>
                  <w:pPr>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118°21′7.170″</w:t>
                  </w:r>
                </w:p>
              </w:tc>
              <w:tc>
                <w:tcPr>
                  <w:tcW w:w="846" w:type="dxa"/>
                  <w:tcBorders>
                    <w:tl2br w:val="nil"/>
                    <w:tr2bl w:val="nil"/>
                  </w:tcBorders>
                  <w:noWrap w:val="0"/>
                  <w:tcMar>
                    <w:top w:w="0" w:type="dxa"/>
                    <w:left w:w="11" w:type="dxa"/>
                    <w:bottom w:w="0" w:type="dxa"/>
                    <w:right w:w="11" w:type="dxa"/>
                  </w:tcMar>
                  <w:vAlign w:val="center"/>
                </w:tcPr>
                <w:p>
                  <w:pPr>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25°0′59.837″</w:t>
                  </w:r>
                </w:p>
              </w:tc>
              <w:tc>
                <w:tcPr>
                  <w:tcW w:w="4977" w:type="dxa"/>
                  <w:tcBorders>
                    <w:tl2br w:val="nil"/>
                    <w:tr2bl w:val="nil"/>
                  </w:tcBorders>
                  <w:noWrap w:val="0"/>
                  <w:tcMar>
                    <w:top w:w="0" w:type="dxa"/>
                    <w:left w:w="11" w:type="dxa"/>
                    <w:bottom w:w="0" w:type="dxa"/>
                    <w:right w:w="11" w:type="dxa"/>
                  </w:tcMar>
                  <w:vAlign w:val="center"/>
                </w:tcPr>
                <w:p>
                  <w:pPr>
                    <w:pStyle w:val="24"/>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lang w:val="en-US" w:eastAsia="zh-CN" w:bidi="ar"/>
                    </w:rPr>
                    <w:t>执行《铸造工业大气污染物排放标准》（GB39726-2020）表1标准限值</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颗粒物</w:t>
                  </w:r>
                  <w:r>
                    <w:rPr>
                      <w:rFonts w:hint="default" w:ascii="Times New Roman" w:hAnsi="Times New Roman" w:eastAsia="宋体" w:cs="Times New Roman"/>
                      <w:color w:val="auto"/>
                      <w:kern w:val="0"/>
                      <w:sz w:val="21"/>
                      <w:szCs w:val="21"/>
                      <w:lang w:val="en-US" w:eastAsia="zh-CN" w:bidi="ar"/>
                    </w:rPr>
                    <w:t>≤30mg/m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非甲烷总烃</w:t>
                  </w:r>
                  <w:r>
                    <w:rPr>
                      <w:rFonts w:hint="default" w:ascii="Times New Roman" w:hAnsi="Times New Roman" w:eastAsia="宋体" w:cs="Times New Roman"/>
                      <w:color w:val="auto"/>
                      <w:kern w:val="0"/>
                      <w:sz w:val="21"/>
                      <w:szCs w:val="21"/>
                      <w:lang w:val="en-US" w:eastAsia="zh-CN" w:bidi="ar"/>
                    </w:rPr>
                    <w:t>≤100mg/m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sz w:val="21"/>
                      <w:szCs w:val="21"/>
                      <w:lang w:eastAsia="zh-CN"/>
                    </w:rPr>
                    <w:t>）</w:t>
                  </w:r>
                </w:p>
              </w:tc>
              <w:tc>
                <w:tcPr>
                  <w:tcW w:w="773"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lang w:val="en-US" w:eastAsia="zh-CN" w:bidi="ar"/>
                    </w:rPr>
                    <w:t>颗粒物、</w:t>
                  </w:r>
                  <w:r>
                    <w:rPr>
                      <w:rFonts w:hint="eastAsia" w:ascii="宋体" w:hAnsi="宋体" w:eastAsia="宋体" w:cs="宋体"/>
                      <w:color w:val="auto"/>
                      <w:kern w:val="0"/>
                      <w:sz w:val="21"/>
                      <w:szCs w:val="21"/>
                      <w:lang w:val="en-US" w:eastAsia="zh-CN" w:bidi="ar"/>
                    </w:rPr>
                    <w:t>非甲烷总烃</w:t>
                  </w:r>
                </w:p>
              </w:tc>
              <w:tc>
                <w:tcPr>
                  <w:tcW w:w="784"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lang w:val="en-US" w:eastAsia="zh-CN" w:bidi="ar"/>
                    </w:rPr>
                    <w:t>进出口</w:t>
                  </w:r>
                </w:p>
              </w:tc>
              <w:tc>
                <w:tcPr>
                  <w:tcW w:w="587"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lang w:val="en-US" w:eastAsia="zh-CN" w:bidi="ar"/>
                    </w:rPr>
                    <w:t>1次/年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86" w:type="dxa"/>
                <w:trHeight w:val="186" w:hRule="atLeast"/>
                <w:jc w:val="center"/>
              </w:trPr>
              <w:tc>
                <w:tcPr>
                  <w:tcW w:w="1144" w:type="dxa"/>
                  <w:tcBorders>
                    <w:tl2br w:val="nil"/>
                    <w:tr2bl w:val="nil"/>
                  </w:tcBorders>
                  <w:noWrap w:val="0"/>
                  <w:tcMar>
                    <w:top w:w="0" w:type="dxa"/>
                    <w:left w:w="11" w:type="dxa"/>
                    <w:bottom w:w="0" w:type="dxa"/>
                    <w:right w:w="11" w:type="dxa"/>
                  </w:tcMar>
                  <w:vAlign w:val="center"/>
                </w:tcPr>
                <w:p>
                  <w:pPr>
                    <w:pStyle w:val="2"/>
                    <w:keepNext w:val="0"/>
                    <w:keepLines w:val="0"/>
                    <w:pageBreakBefore w:val="0"/>
                    <w:numPr>
                      <w:ilvl w:val="0"/>
                      <w:numId w:val="0"/>
                    </w:numP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落砂</w:t>
                  </w:r>
                  <w:r>
                    <w:rPr>
                      <w:rFonts w:hint="default" w:ascii="Times New Roman" w:hAnsi="Times New Roman" w:cs="Times New Roman"/>
                      <w:color w:val="auto"/>
                      <w:kern w:val="0"/>
                      <w:sz w:val="21"/>
                      <w:szCs w:val="21"/>
                      <w:highlight w:val="none"/>
                      <w:lang w:val="en-US" w:eastAsia="zh-CN" w:bidi="ar"/>
                    </w:rPr>
                    <w:t>、</w:t>
                  </w:r>
                  <w:r>
                    <w:rPr>
                      <w:rFonts w:hint="default" w:ascii="Times New Roman" w:hAnsi="Times New Roman" w:eastAsia="宋体" w:cs="Times New Roman"/>
                      <w:color w:val="auto"/>
                      <w:sz w:val="21"/>
                      <w:szCs w:val="21"/>
                      <w:highlight w:val="none"/>
                      <w:lang w:val="en-US" w:eastAsia="zh-CN"/>
                    </w:rPr>
                    <w:t>压铸、</w:t>
                  </w:r>
                </w:p>
                <w:p>
                  <w:pPr>
                    <w:pStyle w:val="2"/>
                    <w:keepNext w:val="0"/>
                    <w:keepLines w:val="0"/>
                    <w:pageBreakBefore w:val="0"/>
                    <w:numPr>
                      <w:ilvl w:val="0"/>
                      <w:numId w:val="0"/>
                    </w:numPr>
                    <w:kinsoku/>
                    <w:wordWrap/>
                    <w:overflowPunct/>
                    <w:topLinePunct w:val="0"/>
                    <w:bidi w:val="0"/>
                    <w:adjustRightInd w:val="0"/>
                    <w:snapToGrid w:val="0"/>
                    <w:spacing w:line="240" w:lineRule="auto"/>
                    <w:jc w:val="center"/>
                    <w:textAlignment w:val="auto"/>
                    <w:rPr>
                      <w:rFonts w:hint="default" w:ascii="Times New Roman" w:hAnsi="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锻造废气排</w:t>
                  </w:r>
                  <w:r>
                    <w:rPr>
                      <w:rFonts w:hint="eastAsia" w:ascii="Times New Roman" w:eastAsia="宋体" w:cs="Times New Roman"/>
                      <w:color w:val="auto"/>
                      <w:sz w:val="21"/>
                      <w:szCs w:val="21"/>
                      <w:highlight w:val="none"/>
                      <w:lang w:val="en-US" w:eastAsia="zh-CN"/>
                    </w:rPr>
                    <w:t>放口</w:t>
                  </w:r>
                </w:p>
              </w:tc>
              <w:tc>
                <w:tcPr>
                  <w:tcW w:w="668"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lang w:val="en-US" w:eastAsia="zh-CN" w:bidi="ar"/>
                    </w:rPr>
                    <w:t>DA00</w:t>
                  </w:r>
                  <w:r>
                    <w:rPr>
                      <w:rFonts w:hint="eastAsia" w:cs="Times New Roman"/>
                      <w:color w:val="auto"/>
                      <w:kern w:val="0"/>
                      <w:sz w:val="21"/>
                      <w:szCs w:val="21"/>
                      <w:lang w:val="en-US" w:eastAsia="zh-CN" w:bidi="ar"/>
                    </w:rPr>
                    <w:t>3</w:t>
                  </w:r>
                </w:p>
              </w:tc>
              <w:tc>
                <w:tcPr>
                  <w:tcW w:w="764" w:type="dxa"/>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eastAsia" w:ascii="Times New Roman" w:eastAsia="宋体" w:cs="Times New Roman"/>
                      <w:color w:val="auto"/>
                      <w:sz w:val="21"/>
                      <w:szCs w:val="21"/>
                      <w:highlight w:val="none"/>
                      <w:vertAlign w:val="baseline"/>
                      <w:lang w:val="en-US" w:eastAsia="zh-CN"/>
                    </w:rPr>
                  </w:pPr>
                  <w:r>
                    <w:rPr>
                      <w:rFonts w:hint="eastAsia" w:ascii="Times New Roman" w:eastAsia="宋体" w:cs="Times New Roman"/>
                      <w:color w:val="auto"/>
                      <w:sz w:val="21"/>
                      <w:szCs w:val="21"/>
                      <w:vertAlign w:val="baseline"/>
                      <w:lang w:val="en-US" w:eastAsia="zh-CN"/>
                    </w:rPr>
                    <w:t>45000</w:t>
                  </w:r>
                </w:p>
              </w:tc>
              <w:tc>
                <w:tcPr>
                  <w:tcW w:w="859" w:type="dxa"/>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545" w:type="dxa"/>
                  <w:gridSpan w:val="2"/>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eastAsia="宋体" w:cs="Times New Roman"/>
                      <w:color w:val="auto"/>
                      <w:sz w:val="21"/>
                      <w:szCs w:val="21"/>
                      <w:vertAlign w:val="baseline"/>
                      <w:lang w:val="en-US" w:eastAsia="zh-CN"/>
                    </w:rPr>
                    <w:t>0.5</w:t>
                  </w:r>
                </w:p>
              </w:tc>
              <w:tc>
                <w:tcPr>
                  <w:tcW w:w="911"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kern w:val="0"/>
                      <w:sz w:val="21"/>
                      <w:szCs w:val="21"/>
                      <w:lang w:val="en-US" w:eastAsia="zh-CN" w:bidi="ar"/>
                    </w:rPr>
                    <w:t>40</w:t>
                  </w:r>
                </w:p>
              </w:tc>
              <w:tc>
                <w:tcPr>
                  <w:tcW w:w="442" w:type="dxa"/>
                  <w:vMerge w:val="continue"/>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798" w:type="dxa"/>
                  <w:tcBorders>
                    <w:tl2br w:val="nil"/>
                    <w:tr2bl w:val="nil"/>
                  </w:tcBorders>
                  <w:noWrap w:val="0"/>
                  <w:tcMar>
                    <w:top w:w="0" w:type="dxa"/>
                    <w:left w:w="11" w:type="dxa"/>
                    <w:bottom w:w="0" w:type="dxa"/>
                    <w:right w:w="11" w:type="dxa"/>
                  </w:tcMar>
                  <w:vAlign w:val="center"/>
                </w:tcPr>
                <w:p>
                  <w:pPr>
                    <w:pStyle w:val="24"/>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118°21′7.05426″</w:t>
                  </w:r>
                </w:p>
              </w:tc>
              <w:tc>
                <w:tcPr>
                  <w:tcW w:w="846" w:type="dxa"/>
                  <w:tcBorders>
                    <w:tl2br w:val="nil"/>
                    <w:tr2bl w:val="nil"/>
                  </w:tcBorders>
                  <w:noWrap w:val="0"/>
                  <w:tcMar>
                    <w:top w:w="0" w:type="dxa"/>
                    <w:left w:w="11" w:type="dxa"/>
                    <w:bottom w:w="0" w:type="dxa"/>
                    <w:right w:w="11" w:type="dxa"/>
                  </w:tcMar>
                  <w:vAlign w:val="center"/>
                </w:tcPr>
                <w:p>
                  <w:pPr>
                    <w:pStyle w:val="24"/>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25°1′0.648″</w:t>
                  </w:r>
                </w:p>
              </w:tc>
              <w:tc>
                <w:tcPr>
                  <w:tcW w:w="4977" w:type="dxa"/>
                  <w:tcBorders>
                    <w:tl2br w:val="nil"/>
                    <w:tr2bl w:val="nil"/>
                  </w:tcBorders>
                  <w:noWrap w:val="0"/>
                  <w:tcMar>
                    <w:top w:w="0" w:type="dxa"/>
                    <w:left w:w="11" w:type="dxa"/>
                    <w:bottom w:w="0" w:type="dxa"/>
                    <w:right w:w="11" w:type="dxa"/>
                  </w:tcMar>
                  <w:vAlign w:val="center"/>
                </w:tcPr>
                <w:p>
                  <w:pPr>
                    <w:pStyle w:val="24"/>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宋体" w:hAnsi="宋体" w:cs="宋体"/>
                      <w:color w:val="auto"/>
                      <w:kern w:val="0"/>
                      <w:sz w:val="21"/>
                      <w:szCs w:val="21"/>
                      <w:lang w:val="en-US" w:eastAsia="zh-CN" w:bidi="ar"/>
                    </w:rPr>
                    <w:t>执行</w:t>
                  </w:r>
                  <w:r>
                    <w:rPr>
                      <w:rFonts w:hint="eastAsia" w:ascii="宋体" w:hAnsi="宋体" w:eastAsia="宋体" w:cs="宋体"/>
                      <w:color w:val="auto"/>
                      <w:kern w:val="0"/>
                      <w:sz w:val="21"/>
                      <w:szCs w:val="21"/>
                      <w:lang w:val="en-US" w:eastAsia="zh-CN" w:bidi="ar"/>
                    </w:rPr>
                    <w:t>《铸造工业大气污染物排放标准》（</w:t>
                  </w:r>
                  <w:r>
                    <w:rPr>
                      <w:rFonts w:hint="default" w:ascii="Times New Roman" w:hAnsi="Times New Roman" w:eastAsia="宋体" w:cs="Times New Roman"/>
                      <w:color w:val="auto"/>
                      <w:kern w:val="0"/>
                      <w:sz w:val="21"/>
                      <w:szCs w:val="21"/>
                      <w:lang w:val="en-US" w:eastAsia="zh-CN" w:bidi="ar"/>
                    </w:rPr>
                    <w:t>GB39726-2020</w:t>
                  </w:r>
                  <w:r>
                    <w:rPr>
                      <w:rFonts w:hint="eastAsia" w:ascii="宋体" w:hAnsi="宋体" w:eastAsia="宋体" w:cs="宋体"/>
                      <w:color w:val="auto"/>
                      <w:kern w:val="0"/>
                      <w:sz w:val="21"/>
                      <w:szCs w:val="21"/>
                      <w:lang w:val="en-US" w:eastAsia="zh-CN" w:bidi="ar"/>
                    </w:rPr>
                    <w:t>）表</w:t>
                  </w:r>
                  <w:r>
                    <w:rPr>
                      <w:rFonts w:hint="default" w:ascii="Times New Roman" w:hAnsi="Times New Roman" w:eastAsia="宋体" w:cs="Times New Roman"/>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标准限值</w:t>
                  </w:r>
                  <w:r>
                    <w:rPr>
                      <w:rFonts w:hint="eastAsia"/>
                      <w:color w:val="auto"/>
                      <w:sz w:val="21"/>
                      <w:szCs w:val="21"/>
                      <w:lang w:eastAsia="zh-CN"/>
                    </w:rPr>
                    <w:t>（</w:t>
                  </w:r>
                  <w:r>
                    <w:rPr>
                      <w:rFonts w:hint="default" w:ascii="Times New Roman" w:hAnsi="Times New Roman" w:eastAsia="宋体" w:cs="Times New Roman"/>
                      <w:color w:val="auto"/>
                      <w:kern w:val="0"/>
                      <w:sz w:val="21"/>
                      <w:szCs w:val="21"/>
                      <w:lang w:val="en-US" w:eastAsia="zh-CN" w:bidi="ar"/>
                    </w:rPr>
                    <w:t>≤</w:t>
                  </w:r>
                  <w:r>
                    <w:rPr>
                      <w:rFonts w:hint="eastAsia" w:cs="Times New Roman"/>
                      <w:color w:val="auto"/>
                      <w:kern w:val="0"/>
                      <w:sz w:val="21"/>
                      <w:szCs w:val="21"/>
                      <w:lang w:val="en-US" w:eastAsia="zh-CN" w:bidi="ar"/>
                    </w:rPr>
                    <w:t>3</w:t>
                  </w:r>
                  <w:r>
                    <w:rPr>
                      <w:rFonts w:hint="default" w:ascii="Times New Roman" w:hAnsi="Times New Roman" w:eastAsia="宋体" w:cs="Times New Roman"/>
                      <w:color w:val="auto"/>
                      <w:kern w:val="0"/>
                      <w:sz w:val="21"/>
                      <w:szCs w:val="21"/>
                      <w:lang w:val="en-US" w:eastAsia="zh-CN" w:bidi="ar"/>
                    </w:rPr>
                    <w:t>0mg/m</w:t>
                  </w:r>
                  <w:r>
                    <w:rPr>
                      <w:rFonts w:hint="default" w:ascii="Times New Roman" w:hAnsi="Times New Roman" w:eastAsia="宋体" w:cs="Times New Roman"/>
                      <w:color w:val="auto"/>
                      <w:kern w:val="0"/>
                      <w:sz w:val="21"/>
                      <w:szCs w:val="21"/>
                      <w:vertAlign w:val="superscript"/>
                      <w:lang w:val="en-US" w:eastAsia="zh-CN" w:bidi="ar"/>
                    </w:rPr>
                    <w:t>3</w:t>
                  </w:r>
                  <w:r>
                    <w:rPr>
                      <w:rFonts w:hint="eastAsia"/>
                      <w:color w:val="auto"/>
                      <w:sz w:val="21"/>
                      <w:szCs w:val="21"/>
                      <w:lang w:eastAsia="zh-CN"/>
                    </w:rPr>
                    <w:t>）</w:t>
                  </w:r>
                </w:p>
              </w:tc>
              <w:tc>
                <w:tcPr>
                  <w:tcW w:w="773"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lang w:val="en-US" w:eastAsia="zh-CN" w:bidi="ar"/>
                    </w:rPr>
                    <w:t>颗粒物</w:t>
                  </w:r>
                </w:p>
              </w:tc>
              <w:tc>
                <w:tcPr>
                  <w:tcW w:w="784"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lang w:val="en-US" w:eastAsia="zh-CN" w:bidi="ar"/>
                    </w:rPr>
                    <w:t>排气筒</w:t>
                  </w:r>
                </w:p>
              </w:tc>
              <w:tc>
                <w:tcPr>
                  <w:tcW w:w="587"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lang w:val="en-US" w:eastAsia="zh-CN" w:bidi="ar"/>
                    </w:rPr>
                    <w:t>1次/年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86" w:type="dxa"/>
                <w:trHeight w:val="541" w:hRule="atLeast"/>
                <w:jc w:val="center"/>
              </w:trPr>
              <w:tc>
                <w:tcPr>
                  <w:tcW w:w="1144"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olor w:val="auto"/>
                      <w:sz w:val="21"/>
                      <w:szCs w:val="21"/>
                      <w:highlight w:val="none"/>
                      <w:lang w:val="en-US" w:eastAsia="zh-CN"/>
                    </w:rPr>
                  </w:pPr>
                  <w:r>
                    <w:rPr>
                      <w:rFonts w:hint="default" w:ascii="Times New Roman" w:hAnsi="Times New Roman" w:eastAsia="宋体" w:cs="Times New Roman"/>
                      <w:color w:val="auto"/>
                      <w:kern w:val="0"/>
                      <w:sz w:val="21"/>
                      <w:szCs w:val="21"/>
                      <w:lang w:val="en-US" w:eastAsia="zh-CN" w:bidi="ar"/>
                    </w:rPr>
                    <w:t>抛光</w:t>
                  </w:r>
                  <w:r>
                    <w:rPr>
                      <w:rFonts w:hint="eastAsia" w:cs="Times New Roman"/>
                      <w:color w:val="auto"/>
                      <w:kern w:val="0"/>
                      <w:sz w:val="21"/>
                      <w:szCs w:val="21"/>
                      <w:lang w:val="en-US" w:eastAsia="zh-CN" w:bidi="ar"/>
                    </w:rPr>
                    <w:t>、</w:t>
                  </w:r>
                  <w:r>
                    <w:rPr>
                      <w:rFonts w:hint="eastAsia"/>
                      <w:color w:val="auto"/>
                      <w:sz w:val="21"/>
                      <w:szCs w:val="21"/>
                      <w:highlight w:val="none"/>
                      <w:lang w:val="en-US" w:eastAsia="zh-CN"/>
                    </w:rPr>
                    <w:t>抛丸废气排放口</w:t>
                  </w:r>
                </w:p>
              </w:tc>
              <w:tc>
                <w:tcPr>
                  <w:tcW w:w="668"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lang w:val="en-US" w:eastAsia="zh-CN" w:bidi="ar"/>
                    </w:rPr>
                    <w:t>DA00</w:t>
                  </w:r>
                  <w:r>
                    <w:rPr>
                      <w:rFonts w:hint="eastAsia" w:cs="Times New Roman"/>
                      <w:color w:val="auto"/>
                      <w:kern w:val="0"/>
                      <w:sz w:val="21"/>
                      <w:szCs w:val="21"/>
                      <w:lang w:val="en-US" w:eastAsia="zh-CN" w:bidi="ar"/>
                    </w:rPr>
                    <w:t>4</w:t>
                  </w:r>
                </w:p>
              </w:tc>
              <w:tc>
                <w:tcPr>
                  <w:tcW w:w="764" w:type="dxa"/>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eastAsia" w:ascii="Times New Roman" w:eastAsia="宋体" w:cs="Times New Roman"/>
                      <w:color w:val="auto"/>
                      <w:sz w:val="21"/>
                      <w:szCs w:val="21"/>
                      <w:highlight w:val="none"/>
                      <w:vertAlign w:val="baseline"/>
                      <w:lang w:val="en-US" w:eastAsia="zh-CN"/>
                    </w:rPr>
                  </w:pPr>
                  <w:r>
                    <w:rPr>
                      <w:rFonts w:hint="eastAsia" w:ascii="Times New Roman" w:eastAsia="宋体" w:cs="Times New Roman"/>
                      <w:color w:val="auto"/>
                      <w:sz w:val="21"/>
                      <w:szCs w:val="21"/>
                      <w:vertAlign w:val="baseline"/>
                      <w:lang w:val="en-US" w:eastAsia="zh-CN"/>
                    </w:rPr>
                    <w:t>25000</w:t>
                  </w:r>
                </w:p>
              </w:tc>
              <w:tc>
                <w:tcPr>
                  <w:tcW w:w="859" w:type="dxa"/>
                  <w:tcBorders>
                    <w:tl2br w:val="nil"/>
                    <w:tr2bl w:val="nil"/>
                  </w:tcBorders>
                  <w:noWrap w:val="0"/>
                  <w:tcMar>
                    <w:top w:w="0" w:type="dxa"/>
                    <w:left w:w="11" w:type="dxa"/>
                    <w:bottom w:w="0" w:type="dxa"/>
                    <w:right w:w="11" w:type="dxa"/>
                  </w:tcMar>
                  <w:vAlign w:val="center"/>
                </w:tcPr>
                <w:p>
                  <w:pPr>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545" w:type="dxa"/>
                  <w:gridSpan w:val="2"/>
                  <w:tcBorders>
                    <w:tl2br w:val="nil"/>
                    <w:tr2bl w:val="nil"/>
                  </w:tcBorders>
                  <w:noWrap w:val="0"/>
                  <w:tcMar>
                    <w:top w:w="0" w:type="dxa"/>
                    <w:left w:w="11" w:type="dxa"/>
                    <w:bottom w:w="0" w:type="dxa"/>
                    <w:right w:w="11" w:type="dxa"/>
                  </w:tcMar>
                  <w:vAlign w:val="center"/>
                </w:tcPr>
                <w:p>
                  <w:pPr>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vertAlign w:val="baseline"/>
                      <w:lang w:val="en-US" w:eastAsia="zh-CN"/>
                    </w:rPr>
                    <w:t>0.5</w:t>
                  </w:r>
                </w:p>
              </w:tc>
              <w:tc>
                <w:tcPr>
                  <w:tcW w:w="911" w:type="dxa"/>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eastAsia" w:ascii="Times New Roman" w:eastAsia="宋体" w:cs="Times New Roman"/>
                      <w:color w:val="auto"/>
                      <w:sz w:val="21"/>
                      <w:szCs w:val="21"/>
                      <w:highlight w:val="none"/>
                      <w:vertAlign w:val="baseline"/>
                      <w:lang w:val="en-US" w:eastAsia="zh-CN"/>
                    </w:rPr>
                  </w:pPr>
                  <w:r>
                    <w:rPr>
                      <w:rFonts w:hint="eastAsia" w:ascii="Times New Roman" w:eastAsia="宋体" w:cs="Times New Roman"/>
                      <w:color w:val="auto"/>
                      <w:sz w:val="21"/>
                      <w:szCs w:val="21"/>
                      <w:vertAlign w:val="baseline"/>
                      <w:lang w:val="en-US" w:eastAsia="zh-CN"/>
                    </w:rPr>
                    <w:t>25</w:t>
                  </w:r>
                </w:p>
              </w:tc>
              <w:tc>
                <w:tcPr>
                  <w:tcW w:w="442" w:type="dxa"/>
                  <w:vMerge w:val="continue"/>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p>
              </w:tc>
              <w:tc>
                <w:tcPr>
                  <w:tcW w:w="798"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green"/>
                      <w:vertAlign w:val="baseline"/>
                      <w:lang w:val="en-US" w:eastAsia="zh-CN" w:bidi="ar-SA"/>
                    </w:rPr>
                  </w:pPr>
                  <w:r>
                    <w:rPr>
                      <w:rFonts w:hint="default" w:ascii="Times New Roman" w:hAnsi="Times New Roman" w:eastAsia="宋体" w:cs="Times New Roman"/>
                      <w:color w:val="auto"/>
                      <w:sz w:val="21"/>
                      <w:szCs w:val="21"/>
                    </w:rPr>
                    <w:t>118°21′6.436″</w:t>
                  </w:r>
                </w:p>
              </w:tc>
              <w:tc>
                <w:tcPr>
                  <w:tcW w:w="846"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green"/>
                      <w:vertAlign w:val="baseline"/>
                      <w:lang w:val="en-US" w:eastAsia="zh-CN" w:bidi="ar-SA"/>
                    </w:rPr>
                  </w:pPr>
                  <w:r>
                    <w:rPr>
                      <w:rFonts w:hint="default" w:ascii="Times New Roman" w:hAnsi="Times New Roman" w:eastAsia="宋体" w:cs="Times New Roman"/>
                      <w:color w:val="auto"/>
                      <w:sz w:val="21"/>
                      <w:szCs w:val="21"/>
                    </w:rPr>
                    <w:t>25°1′0.8</w:t>
                  </w:r>
                  <w:r>
                    <w:rPr>
                      <w:rFonts w:hint="default" w:ascii="Times New Roman" w:hAnsi="Times New Roman" w:eastAsia="宋体" w:cs="Times New Roman"/>
                      <w:color w:val="auto"/>
                      <w:sz w:val="21"/>
                      <w:szCs w:val="21"/>
                      <w:lang w:val="en-US" w:eastAsia="zh-CN"/>
                    </w:rPr>
                    <w:t>80</w:t>
                  </w:r>
                  <w:r>
                    <w:rPr>
                      <w:rFonts w:hint="default" w:ascii="Times New Roman" w:hAnsi="Times New Roman" w:eastAsia="宋体" w:cs="Times New Roman"/>
                      <w:color w:val="auto"/>
                      <w:sz w:val="21"/>
                      <w:szCs w:val="21"/>
                    </w:rPr>
                    <w:t>″</w:t>
                  </w:r>
                </w:p>
              </w:tc>
              <w:tc>
                <w:tcPr>
                  <w:tcW w:w="4977" w:type="dxa"/>
                  <w:tcBorders>
                    <w:tl2br w:val="nil"/>
                    <w:tr2bl w:val="nil"/>
                  </w:tcBorders>
                  <w:noWrap w:val="0"/>
                  <w:tcMar>
                    <w:top w:w="0" w:type="dxa"/>
                    <w:left w:w="11" w:type="dxa"/>
                    <w:bottom w:w="0" w:type="dxa"/>
                    <w:right w:w="11" w:type="dxa"/>
                  </w:tcMar>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宋体" w:hAnsi="宋体" w:cs="宋体"/>
                      <w:color w:val="auto"/>
                      <w:kern w:val="0"/>
                      <w:sz w:val="21"/>
                      <w:szCs w:val="21"/>
                      <w:lang w:val="en-US" w:eastAsia="zh-CN" w:bidi="ar"/>
                    </w:rPr>
                    <w:t>执行</w:t>
                  </w:r>
                  <w:r>
                    <w:rPr>
                      <w:rFonts w:hint="eastAsia" w:ascii="宋体" w:hAnsi="宋体" w:eastAsia="宋体" w:cs="宋体"/>
                      <w:color w:val="auto"/>
                      <w:kern w:val="0"/>
                      <w:sz w:val="21"/>
                      <w:szCs w:val="21"/>
                      <w:lang w:val="en-US" w:eastAsia="zh-CN" w:bidi="ar"/>
                    </w:rPr>
                    <w:t>《铸造工业大气污染物排放标准》（</w:t>
                  </w:r>
                  <w:r>
                    <w:rPr>
                      <w:rFonts w:hint="default" w:ascii="Times New Roman" w:hAnsi="Times New Roman" w:eastAsia="宋体" w:cs="Times New Roman"/>
                      <w:color w:val="auto"/>
                      <w:kern w:val="0"/>
                      <w:sz w:val="21"/>
                      <w:szCs w:val="21"/>
                      <w:lang w:val="en-US" w:eastAsia="zh-CN" w:bidi="ar"/>
                    </w:rPr>
                    <w:t>GB39726-2020</w:t>
                  </w:r>
                  <w:r>
                    <w:rPr>
                      <w:rFonts w:hint="eastAsia" w:ascii="宋体" w:hAnsi="宋体" w:eastAsia="宋体" w:cs="宋体"/>
                      <w:color w:val="auto"/>
                      <w:kern w:val="0"/>
                      <w:sz w:val="21"/>
                      <w:szCs w:val="21"/>
                      <w:lang w:val="en-US" w:eastAsia="zh-CN" w:bidi="ar"/>
                    </w:rPr>
                    <w:t>）表</w:t>
                  </w:r>
                  <w:r>
                    <w:rPr>
                      <w:rFonts w:hint="default" w:ascii="Times New Roman" w:hAnsi="Times New Roman" w:eastAsia="宋体" w:cs="Times New Roman"/>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标准限值</w:t>
                  </w:r>
                  <w:r>
                    <w:rPr>
                      <w:rFonts w:hint="eastAsia"/>
                      <w:color w:val="auto"/>
                      <w:sz w:val="21"/>
                      <w:szCs w:val="21"/>
                      <w:lang w:eastAsia="zh-CN"/>
                    </w:rPr>
                    <w:t>（</w:t>
                  </w:r>
                  <w:r>
                    <w:rPr>
                      <w:rFonts w:hint="default" w:ascii="Times New Roman" w:hAnsi="Times New Roman" w:eastAsia="宋体" w:cs="Times New Roman"/>
                      <w:color w:val="auto"/>
                      <w:kern w:val="0"/>
                      <w:sz w:val="21"/>
                      <w:szCs w:val="21"/>
                      <w:lang w:val="en-US" w:eastAsia="zh-CN" w:bidi="ar"/>
                    </w:rPr>
                    <w:t>≤</w:t>
                  </w:r>
                  <w:r>
                    <w:rPr>
                      <w:rFonts w:hint="eastAsia" w:cs="Times New Roman"/>
                      <w:color w:val="auto"/>
                      <w:kern w:val="0"/>
                      <w:sz w:val="21"/>
                      <w:szCs w:val="21"/>
                      <w:lang w:val="en-US" w:eastAsia="zh-CN" w:bidi="ar"/>
                    </w:rPr>
                    <w:t>3</w:t>
                  </w:r>
                  <w:r>
                    <w:rPr>
                      <w:rFonts w:hint="default" w:ascii="Times New Roman" w:hAnsi="Times New Roman" w:eastAsia="宋体" w:cs="Times New Roman"/>
                      <w:color w:val="auto"/>
                      <w:kern w:val="0"/>
                      <w:sz w:val="21"/>
                      <w:szCs w:val="21"/>
                      <w:lang w:val="en-US" w:eastAsia="zh-CN" w:bidi="ar"/>
                    </w:rPr>
                    <w:t>0mg/m</w:t>
                  </w:r>
                  <w:r>
                    <w:rPr>
                      <w:rFonts w:hint="default" w:ascii="Times New Roman" w:hAnsi="Times New Roman" w:eastAsia="宋体" w:cs="Times New Roman"/>
                      <w:color w:val="auto"/>
                      <w:kern w:val="0"/>
                      <w:sz w:val="21"/>
                      <w:szCs w:val="21"/>
                      <w:vertAlign w:val="superscript"/>
                      <w:lang w:val="en-US" w:eastAsia="zh-CN" w:bidi="ar"/>
                    </w:rPr>
                    <w:t>3</w:t>
                  </w:r>
                  <w:r>
                    <w:rPr>
                      <w:rFonts w:hint="eastAsia"/>
                      <w:color w:val="auto"/>
                      <w:sz w:val="21"/>
                      <w:szCs w:val="21"/>
                      <w:lang w:eastAsia="zh-CN"/>
                    </w:rPr>
                    <w:t>）</w:t>
                  </w:r>
                </w:p>
              </w:tc>
              <w:tc>
                <w:tcPr>
                  <w:tcW w:w="773"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lang w:val="en-US" w:eastAsia="zh-CN" w:bidi="ar"/>
                    </w:rPr>
                    <w:t>颗粒物</w:t>
                  </w:r>
                </w:p>
              </w:tc>
              <w:tc>
                <w:tcPr>
                  <w:tcW w:w="784"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排气筒</w:t>
                  </w:r>
                </w:p>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lang w:val="en-US" w:eastAsia="zh-CN" w:bidi="ar"/>
                    </w:rPr>
                    <w:t>进出口</w:t>
                  </w:r>
                </w:p>
              </w:tc>
              <w:tc>
                <w:tcPr>
                  <w:tcW w:w="587"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lang w:val="en-US" w:eastAsia="zh-CN" w:bidi="ar"/>
                    </w:rPr>
                    <w:t>1次/年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219" w:hRule="atLeast"/>
                <w:jc w:val="center"/>
              </w:trPr>
              <w:tc>
                <w:tcPr>
                  <w:tcW w:w="1144"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注塑废气</w:t>
                  </w:r>
                </w:p>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排放口</w:t>
                  </w:r>
                </w:p>
              </w:tc>
              <w:tc>
                <w:tcPr>
                  <w:tcW w:w="668"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DA00</w:t>
                  </w:r>
                </w:p>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rPr>
                  </w:pPr>
                  <w:r>
                    <w:rPr>
                      <w:rFonts w:hint="eastAsia" w:cs="Times New Roman"/>
                      <w:color w:val="auto"/>
                      <w:kern w:val="0"/>
                      <w:sz w:val="21"/>
                      <w:szCs w:val="21"/>
                      <w:highlight w:val="none"/>
                      <w:lang w:val="en-US" w:eastAsia="zh-CN" w:bidi="ar"/>
                    </w:rPr>
                    <w:t>5</w:t>
                  </w:r>
                </w:p>
              </w:tc>
              <w:tc>
                <w:tcPr>
                  <w:tcW w:w="764" w:type="dxa"/>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vertAlign w:val="baseline"/>
                      <w:lang w:val="en-US" w:eastAsia="zh-CN"/>
                    </w:rPr>
                    <w:t>5000</w:t>
                  </w:r>
                </w:p>
              </w:tc>
              <w:tc>
                <w:tcPr>
                  <w:tcW w:w="859" w:type="dxa"/>
                  <w:tcBorders>
                    <w:tl2br w:val="nil"/>
                    <w:tr2bl w:val="nil"/>
                  </w:tcBorders>
                  <w:noWrap w:val="0"/>
                  <w:tcMar>
                    <w:top w:w="0" w:type="dxa"/>
                    <w:left w:w="11" w:type="dxa"/>
                    <w:bottom w:w="0" w:type="dxa"/>
                    <w:right w:w="11" w:type="dxa"/>
                  </w:tcMar>
                  <w:vAlign w:val="center"/>
                </w:tcPr>
                <w:p>
                  <w:pPr>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15</w:t>
                  </w:r>
                </w:p>
              </w:tc>
              <w:tc>
                <w:tcPr>
                  <w:tcW w:w="545" w:type="dxa"/>
                  <w:gridSpan w:val="2"/>
                  <w:tcBorders>
                    <w:tl2br w:val="nil"/>
                    <w:tr2bl w:val="nil"/>
                  </w:tcBorders>
                  <w:noWrap w:val="0"/>
                  <w:tcMar>
                    <w:top w:w="0" w:type="dxa"/>
                    <w:left w:w="11" w:type="dxa"/>
                    <w:bottom w:w="0" w:type="dxa"/>
                    <w:right w:w="11" w:type="dxa"/>
                  </w:tcMar>
                  <w:vAlign w:val="center"/>
                </w:tcPr>
                <w:p>
                  <w:pPr>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0.5</w:t>
                  </w:r>
                </w:p>
              </w:tc>
              <w:tc>
                <w:tcPr>
                  <w:tcW w:w="911" w:type="dxa"/>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35</w:t>
                  </w:r>
                </w:p>
              </w:tc>
              <w:tc>
                <w:tcPr>
                  <w:tcW w:w="442"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798" w:type="dxa"/>
                  <w:tcBorders>
                    <w:tl2br w:val="nil"/>
                    <w:tr2bl w:val="nil"/>
                  </w:tcBorders>
                  <w:shd w:val="clear" w:color="auto" w:fill="auto"/>
                  <w:noWrap w:val="0"/>
                  <w:tcMar>
                    <w:top w:w="0" w:type="dxa"/>
                    <w:left w:w="11" w:type="dxa"/>
                    <w:bottom w:w="0" w:type="dxa"/>
                    <w:right w:w="11" w:type="dxa"/>
                  </w:tcMar>
                  <w:vAlign w:val="center"/>
                </w:tcPr>
                <w:p>
                  <w:pPr>
                    <w:pStyle w:val="24"/>
                    <w:keepNext w:val="0"/>
                    <w:keepLines w:val="0"/>
                    <w:widowControl/>
                    <w:suppressLineNumbers w:val="0"/>
                    <w:spacing w:before="0" w:beforeAutospacing="0" w:after="0" w:afterAutospacing="0"/>
                    <w:ind w:left="0" w:right="0" w:firstLine="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118°21′5.529″</w:t>
                  </w:r>
                </w:p>
              </w:tc>
              <w:tc>
                <w:tcPr>
                  <w:tcW w:w="846" w:type="dxa"/>
                  <w:tcBorders>
                    <w:tl2br w:val="nil"/>
                    <w:tr2bl w:val="nil"/>
                  </w:tcBorders>
                  <w:shd w:val="clear" w:color="auto" w:fill="auto"/>
                  <w:noWrap w:val="0"/>
                  <w:tcMar>
                    <w:top w:w="0" w:type="dxa"/>
                    <w:left w:w="11" w:type="dxa"/>
                    <w:bottom w:w="0" w:type="dxa"/>
                    <w:right w:w="11"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25°1′0.165″</w:t>
                  </w:r>
                </w:p>
              </w:tc>
              <w:tc>
                <w:tcPr>
                  <w:tcW w:w="4977" w:type="dxa"/>
                  <w:tcBorders>
                    <w:tl2br w:val="nil"/>
                    <w:tr2bl w:val="nil"/>
                  </w:tcBorders>
                  <w:noWrap w:val="0"/>
                  <w:tcMar>
                    <w:top w:w="0" w:type="dxa"/>
                    <w:left w:w="11" w:type="dxa"/>
                    <w:bottom w:w="0" w:type="dxa"/>
                    <w:right w:w="11"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非甲烷总烃</w:t>
                  </w:r>
                  <w:r>
                    <w:rPr>
                      <w:rFonts w:hint="default" w:ascii="Times New Roman" w:hAnsi="Times New Roman" w:eastAsia="宋体" w:cs="Times New Roman"/>
                      <w:color w:val="auto"/>
                      <w:kern w:val="0"/>
                      <w:sz w:val="21"/>
                      <w:szCs w:val="21"/>
                      <w:highlight w:val="none"/>
                    </w:rPr>
                    <w:t>执行《合成树脂工业污染物排放标准》(GB31572-2015)表4标准限值</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bidi="ar"/>
                    </w:rPr>
                    <w:t>≤100.0mg/m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bidi="ar"/>
                    </w:rPr>
                    <w:t>单位产品非甲烷总烃排放量限值执行《合成树脂工业污染物排放标准》（GB31572-2015）表4中的排放标准（≤0.5kg/t产品）</w:t>
                  </w:r>
                </w:p>
              </w:tc>
              <w:tc>
                <w:tcPr>
                  <w:tcW w:w="773"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非甲烷总烃</w:t>
                  </w:r>
                </w:p>
              </w:tc>
              <w:tc>
                <w:tcPr>
                  <w:tcW w:w="784"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排气筒</w:t>
                  </w:r>
                </w:p>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进出口</w:t>
                  </w:r>
                </w:p>
              </w:tc>
              <w:tc>
                <w:tcPr>
                  <w:tcW w:w="673" w:type="dxa"/>
                  <w:gridSpan w:val="2"/>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1次/年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86" w:type="dxa"/>
                <w:trHeight w:val="1219" w:hRule="atLeast"/>
                <w:jc w:val="center"/>
              </w:trPr>
              <w:tc>
                <w:tcPr>
                  <w:tcW w:w="1144" w:type="dxa"/>
                  <w:tcBorders>
                    <w:tl2br w:val="nil"/>
                    <w:tr2bl w:val="nil"/>
                  </w:tcBorders>
                  <w:noWrap w:val="0"/>
                  <w:tcMar>
                    <w:top w:w="0" w:type="dxa"/>
                    <w:left w:w="11" w:type="dxa"/>
                    <w:bottom w:w="0" w:type="dxa"/>
                    <w:right w:w="11" w:type="dxa"/>
                  </w:tcMar>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喷漆、烘干</w:t>
                  </w:r>
                  <w:r>
                    <w:rPr>
                      <w:rFonts w:hint="eastAsia" w:ascii="Times New Roman" w:hAnsi="Times New Roman" w:cs="Times New Roman"/>
                      <w:color w:val="auto"/>
                      <w:kern w:val="2"/>
                      <w:sz w:val="21"/>
                      <w:szCs w:val="21"/>
                      <w:highlight w:val="none"/>
                      <w:lang w:val="en-US" w:eastAsia="zh-CN" w:bidi="ar-SA"/>
                    </w:rPr>
                    <w:t>、</w:t>
                  </w:r>
                </w:p>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压合、封边</w:t>
                  </w:r>
                  <w:r>
                    <w:rPr>
                      <w:rFonts w:hint="eastAsia" w:ascii="Times New Roman" w:hAnsi="Times New Roman" w:cs="Times New Roman"/>
                      <w:color w:val="auto"/>
                      <w:kern w:val="2"/>
                      <w:sz w:val="21"/>
                      <w:szCs w:val="21"/>
                      <w:highlight w:val="none"/>
                      <w:lang w:val="en-US" w:eastAsia="zh-CN" w:bidi="ar-SA"/>
                    </w:rPr>
                    <w:t>、</w:t>
                  </w:r>
                </w:p>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开料、磨光、机加工</w:t>
                  </w:r>
                  <w:r>
                    <w:rPr>
                      <w:rFonts w:hint="default" w:ascii="Times New Roman" w:hAnsi="Times New Roman" w:eastAsia="宋体" w:cs="Times New Roman"/>
                      <w:color w:val="auto"/>
                      <w:kern w:val="2"/>
                      <w:sz w:val="21"/>
                      <w:szCs w:val="21"/>
                      <w:highlight w:val="none"/>
                      <w:lang w:val="en-US" w:eastAsia="zh-CN" w:bidi="ar-SA"/>
                    </w:rPr>
                    <w:t>废气</w:t>
                  </w:r>
                  <w:r>
                    <w:rPr>
                      <w:rFonts w:hint="default" w:ascii="Times New Roman" w:hAnsi="Times New Roman" w:eastAsia="宋体" w:cs="Times New Roman"/>
                      <w:color w:val="auto"/>
                      <w:sz w:val="21"/>
                      <w:szCs w:val="21"/>
                      <w:highlight w:val="none"/>
                      <w:lang w:val="en-US" w:eastAsia="zh-CN"/>
                    </w:rPr>
                    <w:t>排放口</w:t>
                  </w:r>
                </w:p>
              </w:tc>
              <w:tc>
                <w:tcPr>
                  <w:tcW w:w="668"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DA00</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b w:val="0"/>
                      <w:bCs w:val="0"/>
                      <w:color w:val="auto"/>
                      <w:kern w:val="0"/>
                      <w:sz w:val="21"/>
                      <w:szCs w:val="21"/>
                      <w:highlight w:val="none"/>
                      <w:vertAlign w:val="baseline"/>
                      <w:lang w:val="en-US" w:eastAsia="zh-CN" w:bidi="ar"/>
                    </w:rPr>
                    <w:t>6</w:t>
                  </w:r>
                </w:p>
              </w:tc>
              <w:tc>
                <w:tcPr>
                  <w:tcW w:w="764" w:type="dxa"/>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eastAsia="宋体" w:cs="Times New Roman"/>
                      <w:color w:val="auto"/>
                      <w:sz w:val="21"/>
                      <w:szCs w:val="21"/>
                      <w:highlight w:val="none"/>
                      <w:vertAlign w:val="baseline"/>
                      <w:lang w:val="en-US" w:eastAsia="zh-CN"/>
                    </w:rPr>
                    <w:t>16000</w:t>
                  </w:r>
                </w:p>
              </w:tc>
              <w:tc>
                <w:tcPr>
                  <w:tcW w:w="859" w:type="dxa"/>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15</w:t>
                  </w:r>
                </w:p>
              </w:tc>
              <w:tc>
                <w:tcPr>
                  <w:tcW w:w="545" w:type="dxa"/>
                  <w:gridSpan w:val="2"/>
                  <w:tcBorders>
                    <w:tl2br w:val="nil"/>
                    <w:tr2bl w:val="nil"/>
                  </w:tcBorders>
                  <w:noWrap w:val="0"/>
                  <w:tcMar>
                    <w:top w:w="0" w:type="dxa"/>
                    <w:left w:w="11" w:type="dxa"/>
                    <w:bottom w:w="0" w:type="dxa"/>
                    <w:right w:w="11" w:type="dxa"/>
                  </w:tcMar>
                  <w:vAlign w:val="center"/>
                </w:tcPr>
                <w:p>
                  <w:pPr>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eastAsia" w:asci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0.5</w:t>
                  </w:r>
                </w:p>
              </w:tc>
              <w:tc>
                <w:tcPr>
                  <w:tcW w:w="911" w:type="dxa"/>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eastAsia" w:asci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40</w:t>
                  </w:r>
                </w:p>
              </w:tc>
              <w:tc>
                <w:tcPr>
                  <w:tcW w:w="442" w:type="dxa"/>
                  <w:vMerge w:val="restart"/>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p>
              </w:tc>
              <w:tc>
                <w:tcPr>
                  <w:tcW w:w="798" w:type="dxa"/>
                  <w:tcBorders>
                    <w:tl2br w:val="nil"/>
                    <w:tr2bl w:val="nil"/>
                  </w:tcBorders>
                  <w:shd w:val="clear" w:color="auto" w:fill="auto"/>
                  <w:noWrap w:val="0"/>
                  <w:tcMar>
                    <w:top w:w="0" w:type="dxa"/>
                    <w:left w:w="11" w:type="dxa"/>
                    <w:bottom w:w="0" w:type="dxa"/>
                    <w:right w:w="11" w:type="dxa"/>
                  </w:tcMar>
                  <w:vAlign w:val="center"/>
                </w:tcPr>
                <w:p>
                  <w:pPr>
                    <w:pStyle w:val="2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118°21′7.03″</w:t>
                  </w:r>
                </w:p>
              </w:tc>
              <w:tc>
                <w:tcPr>
                  <w:tcW w:w="846" w:type="dxa"/>
                  <w:tcBorders>
                    <w:tl2br w:val="nil"/>
                    <w:tr2bl w:val="nil"/>
                  </w:tcBorders>
                  <w:shd w:val="clear" w:color="auto" w:fill="auto"/>
                  <w:noWrap w:val="0"/>
                  <w:tcMar>
                    <w:top w:w="0" w:type="dxa"/>
                    <w:left w:w="11" w:type="dxa"/>
                    <w:bottom w:w="0" w:type="dxa"/>
                    <w:right w:w="11" w:type="dxa"/>
                  </w:tcMar>
                  <w:vAlign w:val="center"/>
                </w:tcPr>
                <w:p>
                  <w:pPr>
                    <w:pStyle w:val="2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25°0′59.663″</w:t>
                  </w:r>
                </w:p>
              </w:tc>
              <w:tc>
                <w:tcPr>
                  <w:tcW w:w="4977" w:type="dxa"/>
                  <w:tcBorders>
                    <w:tl2br w:val="nil"/>
                    <w:tr2bl w:val="nil"/>
                  </w:tcBorders>
                  <w:noWrap w:val="0"/>
                  <w:tcMar>
                    <w:top w:w="0" w:type="dxa"/>
                    <w:left w:w="11" w:type="dxa"/>
                    <w:bottom w:w="0" w:type="dxa"/>
                    <w:right w:w="11"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非甲烷总烃排放执行《工业涂装工序挥发性有机物排放标准》（DB35/1783-2018）表1家具制造行业标准限值（</w:t>
                  </w:r>
                  <w:r>
                    <w:rPr>
                      <w:rFonts w:hint="default" w:ascii="Times New Roman" w:hAnsi="Times New Roman" w:eastAsia="宋体" w:cs="Times New Roman"/>
                      <w:b w:val="0"/>
                      <w:bCs w:val="0"/>
                      <w:color w:val="auto"/>
                      <w:sz w:val="21"/>
                      <w:szCs w:val="21"/>
                      <w:highlight w:val="none"/>
                      <w:lang w:val="en-US" w:eastAsia="zh-CN"/>
                    </w:rPr>
                    <w:t>50</w:t>
                  </w:r>
                  <w:r>
                    <w:rPr>
                      <w:rFonts w:hint="default" w:ascii="Times New Roman" w:hAnsi="Times New Roman" w:eastAsia="宋体" w:cs="Times New Roman"/>
                      <w:color w:val="auto"/>
                      <w:kern w:val="0"/>
                      <w:sz w:val="21"/>
                      <w:szCs w:val="21"/>
                      <w:highlight w:val="none"/>
                      <w:lang w:val="en-US" w:eastAsia="zh-CN" w:bidi="ar"/>
                    </w:rPr>
                    <w:t>mg/m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）；喷漆工序产生的漆雾为颗粒物，排放执行《大气污染物综合排放标准》 (GB16297-1996)表2排放监控浓度限值（≤</w:t>
                  </w:r>
                  <w:r>
                    <w:rPr>
                      <w:rFonts w:hint="default" w:ascii="Times New Roman" w:hAnsi="Times New Roman" w:eastAsia="宋体" w:cs="Times New Roman"/>
                      <w:b w:val="0"/>
                      <w:bCs w:val="0"/>
                      <w:color w:val="auto"/>
                      <w:sz w:val="21"/>
                      <w:szCs w:val="21"/>
                      <w:highlight w:val="none"/>
                      <w:lang w:val="en-US" w:eastAsia="zh-CN"/>
                    </w:rPr>
                    <w:t>120</w:t>
                  </w:r>
                  <w:r>
                    <w:rPr>
                      <w:rFonts w:hint="default" w:ascii="Times New Roman" w:hAnsi="Times New Roman" w:eastAsia="宋体" w:cs="Times New Roman"/>
                      <w:color w:val="auto"/>
                      <w:kern w:val="0"/>
                      <w:sz w:val="21"/>
                      <w:szCs w:val="21"/>
                      <w:highlight w:val="none"/>
                      <w:lang w:val="en-US" w:eastAsia="zh-CN" w:bidi="ar"/>
                    </w:rPr>
                    <w:t>mg/m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w:t>
                  </w:r>
                </w:p>
              </w:tc>
              <w:tc>
                <w:tcPr>
                  <w:tcW w:w="773"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颗粒物、非甲烷总烃</w:t>
                  </w:r>
                </w:p>
              </w:tc>
              <w:tc>
                <w:tcPr>
                  <w:tcW w:w="784"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排气筒</w:t>
                  </w:r>
                </w:p>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进出口</w:t>
                  </w:r>
                </w:p>
              </w:tc>
              <w:tc>
                <w:tcPr>
                  <w:tcW w:w="587"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1次/年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86" w:type="dxa"/>
                <w:trHeight w:val="838" w:hRule="atLeast"/>
                <w:jc w:val="center"/>
              </w:trPr>
              <w:tc>
                <w:tcPr>
                  <w:tcW w:w="1144"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食堂油烟</w:t>
                  </w:r>
                </w:p>
              </w:tc>
              <w:tc>
                <w:tcPr>
                  <w:tcW w:w="668"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DA00</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color w:val="auto"/>
                      <w:sz w:val="21"/>
                      <w:szCs w:val="21"/>
                      <w:highlight w:val="none"/>
                      <w:lang w:val="en-US"/>
                    </w:rPr>
                  </w:pPr>
                  <w:r>
                    <w:rPr>
                      <w:rFonts w:hint="eastAsia" w:cs="Times New Roman"/>
                      <w:b w:val="0"/>
                      <w:bCs w:val="0"/>
                      <w:color w:val="auto"/>
                      <w:kern w:val="0"/>
                      <w:sz w:val="21"/>
                      <w:szCs w:val="21"/>
                      <w:highlight w:val="none"/>
                      <w:vertAlign w:val="baseline"/>
                      <w:lang w:val="en-US" w:eastAsia="zh-CN" w:bidi="ar"/>
                    </w:rPr>
                    <w:t>7</w:t>
                  </w:r>
                </w:p>
              </w:tc>
              <w:tc>
                <w:tcPr>
                  <w:tcW w:w="764" w:type="dxa"/>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color w:val="auto"/>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15</w:t>
                  </w:r>
                </w:p>
              </w:tc>
              <w:tc>
                <w:tcPr>
                  <w:tcW w:w="859" w:type="dxa"/>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color w:val="auto"/>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0.5</w:t>
                  </w:r>
                </w:p>
              </w:tc>
              <w:tc>
                <w:tcPr>
                  <w:tcW w:w="545" w:type="dxa"/>
                  <w:gridSpan w:val="2"/>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color w:val="auto"/>
                      <w:sz w:val="21"/>
                      <w:szCs w:val="21"/>
                      <w:highlight w:val="none"/>
                    </w:rPr>
                  </w:pPr>
                  <w:r>
                    <w:rPr>
                      <w:rFonts w:hint="eastAsia" w:ascii="Times New Roman" w:eastAsia="宋体" w:cs="Times New Roman"/>
                      <w:color w:val="auto"/>
                      <w:sz w:val="21"/>
                      <w:szCs w:val="21"/>
                      <w:highlight w:val="none"/>
                      <w:vertAlign w:val="baseline"/>
                      <w:lang w:val="en-US" w:eastAsia="zh-CN"/>
                    </w:rPr>
                    <w:t>45</w:t>
                  </w:r>
                </w:p>
              </w:tc>
              <w:tc>
                <w:tcPr>
                  <w:tcW w:w="911" w:type="dxa"/>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vertAlign w:val="baseline"/>
                      <w:lang w:val="en-US" w:eastAsia="zh-CN"/>
                    </w:rPr>
                    <w:t>40</w:t>
                  </w:r>
                </w:p>
              </w:tc>
              <w:tc>
                <w:tcPr>
                  <w:tcW w:w="442" w:type="dxa"/>
                  <w:vMerge w:val="continue"/>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798" w:type="dxa"/>
                  <w:tcBorders>
                    <w:tl2br w:val="nil"/>
                    <w:tr2bl w:val="nil"/>
                  </w:tcBorders>
                  <w:shd w:val="clear" w:color="auto" w:fill="auto"/>
                  <w:noWrap w:val="0"/>
                  <w:tcMar>
                    <w:top w:w="0" w:type="dxa"/>
                    <w:left w:w="11" w:type="dxa"/>
                    <w:bottom w:w="0" w:type="dxa"/>
                    <w:right w:w="11" w:type="dxa"/>
                  </w:tcMar>
                  <w:vAlign w:val="center"/>
                </w:tcPr>
                <w:p>
                  <w:pPr>
                    <w:pStyle w:val="2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118°21′5.123″</w:t>
                  </w:r>
                </w:p>
              </w:tc>
              <w:tc>
                <w:tcPr>
                  <w:tcW w:w="846" w:type="dxa"/>
                  <w:tcBorders>
                    <w:tl2br w:val="nil"/>
                    <w:tr2bl w:val="nil"/>
                  </w:tcBorders>
                  <w:shd w:val="clear" w:color="auto" w:fill="auto"/>
                  <w:noWrap w:val="0"/>
                  <w:tcMar>
                    <w:top w:w="0" w:type="dxa"/>
                    <w:left w:w="11" w:type="dxa"/>
                    <w:bottom w:w="0" w:type="dxa"/>
                    <w:right w:w="11" w:type="dxa"/>
                  </w:tcMar>
                  <w:vAlign w:val="center"/>
                </w:tcPr>
                <w:p>
                  <w:pPr>
                    <w:pStyle w:val="2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25°0′58.890″</w:t>
                  </w:r>
                </w:p>
              </w:tc>
              <w:tc>
                <w:tcPr>
                  <w:tcW w:w="4977" w:type="dxa"/>
                  <w:tcBorders>
                    <w:tl2br w:val="nil"/>
                    <w:tr2bl w:val="nil"/>
                  </w:tcBorders>
                  <w:noWrap w:val="0"/>
                  <w:tcMar>
                    <w:top w:w="0" w:type="dxa"/>
                    <w:left w:w="11" w:type="dxa"/>
                    <w:bottom w:w="0" w:type="dxa"/>
                    <w:right w:w="11"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《饮食业油烟排放标准（试行）》（GB18483-2001）表2限值（≤2mg/m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eastAsia" w:ascii="Times New Roman" w:hAnsi="Times New Roman" w:eastAsia="宋体" w:cs="Times New Roman"/>
                      <w:color w:val="auto"/>
                      <w:kern w:val="0"/>
                      <w:sz w:val="21"/>
                      <w:szCs w:val="21"/>
                      <w:highlight w:val="none"/>
                      <w:lang w:val="en-US" w:eastAsia="zh-CN" w:bidi="ar"/>
                    </w:rPr>
                    <w:t>油烟≤</w:t>
                  </w:r>
                  <w:r>
                    <w:rPr>
                      <w:rFonts w:hint="default" w:ascii="Times New Roman" w:hAnsi="Times New Roman" w:eastAsia="宋体" w:cs="Times New Roman"/>
                      <w:color w:val="auto"/>
                      <w:kern w:val="0"/>
                      <w:sz w:val="21"/>
                      <w:szCs w:val="21"/>
                      <w:highlight w:val="none"/>
                      <w:lang w:val="en-US" w:eastAsia="zh-CN" w:bidi="ar"/>
                    </w:rPr>
                    <w:t>2mg/</w:t>
                  </w:r>
                  <w:r>
                    <w:rPr>
                      <w:rFonts w:hint="eastAsia" w:ascii="Times New Roman" w:hAnsi="Times New Roman" w:eastAsia="宋体" w:cs="Times New Roman"/>
                      <w:color w:val="auto"/>
                      <w:kern w:val="0"/>
                      <w:sz w:val="21"/>
                      <w:szCs w:val="21"/>
                      <w:highlight w:val="none"/>
                      <w:lang w:val="en-US" w:eastAsia="zh-CN" w:bidi="ar"/>
                    </w:rPr>
                    <w:t>m</w:t>
                  </w:r>
                  <w:r>
                    <w:rPr>
                      <w:rFonts w:hint="eastAsia" w:ascii="Times New Roman" w:hAnsi="Times New Roman" w:eastAsia="宋体" w:cs="Times New Roman"/>
                      <w:color w:val="auto"/>
                      <w:kern w:val="0"/>
                      <w:sz w:val="21"/>
                      <w:szCs w:val="21"/>
                      <w:highlight w:val="none"/>
                      <w:vertAlign w:val="superscript"/>
                      <w:lang w:val="en-US" w:eastAsia="zh-CN" w:bidi="ar"/>
                    </w:rPr>
                    <w:t>3</w:t>
                  </w:r>
                  <w:r>
                    <w:rPr>
                      <w:rFonts w:hint="eastAsia" w:ascii="Times New Roman" w:hAnsi="Times New Roman" w:eastAsia="宋体" w:cs="Times New Roman"/>
                      <w:color w:val="auto"/>
                      <w:kern w:val="0"/>
                      <w:sz w:val="21"/>
                      <w:szCs w:val="21"/>
                      <w:highlight w:val="none"/>
                      <w:lang w:val="en-US" w:eastAsia="zh-CN" w:bidi="ar"/>
                    </w:rPr>
                    <w:t>，</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
                    </w:rPr>
                    <w:t>最低去除效率为</w:t>
                  </w:r>
                  <w:r>
                    <w:rPr>
                      <w:rFonts w:hint="default" w:ascii="Times New Roman" w:hAnsi="Times New Roman" w:eastAsia="宋体" w:cs="Times New Roman"/>
                      <w:color w:val="auto"/>
                      <w:kern w:val="0"/>
                      <w:sz w:val="21"/>
                      <w:szCs w:val="21"/>
                      <w:highlight w:val="none"/>
                      <w:lang w:val="en-US" w:eastAsia="zh-CN" w:bidi="ar"/>
                    </w:rPr>
                    <w:t>75%）</w:t>
                  </w:r>
                </w:p>
              </w:tc>
              <w:tc>
                <w:tcPr>
                  <w:tcW w:w="773"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油烟</w:t>
                  </w:r>
                </w:p>
              </w:tc>
              <w:tc>
                <w:tcPr>
                  <w:tcW w:w="784"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排气筒</w:t>
                  </w:r>
                </w:p>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进出口</w:t>
                  </w:r>
                </w:p>
              </w:tc>
              <w:tc>
                <w:tcPr>
                  <w:tcW w:w="587"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1次/年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86" w:type="dxa"/>
                <w:trHeight w:val="378" w:hRule="atLeast"/>
                <w:jc w:val="center"/>
              </w:trPr>
              <w:tc>
                <w:tcPr>
                  <w:tcW w:w="3555" w:type="dxa"/>
                  <w:gridSpan w:val="5"/>
                  <w:vMerge w:val="restart"/>
                  <w:tcBorders>
                    <w:tl2br w:val="nil"/>
                    <w:tr2bl w:val="nil"/>
                  </w:tcBorders>
                  <w:noWrap w:val="0"/>
                  <w:tcMar>
                    <w:top w:w="0" w:type="dxa"/>
                    <w:left w:w="11" w:type="dxa"/>
                    <w:bottom w:w="0" w:type="dxa"/>
                    <w:right w:w="11"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无组织废气</w:t>
                  </w:r>
                </w:p>
              </w:tc>
              <w:tc>
                <w:tcPr>
                  <w:tcW w:w="1778" w:type="dxa"/>
                  <w:gridSpan w:val="3"/>
                  <w:vMerge w:val="restart"/>
                  <w:tcBorders>
                    <w:tl2br w:val="nil"/>
                    <w:tr2bl w:val="nil"/>
                  </w:tcBorders>
                  <w:noWrap w:val="0"/>
                  <w:tcMar>
                    <w:top w:w="0" w:type="dxa"/>
                    <w:left w:w="11" w:type="dxa"/>
                    <w:bottom w:w="0" w:type="dxa"/>
                    <w:right w:w="11"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颗粒物</w:t>
                  </w:r>
                </w:p>
              </w:tc>
              <w:tc>
                <w:tcPr>
                  <w:tcW w:w="1644" w:type="dxa"/>
                  <w:gridSpan w:val="2"/>
                  <w:tcBorders>
                    <w:tl2br w:val="nil"/>
                    <w:tr2bl w:val="nil"/>
                  </w:tcBorders>
                  <w:noWrap w:val="0"/>
                  <w:tcMar>
                    <w:top w:w="0" w:type="dxa"/>
                    <w:left w:w="11" w:type="dxa"/>
                    <w:bottom w:w="0" w:type="dxa"/>
                    <w:right w:w="11"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厂界</w:t>
                  </w:r>
                </w:p>
              </w:tc>
              <w:tc>
                <w:tcPr>
                  <w:tcW w:w="4977" w:type="dxa"/>
                  <w:tcBorders>
                    <w:tl2br w:val="nil"/>
                    <w:tr2bl w:val="nil"/>
                  </w:tcBorders>
                  <w:noWrap w:val="0"/>
                  <w:tcMar>
                    <w:top w:w="0" w:type="dxa"/>
                    <w:left w:w="11" w:type="dxa"/>
                    <w:bottom w:w="0" w:type="dxa"/>
                    <w:right w:w="11" w:type="dxa"/>
                  </w:tcMar>
                  <w:vAlign w:val="center"/>
                </w:tcPr>
                <w:p>
                  <w:pPr>
                    <w:keepNext w:val="0"/>
                    <w:keepLines w:val="0"/>
                    <w:widowControl/>
                    <w:suppressLineNumbers w:val="0"/>
                    <w:jc w:val="center"/>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《大气污染物综合排放标准》（GB16297-1996）</w:t>
                  </w:r>
                  <w:r>
                    <w:rPr>
                      <w:rFonts w:hint="eastAsia" w:ascii="Times New Roman" w:hAnsi="Times New Roman" w:eastAsia="宋体" w:cs="Times New Roman"/>
                      <w:color w:val="auto"/>
                      <w:kern w:val="0"/>
                      <w:sz w:val="21"/>
                      <w:szCs w:val="21"/>
                      <w:highlight w:val="none"/>
                      <w:lang w:val="en-US" w:eastAsia="zh-CN" w:bidi="ar"/>
                    </w:rPr>
                    <w:t>表2</w:t>
                  </w:r>
                  <w:r>
                    <w:rPr>
                      <w:rFonts w:hint="default" w:ascii="Times New Roman" w:hAnsi="Times New Roman" w:eastAsia="宋体" w:cs="Times New Roman"/>
                      <w:color w:val="auto"/>
                      <w:kern w:val="0"/>
                      <w:sz w:val="21"/>
                      <w:szCs w:val="21"/>
                      <w:highlight w:val="none"/>
                      <w:lang w:val="en-US" w:eastAsia="zh-CN" w:bidi="ar"/>
                    </w:rPr>
                    <w:t>中规定的</w:t>
                  </w:r>
                  <w:r>
                    <w:rPr>
                      <w:rFonts w:hint="eastAsia" w:ascii="Times New Roman" w:hAnsi="Times New Roman" w:eastAsia="宋体" w:cs="Times New Roman"/>
                      <w:color w:val="auto"/>
                      <w:kern w:val="0"/>
                      <w:sz w:val="21"/>
                      <w:szCs w:val="21"/>
                      <w:highlight w:val="none"/>
                      <w:lang w:val="en-US" w:eastAsia="zh-CN" w:bidi="ar"/>
                    </w:rPr>
                    <w:t>无组织</w:t>
                  </w:r>
                  <w:r>
                    <w:rPr>
                      <w:rFonts w:hint="default" w:ascii="Times New Roman" w:hAnsi="Times New Roman" w:eastAsia="宋体" w:cs="Times New Roman"/>
                      <w:color w:val="auto"/>
                      <w:kern w:val="0"/>
                      <w:sz w:val="21"/>
                      <w:szCs w:val="21"/>
                      <w:highlight w:val="none"/>
                      <w:lang w:val="en-US" w:eastAsia="zh-CN" w:bidi="ar"/>
                    </w:rPr>
                    <w:t>排放限值（</w:t>
                  </w:r>
                  <w:r>
                    <w:rPr>
                      <w:rFonts w:hint="default" w:ascii="Arial" w:hAnsi="Arial" w:cs="Arial"/>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lang w:val="en-US" w:eastAsia="zh-CN" w:bidi="ar"/>
                    </w:rPr>
                    <w:t>mg/m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w:t>
                  </w:r>
                </w:p>
              </w:tc>
              <w:tc>
                <w:tcPr>
                  <w:tcW w:w="773" w:type="dxa"/>
                  <w:vMerge w:val="restart"/>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颗粒物</w:t>
                  </w:r>
                </w:p>
              </w:tc>
              <w:tc>
                <w:tcPr>
                  <w:tcW w:w="784" w:type="dxa"/>
                  <w:tcBorders>
                    <w:tl2br w:val="nil"/>
                    <w:tr2bl w:val="nil"/>
                  </w:tcBorders>
                  <w:noWrap w:val="0"/>
                  <w:tcMar>
                    <w:top w:w="0" w:type="dxa"/>
                    <w:left w:w="11" w:type="dxa"/>
                    <w:bottom w:w="0" w:type="dxa"/>
                    <w:right w:w="11" w:type="dxa"/>
                  </w:tcMar>
                  <w:vAlign w:val="center"/>
                </w:tcPr>
                <w:p>
                  <w:pPr>
                    <w:keepNext w:val="0"/>
                    <w:keepLines w:val="0"/>
                    <w:widowControl/>
                    <w:suppressLineNumbers w:val="0"/>
                    <w:jc w:val="center"/>
                    <w:rPr>
                      <w:rFonts w:ascii="Times New Roman" w:hAnsi="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厂界</w:t>
                  </w:r>
                </w:p>
              </w:tc>
              <w:tc>
                <w:tcPr>
                  <w:tcW w:w="587"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1次/年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86" w:type="dxa"/>
                <w:trHeight w:val="934" w:hRule="atLeast"/>
                <w:jc w:val="center"/>
              </w:trPr>
              <w:tc>
                <w:tcPr>
                  <w:tcW w:w="3555" w:type="dxa"/>
                  <w:gridSpan w:val="5"/>
                  <w:vMerge w:val="continue"/>
                  <w:tcBorders>
                    <w:tl2br w:val="nil"/>
                    <w:tr2bl w:val="nil"/>
                  </w:tcBorders>
                  <w:noWrap w:val="0"/>
                  <w:tcMar>
                    <w:top w:w="0" w:type="dxa"/>
                    <w:left w:w="11" w:type="dxa"/>
                    <w:bottom w:w="0" w:type="dxa"/>
                    <w:right w:w="11" w:type="dxa"/>
                  </w:tcMar>
                  <w:vAlign w:val="center"/>
                </w:tcPr>
                <w:p>
                  <w:pPr>
                    <w:keepNext w:val="0"/>
                    <w:keepLines w:val="0"/>
                    <w:widowControl/>
                    <w:suppressLineNumbers w:val="0"/>
                    <w:jc w:val="left"/>
                    <w:rPr>
                      <w:color w:val="auto"/>
                      <w:sz w:val="21"/>
                      <w:szCs w:val="21"/>
                      <w:highlight w:val="none"/>
                    </w:rPr>
                  </w:pPr>
                </w:p>
              </w:tc>
              <w:tc>
                <w:tcPr>
                  <w:tcW w:w="1778" w:type="dxa"/>
                  <w:gridSpan w:val="3"/>
                  <w:vMerge w:val="continue"/>
                  <w:tcBorders>
                    <w:tl2br w:val="nil"/>
                    <w:tr2bl w:val="nil"/>
                  </w:tcBorders>
                  <w:noWrap w:val="0"/>
                  <w:tcMar>
                    <w:top w:w="0" w:type="dxa"/>
                    <w:left w:w="11" w:type="dxa"/>
                    <w:bottom w:w="0" w:type="dxa"/>
                    <w:right w:w="11"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cs="Times New Roman"/>
                      <w:color w:val="auto"/>
                      <w:kern w:val="2"/>
                      <w:sz w:val="21"/>
                      <w:szCs w:val="21"/>
                      <w:highlight w:val="none"/>
                      <w:lang w:val="en-US" w:eastAsia="zh-CN" w:bidi="ar-SA"/>
                    </w:rPr>
                  </w:pPr>
                </w:p>
              </w:tc>
              <w:tc>
                <w:tcPr>
                  <w:tcW w:w="1644" w:type="dxa"/>
                  <w:gridSpan w:val="2"/>
                  <w:tcBorders>
                    <w:tl2br w:val="nil"/>
                    <w:tr2bl w:val="nil"/>
                  </w:tcBorders>
                  <w:noWrap w:val="0"/>
                  <w:tcMar>
                    <w:top w:w="0" w:type="dxa"/>
                    <w:left w:w="11" w:type="dxa"/>
                    <w:bottom w:w="0" w:type="dxa"/>
                    <w:right w:w="11" w:type="dxa"/>
                  </w:tcMar>
                  <w:vAlign w:val="center"/>
                </w:tcPr>
                <w:p>
                  <w:pPr>
                    <w:keepNext w:val="0"/>
                    <w:keepLines w:val="0"/>
                    <w:widowControl/>
                    <w:suppressLineNumbers w:val="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厂区内</w:t>
                  </w:r>
                </w:p>
              </w:tc>
              <w:tc>
                <w:tcPr>
                  <w:tcW w:w="4977" w:type="dxa"/>
                  <w:tcBorders>
                    <w:tl2br w:val="nil"/>
                    <w:tr2bl w:val="nil"/>
                  </w:tcBorders>
                  <w:noWrap w:val="0"/>
                  <w:tcMar>
                    <w:top w:w="0" w:type="dxa"/>
                    <w:left w:w="11" w:type="dxa"/>
                    <w:bottom w:w="0" w:type="dxa"/>
                    <w:right w:w="11" w:type="dxa"/>
                  </w:tcMar>
                  <w:vAlign w:val="center"/>
                </w:tcPr>
                <w:p>
                  <w:pPr>
                    <w:keepNext w:val="0"/>
                    <w:keepLines w:val="0"/>
                    <w:widowControl/>
                    <w:suppressLineNumbers w:val="0"/>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《铸造工业大气污染物排放标准》（</w:t>
                  </w:r>
                  <w:r>
                    <w:rPr>
                      <w:rFonts w:hint="default" w:ascii="Times New Roman" w:hAnsi="Times New Roman" w:eastAsia="宋体" w:cs="Times New Roman"/>
                      <w:color w:val="auto"/>
                      <w:kern w:val="0"/>
                      <w:sz w:val="21"/>
                      <w:szCs w:val="21"/>
                      <w:highlight w:val="none"/>
                      <w:lang w:val="en-US" w:eastAsia="zh-CN" w:bidi="ar"/>
                    </w:rPr>
                    <w:t>GB39726-2020</w:t>
                  </w:r>
                  <w:r>
                    <w:rPr>
                      <w:rFonts w:hint="eastAsia" w:ascii="Times New Roman" w:hAnsi="Times New Roman" w:eastAsia="宋体" w:cs="Times New Roman"/>
                      <w:color w:val="auto"/>
                      <w:kern w:val="0"/>
                      <w:sz w:val="21"/>
                      <w:szCs w:val="21"/>
                      <w:highlight w:val="none"/>
                      <w:lang w:val="en-US" w:eastAsia="zh-CN" w:bidi="ar"/>
                    </w:rPr>
                    <w:t>）附录</w:t>
                  </w:r>
                  <w:r>
                    <w:rPr>
                      <w:rFonts w:hint="default" w:ascii="Times New Roman" w:hAnsi="Times New Roman" w:eastAsia="宋体" w:cs="Times New Roman"/>
                      <w:color w:val="auto"/>
                      <w:kern w:val="0"/>
                      <w:sz w:val="21"/>
                      <w:szCs w:val="21"/>
                      <w:highlight w:val="none"/>
                      <w:lang w:val="en-US" w:eastAsia="zh-CN" w:bidi="ar"/>
                    </w:rPr>
                    <w:t>A</w:t>
                  </w:r>
                  <w:r>
                    <w:rPr>
                      <w:rFonts w:hint="eastAsia" w:ascii="Times New Roman" w:hAnsi="Times New Roman" w:eastAsia="宋体" w:cs="Times New Roman"/>
                      <w:color w:val="auto"/>
                      <w:kern w:val="0"/>
                      <w:sz w:val="21"/>
                      <w:szCs w:val="21"/>
                      <w:highlight w:val="none"/>
                      <w:lang w:val="en-US" w:eastAsia="zh-CN" w:bidi="ar"/>
                    </w:rPr>
                    <w:t>表</w:t>
                  </w:r>
                  <w:r>
                    <w:rPr>
                      <w:rFonts w:hint="default" w:ascii="Times New Roman" w:hAnsi="Times New Roman" w:eastAsia="宋体" w:cs="Times New Roman"/>
                      <w:color w:val="auto"/>
                      <w:kern w:val="0"/>
                      <w:sz w:val="21"/>
                      <w:szCs w:val="21"/>
                      <w:highlight w:val="none"/>
                      <w:lang w:val="en-US" w:eastAsia="zh-CN" w:bidi="ar"/>
                    </w:rPr>
                    <w:t>A.1</w:t>
                  </w:r>
                  <w:r>
                    <w:rPr>
                      <w:rFonts w:hint="eastAsia" w:ascii="Times New Roman" w:hAnsi="Times New Roman" w:eastAsia="宋体" w:cs="Times New Roman"/>
                      <w:color w:val="auto"/>
                      <w:kern w:val="0"/>
                      <w:sz w:val="21"/>
                      <w:szCs w:val="21"/>
                      <w:highlight w:val="none"/>
                      <w:lang w:val="en-US" w:eastAsia="zh-CN" w:bidi="ar"/>
                    </w:rPr>
                    <w:t>标准限值</w:t>
                  </w:r>
                  <w:r>
                    <w:rPr>
                      <w:rFonts w:hint="default" w:ascii="Times New Roman" w:hAnsi="Times New Roman" w:eastAsia="宋体" w:cs="Times New Roman"/>
                      <w:color w:val="auto"/>
                      <w:kern w:val="0"/>
                      <w:sz w:val="21"/>
                      <w:szCs w:val="21"/>
                      <w:highlight w:val="none"/>
                      <w:lang w:val="en-US" w:eastAsia="zh-CN" w:bidi="ar"/>
                    </w:rPr>
                    <w:t>（</w:t>
                  </w:r>
                  <w:r>
                    <w:rPr>
                      <w:rFonts w:hint="default" w:ascii="Arial" w:hAnsi="Arial" w:cs="Arial"/>
                      <w:color w:val="auto"/>
                      <w:kern w:val="0"/>
                      <w:sz w:val="21"/>
                      <w:szCs w:val="21"/>
                      <w:highlight w:val="none"/>
                      <w:lang w:val="en-US" w:eastAsia="zh-CN" w:bidi="ar"/>
                    </w:rPr>
                    <w:t>≤</w:t>
                  </w:r>
                  <w:r>
                    <w:rPr>
                      <w:rFonts w:hint="eastAsia" w:cs="Times New Roman"/>
                      <w:color w:val="auto"/>
                      <w:kern w:val="0"/>
                      <w:sz w:val="21"/>
                      <w:szCs w:val="21"/>
                      <w:highlight w:val="none"/>
                      <w:lang w:val="en-US" w:eastAsia="zh-CN" w:bidi="ar"/>
                    </w:rPr>
                    <w:t>5</w:t>
                  </w:r>
                  <w:r>
                    <w:rPr>
                      <w:rFonts w:hint="default" w:ascii="Times New Roman" w:hAnsi="Times New Roman" w:eastAsia="宋体" w:cs="Times New Roman"/>
                      <w:color w:val="auto"/>
                      <w:kern w:val="0"/>
                      <w:sz w:val="21"/>
                      <w:szCs w:val="21"/>
                      <w:highlight w:val="none"/>
                      <w:lang w:val="en-US" w:eastAsia="zh-CN" w:bidi="ar"/>
                    </w:rPr>
                    <w:t>mg/m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w:t>
                  </w:r>
                </w:p>
              </w:tc>
              <w:tc>
                <w:tcPr>
                  <w:tcW w:w="773" w:type="dxa"/>
                  <w:vMerge w:val="continue"/>
                  <w:tcBorders>
                    <w:tl2br w:val="nil"/>
                    <w:tr2bl w:val="nil"/>
                  </w:tcBorders>
                  <w:noWrap w:val="0"/>
                  <w:tcMar>
                    <w:top w:w="0" w:type="dxa"/>
                    <w:left w:w="11" w:type="dxa"/>
                    <w:bottom w:w="0" w:type="dxa"/>
                    <w:right w:w="11" w:type="dxa"/>
                  </w:tcMar>
                  <w:vAlign w:val="center"/>
                </w:tcPr>
                <w:p>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p>
              </w:tc>
              <w:tc>
                <w:tcPr>
                  <w:tcW w:w="784" w:type="dxa"/>
                  <w:tcBorders>
                    <w:tl2br w:val="nil"/>
                    <w:tr2bl w:val="nil"/>
                  </w:tcBorders>
                  <w:noWrap w:val="0"/>
                  <w:tcMar>
                    <w:top w:w="0" w:type="dxa"/>
                    <w:left w:w="11" w:type="dxa"/>
                    <w:bottom w:w="0" w:type="dxa"/>
                    <w:right w:w="11" w:type="dxa"/>
                  </w:tcMar>
                  <w:vAlign w:val="center"/>
                </w:tcPr>
                <w:p>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r>
                    <w:rPr>
                      <w:rFonts w:hint="eastAsia"/>
                      <w:color w:val="auto"/>
                      <w:sz w:val="21"/>
                      <w:szCs w:val="21"/>
                      <w:highlight w:val="none"/>
                      <w:lang w:val="en-US" w:eastAsia="zh-CN"/>
                    </w:rPr>
                    <w:t>厂区内</w:t>
                  </w:r>
                </w:p>
              </w:tc>
              <w:tc>
                <w:tcPr>
                  <w:tcW w:w="587" w:type="dxa"/>
                  <w:tcBorders>
                    <w:tl2br w:val="nil"/>
                    <w:tr2bl w:val="nil"/>
                  </w:tcBorders>
                  <w:noWrap w:val="0"/>
                  <w:tcMar>
                    <w:top w:w="0" w:type="dxa"/>
                    <w:left w:w="11" w:type="dxa"/>
                    <w:bottom w:w="0" w:type="dxa"/>
                    <w:right w:w="11" w:type="dxa"/>
                  </w:tcMar>
                  <w:vAlign w:val="center"/>
                </w:tcPr>
                <w:p>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1次/年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86" w:type="dxa"/>
                <w:trHeight w:val="378" w:hRule="atLeast"/>
                <w:jc w:val="center"/>
              </w:trPr>
              <w:tc>
                <w:tcPr>
                  <w:tcW w:w="3555" w:type="dxa"/>
                  <w:gridSpan w:val="5"/>
                  <w:vMerge w:val="continue"/>
                  <w:tcBorders>
                    <w:tl2br w:val="nil"/>
                    <w:tr2bl w:val="nil"/>
                  </w:tcBorders>
                  <w:noWrap w:val="0"/>
                  <w:tcMar>
                    <w:top w:w="0" w:type="dxa"/>
                    <w:left w:w="11" w:type="dxa"/>
                    <w:bottom w:w="0" w:type="dxa"/>
                    <w:right w:w="11" w:type="dxa"/>
                  </w:tcMar>
                  <w:vAlign w:val="center"/>
                </w:tcPr>
                <w:p>
                  <w:pPr>
                    <w:keepNext w:val="0"/>
                    <w:keepLines w:val="0"/>
                    <w:widowControl/>
                    <w:suppressLineNumbers w:val="0"/>
                    <w:jc w:val="left"/>
                    <w:rPr>
                      <w:rFonts w:hint="eastAsia" w:ascii="宋体" w:hAnsi="宋体" w:eastAsia="宋体" w:cs="宋体"/>
                      <w:color w:val="auto"/>
                      <w:kern w:val="0"/>
                      <w:sz w:val="21"/>
                      <w:szCs w:val="21"/>
                      <w:highlight w:val="none"/>
                      <w:lang w:val="en-US" w:eastAsia="zh-CN" w:bidi="ar"/>
                    </w:rPr>
                  </w:pPr>
                </w:p>
              </w:tc>
              <w:tc>
                <w:tcPr>
                  <w:tcW w:w="1778" w:type="dxa"/>
                  <w:gridSpan w:val="3"/>
                  <w:vMerge w:val="restart"/>
                  <w:tcBorders>
                    <w:tl2br w:val="nil"/>
                    <w:tr2bl w:val="nil"/>
                  </w:tcBorders>
                  <w:noWrap w:val="0"/>
                  <w:tcMar>
                    <w:top w:w="0" w:type="dxa"/>
                    <w:left w:w="11" w:type="dxa"/>
                    <w:bottom w:w="0" w:type="dxa"/>
                    <w:right w:w="11"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非甲烷总烃</w:t>
                  </w:r>
                </w:p>
              </w:tc>
              <w:tc>
                <w:tcPr>
                  <w:tcW w:w="1644" w:type="dxa"/>
                  <w:gridSpan w:val="2"/>
                  <w:tcBorders>
                    <w:tl2br w:val="nil"/>
                    <w:tr2bl w:val="nil"/>
                  </w:tcBorders>
                  <w:noWrap w:val="0"/>
                  <w:tcMar>
                    <w:top w:w="0" w:type="dxa"/>
                    <w:left w:w="11" w:type="dxa"/>
                    <w:bottom w:w="0" w:type="dxa"/>
                    <w:right w:w="11"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0"/>
                      <w:sz w:val="21"/>
                      <w:szCs w:val="21"/>
                      <w:highlight w:val="none"/>
                      <w:lang w:val="en-US" w:eastAsia="zh-CN" w:bidi="ar"/>
                    </w:rPr>
                  </w:pPr>
                  <w:r>
                    <w:rPr>
                      <w:rFonts w:hint="eastAsia" w:cs="Times New Roman"/>
                      <w:color w:val="auto"/>
                      <w:kern w:val="2"/>
                      <w:sz w:val="21"/>
                      <w:szCs w:val="21"/>
                      <w:highlight w:val="none"/>
                      <w:lang w:val="en-US" w:eastAsia="zh-CN" w:bidi="ar-SA"/>
                    </w:rPr>
                    <w:t>厂界</w:t>
                  </w:r>
                </w:p>
              </w:tc>
              <w:tc>
                <w:tcPr>
                  <w:tcW w:w="4977" w:type="dxa"/>
                  <w:tcBorders>
                    <w:tl2br w:val="nil"/>
                    <w:tr2bl w:val="nil"/>
                  </w:tcBorders>
                  <w:noWrap w:val="0"/>
                  <w:tcMar>
                    <w:top w:w="0" w:type="dxa"/>
                    <w:left w:w="11" w:type="dxa"/>
                    <w:bottom w:w="0" w:type="dxa"/>
                    <w:right w:w="11" w:type="dxa"/>
                  </w:tcMar>
                  <w:vAlign w:val="center"/>
                </w:tcPr>
                <w:p>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非甲烷总烃厂界无组织监控点浓度执行《工业涂装工序挥发性有机物排放标准》（DB35/1783-2018）中表4规定的排放限值</w:t>
                  </w:r>
                  <w:r>
                    <w:rPr>
                      <w:rFonts w:hint="eastAsia" w:cs="Times New Roman"/>
                      <w:color w:val="auto"/>
                      <w:kern w:val="0"/>
                      <w:sz w:val="21"/>
                      <w:szCs w:val="21"/>
                      <w:highlight w:val="none"/>
                      <w:lang w:val="en-US" w:eastAsia="zh-CN" w:bidi="ar"/>
                    </w:rPr>
                    <w:t>（</w:t>
                  </w:r>
                  <w:r>
                    <w:rPr>
                      <w:rFonts w:hint="default" w:ascii="Arial" w:hAnsi="Arial" w:cs="Arial"/>
                      <w:color w:val="auto"/>
                      <w:kern w:val="0"/>
                      <w:sz w:val="21"/>
                      <w:szCs w:val="21"/>
                      <w:highlight w:val="none"/>
                      <w:lang w:val="en-US" w:eastAsia="zh-CN" w:bidi="ar"/>
                    </w:rPr>
                    <w:t>≤</w:t>
                  </w:r>
                  <w:r>
                    <w:rPr>
                      <w:rFonts w:hint="eastAsia" w:cs="Times New Roman"/>
                      <w:color w:val="auto"/>
                      <w:kern w:val="0"/>
                      <w:sz w:val="21"/>
                      <w:szCs w:val="21"/>
                      <w:highlight w:val="none"/>
                      <w:lang w:val="en-US" w:eastAsia="zh-CN" w:bidi="ar"/>
                    </w:rPr>
                    <w:t>2</w:t>
                  </w:r>
                  <w:r>
                    <w:rPr>
                      <w:rFonts w:hint="eastAsia" w:ascii="Times New Roman" w:hAnsi="Times New Roman" w:eastAsia="宋体" w:cs="Times New Roman"/>
                      <w:color w:val="auto"/>
                      <w:kern w:val="0"/>
                      <w:sz w:val="21"/>
                      <w:szCs w:val="21"/>
                      <w:highlight w:val="none"/>
                      <w:lang w:val="en-US" w:eastAsia="zh-CN" w:bidi="ar"/>
                    </w:rPr>
                    <w:t>.0</w:t>
                  </w:r>
                  <w:r>
                    <w:rPr>
                      <w:rFonts w:hint="default" w:ascii="Times New Roman" w:hAnsi="Times New Roman" w:eastAsia="宋体" w:cs="Times New Roman"/>
                      <w:color w:val="auto"/>
                      <w:kern w:val="0"/>
                      <w:sz w:val="21"/>
                      <w:szCs w:val="21"/>
                      <w:highlight w:val="none"/>
                      <w:lang w:val="en-US" w:eastAsia="zh-CN" w:bidi="ar"/>
                    </w:rPr>
                    <w:t>mg/m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eastAsia" w:cs="Times New Roman"/>
                      <w:color w:val="auto"/>
                      <w:kern w:val="0"/>
                      <w:sz w:val="21"/>
                      <w:szCs w:val="21"/>
                      <w:highlight w:val="none"/>
                      <w:lang w:val="en-US" w:eastAsia="zh-CN" w:bidi="ar"/>
                    </w:rPr>
                    <w:t>）</w:t>
                  </w:r>
                </w:p>
              </w:tc>
              <w:tc>
                <w:tcPr>
                  <w:tcW w:w="773" w:type="dxa"/>
                  <w:vMerge w:val="restart"/>
                  <w:tcBorders>
                    <w:tl2br w:val="nil"/>
                    <w:tr2bl w:val="nil"/>
                  </w:tcBorders>
                  <w:noWrap w:val="0"/>
                  <w:tcMar>
                    <w:top w:w="0" w:type="dxa"/>
                    <w:left w:w="11" w:type="dxa"/>
                    <w:bottom w:w="0" w:type="dxa"/>
                    <w:right w:w="11" w:type="dxa"/>
                  </w:tcMar>
                  <w:vAlign w:val="center"/>
                </w:tcPr>
                <w:p>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r>
                    <w:rPr>
                      <w:rFonts w:hint="default" w:cs="Times New Roman"/>
                      <w:color w:val="auto"/>
                      <w:kern w:val="2"/>
                      <w:sz w:val="21"/>
                      <w:szCs w:val="21"/>
                      <w:highlight w:val="none"/>
                      <w:lang w:val="en-US" w:eastAsia="zh-CN" w:bidi="ar-SA"/>
                    </w:rPr>
                    <w:t>非甲烷总烃</w:t>
                  </w:r>
                </w:p>
              </w:tc>
              <w:tc>
                <w:tcPr>
                  <w:tcW w:w="784" w:type="dxa"/>
                  <w:tcBorders>
                    <w:tl2br w:val="nil"/>
                    <w:tr2bl w:val="nil"/>
                  </w:tcBorders>
                  <w:noWrap w:val="0"/>
                  <w:tcMar>
                    <w:top w:w="0" w:type="dxa"/>
                    <w:left w:w="11" w:type="dxa"/>
                    <w:bottom w:w="0" w:type="dxa"/>
                    <w:right w:w="11" w:type="dxa"/>
                  </w:tcMar>
                  <w:vAlign w:val="center"/>
                </w:tcPr>
                <w:p>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r>
                    <w:rPr>
                      <w:rFonts w:hint="eastAsia" w:cs="Times New Roman"/>
                      <w:color w:val="auto"/>
                      <w:kern w:val="2"/>
                      <w:sz w:val="21"/>
                      <w:szCs w:val="21"/>
                      <w:highlight w:val="none"/>
                      <w:lang w:val="en-US" w:eastAsia="zh-CN" w:bidi="ar-SA"/>
                    </w:rPr>
                    <w:t>厂界</w:t>
                  </w:r>
                </w:p>
              </w:tc>
              <w:tc>
                <w:tcPr>
                  <w:tcW w:w="587" w:type="dxa"/>
                  <w:tcBorders>
                    <w:tl2br w:val="nil"/>
                    <w:tr2bl w:val="nil"/>
                  </w:tcBorders>
                  <w:noWrap w:val="0"/>
                  <w:tcMar>
                    <w:top w:w="0" w:type="dxa"/>
                    <w:left w:w="11" w:type="dxa"/>
                    <w:bottom w:w="0" w:type="dxa"/>
                    <w:right w:w="11" w:type="dxa"/>
                  </w:tcMar>
                  <w:vAlign w:val="center"/>
                </w:tcPr>
                <w:p>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1次/年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86" w:type="dxa"/>
                <w:trHeight w:val="378" w:hRule="atLeast"/>
                <w:jc w:val="center"/>
              </w:trPr>
              <w:tc>
                <w:tcPr>
                  <w:tcW w:w="3555" w:type="dxa"/>
                  <w:gridSpan w:val="5"/>
                  <w:vMerge w:val="continue"/>
                  <w:tcBorders>
                    <w:tl2br w:val="nil"/>
                    <w:tr2bl w:val="nil"/>
                  </w:tcBorders>
                  <w:noWrap w:val="0"/>
                  <w:tcMar>
                    <w:top w:w="0" w:type="dxa"/>
                    <w:left w:w="11" w:type="dxa"/>
                    <w:bottom w:w="0" w:type="dxa"/>
                    <w:right w:w="11" w:type="dxa"/>
                  </w:tcMar>
                  <w:vAlign w:val="center"/>
                </w:tcPr>
                <w:p>
                  <w:pPr>
                    <w:keepNext w:val="0"/>
                    <w:keepLines w:val="0"/>
                    <w:widowControl/>
                    <w:suppressLineNumbers w:val="0"/>
                    <w:jc w:val="left"/>
                    <w:rPr>
                      <w:rFonts w:hint="eastAsia" w:ascii="宋体" w:hAnsi="宋体" w:eastAsia="宋体" w:cs="宋体"/>
                      <w:color w:val="auto"/>
                      <w:kern w:val="0"/>
                      <w:sz w:val="21"/>
                      <w:szCs w:val="21"/>
                      <w:highlight w:val="none"/>
                      <w:lang w:val="en-US" w:eastAsia="zh-CN" w:bidi="ar"/>
                    </w:rPr>
                  </w:pPr>
                </w:p>
              </w:tc>
              <w:tc>
                <w:tcPr>
                  <w:tcW w:w="1778" w:type="dxa"/>
                  <w:gridSpan w:val="3"/>
                  <w:vMerge w:val="continue"/>
                  <w:tcBorders>
                    <w:tl2br w:val="nil"/>
                    <w:tr2bl w:val="nil"/>
                  </w:tcBorders>
                  <w:noWrap w:val="0"/>
                  <w:tcMar>
                    <w:top w:w="0" w:type="dxa"/>
                    <w:left w:w="11" w:type="dxa"/>
                    <w:bottom w:w="0" w:type="dxa"/>
                    <w:right w:w="11" w:type="dxa"/>
                  </w:tcMar>
                  <w:vAlign w:val="center"/>
                </w:tcPr>
                <w:p>
                  <w:pPr>
                    <w:keepNext w:val="0"/>
                    <w:keepLines w:val="0"/>
                    <w:widowControl/>
                    <w:suppressLineNumbers w:val="0"/>
                    <w:jc w:val="left"/>
                    <w:rPr>
                      <w:rFonts w:hint="eastAsia" w:ascii="宋体" w:hAnsi="宋体" w:eastAsia="宋体" w:cs="宋体"/>
                      <w:color w:val="auto"/>
                      <w:kern w:val="0"/>
                      <w:sz w:val="21"/>
                      <w:szCs w:val="21"/>
                      <w:highlight w:val="none"/>
                      <w:lang w:val="en-US" w:eastAsia="zh-CN" w:bidi="ar"/>
                    </w:rPr>
                  </w:pPr>
                </w:p>
              </w:tc>
              <w:tc>
                <w:tcPr>
                  <w:tcW w:w="1644" w:type="dxa"/>
                  <w:gridSpan w:val="2"/>
                  <w:tcBorders>
                    <w:tl2br w:val="nil"/>
                    <w:tr2bl w:val="nil"/>
                  </w:tcBorders>
                  <w:noWrap w:val="0"/>
                  <w:tcMar>
                    <w:top w:w="0" w:type="dxa"/>
                    <w:left w:w="11" w:type="dxa"/>
                    <w:bottom w:w="0" w:type="dxa"/>
                    <w:right w:w="11" w:type="dxa"/>
                  </w:tcMar>
                  <w:vAlign w:val="center"/>
                </w:tcPr>
                <w:p>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r>
                    <w:rPr>
                      <w:rFonts w:hint="eastAsia"/>
                      <w:color w:val="auto"/>
                      <w:sz w:val="21"/>
                      <w:szCs w:val="21"/>
                      <w:highlight w:val="none"/>
                      <w:lang w:val="en-US" w:eastAsia="zh-CN"/>
                    </w:rPr>
                    <w:t>厂区内</w:t>
                  </w:r>
                </w:p>
              </w:tc>
              <w:tc>
                <w:tcPr>
                  <w:tcW w:w="4977" w:type="dxa"/>
                  <w:tcBorders>
                    <w:tl2br w:val="nil"/>
                    <w:tr2bl w:val="nil"/>
                  </w:tcBorders>
                  <w:noWrap w:val="0"/>
                  <w:tcMar>
                    <w:top w:w="0" w:type="dxa"/>
                    <w:left w:w="11" w:type="dxa"/>
                    <w:bottom w:w="0" w:type="dxa"/>
                    <w:right w:w="11" w:type="dxa"/>
                  </w:tcMar>
                  <w:vAlign w:val="center"/>
                </w:tcPr>
                <w:p>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r>
                    <w:rPr>
                      <w:rFonts w:hint="default" w:ascii="Times New Roman" w:hAnsi="Times New Roman" w:eastAsia="宋体" w:cs="Times New Roman"/>
                      <w:color w:val="0000FF"/>
                      <w:kern w:val="0"/>
                      <w:sz w:val="21"/>
                      <w:szCs w:val="21"/>
                      <w:lang w:val="en-US" w:eastAsia="zh-CN" w:bidi="ar"/>
                    </w:rPr>
                    <w:t>非甲烷总烃厂区内监控点处1h平均浓度值排放执行《工业涂装工序挥发性有机物排放标准》（DB35/1783-2018）中表3</w:t>
                  </w:r>
                  <w:r>
                    <w:rPr>
                      <w:rFonts w:hint="eastAsia" w:cs="Times New Roman"/>
                      <w:color w:val="0000FF"/>
                      <w:kern w:val="0"/>
                      <w:sz w:val="21"/>
                      <w:szCs w:val="21"/>
                      <w:lang w:val="en-US" w:eastAsia="zh-CN" w:bidi="ar"/>
                    </w:rPr>
                    <w:t>限值</w:t>
                  </w:r>
                  <w:r>
                    <w:rPr>
                      <w:rFonts w:hint="eastAsia" w:ascii="Times New Roman" w:hAnsi="Times New Roman" w:eastAsia="宋体" w:cs="Times New Roman"/>
                      <w:color w:val="0000FF"/>
                      <w:sz w:val="21"/>
                      <w:szCs w:val="21"/>
                      <w:lang w:val="en-US" w:eastAsia="zh-CN"/>
                    </w:rPr>
                    <w:t>（8</w:t>
                  </w:r>
                  <w:r>
                    <w:rPr>
                      <w:rFonts w:hint="default" w:ascii="Times New Roman" w:hAnsi="Times New Roman" w:eastAsia="宋体" w:cs="Times New Roman"/>
                      <w:color w:val="0000FF"/>
                      <w:sz w:val="21"/>
                      <w:szCs w:val="21"/>
                      <w:lang w:val="en-US" w:eastAsia="zh-CN"/>
                    </w:rPr>
                    <w:t>mg/m</w:t>
                  </w:r>
                  <w:r>
                    <w:rPr>
                      <w:rFonts w:hint="default" w:ascii="Times New Roman" w:hAnsi="Times New Roman" w:eastAsia="宋体" w:cs="Times New Roman"/>
                      <w:color w:val="0000FF"/>
                      <w:sz w:val="21"/>
                      <w:szCs w:val="21"/>
                      <w:vertAlign w:val="superscript"/>
                      <w:lang w:val="en-US" w:eastAsia="zh-CN"/>
                    </w:rPr>
                    <w:t>3</w:t>
                  </w:r>
                  <w:r>
                    <w:rPr>
                      <w:rFonts w:hint="eastAsia" w:ascii="Times New Roman" w:hAnsi="Times New Roman" w:eastAsia="宋体" w:cs="Times New Roman"/>
                      <w:color w:val="0000FF"/>
                      <w:sz w:val="21"/>
                      <w:szCs w:val="21"/>
                      <w:lang w:val="en-US" w:eastAsia="zh-CN"/>
                    </w:rPr>
                    <w:t>）</w:t>
                  </w:r>
                  <w:r>
                    <w:rPr>
                      <w:rFonts w:hint="eastAsia" w:cs="Times New Roman"/>
                      <w:color w:val="0000FF"/>
                      <w:kern w:val="0"/>
                      <w:sz w:val="21"/>
                      <w:szCs w:val="21"/>
                      <w:lang w:val="en-US" w:eastAsia="zh-CN" w:bidi="ar"/>
                    </w:rPr>
                    <w:t>；</w:t>
                  </w:r>
                  <w:r>
                    <w:rPr>
                      <w:rFonts w:hint="default" w:ascii="Times New Roman" w:hAnsi="Times New Roman" w:eastAsia="宋体" w:cs="Times New Roman"/>
                      <w:color w:val="0000FF"/>
                      <w:kern w:val="0"/>
                      <w:sz w:val="21"/>
                      <w:szCs w:val="21"/>
                      <w:lang w:val="en-US" w:eastAsia="zh-CN" w:bidi="ar"/>
                    </w:rPr>
                    <w:t>非甲烷总烃厂区内监控点处任意一次浓度值排放执行《铸造工业大气污染物排放标准》(GB39726-2020)附表A</w:t>
                  </w:r>
                  <w:r>
                    <w:rPr>
                      <w:rFonts w:hint="eastAsia" w:ascii="Times New Roman" w:hAnsi="Times New Roman" w:eastAsia="宋体" w:cs="Times New Roman"/>
                      <w:color w:val="0000FF"/>
                      <w:kern w:val="0"/>
                      <w:sz w:val="21"/>
                      <w:szCs w:val="21"/>
                      <w:lang w:val="en-US" w:eastAsia="zh-CN" w:bidi="ar"/>
                    </w:rPr>
                    <w:t>.1</w:t>
                  </w:r>
                  <w:r>
                    <w:rPr>
                      <w:rFonts w:hint="default" w:ascii="Times New Roman" w:hAnsi="Times New Roman" w:eastAsia="宋体" w:cs="Times New Roman"/>
                      <w:color w:val="0000FF"/>
                      <w:kern w:val="0"/>
                      <w:sz w:val="21"/>
                      <w:szCs w:val="21"/>
                      <w:lang w:val="en-US" w:eastAsia="zh-CN" w:bidi="ar"/>
                    </w:rPr>
                    <w:t>规定的排放限</w:t>
                  </w:r>
                  <w:r>
                    <w:rPr>
                      <w:rFonts w:hint="eastAsia" w:cs="Times New Roman"/>
                      <w:color w:val="0000FF"/>
                      <w:kern w:val="0"/>
                      <w:sz w:val="21"/>
                      <w:szCs w:val="21"/>
                      <w:lang w:val="en-US" w:eastAsia="zh-CN" w:bidi="ar"/>
                    </w:rPr>
                    <w:t>值</w:t>
                  </w:r>
                  <w:r>
                    <w:rPr>
                      <w:rFonts w:hint="eastAsia" w:ascii="Times New Roman" w:hAnsi="Times New Roman" w:eastAsia="宋体" w:cs="Times New Roman"/>
                      <w:color w:val="0000FF"/>
                      <w:sz w:val="21"/>
                      <w:szCs w:val="21"/>
                      <w:lang w:val="en-US" w:eastAsia="zh-CN"/>
                    </w:rPr>
                    <w:t>（</w:t>
                  </w:r>
                  <w:r>
                    <w:rPr>
                      <w:rFonts w:hint="default" w:ascii="Times New Roman" w:hAnsi="Times New Roman" w:eastAsia="宋体" w:cs="Times New Roman"/>
                      <w:color w:val="0000FF"/>
                      <w:sz w:val="21"/>
                      <w:szCs w:val="21"/>
                    </w:rPr>
                    <w:t>≤</w:t>
                  </w:r>
                  <w:r>
                    <w:rPr>
                      <w:rFonts w:hint="eastAsia" w:ascii="Times New Roman" w:hAnsi="Times New Roman" w:eastAsia="宋体" w:cs="Times New Roman"/>
                      <w:color w:val="0000FF"/>
                      <w:sz w:val="21"/>
                      <w:szCs w:val="21"/>
                      <w:lang w:val="en-US" w:eastAsia="zh-CN"/>
                    </w:rPr>
                    <w:t>3</w:t>
                  </w:r>
                  <w:r>
                    <w:rPr>
                      <w:rFonts w:ascii="Times New Roman" w:hAnsi="Times New Roman" w:eastAsia="宋体" w:cs="Times New Roman"/>
                      <w:color w:val="0000FF"/>
                      <w:sz w:val="21"/>
                      <w:szCs w:val="21"/>
                    </w:rPr>
                    <w:t>0</w:t>
                  </w:r>
                  <w:r>
                    <w:rPr>
                      <w:rFonts w:hint="default" w:ascii="Times New Roman" w:hAnsi="Times New Roman" w:eastAsia="宋体" w:cs="Times New Roman"/>
                      <w:color w:val="0000FF"/>
                      <w:sz w:val="21"/>
                      <w:szCs w:val="21"/>
                      <w:lang w:val="en-US" w:eastAsia="zh-CN"/>
                    </w:rPr>
                    <w:t>mg/m</w:t>
                  </w:r>
                  <w:r>
                    <w:rPr>
                      <w:rFonts w:hint="default" w:ascii="Times New Roman" w:hAnsi="Times New Roman" w:eastAsia="宋体" w:cs="Times New Roman"/>
                      <w:color w:val="0000FF"/>
                      <w:sz w:val="21"/>
                      <w:szCs w:val="21"/>
                      <w:vertAlign w:val="superscript"/>
                      <w:lang w:val="en-US" w:eastAsia="zh-CN"/>
                    </w:rPr>
                    <w:t>3</w:t>
                  </w:r>
                  <w:r>
                    <w:rPr>
                      <w:rFonts w:hint="eastAsia" w:ascii="Times New Roman" w:hAnsi="Times New Roman" w:eastAsia="宋体" w:cs="Times New Roman"/>
                      <w:color w:val="0000FF"/>
                      <w:sz w:val="21"/>
                      <w:szCs w:val="21"/>
                      <w:lang w:val="en-US" w:eastAsia="zh-CN"/>
                    </w:rPr>
                    <w:t>）</w:t>
                  </w:r>
                </w:p>
              </w:tc>
              <w:tc>
                <w:tcPr>
                  <w:tcW w:w="773" w:type="dxa"/>
                  <w:vMerge w:val="continue"/>
                  <w:tcBorders>
                    <w:tl2br w:val="nil"/>
                    <w:tr2bl w:val="nil"/>
                  </w:tcBorders>
                  <w:noWrap w:val="0"/>
                  <w:tcMar>
                    <w:top w:w="0" w:type="dxa"/>
                    <w:left w:w="11" w:type="dxa"/>
                    <w:bottom w:w="0" w:type="dxa"/>
                    <w:right w:w="11" w:type="dxa"/>
                  </w:tcMar>
                  <w:vAlign w:val="center"/>
                </w:tcPr>
                <w:p>
                  <w:pPr>
                    <w:keepNext w:val="0"/>
                    <w:keepLines w:val="0"/>
                    <w:widowControl/>
                    <w:suppressLineNumbers w:val="0"/>
                    <w:jc w:val="left"/>
                    <w:rPr>
                      <w:rFonts w:hint="eastAsia" w:ascii="宋体" w:hAnsi="宋体" w:eastAsia="宋体" w:cs="宋体"/>
                      <w:color w:val="auto"/>
                      <w:kern w:val="0"/>
                      <w:sz w:val="21"/>
                      <w:szCs w:val="21"/>
                      <w:highlight w:val="none"/>
                      <w:lang w:val="en-US" w:eastAsia="zh-CN" w:bidi="ar"/>
                    </w:rPr>
                  </w:pPr>
                </w:p>
              </w:tc>
              <w:tc>
                <w:tcPr>
                  <w:tcW w:w="784" w:type="dxa"/>
                  <w:tcBorders>
                    <w:tl2br w:val="nil"/>
                    <w:tr2bl w:val="nil"/>
                  </w:tcBorders>
                  <w:noWrap w:val="0"/>
                  <w:tcMar>
                    <w:top w:w="0" w:type="dxa"/>
                    <w:left w:w="11" w:type="dxa"/>
                    <w:bottom w:w="0" w:type="dxa"/>
                    <w:right w:w="11" w:type="dxa"/>
                  </w:tcMar>
                  <w:vAlign w:val="center"/>
                </w:tcPr>
                <w:p>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r>
                    <w:rPr>
                      <w:rFonts w:hint="eastAsia"/>
                      <w:color w:val="auto"/>
                      <w:sz w:val="21"/>
                      <w:szCs w:val="21"/>
                      <w:highlight w:val="none"/>
                      <w:lang w:val="en-US" w:eastAsia="zh-CN"/>
                    </w:rPr>
                    <w:t>厂区内</w:t>
                  </w:r>
                </w:p>
              </w:tc>
              <w:tc>
                <w:tcPr>
                  <w:tcW w:w="587" w:type="dxa"/>
                  <w:tcBorders>
                    <w:tl2br w:val="nil"/>
                    <w:tr2bl w:val="nil"/>
                  </w:tcBorders>
                  <w:noWrap w:val="0"/>
                  <w:tcMar>
                    <w:top w:w="0" w:type="dxa"/>
                    <w:left w:w="11" w:type="dxa"/>
                    <w:bottom w:w="0" w:type="dxa"/>
                    <w:right w:w="11" w:type="dxa"/>
                  </w:tcMar>
                  <w:vAlign w:val="center"/>
                </w:tcPr>
                <w:p>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1次/年</w:t>
                  </w:r>
                </w:p>
              </w:tc>
            </w:tr>
          </w:tbl>
          <w:p>
            <w:pPr>
              <w:pStyle w:val="34"/>
              <w:ind w:left="0" w:leftChars="0" w:firstLine="0" w:firstLineChars="0"/>
              <w:rPr>
                <w:rFonts w:ascii="Times New Roman" w:hAnsi="Times New Roman"/>
                <w:b/>
                <w:bCs/>
                <w:color w:val="auto"/>
                <w:sz w:val="21"/>
                <w:szCs w:val="21"/>
                <w:highlight w:val="none"/>
              </w:rPr>
            </w:pPr>
          </w:p>
        </w:tc>
      </w:tr>
    </w:tbl>
    <w:p>
      <w:pPr>
        <w:adjustRightInd w:val="0"/>
        <w:snapToGrid w:val="0"/>
        <w:spacing w:line="360" w:lineRule="auto"/>
        <w:rPr>
          <w:rFonts w:ascii="宋体" w:cs="宋体"/>
          <w:b/>
          <w:color w:val="auto"/>
          <w:kern w:val="0"/>
          <w:sz w:val="28"/>
          <w:szCs w:val="28"/>
          <w:highlight w:val="none"/>
        </w:rPr>
        <w:sectPr>
          <w:pgSz w:w="16840" w:h="11907" w:orient="landscape"/>
          <w:pgMar w:top="1531" w:right="1134" w:bottom="1531" w:left="1134"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6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3748" w:hRule="atLeast"/>
          <w:jc w:val="center"/>
        </w:trPr>
        <w:tc>
          <w:tcPr>
            <w:tcW w:w="426" w:type="dxa"/>
            <w:vAlign w:val="center"/>
          </w:tcPr>
          <w:p>
            <w:pPr>
              <w:adjustRightInd w:val="0"/>
              <w:snapToGrid w:val="0"/>
              <w:jc w:val="center"/>
              <w:rPr>
                <w:bCs/>
                <w:color w:val="auto"/>
                <w:szCs w:val="21"/>
                <w:highlight w:val="none"/>
              </w:rPr>
            </w:pPr>
            <w:r>
              <w:rPr>
                <w:bCs/>
                <w:color w:val="auto"/>
                <w:szCs w:val="21"/>
                <w:highlight w:val="none"/>
              </w:rPr>
              <w:t>运营</w:t>
            </w:r>
          </w:p>
          <w:p>
            <w:pPr>
              <w:adjustRightInd w:val="0"/>
              <w:snapToGrid w:val="0"/>
              <w:jc w:val="center"/>
              <w:rPr>
                <w:bCs/>
                <w:color w:val="auto"/>
                <w:szCs w:val="21"/>
                <w:highlight w:val="none"/>
              </w:rPr>
            </w:pPr>
            <w:r>
              <w:rPr>
                <w:bCs/>
                <w:color w:val="auto"/>
                <w:szCs w:val="21"/>
                <w:highlight w:val="none"/>
              </w:rPr>
              <w:t>期环</w:t>
            </w:r>
          </w:p>
          <w:p>
            <w:pPr>
              <w:adjustRightInd w:val="0"/>
              <w:snapToGrid w:val="0"/>
              <w:jc w:val="center"/>
              <w:rPr>
                <w:bCs/>
                <w:color w:val="auto"/>
                <w:szCs w:val="21"/>
                <w:highlight w:val="none"/>
              </w:rPr>
            </w:pPr>
            <w:r>
              <w:rPr>
                <w:bCs/>
                <w:color w:val="auto"/>
                <w:szCs w:val="21"/>
                <w:highlight w:val="none"/>
              </w:rPr>
              <w:t>境影</w:t>
            </w:r>
          </w:p>
          <w:p>
            <w:pPr>
              <w:adjustRightInd w:val="0"/>
              <w:snapToGrid w:val="0"/>
              <w:jc w:val="center"/>
              <w:rPr>
                <w:bCs/>
                <w:color w:val="auto"/>
                <w:szCs w:val="21"/>
                <w:highlight w:val="none"/>
              </w:rPr>
            </w:pPr>
            <w:r>
              <w:rPr>
                <w:bCs/>
                <w:color w:val="auto"/>
                <w:szCs w:val="21"/>
                <w:highlight w:val="none"/>
              </w:rPr>
              <w:t>响和</w:t>
            </w:r>
          </w:p>
          <w:p>
            <w:pPr>
              <w:adjustRightInd w:val="0"/>
              <w:snapToGrid w:val="0"/>
              <w:jc w:val="center"/>
              <w:rPr>
                <w:bCs/>
                <w:color w:val="auto"/>
                <w:szCs w:val="21"/>
                <w:highlight w:val="none"/>
              </w:rPr>
            </w:pPr>
            <w:r>
              <w:rPr>
                <w:bCs/>
                <w:color w:val="auto"/>
                <w:szCs w:val="21"/>
                <w:highlight w:val="none"/>
              </w:rPr>
              <w:t>保护</w:t>
            </w:r>
          </w:p>
          <w:p>
            <w:pPr>
              <w:adjustRightInd w:val="0"/>
              <w:snapToGrid w:val="0"/>
              <w:jc w:val="center"/>
              <w:rPr>
                <w:color w:val="auto"/>
                <w:szCs w:val="21"/>
                <w:highlight w:val="none"/>
              </w:rPr>
            </w:pPr>
            <w:r>
              <w:rPr>
                <w:bCs/>
                <w:color w:val="auto"/>
                <w:szCs w:val="21"/>
                <w:highlight w:val="none"/>
              </w:rPr>
              <w:t>措施</w:t>
            </w:r>
          </w:p>
        </w:tc>
        <w:tc>
          <w:tcPr>
            <w:tcW w:w="8634" w:type="dxa"/>
            <w:tcBorders>
              <w:bottom w:val="single" w:color="auto" w:sz="4" w:space="0"/>
            </w:tcBorders>
            <w:vAlign w:val="top"/>
          </w:tcPr>
          <w:p>
            <w:pPr>
              <w:pStyle w:val="34"/>
              <w:pageBreakBefore w:val="0"/>
              <w:kinsoku/>
              <w:wordWrap/>
              <w:overflowPunct/>
              <w:topLinePunct w:val="0"/>
              <w:autoSpaceDE/>
              <w:autoSpaceDN/>
              <w:bidi w:val="0"/>
              <w:spacing w:before="120" w:beforeLines="50" w:line="360" w:lineRule="auto"/>
              <w:ind w:left="0" w:leftChars="0" w:firstLine="0" w:firstLineChars="0"/>
              <w:textAlignment w:val="auto"/>
              <w:rPr>
                <w:rFonts w:hint="default" w:ascii="Times New Roman" w:hAnsi="Times New Roman" w:cs="Times New Roman"/>
                <w:b/>
                <w:bCs/>
                <w:color w:val="auto"/>
                <w:kern w:val="2"/>
                <w:highlight w:val="none"/>
              </w:rPr>
            </w:pPr>
            <w:r>
              <w:rPr>
                <w:rFonts w:hint="eastAsia" w:ascii="Times New Roman" w:hAnsi="Times New Roman" w:cs="Times New Roman"/>
                <w:b/>
                <w:bCs/>
                <w:color w:val="auto"/>
                <w:kern w:val="2"/>
                <w:highlight w:val="none"/>
                <w:lang w:val="en-US" w:eastAsia="zh-CN"/>
              </w:rPr>
              <w:t>4.2.1.2</w:t>
            </w:r>
            <w:r>
              <w:rPr>
                <w:rFonts w:hint="default" w:ascii="Times New Roman" w:hAnsi="Times New Roman" w:cs="Times New Roman"/>
                <w:b/>
                <w:bCs/>
                <w:color w:val="auto"/>
                <w:kern w:val="2"/>
                <w:highlight w:val="none"/>
                <w:lang w:val="en-US" w:eastAsia="zh-CN"/>
              </w:rPr>
              <w:t>、</w:t>
            </w:r>
            <w:r>
              <w:rPr>
                <w:rFonts w:hint="default" w:ascii="Times New Roman" w:hAnsi="Times New Roman" w:cs="Times New Roman"/>
                <w:b/>
                <w:bCs/>
                <w:color w:val="auto"/>
                <w:kern w:val="2"/>
                <w:highlight w:val="none"/>
              </w:rPr>
              <w:t>废气污染治理措施</w:t>
            </w:r>
            <w:r>
              <w:rPr>
                <w:rFonts w:hint="default" w:ascii="Times New Roman" w:hAnsi="Times New Roman" w:cs="Times New Roman"/>
                <w:b/>
                <w:bCs/>
                <w:color w:val="auto"/>
                <w:kern w:val="2"/>
                <w:highlight w:val="none"/>
                <w:lang w:val="en-US" w:eastAsia="zh-CN"/>
              </w:rPr>
              <w:t>可行性分析</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lang w:val="en-US" w:eastAsia="zh-CN" w:bidi="ar"/>
              </w:rPr>
              <w:t>项目熔化废气、落砂废气、压铸废气、锻造废气、抛光废气、抛丸废气</w:t>
            </w:r>
            <w:r>
              <w:rPr>
                <w:rFonts w:hint="eastAsia" w:cs="Times New Roman"/>
                <w:color w:val="auto"/>
                <w:kern w:val="0"/>
                <w:sz w:val="24"/>
                <w:szCs w:val="24"/>
                <w:lang w:val="en-US" w:eastAsia="zh-CN" w:bidi="ar"/>
              </w:rPr>
              <w:t>、开料、磨光、机加工废气</w:t>
            </w:r>
            <w:r>
              <w:rPr>
                <w:rFonts w:hint="default" w:ascii="Times New Roman" w:hAnsi="Times New Roman" w:eastAsia="宋体" w:cs="Times New Roman"/>
                <w:color w:val="auto"/>
                <w:kern w:val="0"/>
                <w:sz w:val="24"/>
                <w:szCs w:val="24"/>
                <w:lang w:val="en-US" w:eastAsia="zh-CN" w:bidi="ar"/>
              </w:rPr>
              <w:t>采用布袋除尘器设施进行处理，浇注废气采用</w:t>
            </w:r>
            <w:r>
              <w:rPr>
                <w:rFonts w:hint="default" w:ascii="Times New Roman" w:hAnsi="Times New Roman" w:eastAsia="宋体" w:cs="Times New Roman"/>
                <w:b w:val="0"/>
                <w:bCs w:val="0"/>
                <w:color w:val="auto"/>
                <w:kern w:val="0"/>
                <w:sz w:val="24"/>
                <w:szCs w:val="24"/>
                <w:highlight w:val="none"/>
                <w:vertAlign w:val="baseline"/>
                <w:lang w:val="en-US" w:eastAsia="zh-CN"/>
              </w:rPr>
              <w:t>布袋除尘器+</w:t>
            </w:r>
            <w:r>
              <w:rPr>
                <w:rFonts w:hint="eastAsia" w:cs="Times New Roman"/>
                <w:b w:val="0"/>
                <w:bCs w:val="0"/>
                <w:color w:val="auto"/>
                <w:kern w:val="0"/>
                <w:sz w:val="24"/>
                <w:szCs w:val="24"/>
                <w:highlight w:val="none"/>
                <w:vertAlign w:val="baseline"/>
                <w:lang w:val="en-US" w:eastAsia="zh-CN"/>
              </w:rPr>
              <w:t>二级</w:t>
            </w:r>
            <w:r>
              <w:rPr>
                <w:rFonts w:hint="default" w:ascii="Times New Roman" w:hAnsi="Times New Roman" w:eastAsia="宋体" w:cs="Times New Roman"/>
                <w:b w:val="0"/>
                <w:bCs w:val="0"/>
                <w:color w:val="auto"/>
                <w:kern w:val="0"/>
                <w:sz w:val="24"/>
                <w:szCs w:val="24"/>
                <w:highlight w:val="none"/>
                <w:vertAlign w:val="baseline"/>
                <w:lang w:val="en-US" w:eastAsia="zh-CN"/>
              </w:rPr>
              <w:t>活性炭吸附装置</w:t>
            </w:r>
            <w:r>
              <w:rPr>
                <w:rFonts w:hint="default" w:ascii="Times New Roman" w:hAnsi="Times New Roman" w:eastAsia="宋体" w:cs="Times New Roman"/>
                <w:color w:val="auto"/>
                <w:kern w:val="0"/>
                <w:sz w:val="24"/>
                <w:szCs w:val="24"/>
                <w:lang w:val="en-US" w:eastAsia="zh-CN" w:bidi="ar"/>
              </w:rPr>
              <w:t>设施进行处理，搅砂及制芯废气采用水喷淋+</w:t>
            </w:r>
            <w:r>
              <w:rPr>
                <w:rFonts w:hint="eastAsia" w:cs="Times New Roman"/>
                <w:b w:val="0"/>
                <w:bCs w:val="0"/>
                <w:color w:val="auto"/>
                <w:kern w:val="0"/>
                <w:sz w:val="24"/>
                <w:szCs w:val="24"/>
                <w:highlight w:val="none"/>
                <w:vertAlign w:val="baseline"/>
                <w:lang w:val="en-US" w:eastAsia="zh-CN"/>
              </w:rPr>
              <w:t>二级</w:t>
            </w:r>
            <w:r>
              <w:rPr>
                <w:rFonts w:hint="default" w:ascii="Times New Roman" w:hAnsi="Times New Roman" w:eastAsia="宋体" w:cs="Times New Roman"/>
                <w:b w:val="0"/>
                <w:bCs w:val="0"/>
                <w:color w:val="auto"/>
                <w:kern w:val="0"/>
                <w:sz w:val="24"/>
                <w:szCs w:val="24"/>
                <w:highlight w:val="none"/>
                <w:vertAlign w:val="baseline"/>
                <w:lang w:val="en-US" w:eastAsia="zh-CN"/>
              </w:rPr>
              <w:t>活性炭吸附装置</w:t>
            </w:r>
            <w:r>
              <w:rPr>
                <w:rFonts w:hint="default" w:ascii="Times New Roman" w:hAnsi="Times New Roman" w:eastAsia="宋体" w:cs="Times New Roman"/>
                <w:color w:val="auto"/>
                <w:kern w:val="0"/>
                <w:sz w:val="24"/>
                <w:szCs w:val="24"/>
                <w:lang w:val="en-US" w:eastAsia="zh-CN" w:bidi="ar"/>
              </w:rPr>
              <w:t>进行处理</w:t>
            </w:r>
            <w:r>
              <w:rPr>
                <w:rFonts w:hint="eastAsia" w:cs="Times New Roman"/>
                <w:b w:val="0"/>
                <w:bCs w:val="0"/>
                <w:color w:val="auto"/>
                <w:kern w:val="0"/>
                <w:sz w:val="24"/>
                <w:szCs w:val="24"/>
                <w:highlight w:val="none"/>
                <w:lang w:val="en-US" w:eastAsia="zh-CN" w:bidi="ar"/>
              </w:rPr>
              <w:t>，</w:t>
            </w:r>
            <w:r>
              <w:rPr>
                <w:rFonts w:hint="default" w:ascii="Times New Roman" w:hAnsi="Times New Roman" w:eastAsia="宋体" w:cs="Times New Roman"/>
                <w:b w:val="0"/>
                <w:bCs w:val="0"/>
                <w:color w:val="auto"/>
                <w:kern w:val="2"/>
                <w:sz w:val="24"/>
                <w:szCs w:val="24"/>
                <w:highlight w:val="none"/>
                <w:lang w:val="en-US" w:eastAsia="zh-CN" w:bidi="ar-SA"/>
              </w:rPr>
              <w:t>注塑废气</w:t>
            </w:r>
            <w:r>
              <w:rPr>
                <w:rFonts w:hint="eastAsia" w:cs="Times New Roman"/>
                <w:b w:val="0"/>
                <w:bCs w:val="0"/>
                <w:color w:val="auto"/>
                <w:kern w:val="0"/>
                <w:sz w:val="24"/>
                <w:szCs w:val="24"/>
                <w:highlight w:val="none"/>
                <w:lang w:val="en-US" w:eastAsia="zh-CN" w:bidi="ar"/>
              </w:rPr>
              <w:t>经</w:t>
            </w:r>
            <w:r>
              <w:rPr>
                <w:rFonts w:hint="eastAsia" w:cs="Times New Roman"/>
                <w:b w:val="0"/>
                <w:bCs w:val="0"/>
                <w:color w:val="auto"/>
                <w:kern w:val="0"/>
                <w:sz w:val="24"/>
                <w:szCs w:val="24"/>
                <w:highlight w:val="none"/>
                <w:vertAlign w:val="baseline"/>
                <w:lang w:val="en-US" w:eastAsia="zh-CN"/>
              </w:rPr>
              <w:t>二级</w:t>
            </w:r>
            <w:r>
              <w:rPr>
                <w:rFonts w:hint="default" w:ascii="Times New Roman" w:hAnsi="Times New Roman" w:eastAsia="宋体" w:cs="Times New Roman"/>
                <w:b w:val="0"/>
                <w:bCs w:val="0"/>
                <w:color w:val="auto"/>
                <w:kern w:val="0"/>
                <w:sz w:val="24"/>
                <w:szCs w:val="24"/>
                <w:highlight w:val="none"/>
                <w:vertAlign w:val="baseline"/>
                <w:lang w:val="en-US" w:eastAsia="zh-CN"/>
              </w:rPr>
              <w:t>活性炭吸附装置</w:t>
            </w:r>
            <w:r>
              <w:rPr>
                <w:rFonts w:hint="default" w:ascii="Times New Roman" w:hAnsi="Times New Roman" w:eastAsia="宋体" w:cs="Times New Roman"/>
                <w:b w:val="0"/>
                <w:bCs w:val="0"/>
                <w:color w:val="auto"/>
                <w:kern w:val="0"/>
                <w:sz w:val="24"/>
                <w:szCs w:val="24"/>
                <w:highlight w:val="none"/>
                <w:lang w:val="en-US" w:eastAsia="zh-CN" w:bidi="ar"/>
              </w:rPr>
              <w:t>进行处理，</w:t>
            </w:r>
            <w:r>
              <w:rPr>
                <w:rFonts w:hint="default" w:ascii="Times New Roman" w:hAnsi="Times New Roman" w:eastAsia="宋体" w:cs="Times New Roman"/>
                <w:b w:val="0"/>
                <w:bCs w:val="0"/>
                <w:color w:val="auto"/>
                <w:sz w:val="24"/>
                <w:szCs w:val="24"/>
                <w:highlight w:val="none"/>
                <w:lang w:val="en-US" w:eastAsia="zh-CN"/>
              </w:rPr>
              <w:t>喷漆、烘干废气</w:t>
            </w:r>
            <w:r>
              <w:rPr>
                <w:rFonts w:hint="default" w:ascii="Times New Roman" w:hAnsi="Times New Roman" w:eastAsia="宋体" w:cs="Times New Roman"/>
                <w:b w:val="0"/>
                <w:bCs w:val="0"/>
                <w:color w:val="auto"/>
                <w:kern w:val="0"/>
                <w:sz w:val="24"/>
                <w:szCs w:val="24"/>
                <w:highlight w:val="none"/>
                <w:lang w:val="en-US" w:eastAsia="zh-CN" w:bidi="ar"/>
              </w:rPr>
              <w:t>主要污染物为颗粒物和非甲烷总烃，经</w:t>
            </w:r>
            <w:r>
              <w:rPr>
                <w:rFonts w:hint="default" w:ascii="Times New Roman" w:hAnsi="Times New Roman" w:eastAsia="宋体" w:cs="Times New Roman"/>
                <w:b w:val="0"/>
                <w:bCs w:val="0"/>
                <w:color w:val="auto"/>
                <w:kern w:val="2"/>
                <w:sz w:val="24"/>
                <w:szCs w:val="24"/>
                <w:highlight w:val="none"/>
                <w:vertAlign w:val="baseline"/>
                <w:lang w:val="en-US" w:eastAsia="zh-CN" w:bidi="ar-SA"/>
              </w:rPr>
              <w:t>水帘除漆雾+</w:t>
            </w:r>
            <w:r>
              <w:rPr>
                <w:rFonts w:hint="eastAsia" w:cs="Times New Roman"/>
                <w:b w:val="0"/>
                <w:bCs w:val="0"/>
                <w:color w:val="auto"/>
                <w:kern w:val="0"/>
                <w:sz w:val="24"/>
                <w:szCs w:val="24"/>
                <w:highlight w:val="none"/>
                <w:vertAlign w:val="baseline"/>
                <w:lang w:val="en-US" w:eastAsia="zh-CN"/>
              </w:rPr>
              <w:t>二级</w:t>
            </w:r>
            <w:r>
              <w:rPr>
                <w:rFonts w:hint="default" w:ascii="Times New Roman" w:hAnsi="Times New Roman" w:eastAsia="宋体" w:cs="Times New Roman"/>
                <w:b w:val="0"/>
                <w:bCs w:val="0"/>
                <w:color w:val="auto"/>
                <w:kern w:val="0"/>
                <w:sz w:val="24"/>
                <w:szCs w:val="24"/>
                <w:highlight w:val="none"/>
                <w:vertAlign w:val="baseline"/>
                <w:lang w:val="en-US" w:eastAsia="zh-CN"/>
              </w:rPr>
              <w:t>活性炭吸附装置</w:t>
            </w:r>
            <w:r>
              <w:rPr>
                <w:rFonts w:hint="default" w:ascii="Times New Roman" w:hAnsi="Times New Roman" w:eastAsia="宋体" w:cs="Times New Roman"/>
                <w:b w:val="0"/>
                <w:bCs w:val="0"/>
                <w:color w:val="auto"/>
                <w:kern w:val="0"/>
                <w:sz w:val="24"/>
                <w:szCs w:val="24"/>
                <w:highlight w:val="none"/>
                <w:lang w:val="en-US" w:eastAsia="zh-CN" w:bidi="ar"/>
              </w:rPr>
              <w:t>进行处理，</w:t>
            </w:r>
            <w:r>
              <w:rPr>
                <w:rFonts w:hint="eastAsia" w:ascii="Times New Roman" w:hAnsi="Times New Roman" w:eastAsia="宋体" w:cs="Times New Roman"/>
                <w:b w:val="0"/>
                <w:bCs w:val="0"/>
                <w:color w:val="auto"/>
                <w:kern w:val="0"/>
                <w:sz w:val="24"/>
                <w:szCs w:val="24"/>
                <w:highlight w:val="none"/>
                <w:lang w:val="en-US" w:eastAsia="zh-CN" w:bidi="ar"/>
              </w:rPr>
              <w:t>压合、封边</w:t>
            </w:r>
            <w:r>
              <w:rPr>
                <w:rFonts w:hint="default" w:ascii="Times New Roman" w:hAnsi="Times New Roman" w:eastAsia="宋体" w:cs="Times New Roman"/>
                <w:b w:val="0"/>
                <w:bCs w:val="0"/>
                <w:color w:val="auto"/>
                <w:kern w:val="0"/>
                <w:sz w:val="24"/>
                <w:szCs w:val="24"/>
                <w:highlight w:val="none"/>
                <w:lang w:val="en-US" w:eastAsia="zh-CN" w:bidi="ar"/>
              </w:rPr>
              <w:t>主</w:t>
            </w:r>
            <w:r>
              <w:rPr>
                <w:rFonts w:hint="eastAsia" w:ascii="Times New Roman" w:hAnsi="Times New Roman" w:eastAsia="宋体" w:cs="Times New Roman"/>
                <w:b w:val="0"/>
                <w:bCs w:val="0"/>
                <w:color w:val="auto"/>
                <w:kern w:val="0"/>
                <w:sz w:val="24"/>
                <w:szCs w:val="24"/>
                <w:highlight w:val="none"/>
                <w:lang w:val="en-US" w:eastAsia="zh-CN" w:bidi="ar"/>
              </w:rPr>
              <w:t>废气采用</w:t>
            </w:r>
            <w:r>
              <w:rPr>
                <w:rFonts w:hint="eastAsia" w:cs="Times New Roman"/>
                <w:b w:val="0"/>
                <w:bCs w:val="0"/>
                <w:color w:val="auto"/>
                <w:kern w:val="0"/>
                <w:sz w:val="24"/>
                <w:szCs w:val="24"/>
                <w:highlight w:val="none"/>
                <w:vertAlign w:val="baseline"/>
                <w:lang w:val="en-US" w:eastAsia="zh-CN"/>
              </w:rPr>
              <w:t>二级</w:t>
            </w:r>
            <w:r>
              <w:rPr>
                <w:rFonts w:hint="default" w:ascii="Times New Roman" w:hAnsi="Times New Roman" w:eastAsia="宋体" w:cs="Times New Roman"/>
                <w:b w:val="0"/>
                <w:bCs w:val="0"/>
                <w:color w:val="auto"/>
                <w:kern w:val="0"/>
                <w:sz w:val="24"/>
                <w:szCs w:val="24"/>
                <w:highlight w:val="none"/>
                <w:vertAlign w:val="baseline"/>
                <w:lang w:val="en-US" w:eastAsia="zh-CN"/>
              </w:rPr>
              <w:t>活性炭吸附装置</w:t>
            </w:r>
            <w:r>
              <w:rPr>
                <w:rFonts w:hint="default" w:ascii="Times New Roman" w:hAnsi="Times New Roman" w:eastAsia="宋体" w:cs="Times New Roman"/>
                <w:b w:val="0"/>
                <w:bCs w:val="0"/>
                <w:color w:val="auto"/>
                <w:kern w:val="0"/>
                <w:sz w:val="24"/>
                <w:szCs w:val="24"/>
                <w:highlight w:val="none"/>
                <w:lang w:val="en-US" w:eastAsia="zh-CN" w:bidi="ar"/>
              </w:rPr>
              <w:t>进行处理</w:t>
            </w:r>
            <w:r>
              <w:rPr>
                <w:rFonts w:hint="eastAsia" w:ascii="Times New Roman" w:hAnsi="Times New Roman" w:eastAsia="宋体" w:cs="Times New Roman"/>
                <w:b w:val="0"/>
                <w:bCs w:val="0"/>
                <w:color w:val="auto"/>
                <w:kern w:val="0"/>
                <w:sz w:val="24"/>
                <w:szCs w:val="24"/>
                <w:highlight w:val="none"/>
                <w:lang w:val="en-US" w:eastAsia="zh-CN" w:bidi="ar"/>
              </w:rPr>
              <w:t>；参照《排污许可证申请与核发技术规范 金属铸造工业》、《铸造工业大气污染防治可行技术指南》水喷淋、布袋除尘器为可行技术，活性炭吸附未明确规定</w:t>
            </w:r>
            <w:r>
              <w:rPr>
                <w:rFonts w:hint="eastAsia" w:cs="Times New Roman"/>
                <w:b w:val="0"/>
                <w:bCs w:val="0"/>
                <w:color w:val="auto"/>
                <w:kern w:val="0"/>
                <w:sz w:val="24"/>
                <w:szCs w:val="24"/>
                <w:highlight w:val="none"/>
                <w:lang w:val="en-US" w:eastAsia="zh-CN" w:bidi="ar"/>
              </w:rPr>
              <w:t>为</w:t>
            </w:r>
            <w:r>
              <w:rPr>
                <w:rFonts w:hint="eastAsia" w:ascii="Times New Roman" w:hAnsi="Times New Roman" w:eastAsia="宋体" w:cs="Times New Roman"/>
                <w:b w:val="0"/>
                <w:bCs w:val="0"/>
                <w:color w:val="auto"/>
                <w:kern w:val="0"/>
                <w:sz w:val="24"/>
                <w:szCs w:val="24"/>
                <w:highlight w:val="none"/>
                <w:lang w:val="en-US" w:eastAsia="zh-CN" w:bidi="ar"/>
              </w:rPr>
              <w:t>可行技术，根据废气处理设施达标性分析，浇注及制芯废气处理后非甲烷总烃可达标排放，</w:t>
            </w:r>
            <w:r>
              <w:rPr>
                <w:rFonts w:hint="eastAsia" w:cs="Times New Roman"/>
                <w:b w:val="0"/>
                <w:bCs w:val="0"/>
                <w:color w:val="auto"/>
                <w:kern w:val="0"/>
                <w:sz w:val="24"/>
                <w:szCs w:val="24"/>
                <w:highlight w:val="none"/>
                <w:lang w:val="en-US" w:eastAsia="zh-CN" w:bidi="ar"/>
              </w:rPr>
              <w:t>则</w:t>
            </w:r>
            <w:r>
              <w:rPr>
                <w:rFonts w:hint="eastAsia" w:ascii="Times New Roman" w:hAnsi="Times New Roman" w:eastAsia="宋体" w:cs="Times New Roman"/>
                <w:b w:val="0"/>
                <w:bCs w:val="0"/>
                <w:color w:val="auto"/>
                <w:kern w:val="0"/>
                <w:sz w:val="24"/>
                <w:szCs w:val="24"/>
                <w:highlight w:val="none"/>
                <w:lang w:val="en-US" w:eastAsia="zh-CN" w:bidi="ar"/>
              </w:rPr>
              <w:t>项目浇注及制芯废气以</w:t>
            </w:r>
            <w:r>
              <w:rPr>
                <w:rFonts w:hint="eastAsia" w:cs="Times New Roman"/>
                <w:b w:val="0"/>
                <w:bCs w:val="0"/>
                <w:color w:val="auto"/>
                <w:kern w:val="0"/>
                <w:sz w:val="24"/>
                <w:szCs w:val="24"/>
                <w:highlight w:val="none"/>
                <w:vertAlign w:val="baseline"/>
                <w:lang w:val="en-US" w:eastAsia="zh-CN"/>
              </w:rPr>
              <w:t>二级</w:t>
            </w:r>
            <w:r>
              <w:rPr>
                <w:rFonts w:hint="default" w:ascii="Times New Roman" w:hAnsi="Times New Roman" w:eastAsia="宋体" w:cs="Times New Roman"/>
                <w:b w:val="0"/>
                <w:bCs w:val="0"/>
                <w:color w:val="auto"/>
                <w:kern w:val="0"/>
                <w:sz w:val="24"/>
                <w:szCs w:val="24"/>
                <w:highlight w:val="none"/>
                <w:vertAlign w:val="baseline"/>
                <w:lang w:val="en-US" w:eastAsia="zh-CN"/>
              </w:rPr>
              <w:t>活性炭吸附装置</w:t>
            </w:r>
            <w:r>
              <w:rPr>
                <w:rFonts w:hint="eastAsia" w:ascii="Times New Roman" w:hAnsi="Times New Roman" w:eastAsia="宋体" w:cs="Times New Roman"/>
                <w:b w:val="0"/>
                <w:bCs w:val="0"/>
                <w:color w:val="auto"/>
                <w:kern w:val="0"/>
                <w:sz w:val="24"/>
                <w:szCs w:val="24"/>
                <w:highlight w:val="none"/>
                <w:lang w:val="en-US" w:eastAsia="zh-CN" w:bidi="ar"/>
              </w:rPr>
              <w:t>为净化措施属于可行技术，同时参照《排污许可证申请与核发技术规范 橡胶和塑料制品工业》以活性炭吸附装置为措施属于可行技术；参照《排污许可证申请与核发技术规范 家具制造工业》以水帘、</w:t>
            </w:r>
            <w:r>
              <w:rPr>
                <w:rFonts w:hint="eastAsia" w:cs="Times New Roman"/>
                <w:b w:val="0"/>
                <w:bCs w:val="0"/>
                <w:color w:val="auto"/>
                <w:kern w:val="0"/>
                <w:sz w:val="24"/>
                <w:szCs w:val="24"/>
                <w:highlight w:val="none"/>
                <w:vertAlign w:val="baseline"/>
                <w:lang w:val="en-US" w:eastAsia="zh-CN"/>
              </w:rPr>
              <w:t>二级</w:t>
            </w:r>
            <w:r>
              <w:rPr>
                <w:rFonts w:hint="default" w:ascii="Times New Roman" w:hAnsi="Times New Roman" w:eastAsia="宋体" w:cs="Times New Roman"/>
                <w:b w:val="0"/>
                <w:bCs w:val="0"/>
                <w:color w:val="auto"/>
                <w:kern w:val="0"/>
                <w:sz w:val="24"/>
                <w:szCs w:val="24"/>
                <w:highlight w:val="none"/>
                <w:vertAlign w:val="baseline"/>
                <w:lang w:val="en-US" w:eastAsia="zh-CN"/>
              </w:rPr>
              <w:t>活性炭吸附装置</w:t>
            </w:r>
            <w:r>
              <w:rPr>
                <w:rFonts w:hint="eastAsia" w:ascii="Times New Roman" w:hAnsi="Times New Roman" w:eastAsia="宋体" w:cs="Times New Roman"/>
                <w:b w:val="0"/>
                <w:bCs w:val="0"/>
                <w:color w:val="auto"/>
                <w:kern w:val="0"/>
                <w:sz w:val="24"/>
                <w:szCs w:val="24"/>
                <w:highlight w:val="none"/>
                <w:lang w:val="en-US" w:eastAsia="zh-CN" w:bidi="ar"/>
              </w:rPr>
              <w:t>、袋式除尘器为措施属于可行技术。</w:t>
            </w:r>
          </w:p>
          <w:p>
            <w:pPr>
              <w:pStyle w:val="34"/>
              <w:ind w:left="0" w:leftChars="0" w:firstLine="0" w:firstLineChars="0"/>
              <w:jc w:val="center"/>
              <w:rPr>
                <w:rFonts w:hint="default"/>
                <w:color w:val="auto"/>
                <w:highlight w:val="none"/>
              </w:rPr>
            </w:pPr>
            <w:r>
              <w:rPr>
                <w:rFonts w:hint="default"/>
                <w:color w:val="auto"/>
                <w:highlight w:val="none"/>
              </w:rPr>
              <w:object>
                <v:shape id="_x0000_i1037" o:spt="75" type="#_x0000_t75" style="height:612.05pt;width:420.75pt;" o:ole="t" filled="f" o:preferrelative="t" stroked="f" coordsize="21600,21600">
                  <v:path/>
                  <v:fill on="f" focussize="0,0"/>
                  <v:stroke on="f"/>
                  <v:imagedata r:id="rId21" o:title=""/>
                  <o:lock v:ext="edit" aspectratio="f"/>
                  <w10:wrap type="none"/>
                  <w10:anchorlock/>
                </v:shape>
                <o:OLEObject Type="Embed" ProgID="Visio.Drawing.11" ShapeID="_x0000_i1037" DrawAspect="Content" ObjectID="_1468075730" r:id="rId20">
                  <o:LockedField>false</o:LockedField>
                </o:OLEObject>
              </w:object>
            </w:r>
          </w:p>
          <w:p>
            <w:pPr>
              <w:keepNext w:val="0"/>
              <w:keepLines w:val="0"/>
              <w:widowControl/>
              <w:suppressLineNumbers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kern w:val="0"/>
                <w:sz w:val="24"/>
                <w:szCs w:val="24"/>
                <w:highlight w:val="none"/>
                <w:lang w:val="en-US" w:eastAsia="zh-CN" w:bidi="ar"/>
              </w:rPr>
              <w:t>图 4</w:t>
            </w:r>
            <w:r>
              <w:rPr>
                <w:rFonts w:hint="eastAsia" w:cs="Times New Roman"/>
                <w:b/>
                <w:bCs/>
                <w:color w:val="auto"/>
                <w:kern w:val="0"/>
                <w:sz w:val="24"/>
                <w:szCs w:val="24"/>
                <w:highlight w:val="none"/>
                <w:lang w:val="en-US" w:eastAsia="zh-CN" w:bidi="ar"/>
              </w:rPr>
              <w:t>.2</w:t>
            </w:r>
            <w:r>
              <w:rPr>
                <w:rFonts w:hint="default" w:ascii="Times New Roman" w:hAnsi="Times New Roman" w:eastAsia="宋体" w:cs="Times New Roman"/>
                <w:b/>
                <w:bCs/>
                <w:color w:val="auto"/>
                <w:kern w:val="0"/>
                <w:sz w:val="24"/>
                <w:szCs w:val="24"/>
                <w:highlight w:val="none"/>
                <w:lang w:val="en-US" w:eastAsia="zh-CN" w:bidi="ar"/>
              </w:rPr>
              <w:t>-1 项目有组织废气处理流程示意图</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val="en-US"/>
              </w:rPr>
            </w:pP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1</w:t>
            </w:r>
            <w:r>
              <w:rPr>
                <w:rFonts w:hint="default" w:ascii="Times New Roman" w:hAnsi="Times New Roman" w:eastAsia="宋体" w:cs="Times New Roman"/>
                <w:color w:val="auto"/>
                <w:kern w:val="0"/>
                <w:sz w:val="24"/>
                <w:szCs w:val="24"/>
                <w:highlight w:val="none"/>
                <w:lang w:val="en-US" w:eastAsia="zh-CN" w:bidi="ar"/>
              </w:rPr>
              <w:t>）废气处理设施</w:t>
            </w:r>
            <w:r>
              <w:rPr>
                <w:rFonts w:hint="eastAsia" w:ascii="Times New Roman" w:hAnsi="Times New Roman" w:eastAsia="宋体" w:cs="Times New Roman"/>
                <w:color w:val="auto"/>
                <w:kern w:val="0"/>
                <w:sz w:val="24"/>
                <w:szCs w:val="24"/>
                <w:highlight w:val="none"/>
                <w:lang w:val="en-US" w:eastAsia="zh-CN" w:bidi="ar"/>
              </w:rPr>
              <w:t>工作原理分析</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①布袋除尘器</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color w:val="auto"/>
              </w:rPr>
            </w:pPr>
            <w:r>
              <w:rPr>
                <w:rFonts w:hint="default" w:ascii="Times New Roman" w:hAnsi="Times New Roman" w:eastAsia="宋体" w:cs="Times New Roman"/>
                <w:color w:val="auto"/>
                <w:kern w:val="2"/>
                <w:sz w:val="24"/>
                <w:szCs w:val="24"/>
                <w:highlight w:val="none"/>
                <w:lang w:val="en-US" w:eastAsia="zh-CN" w:bidi="ar-SA"/>
              </w:rPr>
              <w:t>布袋除尘器由灰斗、上箱体、中箱体、下箱体等部分组成。含尘气体由进气口进入过滤室，较粗颗粒直接落入灰斗，灰尘气体经滤袋过滤，颗粒物阻留于滤袋表面，净化气经袋口到净气室、由风机排入大气，当滤袋表面的颗粒物不断增加，导致设备阻力上升至设定值时，</w:t>
            </w:r>
            <w:r>
              <w:rPr>
                <w:rFonts w:hint="eastAsia" w:ascii="Times New Roman" w:hAnsi="Times New Roman" w:eastAsia="宋体" w:cs="Times New Roman"/>
                <w:color w:val="auto"/>
                <w:kern w:val="2"/>
                <w:sz w:val="24"/>
                <w:szCs w:val="24"/>
                <w:highlight w:val="none"/>
                <w:lang w:val="en-US" w:eastAsia="zh-CN" w:bidi="ar-SA"/>
              </w:rPr>
              <w:t>微差压控制器输出信号，程控仪开始工作，逐个开启脉冲阀，使压缩空气通过喷口对滤袋进行喷吹清灰，使滤袋突然膨胀，在反向气流的作用下，附于滤袋表面的颗粒物迅速脱离滤袋落入灰斗（或灰仓）内，颗粒物由灰斗排出。</w:t>
            </w:r>
            <w:r>
              <w:rPr>
                <w:rFonts w:hint="eastAsia" w:ascii="宋体" w:hAnsi="宋体" w:eastAsia="宋体" w:cs="宋体"/>
                <w:color w:val="auto"/>
                <w:kern w:val="0"/>
                <w:sz w:val="24"/>
                <w:szCs w:val="24"/>
                <w:lang w:val="en-US" w:eastAsia="zh-CN" w:bidi="ar"/>
              </w:rPr>
              <w:t>布袋除尘器的除尘效率高，可捕集粒径大于</w:t>
            </w:r>
            <w:r>
              <w:rPr>
                <w:rFonts w:hint="default" w:ascii="Times New Roman" w:hAnsi="Times New Roman" w:eastAsia="宋体" w:cs="Times New Roman"/>
                <w:color w:val="auto"/>
                <w:kern w:val="0"/>
                <w:sz w:val="24"/>
                <w:szCs w:val="24"/>
                <w:lang w:val="en-US" w:eastAsia="zh-CN" w:bidi="ar"/>
              </w:rPr>
              <w:t>0.3</w:t>
            </w:r>
            <w:r>
              <w:rPr>
                <w:rFonts w:hint="eastAsia" w:ascii="宋体" w:hAnsi="宋体" w:eastAsia="宋体" w:cs="宋体"/>
                <w:color w:val="auto"/>
                <w:kern w:val="0"/>
                <w:sz w:val="24"/>
                <w:szCs w:val="24"/>
                <w:lang w:val="en-US" w:eastAsia="zh-CN" w:bidi="ar"/>
              </w:rPr>
              <w:t>微米的细小粉尘，除尘效率可达</w:t>
            </w:r>
            <w:r>
              <w:rPr>
                <w:rFonts w:hint="default" w:ascii="Times New Roman" w:hAnsi="Times New Roman" w:eastAsia="宋体" w:cs="Times New Roman"/>
                <w:color w:val="auto"/>
                <w:kern w:val="0"/>
                <w:sz w:val="24"/>
                <w:szCs w:val="24"/>
                <w:lang w:val="en-US" w:eastAsia="zh-CN" w:bidi="ar"/>
              </w:rPr>
              <w:t>95%</w:t>
            </w:r>
            <w:r>
              <w:rPr>
                <w:rFonts w:hint="eastAsia" w:ascii="宋体" w:hAnsi="宋体" w:eastAsia="宋体" w:cs="宋体"/>
                <w:color w:val="auto"/>
                <w:kern w:val="0"/>
                <w:sz w:val="24"/>
                <w:szCs w:val="24"/>
                <w:lang w:val="en-US" w:eastAsia="zh-CN" w:bidi="ar"/>
              </w:rPr>
              <w:t xml:space="preserve">以上，同时其结构简单，使用灵活，运行稳定，投资较少（与电除尘器相比较），维护方便是一种干式净化设备，收集的粉尘容易回收利用。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针对本项目处理的废气温度差异，较高温度烟气除尘器滤料可采用耐高温玻璃纤维滤料，常温下可采用非织造纤维滤料。</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2"/>
                <w:sz w:val="24"/>
                <w:szCs w:val="24"/>
                <w:highlight w:val="none"/>
                <w:lang w:val="en-US" w:eastAsia="zh-CN" w:bidi="ar-SA"/>
              </w:rPr>
              <w:t>②</w:t>
            </w:r>
            <w:r>
              <w:rPr>
                <w:rFonts w:hint="default" w:ascii="Times New Roman" w:hAnsi="Times New Roman" w:eastAsia="宋体" w:cs="Times New Roman"/>
                <w:color w:val="auto"/>
                <w:kern w:val="0"/>
                <w:sz w:val="24"/>
                <w:szCs w:val="24"/>
                <w:lang w:val="en-US" w:eastAsia="zh-CN" w:bidi="ar"/>
              </w:rPr>
              <w:t>水喷淋塔设施</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喷淋塔具体结构由贮液部分、循环泵、填料层、喷淋段、进风段、布气层、支撑层、脱水填料层(捕沫器)、出风段等组成，材料采用PP材质，多数应用于工业废气净化、除尘等方面的净化。</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工作原理：循环水通过喷淋管和喷嘴喷出形成雾状空间，当含尘气体通过时，雾状液滴会拦截固体尘粒，与其发生碰撞并凝聚，当液体内所含固体杂质较多凝聚颗粒较大时，就会降落至除尘器底部被排出。水喷淋的工作原理与构造都较为简单，便于操作和维修。水喷淋式的喷淋系统可与水循环系统配合，充分利用洗涤液直至颗粒浓度达到较高程度为止，减少了对水等资源的浪费。</w:t>
            </w:r>
          </w:p>
          <w:p>
            <w:pPr>
              <w:pStyle w:val="34"/>
              <w:keepNext w:val="0"/>
              <w:keepLines w:val="0"/>
              <w:pageBreakBefore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③活性炭吸附</w:t>
            </w:r>
            <w:r>
              <w:rPr>
                <w:rFonts w:hint="default" w:ascii="Times New Roman" w:hAnsi="Times New Roman" w:eastAsia="宋体" w:cs="Times New Roman"/>
                <w:color w:val="auto"/>
                <w:kern w:val="2"/>
                <w:sz w:val="24"/>
                <w:szCs w:val="24"/>
                <w:highlight w:val="none"/>
                <w:lang w:val="en-US" w:eastAsia="zh-CN"/>
              </w:rPr>
              <w:t>装置</w:t>
            </w:r>
          </w:p>
          <w:p>
            <w:pPr>
              <w:pStyle w:val="34"/>
              <w:keepNext w:val="0"/>
              <w:keepLines w:val="0"/>
              <w:pageBreakBefore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活性炭吸附</w:t>
            </w:r>
            <w:r>
              <w:rPr>
                <w:rFonts w:hint="default" w:ascii="Times New Roman" w:hAnsi="Times New Roman" w:eastAsia="宋体" w:cs="Times New Roman"/>
                <w:color w:val="auto"/>
                <w:kern w:val="2"/>
                <w:sz w:val="24"/>
                <w:szCs w:val="24"/>
                <w:highlight w:val="none"/>
                <w:lang w:val="en-US" w:eastAsia="zh-CN"/>
              </w:rPr>
              <w:t>装置工作原理</w:t>
            </w:r>
            <w:r>
              <w:rPr>
                <w:rFonts w:hint="default" w:ascii="Times New Roman" w:hAnsi="Times New Roman" w:eastAsia="宋体"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rPr>
              <w:t>是利用具有很多微孔及很大比表面积的活性炭颗粒或棒状材料，依靠分子引力和毛细管作用，使有机溶剂蒸</w:t>
            </w:r>
            <w:r>
              <w:rPr>
                <w:rFonts w:hint="default" w:ascii="Times New Roman" w:hAnsi="Times New Roman" w:eastAsia="宋体" w:cs="Times New Roman"/>
                <w:color w:val="auto"/>
                <w:kern w:val="2"/>
                <w:sz w:val="24"/>
                <w:szCs w:val="24"/>
                <w:highlight w:val="none"/>
                <w:lang w:val="en-US" w:eastAsia="zh-CN"/>
              </w:rPr>
              <w:t>汽</w:t>
            </w:r>
            <w:r>
              <w:rPr>
                <w:rFonts w:hint="default" w:ascii="Times New Roman" w:hAnsi="Times New Roman" w:eastAsia="宋体" w:cs="Times New Roman"/>
                <w:color w:val="auto"/>
                <w:kern w:val="2"/>
                <w:sz w:val="24"/>
                <w:szCs w:val="24"/>
                <w:highlight w:val="none"/>
              </w:rPr>
              <w:t>和挥发性物质、</w:t>
            </w:r>
            <w:r>
              <w:rPr>
                <w:rFonts w:hint="default" w:ascii="Times New Roman" w:hAnsi="Times New Roman" w:eastAsia="宋体" w:cs="Times New Roman"/>
                <w:color w:val="auto"/>
                <w:kern w:val="2"/>
                <w:sz w:val="24"/>
                <w:szCs w:val="24"/>
                <w:highlight w:val="none"/>
                <w:lang w:val="en-US" w:eastAsia="zh-CN"/>
              </w:rPr>
              <w:t>氮</w:t>
            </w:r>
            <w:r>
              <w:rPr>
                <w:rFonts w:hint="default" w:ascii="Times New Roman" w:hAnsi="Times New Roman" w:eastAsia="宋体" w:cs="Times New Roman"/>
                <w:color w:val="auto"/>
                <w:kern w:val="2"/>
                <w:sz w:val="24"/>
                <w:szCs w:val="24"/>
                <w:highlight w:val="none"/>
              </w:rPr>
              <w:t>氧化物、二氧化硫吸附于其表面，又根据不同物质的沸点，用蒸汽、热风或真空状态下，将被吸附物析出。活性炭吸附法具</w:t>
            </w:r>
            <w:r>
              <w:rPr>
                <w:rFonts w:hint="default" w:ascii="Times New Roman" w:hAnsi="Times New Roman" w:eastAsia="宋体" w:cs="Times New Roman"/>
                <w:color w:val="auto"/>
                <w:kern w:val="2"/>
                <w:sz w:val="24"/>
                <w:szCs w:val="24"/>
                <w:highlight w:val="none"/>
                <w:lang w:val="en-US" w:eastAsia="zh-CN"/>
              </w:rPr>
              <w:t>有</w:t>
            </w:r>
            <w:r>
              <w:rPr>
                <w:rFonts w:hint="default" w:ascii="Times New Roman" w:hAnsi="Times New Roman" w:eastAsia="宋体" w:cs="Times New Roman"/>
                <w:color w:val="auto"/>
                <w:kern w:val="2"/>
                <w:sz w:val="24"/>
                <w:szCs w:val="24"/>
                <w:highlight w:val="none"/>
              </w:rPr>
              <w:t>以下优点</w:t>
            </w:r>
            <w:r>
              <w:rPr>
                <w:rFonts w:hint="default" w:ascii="Times New Roman" w:hAnsi="Times New Roman" w:eastAsia="宋体"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rPr>
              <w:t>适合低温、低浓度、大风量或间歇作业产生的有机废气和燃烧废气的治理，工艺成熟</w:t>
            </w:r>
            <w:r>
              <w:rPr>
                <w:rFonts w:hint="default" w:ascii="Times New Roman" w:hAnsi="Times New Roman" w:eastAsia="宋体"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rPr>
              <w:t>活性炭吸附剂廉价易得，</w:t>
            </w:r>
            <w:r>
              <w:rPr>
                <w:rFonts w:hint="default" w:ascii="Times New Roman" w:hAnsi="Times New Roman" w:eastAsia="宋体" w:cs="Times New Roman"/>
                <w:color w:val="auto"/>
                <w:kern w:val="2"/>
                <w:sz w:val="24"/>
                <w:szCs w:val="24"/>
                <w:highlight w:val="none"/>
                <w:lang w:val="en-US" w:eastAsia="zh-CN"/>
              </w:rPr>
              <w:t>且</w:t>
            </w:r>
            <w:r>
              <w:rPr>
                <w:rFonts w:hint="default" w:ascii="Times New Roman" w:hAnsi="Times New Roman" w:eastAsia="宋体" w:cs="Times New Roman"/>
                <w:color w:val="auto"/>
                <w:kern w:val="2"/>
                <w:sz w:val="24"/>
                <w:szCs w:val="24"/>
                <w:highlight w:val="none"/>
              </w:rPr>
              <w:t>吸附量较大</w:t>
            </w:r>
            <w:r>
              <w:rPr>
                <w:rFonts w:hint="default" w:ascii="Times New Roman" w:hAnsi="Times New Roman" w:eastAsia="宋体"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rPr>
              <w:t>吸附质浓度越高，吸附量也越高</w:t>
            </w:r>
            <w:r>
              <w:rPr>
                <w:rFonts w:hint="default" w:ascii="Times New Roman" w:hAnsi="Times New Roman" w:eastAsia="宋体"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rPr>
              <w:t>吸附剂内表面积越大，吸附量越高，细孔活性炭特别适用</w:t>
            </w:r>
            <w:r>
              <w:rPr>
                <w:rFonts w:hint="default" w:ascii="Times New Roman" w:hAnsi="Times New Roman" w:eastAsia="宋体" w:cs="Times New Roman"/>
                <w:color w:val="auto"/>
                <w:kern w:val="2"/>
                <w:sz w:val="24"/>
                <w:szCs w:val="24"/>
                <w:highlight w:val="none"/>
                <w:lang w:val="en-US" w:eastAsia="zh-CN"/>
              </w:rPr>
              <w:t>于</w:t>
            </w:r>
            <w:r>
              <w:rPr>
                <w:rFonts w:hint="default" w:ascii="Times New Roman" w:hAnsi="Times New Roman" w:eastAsia="宋体" w:cs="Times New Roman"/>
                <w:color w:val="auto"/>
                <w:kern w:val="2"/>
                <w:sz w:val="24"/>
                <w:szCs w:val="24"/>
                <w:highlight w:val="none"/>
              </w:rPr>
              <w:t>吸附低浓度挥发性蒸汽、</w:t>
            </w:r>
            <w:r>
              <w:rPr>
                <w:rFonts w:hint="default" w:ascii="Times New Roman" w:hAnsi="Times New Roman" w:eastAsia="宋体" w:cs="Times New Roman"/>
                <w:color w:val="auto"/>
                <w:kern w:val="2"/>
                <w:sz w:val="24"/>
                <w:szCs w:val="24"/>
                <w:highlight w:val="none"/>
                <w:lang w:val="en-US" w:eastAsia="zh-CN"/>
              </w:rPr>
              <w:t>氮</w:t>
            </w:r>
            <w:r>
              <w:rPr>
                <w:rFonts w:hint="default" w:ascii="Times New Roman" w:hAnsi="Times New Roman" w:eastAsia="宋体" w:cs="Times New Roman"/>
                <w:color w:val="auto"/>
                <w:kern w:val="2"/>
                <w:sz w:val="24"/>
                <w:szCs w:val="24"/>
                <w:highlight w:val="none"/>
              </w:rPr>
              <w:t>氧化物、二氧化硫。活性炭吸附法采用的设备一般为固定活性炭吸附床，相对催化燃烧设备而言，费用要少。</w:t>
            </w:r>
          </w:p>
          <w:p>
            <w:pPr>
              <w:pStyle w:val="34"/>
              <w:keepNext w:val="0"/>
              <w:keepLines w:val="0"/>
              <w:pageBreakBefore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cs="Times New Roman"/>
                <w:color w:val="auto"/>
                <w:kern w:val="2"/>
                <w:sz w:val="24"/>
                <w:szCs w:val="24"/>
                <w:highlight w:val="none"/>
              </w:rPr>
            </w:pPr>
            <w:r>
              <w:rPr>
                <w:rFonts w:hint="default" w:ascii="Times New Roman" w:hAnsi="Times New Roman" w:cs="Times New Roman"/>
                <w:color w:val="auto"/>
                <w:kern w:val="2"/>
                <w:sz w:val="24"/>
                <w:szCs w:val="24"/>
                <w:highlight w:val="none"/>
              </w:rPr>
              <w:t>活性炭吸附法处理效果</w:t>
            </w:r>
            <w:r>
              <w:rPr>
                <w:rFonts w:hint="eastAsia" w:ascii="Times New Roman" w:hAnsi="Times New Roman" w:cs="Times New Roman"/>
                <w:color w:val="auto"/>
                <w:kern w:val="2"/>
                <w:sz w:val="24"/>
                <w:szCs w:val="24"/>
                <w:highlight w:val="none"/>
                <w:lang w:eastAsia="zh-CN"/>
              </w:rPr>
              <w:t>：</w:t>
            </w:r>
            <w:r>
              <w:rPr>
                <w:rFonts w:hint="default" w:ascii="Times New Roman" w:hAnsi="Times New Roman" w:cs="Times New Roman"/>
                <w:color w:val="auto"/>
                <w:kern w:val="2"/>
                <w:sz w:val="24"/>
                <w:szCs w:val="24"/>
                <w:highlight w:val="none"/>
              </w:rPr>
              <w:t>分析气速为废气通过活性炭吸附器整个横截面积的速度，气速的选择，不仅直接决定了吸附器的尺寸和压降的大小</w:t>
            </w:r>
            <w:r>
              <w:rPr>
                <w:rFonts w:hint="eastAsia" w:ascii="Times New Roman" w:hAnsi="Times New Roman" w:cs="Times New Roman"/>
                <w:color w:val="auto"/>
                <w:kern w:val="2"/>
                <w:sz w:val="24"/>
                <w:szCs w:val="24"/>
                <w:highlight w:val="none"/>
                <w:lang w:eastAsia="zh-CN"/>
              </w:rPr>
              <w:t>，</w:t>
            </w:r>
            <w:r>
              <w:rPr>
                <w:rFonts w:hint="default" w:ascii="Times New Roman" w:hAnsi="Times New Roman" w:cs="Times New Roman"/>
                <w:color w:val="auto"/>
                <w:kern w:val="2"/>
                <w:sz w:val="24"/>
                <w:szCs w:val="24"/>
                <w:highlight w:val="none"/>
              </w:rPr>
              <w:t>而且还会影响吸附效率。气速很小，则吸附器尺寸很大，不经济</w:t>
            </w:r>
            <w:r>
              <w:rPr>
                <w:rFonts w:hint="eastAsia" w:ascii="Times New Roman" w:hAnsi="Times New Roman" w:cs="Times New Roman"/>
                <w:color w:val="auto"/>
                <w:kern w:val="2"/>
                <w:sz w:val="24"/>
                <w:szCs w:val="24"/>
                <w:highlight w:val="none"/>
                <w:lang w:eastAsia="zh-CN"/>
              </w:rPr>
              <w:t>；</w:t>
            </w:r>
            <w:r>
              <w:rPr>
                <w:rFonts w:hint="default" w:ascii="Times New Roman" w:hAnsi="Times New Roman" w:cs="Times New Roman"/>
                <w:color w:val="auto"/>
                <w:kern w:val="2"/>
                <w:sz w:val="24"/>
                <w:szCs w:val="24"/>
                <w:highlight w:val="none"/>
              </w:rPr>
              <w:t>气速过大，则压降会增大，使吸附效率受到影响。因此，吸附设计中不能追求过高的吸附效率。把空塔气速取值降小，那样会使吸附床体积、吸附剂用量和设备造价大为增高</w:t>
            </w:r>
            <w:r>
              <w:rPr>
                <w:rFonts w:hint="eastAsia" w:ascii="Times New Roman" w:hAnsi="Times New Roman" w:cs="Times New Roman"/>
                <w:color w:val="auto"/>
                <w:kern w:val="2"/>
                <w:sz w:val="24"/>
                <w:szCs w:val="24"/>
                <w:highlight w:val="none"/>
                <w:lang w:eastAsia="zh-CN"/>
              </w:rPr>
              <w:t>；</w:t>
            </w:r>
            <w:r>
              <w:rPr>
                <w:rFonts w:hint="default" w:ascii="Times New Roman" w:hAnsi="Times New Roman" w:cs="Times New Roman"/>
                <w:color w:val="auto"/>
                <w:kern w:val="2"/>
                <w:sz w:val="24"/>
                <w:szCs w:val="24"/>
                <w:highlight w:val="none"/>
              </w:rPr>
              <w:t>反之也</w:t>
            </w:r>
            <w:r>
              <w:rPr>
                <w:rFonts w:hint="eastAsia" w:ascii="Times New Roman" w:hAnsi="Times New Roman" w:cs="Times New Roman"/>
                <w:color w:val="auto"/>
                <w:kern w:val="2"/>
                <w:sz w:val="24"/>
                <w:szCs w:val="24"/>
                <w:highlight w:val="none"/>
                <w:lang w:eastAsia="zh-CN"/>
              </w:rPr>
              <w:t>不宜</w:t>
            </w:r>
            <w:r>
              <w:rPr>
                <w:rFonts w:hint="default" w:ascii="Times New Roman" w:hAnsi="Times New Roman" w:cs="Times New Roman"/>
                <w:color w:val="auto"/>
                <w:kern w:val="2"/>
                <w:sz w:val="24"/>
                <w:szCs w:val="24"/>
                <w:highlight w:val="none"/>
              </w:rPr>
              <w:t>取过大的气速，那样设备费用虽低，但吸附效率下降，且体系压降会随气速的增大上升很快，造成动力消耗过大，因此应选取合适的空塔气速，最适宜的空塔气速为0.8~1.2m/s。根据</w:t>
            </w:r>
            <w:r>
              <w:rPr>
                <w:rFonts w:hint="eastAsia" w:ascii="Times New Roman" w:hAnsi="Times New Roman" w:cs="Times New Roman"/>
                <w:color w:val="auto"/>
                <w:kern w:val="2"/>
                <w:sz w:val="24"/>
                <w:szCs w:val="24"/>
                <w:highlight w:val="none"/>
                <w:lang w:val="en-US" w:eastAsia="zh-CN"/>
              </w:rPr>
              <w:t>建设单位提供资料，</w:t>
            </w:r>
            <w:r>
              <w:rPr>
                <w:rFonts w:hint="default" w:ascii="Times New Roman" w:hAnsi="Times New Roman" w:cs="Times New Roman"/>
                <w:color w:val="auto"/>
                <w:kern w:val="2"/>
                <w:sz w:val="24"/>
                <w:szCs w:val="24"/>
                <w:highlight w:val="none"/>
              </w:rPr>
              <w:t>项目活性炭碘值为800毫克/克，符合关于印发《2020年挥发性有机物治理攻坚方案》的通知(环大气</w:t>
            </w:r>
            <w:r>
              <w:rPr>
                <w:rFonts w:hint="eastAsia" w:ascii="Times New Roman" w:hAnsi="Times New Roman" w:cs="Times New Roman"/>
                <w:color w:val="auto"/>
                <w:kern w:val="2"/>
                <w:sz w:val="24"/>
                <w:szCs w:val="24"/>
                <w:highlight w:val="none"/>
                <w:lang w:eastAsia="zh-CN"/>
              </w:rPr>
              <w:t>（</w:t>
            </w:r>
            <w:r>
              <w:rPr>
                <w:rFonts w:hint="eastAsia" w:ascii="Times New Roman" w:hAnsi="Times New Roman" w:cs="Times New Roman"/>
                <w:color w:val="auto"/>
                <w:kern w:val="2"/>
                <w:sz w:val="24"/>
                <w:szCs w:val="24"/>
                <w:highlight w:val="none"/>
                <w:lang w:val="en-US" w:eastAsia="zh-CN"/>
              </w:rPr>
              <w:t>2020</w:t>
            </w:r>
            <w:r>
              <w:rPr>
                <w:rFonts w:hint="eastAsia" w:ascii="Times New Roman" w:hAnsi="Times New Roman" w:cs="Times New Roman"/>
                <w:color w:val="auto"/>
                <w:kern w:val="2"/>
                <w:sz w:val="24"/>
                <w:szCs w:val="24"/>
                <w:highlight w:val="none"/>
                <w:lang w:eastAsia="zh-CN"/>
              </w:rPr>
              <w:t>）</w:t>
            </w:r>
            <w:r>
              <w:rPr>
                <w:rFonts w:hint="default" w:ascii="Times New Roman" w:hAnsi="Times New Roman" w:cs="Times New Roman"/>
                <w:color w:val="auto"/>
                <w:kern w:val="2"/>
                <w:sz w:val="24"/>
                <w:szCs w:val="24"/>
                <w:highlight w:val="none"/>
              </w:rPr>
              <w:t>33号)中活性炭碘值不低于800毫克/克的要求。类比活性炭吸附法在同类企业中的应用情况，该停留时间设计有机废气处理效率可达到</w:t>
            </w:r>
            <w:r>
              <w:rPr>
                <w:rFonts w:hint="default" w:ascii="Times New Roman" w:hAnsi="Times New Roman" w:eastAsia="宋体" w:cs="Times New Roman"/>
                <w:color w:val="auto"/>
                <w:kern w:val="2"/>
                <w:sz w:val="24"/>
                <w:szCs w:val="24"/>
                <w:highlight w:val="none"/>
                <w:lang w:val="en-US" w:eastAsia="zh-CN"/>
              </w:rPr>
              <w:t>约50%，本评价取50%</w:t>
            </w:r>
            <w:r>
              <w:rPr>
                <w:rFonts w:hint="default" w:ascii="Times New Roman" w:hAnsi="Times New Roman" w:eastAsia="宋体" w:cs="Times New Roman"/>
                <w:color w:val="auto"/>
                <w:kern w:val="2"/>
                <w:sz w:val="24"/>
                <w:szCs w:val="24"/>
                <w:highlight w:val="none"/>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rPr>
            </w:pPr>
            <w:r>
              <w:rPr>
                <w:rFonts w:hint="eastAsia" w:ascii="宋体" w:hAnsi="宋体" w:eastAsia="宋体" w:cs="宋体"/>
                <w:color w:val="auto"/>
                <w:kern w:val="0"/>
                <w:sz w:val="24"/>
                <w:szCs w:val="24"/>
                <w:lang w:val="en-US" w:eastAsia="zh-CN" w:bidi="ar"/>
              </w:rPr>
              <w:t xml:space="preserve">活性炭吸附法适用于大风量、低浓度、温度不高的有机废气治理，具有工艺成熟、效果可靠，易于回收有机溶剂，设备简单、紧凑，占地面积小，易于使用、便于维护管理等特点，因此被广泛应用于化工、喷漆、印刷、轻工等行业的有机废气治理，尤其是苯类、酮类的处理，本项目采用的热芯盒树脂为低 </w:t>
            </w:r>
            <w:r>
              <w:rPr>
                <w:rFonts w:ascii="Calibri" w:hAnsi="Calibri" w:eastAsia="宋体" w:cs="Calibri"/>
                <w:color w:val="auto"/>
                <w:kern w:val="0"/>
                <w:sz w:val="24"/>
                <w:szCs w:val="24"/>
                <w:lang w:val="en-US" w:eastAsia="zh-CN" w:bidi="ar"/>
              </w:rPr>
              <w:t xml:space="preserve">VOCs </w:t>
            </w:r>
            <w:r>
              <w:rPr>
                <w:rFonts w:hint="eastAsia" w:ascii="宋体" w:hAnsi="宋体" w:eastAsia="宋体" w:cs="宋体"/>
                <w:color w:val="auto"/>
                <w:kern w:val="0"/>
                <w:sz w:val="24"/>
                <w:szCs w:val="24"/>
                <w:lang w:val="en-US" w:eastAsia="zh-CN" w:bidi="ar"/>
              </w:rPr>
              <w:t>物料，</w:t>
            </w:r>
            <w:r>
              <w:rPr>
                <w:rFonts w:hint="eastAsia" w:ascii="宋体" w:hAnsi="宋体" w:cs="宋体"/>
                <w:color w:val="auto"/>
                <w:kern w:val="0"/>
                <w:sz w:val="24"/>
                <w:szCs w:val="24"/>
                <w:lang w:val="en-US" w:eastAsia="zh-CN" w:bidi="ar"/>
              </w:rPr>
              <w:t>二级</w:t>
            </w:r>
            <w:r>
              <w:rPr>
                <w:rFonts w:hint="eastAsia" w:ascii="宋体" w:hAnsi="宋体" w:eastAsia="宋体" w:cs="宋体"/>
                <w:color w:val="auto"/>
                <w:kern w:val="0"/>
                <w:sz w:val="24"/>
                <w:szCs w:val="24"/>
                <w:lang w:val="en-US" w:eastAsia="zh-CN" w:bidi="ar"/>
              </w:rPr>
              <w:t>活性炭处理效率为</w:t>
            </w:r>
            <w:r>
              <w:rPr>
                <w:rFonts w:hint="default" w:ascii="Times New Roman" w:hAnsi="Times New Roman" w:eastAsia="宋体" w:cs="Times New Roman"/>
                <w:color w:val="auto"/>
                <w:kern w:val="0"/>
                <w:sz w:val="24"/>
                <w:szCs w:val="24"/>
                <w:lang w:val="en-US" w:eastAsia="zh-CN" w:bidi="ar"/>
              </w:rPr>
              <w:t>50%</w:t>
            </w:r>
            <w:r>
              <w:rPr>
                <w:rFonts w:hint="eastAsia" w:ascii="宋体" w:hAnsi="宋体" w:eastAsia="宋体" w:cs="宋体"/>
                <w:color w:val="auto"/>
                <w:kern w:val="0"/>
                <w:sz w:val="24"/>
                <w:szCs w:val="24"/>
                <w:lang w:val="en-US" w:eastAsia="zh-CN" w:bidi="ar"/>
              </w:rPr>
              <w:t xml:space="preserve">，根据 </w:t>
            </w:r>
            <w:r>
              <w:rPr>
                <w:rFonts w:hint="default" w:ascii="Times New Roman" w:hAnsi="Times New Roman" w:eastAsia="宋体" w:cs="Times New Roman"/>
                <w:color w:val="auto"/>
                <w:kern w:val="0"/>
                <w:sz w:val="24"/>
                <w:szCs w:val="24"/>
                <w:lang w:val="en-US" w:eastAsia="zh-CN" w:bidi="ar"/>
              </w:rPr>
              <w:t>GB39726-2020</w:t>
            </w:r>
            <w:r>
              <w:rPr>
                <w:rFonts w:hint="eastAsia" w:ascii="宋体" w:hAnsi="宋体" w:eastAsia="宋体" w:cs="宋体"/>
                <w:color w:val="auto"/>
                <w:kern w:val="0"/>
                <w:sz w:val="24"/>
                <w:szCs w:val="24"/>
                <w:lang w:val="en-US" w:eastAsia="zh-CN" w:bidi="ar"/>
              </w:rPr>
              <w:t>《铸造工业大气污染物排放标准》中内的相关要求：车间或生产设施排气中</w:t>
            </w:r>
            <w:r>
              <w:rPr>
                <w:rFonts w:hint="default" w:ascii="Times New Roman" w:hAnsi="Times New Roman" w:eastAsia="宋体" w:cs="Times New Roman"/>
                <w:color w:val="auto"/>
                <w:kern w:val="0"/>
                <w:sz w:val="24"/>
                <w:szCs w:val="24"/>
                <w:lang w:val="en-US" w:eastAsia="zh-CN" w:bidi="ar"/>
              </w:rPr>
              <w:t xml:space="preserve">NMHC </w:t>
            </w:r>
            <w:r>
              <w:rPr>
                <w:rFonts w:hint="eastAsia" w:ascii="宋体" w:hAnsi="宋体" w:eastAsia="宋体" w:cs="宋体"/>
                <w:color w:val="auto"/>
                <w:kern w:val="0"/>
                <w:sz w:val="24"/>
                <w:szCs w:val="24"/>
                <w:lang w:val="en-US" w:eastAsia="zh-CN" w:bidi="ar"/>
              </w:rPr>
              <w:t>初始排放速率≥</w:t>
            </w:r>
            <w:r>
              <w:rPr>
                <w:rFonts w:hint="default" w:ascii="Times New Roman" w:hAnsi="Times New Roman" w:eastAsia="宋体" w:cs="Times New Roman"/>
                <w:color w:val="auto"/>
                <w:kern w:val="0"/>
                <w:sz w:val="24"/>
                <w:szCs w:val="24"/>
                <w:lang w:val="en-US" w:eastAsia="zh-CN" w:bidi="ar"/>
              </w:rPr>
              <w:t xml:space="preserve">3kg/h </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 xml:space="preserve">VOCs </w:t>
            </w:r>
            <w:r>
              <w:rPr>
                <w:rFonts w:hint="eastAsia" w:ascii="宋体" w:hAnsi="宋体" w:eastAsia="宋体" w:cs="宋体"/>
                <w:color w:val="auto"/>
                <w:kern w:val="0"/>
                <w:sz w:val="24"/>
                <w:szCs w:val="24"/>
                <w:lang w:val="en-US" w:eastAsia="zh-CN" w:bidi="ar"/>
              </w:rPr>
              <w:t>处理设施的处理效率不应低于</w:t>
            </w:r>
            <w:r>
              <w:rPr>
                <w:rFonts w:hint="default" w:ascii="Times New Roman" w:hAnsi="Times New Roman" w:eastAsia="宋体" w:cs="Times New Roman"/>
                <w:color w:val="auto"/>
                <w:kern w:val="0"/>
                <w:sz w:val="24"/>
                <w:szCs w:val="24"/>
                <w:lang w:val="en-US" w:eastAsia="zh-CN" w:bidi="ar"/>
              </w:rPr>
              <w:t>80%</w:t>
            </w:r>
            <w:r>
              <w:rPr>
                <w:rFonts w:hint="eastAsia" w:ascii="宋体" w:hAnsi="宋体" w:eastAsia="宋体" w:cs="宋体"/>
                <w:color w:val="auto"/>
                <w:kern w:val="0"/>
                <w:sz w:val="24"/>
                <w:szCs w:val="24"/>
                <w:lang w:val="en-US" w:eastAsia="zh-CN" w:bidi="ar"/>
              </w:rPr>
              <w:t>，根据上文中相关废气污染源强计算结果，本项目</w:t>
            </w:r>
            <w:r>
              <w:rPr>
                <w:rFonts w:hint="default" w:ascii="Times New Roman" w:hAnsi="Times New Roman" w:eastAsia="宋体" w:cs="Times New Roman"/>
                <w:color w:val="auto"/>
                <w:kern w:val="0"/>
                <w:sz w:val="24"/>
                <w:szCs w:val="24"/>
                <w:lang w:val="en-US" w:eastAsia="zh-CN" w:bidi="ar"/>
              </w:rPr>
              <w:t xml:space="preserve">NMHC </w:t>
            </w:r>
            <w:r>
              <w:rPr>
                <w:rFonts w:hint="eastAsia" w:ascii="宋体" w:hAnsi="宋体" w:eastAsia="宋体" w:cs="宋体"/>
                <w:color w:val="auto"/>
                <w:kern w:val="0"/>
                <w:sz w:val="24"/>
                <w:szCs w:val="24"/>
                <w:lang w:val="en-US" w:eastAsia="zh-CN" w:bidi="ar"/>
              </w:rPr>
              <w:t>初始排放速率均低于</w:t>
            </w:r>
            <w:r>
              <w:rPr>
                <w:rFonts w:hint="default" w:ascii="Times New Roman" w:hAnsi="Times New Roman" w:eastAsia="宋体" w:cs="Times New Roman"/>
                <w:color w:val="auto"/>
                <w:kern w:val="0"/>
                <w:sz w:val="24"/>
                <w:szCs w:val="24"/>
                <w:lang w:val="en-US" w:eastAsia="zh-CN" w:bidi="ar"/>
              </w:rPr>
              <w:t>3kg/h</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 xml:space="preserve">VOCs </w:t>
            </w:r>
            <w:r>
              <w:rPr>
                <w:rFonts w:hint="eastAsia" w:ascii="宋体" w:hAnsi="宋体" w:eastAsia="宋体" w:cs="宋体"/>
                <w:color w:val="auto"/>
                <w:kern w:val="0"/>
                <w:sz w:val="24"/>
                <w:szCs w:val="24"/>
                <w:lang w:val="en-US" w:eastAsia="zh-CN" w:bidi="ar"/>
              </w:rPr>
              <w:t xml:space="preserve">处理设施的处理效率不受最低 </w:t>
            </w:r>
            <w:r>
              <w:rPr>
                <w:rFonts w:hint="default" w:ascii="Times New Roman" w:hAnsi="Times New Roman" w:eastAsia="宋体" w:cs="Times New Roman"/>
                <w:color w:val="auto"/>
                <w:kern w:val="0"/>
                <w:sz w:val="24"/>
                <w:szCs w:val="24"/>
                <w:lang w:val="en-US" w:eastAsia="zh-CN" w:bidi="ar"/>
              </w:rPr>
              <w:t>80%的限制。</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cs="Times New Roman"/>
                <w:b/>
                <w:bCs/>
                <w:color w:val="auto"/>
                <w:kern w:val="2"/>
                <w:sz w:val="24"/>
                <w:szCs w:val="24"/>
                <w:highlight w:val="none"/>
                <w:lang w:val="en-US" w:eastAsia="zh-CN"/>
              </w:rPr>
              <w:t>4.2.1.</w:t>
            </w:r>
            <w:r>
              <w:rPr>
                <w:rFonts w:hint="eastAsia" w:cs="Times New Roman"/>
                <w:b/>
                <w:bCs/>
                <w:color w:val="auto"/>
                <w:kern w:val="2"/>
                <w:sz w:val="24"/>
                <w:szCs w:val="24"/>
                <w:highlight w:val="none"/>
                <w:lang w:val="en-US" w:eastAsia="zh-CN"/>
              </w:rPr>
              <w:t>3</w:t>
            </w:r>
            <w:r>
              <w:rPr>
                <w:rFonts w:hint="default" w:ascii="Times New Roman" w:hAnsi="Times New Roman" w:cs="Times New Roman"/>
                <w:b/>
                <w:bCs/>
                <w:color w:val="auto"/>
                <w:kern w:val="2"/>
                <w:sz w:val="24"/>
                <w:szCs w:val="24"/>
                <w:highlight w:val="none"/>
                <w:lang w:val="en-US" w:eastAsia="zh-CN"/>
              </w:rPr>
              <w:t>、达标性分析</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lang w:val="en-US" w:eastAsia="zh-CN" w:bidi="ar"/>
              </w:rPr>
              <w:t>根据污染源强分析，项目</w:t>
            </w:r>
            <w:r>
              <w:rPr>
                <w:rFonts w:hint="eastAsia"/>
                <w:color w:val="auto"/>
                <w:sz w:val="24"/>
                <w:szCs w:val="24"/>
                <w:highlight w:val="none"/>
                <w:lang w:val="en-US" w:eastAsia="zh-CN"/>
              </w:rPr>
              <w:t>熔化、浇注废气排放口</w:t>
            </w:r>
            <w:r>
              <w:rPr>
                <w:rFonts w:hint="default" w:ascii="Times New Roman" w:hAnsi="Times New Roman" w:cs="Times New Roman"/>
                <w:color w:val="auto"/>
                <w:kern w:val="0"/>
                <w:sz w:val="24"/>
                <w:szCs w:val="24"/>
                <w:highlight w:val="none"/>
                <w:lang w:val="en-US" w:eastAsia="zh-CN" w:bidi="ar"/>
              </w:rPr>
              <w:t>、</w:t>
            </w:r>
            <w:r>
              <w:rPr>
                <w:rFonts w:hint="default"/>
                <w:color w:val="auto"/>
                <w:sz w:val="24"/>
                <w:szCs w:val="24"/>
                <w:highlight w:val="none"/>
                <w:lang w:val="en-US" w:eastAsia="zh-CN"/>
              </w:rPr>
              <w:t>搅砂制芯</w:t>
            </w:r>
            <w:r>
              <w:rPr>
                <w:rFonts w:hint="eastAsia"/>
                <w:color w:val="auto"/>
                <w:sz w:val="24"/>
                <w:szCs w:val="24"/>
                <w:highlight w:val="none"/>
                <w:lang w:val="en-US" w:eastAsia="zh-CN"/>
              </w:rPr>
              <w:t>废气排放口、</w:t>
            </w:r>
            <w:r>
              <w:rPr>
                <w:rFonts w:hint="default" w:ascii="Times New Roman" w:hAnsi="Times New Roman" w:eastAsia="宋体" w:cs="Times New Roman"/>
                <w:color w:val="auto"/>
                <w:kern w:val="0"/>
                <w:sz w:val="24"/>
                <w:szCs w:val="24"/>
                <w:lang w:val="en-US" w:eastAsia="zh-CN" w:bidi="ar"/>
              </w:rPr>
              <w:t>抛光</w:t>
            </w:r>
            <w:r>
              <w:rPr>
                <w:rFonts w:hint="eastAsia"/>
                <w:color w:val="auto"/>
                <w:sz w:val="24"/>
                <w:szCs w:val="24"/>
                <w:highlight w:val="none"/>
                <w:lang w:val="en-US" w:eastAsia="zh-CN"/>
              </w:rPr>
              <w:t>、抛丸废气排放口</w:t>
            </w:r>
            <w:r>
              <w:rPr>
                <w:rFonts w:hint="eastAsia" w:cs="Times New Roman"/>
                <w:color w:val="auto"/>
                <w:kern w:val="0"/>
                <w:sz w:val="24"/>
                <w:szCs w:val="24"/>
                <w:highlight w:val="none"/>
                <w:lang w:val="en-US" w:eastAsia="zh-CN" w:bidi="ar"/>
              </w:rPr>
              <w:t>的</w:t>
            </w:r>
            <w:r>
              <w:rPr>
                <w:rFonts w:hint="eastAsia" w:ascii="宋体" w:hAnsi="宋体" w:eastAsia="宋体" w:cs="宋体"/>
                <w:color w:val="auto"/>
                <w:kern w:val="0"/>
                <w:sz w:val="24"/>
                <w:szCs w:val="24"/>
                <w:lang w:val="en-US" w:eastAsia="zh-CN" w:bidi="ar"/>
              </w:rPr>
              <w:t xml:space="preserve">颗粒物有组织排放浓度均可达到 </w:t>
            </w:r>
            <w:r>
              <w:rPr>
                <w:rFonts w:hint="default" w:ascii="Times New Roman" w:hAnsi="Times New Roman" w:eastAsia="宋体" w:cs="Times New Roman"/>
                <w:color w:val="auto"/>
                <w:kern w:val="0"/>
                <w:sz w:val="24"/>
                <w:szCs w:val="24"/>
                <w:lang w:val="en-US" w:eastAsia="zh-CN" w:bidi="ar"/>
              </w:rPr>
              <w:t>GB39726-2020</w:t>
            </w:r>
            <w:r>
              <w:rPr>
                <w:rFonts w:hint="eastAsia" w:ascii="宋体" w:hAnsi="宋体" w:eastAsia="宋体" w:cs="宋体"/>
                <w:color w:val="auto"/>
                <w:kern w:val="0"/>
                <w:sz w:val="24"/>
                <w:szCs w:val="24"/>
                <w:lang w:val="en-US" w:eastAsia="zh-CN" w:bidi="ar"/>
              </w:rPr>
              <w:t>《铸造工业大气污染物排放标准》表</w:t>
            </w:r>
            <w:r>
              <w:rPr>
                <w:rFonts w:hint="default" w:ascii="Times New Roman" w:hAnsi="Times New Roman" w:eastAsia="宋体" w:cs="Times New Roman"/>
                <w:color w:val="auto"/>
                <w:kern w:val="0"/>
                <w:sz w:val="24"/>
                <w:szCs w:val="24"/>
                <w:lang w:val="en-US" w:eastAsia="zh-CN" w:bidi="ar"/>
              </w:rPr>
              <w:t>1</w:t>
            </w:r>
            <w:r>
              <w:rPr>
                <w:rFonts w:hint="eastAsia" w:cs="Times New Roman"/>
                <w:color w:val="auto"/>
                <w:kern w:val="0"/>
                <w:sz w:val="24"/>
                <w:szCs w:val="24"/>
                <w:lang w:val="en-US" w:eastAsia="zh-CN" w:bidi="ar"/>
              </w:rPr>
              <w:t>排</w:t>
            </w:r>
            <w:r>
              <w:rPr>
                <w:rFonts w:hint="eastAsia" w:ascii="宋体" w:hAnsi="宋体" w:eastAsia="宋体" w:cs="宋体"/>
                <w:color w:val="auto"/>
                <w:kern w:val="0"/>
                <w:sz w:val="24"/>
                <w:szCs w:val="24"/>
                <w:lang w:val="en-US" w:eastAsia="zh-CN" w:bidi="ar"/>
              </w:rPr>
              <w:t>放标准（排放浓度</w:t>
            </w:r>
            <w:r>
              <w:rPr>
                <w:rFonts w:hint="default" w:ascii="Times New Roman" w:hAnsi="Times New Roman" w:eastAsia="宋体" w:cs="Times New Roman"/>
                <w:color w:val="auto"/>
                <w:kern w:val="0"/>
                <w:sz w:val="24"/>
                <w:szCs w:val="24"/>
                <w:lang w:val="en-US" w:eastAsia="zh-CN" w:bidi="ar"/>
              </w:rPr>
              <w:t>30mg/m</w:t>
            </w:r>
            <w:r>
              <w:rPr>
                <w:rFonts w:hint="eastAsia" w:cs="Times New Roman"/>
                <w:color w:val="auto"/>
                <w:kern w:val="0"/>
                <w:sz w:val="24"/>
                <w:szCs w:val="24"/>
                <w:vertAlign w:val="superscript"/>
                <w:lang w:val="en-US" w:eastAsia="zh-CN" w:bidi="ar"/>
              </w:rPr>
              <w:t>3</w:t>
            </w:r>
            <w:r>
              <w:rPr>
                <w:rFonts w:hint="eastAsia" w:ascii="宋体" w:hAnsi="宋体" w:eastAsia="宋体" w:cs="宋体"/>
                <w:color w:val="auto"/>
                <w:kern w:val="0"/>
                <w:sz w:val="24"/>
                <w:szCs w:val="24"/>
                <w:lang w:val="en-US" w:eastAsia="zh-CN" w:bidi="ar"/>
              </w:rPr>
              <w:t>）</w:t>
            </w:r>
            <w:r>
              <w:rPr>
                <w:rFonts w:hint="eastAsia" w:ascii="宋体" w:hAnsi="宋体"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非甲烷总烃有组织排放浓度可达到 </w:t>
            </w:r>
            <w:r>
              <w:rPr>
                <w:rFonts w:hint="default" w:ascii="Times New Roman" w:hAnsi="Times New Roman" w:eastAsia="宋体" w:cs="Times New Roman"/>
                <w:color w:val="auto"/>
                <w:kern w:val="0"/>
                <w:sz w:val="24"/>
                <w:szCs w:val="24"/>
                <w:lang w:val="en-US" w:eastAsia="zh-CN" w:bidi="ar"/>
              </w:rPr>
              <w:t>GB39726-2020</w:t>
            </w:r>
            <w:r>
              <w:rPr>
                <w:rFonts w:hint="eastAsia" w:ascii="宋体" w:hAnsi="宋体" w:eastAsia="宋体" w:cs="宋体"/>
                <w:color w:val="auto"/>
                <w:kern w:val="0"/>
                <w:sz w:val="24"/>
                <w:szCs w:val="24"/>
                <w:lang w:val="en-US" w:eastAsia="zh-CN" w:bidi="ar"/>
              </w:rPr>
              <w:t>《铸造工业大气污染物排放标准》表</w:t>
            </w:r>
            <w:r>
              <w:rPr>
                <w:rFonts w:hint="default" w:ascii="Times New Roman" w:hAnsi="Times New Roman" w:eastAsia="宋体" w:cs="Times New Roman"/>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排放标准（非甲烷总烃最高允许排放</w:t>
            </w:r>
            <w:r>
              <w:rPr>
                <w:rFonts w:hint="eastAsia" w:ascii="宋体" w:hAnsi="宋体" w:cs="宋体"/>
                <w:color w:val="auto"/>
                <w:kern w:val="0"/>
                <w:sz w:val="24"/>
                <w:szCs w:val="24"/>
                <w:lang w:val="en-US" w:eastAsia="zh-CN" w:bidi="ar"/>
              </w:rPr>
              <w:t>浓度</w:t>
            </w:r>
            <w:r>
              <w:rPr>
                <w:rFonts w:hint="default" w:ascii="Times New Roman" w:hAnsi="Times New Roman" w:eastAsia="宋体" w:cs="Times New Roman"/>
                <w:color w:val="auto"/>
                <w:kern w:val="0"/>
                <w:sz w:val="24"/>
                <w:szCs w:val="24"/>
                <w:lang w:val="en-US" w:eastAsia="zh-CN" w:bidi="ar"/>
              </w:rPr>
              <w:t>100mg/m</w:t>
            </w:r>
            <w:r>
              <w:rPr>
                <w:rFonts w:hint="eastAsia"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 xml:space="preserve"> </w:t>
            </w:r>
            <w:r>
              <w:rPr>
                <w:rFonts w:hint="eastAsia" w:ascii="宋体" w:hAnsi="宋体" w:eastAsia="宋体" w:cs="宋体"/>
                <w:color w:val="auto"/>
                <w:kern w:val="0"/>
                <w:sz w:val="24"/>
                <w:szCs w:val="24"/>
                <w:lang w:val="en-US" w:eastAsia="zh-CN" w:bidi="ar"/>
              </w:rPr>
              <w:t>）</w:t>
            </w:r>
            <w:r>
              <w:rPr>
                <w:rFonts w:hint="eastAsia" w:ascii="宋体" w:hAnsi="宋体" w:eastAsia="宋体" w:cs="宋体"/>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注塑废气排放口</w:t>
            </w:r>
            <w:r>
              <w:rPr>
                <w:rFonts w:hint="eastAsia" w:ascii="宋体" w:hAnsi="宋体" w:eastAsia="宋体" w:cs="宋体"/>
                <w:color w:val="auto"/>
                <w:kern w:val="0"/>
                <w:sz w:val="24"/>
                <w:szCs w:val="24"/>
                <w:highlight w:val="none"/>
                <w:lang w:val="en-US" w:eastAsia="zh-CN" w:bidi="ar"/>
              </w:rPr>
              <w:t>的</w:t>
            </w:r>
            <w:r>
              <w:rPr>
                <w:rFonts w:hint="eastAsia" w:cs="Times New Roman"/>
                <w:color w:val="auto"/>
                <w:kern w:val="0"/>
                <w:sz w:val="24"/>
                <w:szCs w:val="24"/>
                <w:highlight w:val="none"/>
                <w:lang w:val="en-US" w:eastAsia="zh-CN"/>
              </w:rPr>
              <w:t>非甲烷总烃</w:t>
            </w:r>
            <w:r>
              <w:rPr>
                <w:rFonts w:hint="eastAsia" w:ascii="宋体" w:hAnsi="宋体" w:eastAsia="宋体" w:cs="宋体"/>
                <w:color w:val="auto"/>
                <w:kern w:val="0"/>
                <w:sz w:val="24"/>
                <w:szCs w:val="24"/>
                <w:highlight w:val="none"/>
                <w:lang w:val="en-US" w:eastAsia="zh-CN" w:bidi="ar"/>
              </w:rPr>
              <w:t>有组织排放浓度可达到</w:t>
            </w:r>
            <w:r>
              <w:rPr>
                <w:rFonts w:hint="default" w:ascii="Times New Roman" w:hAnsi="Times New Roman" w:eastAsia="宋体" w:cs="Times New Roman"/>
                <w:color w:val="auto"/>
                <w:kern w:val="0"/>
                <w:sz w:val="24"/>
                <w:szCs w:val="24"/>
                <w:highlight w:val="none"/>
              </w:rPr>
              <w:t>《合成树脂工业污染物排放标准》(GB31572-2015)表4标准限值</w:t>
            </w:r>
            <w:r>
              <w:rPr>
                <w:rFonts w:hint="eastAsia"/>
                <w:color w:val="auto"/>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100.0</w:t>
            </w:r>
            <w:r>
              <w:rPr>
                <w:rFonts w:hint="default" w:ascii="Times New Roman" w:hAnsi="Times New Roman" w:eastAsia="宋体" w:cs="Times New Roman"/>
                <w:color w:val="auto"/>
                <w:kern w:val="0"/>
                <w:sz w:val="24"/>
                <w:szCs w:val="24"/>
                <w:highlight w:val="none"/>
                <w:lang w:val="en-US" w:eastAsia="zh-CN" w:bidi="ar"/>
              </w:rPr>
              <w:t>mg/m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eastAsia"/>
                <w:color w:val="auto"/>
                <w:sz w:val="24"/>
                <w:szCs w:val="24"/>
                <w:highlight w:val="none"/>
                <w:lang w:eastAsia="zh-CN"/>
              </w:rPr>
              <w:t>）</w:t>
            </w:r>
            <w:r>
              <w:rPr>
                <w:rFonts w:hint="eastAsia" w:ascii="宋体" w:hAnsi="宋体" w:cs="宋体"/>
                <w:color w:val="auto"/>
                <w:kern w:val="0"/>
                <w:sz w:val="24"/>
                <w:szCs w:val="24"/>
                <w:highlight w:val="none"/>
                <w:lang w:val="en-US" w:eastAsia="zh-CN" w:bidi="ar"/>
              </w:rPr>
              <w:t>；</w:t>
            </w:r>
            <w:r>
              <w:rPr>
                <w:rFonts w:hint="eastAsia" w:cs="Times New Roman"/>
                <w:color w:val="auto"/>
                <w:sz w:val="24"/>
                <w:szCs w:val="24"/>
                <w:highlight w:val="none"/>
                <w:lang w:val="en-US" w:eastAsia="zh-CN"/>
              </w:rPr>
              <w:t>喷漆、烘干、压合、封边、开料、磨光、机加工废气排放口</w:t>
            </w:r>
            <w:r>
              <w:rPr>
                <w:rFonts w:hint="eastAsia" w:ascii="宋体" w:hAnsi="宋体" w:eastAsia="宋体" w:cs="宋体"/>
                <w:color w:val="auto"/>
                <w:kern w:val="0"/>
                <w:sz w:val="24"/>
                <w:szCs w:val="24"/>
                <w:highlight w:val="none"/>
                <w:lang w:val="en-US" w:eastAsia="zh-CN" w:bidi="ar"/>
              </w:rPr>
              <w:t>的颗粒物有组织排放浓度可达</w:t>
            </w:r>
            <w:r>
              <w:rPr>
                <w:rFonts w:hint="default" w:ascii="Times New Roman" w:hAnsi="Times New Roman" w:eastAsia="宋体" w:cs="Times New Roman"/>
                <w:color w:val="auto"/>
                <w:kern w:val="0"/>
                <w:sz w:val="24"/>
                <w:szCs w:val="24"/>
                <w:highlight w:val="none"/>
                <w:lang w:val="en-US" w:eastAsia="zh-CN" w:bidi="ar"/>
              </w:rPr>
              <w:t>《大气污染物综合排放标准》 (GB16297-1996)表2排放监控浓度限值（</w:t>
            </w:r>
            <w:r>
              <w:rPr>
                <w:rFonts w:hint="default" w:ascii="Times New Roman" w:hAnsi="Times New Roman" w:eastAsia="宋体" w:cs="Times New Roman"/>
                <w:b w:val="0"/>
                <w:bCs w:val="0"/>
                <w:color w:val="auto"/>
                <w:sz w:val="24"/>
                <w:szCs w:val="24"/>
                <w:highlight w:val="none"/>
                <w:lang w:val="en-US" w:eastAsia="zh-CN"/>
              </w:rPr>
              <w:t>120</w:t>
            </w:r>
            <w:r>
              <w:rPr>
                <w:rFonts w:hint="default" w:ascii="Times New Roman" w:hAnsi="Times New Roman" w:eastAsia="宋体" w:cs="Times New Roman"/>
                <w:color w:val="auto"/>
                <w:kern w:val="0"/>
                <w:sz w:val="24"/>
                <w:szCs w:val="24"/>
                <w:highlight w:val="none"/>
                <w:lang w:val="en-US" w:eastAsia="zh-CN" w:bidi="ar"/>
              </w:rPr>
              <w:t>mg/m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rPr>
              <w:t>非甲烷总烃</w:t>
            </w:r>
            <w:r>
              <w:rPr>
                <w:rFonts w:hint="eastAsia" w:ascii="宋体" w:hAnsi="宋体" w:eastAsia="宋体" w:cs="宋体"/>
                <w:color w:val="auto"/>
                <w:kern w:val="0"/>
                <w:sz w:val="24"/>
                <w:szCs w:val="24"/>
                <w:highlight w:val="none"/>
                <w:lang w:val="en-US" w:eastAsia="zh-CN" w:bidi="ar"/>
              </w:rPr>
              <w:t>有组织排放浓度可达</w:t>
            </w:r>
            <w:r>
              <w:rPr>
                <w:rFonts w:hint="default" w:ascii="Times New Roman" w:hAnsi="Times New Roman" w:eastAsia="宋体" w:cs="Times New Roman"/>
                <w:color w:val="auto"/>
                <w:kern w:val="0"/>
                <w:sz w:val="24"/>
                <w:szCs w:val="24"/>
                <w:highlight w:val="none"/>
                <w:lang w:val="en-US" w:eastAsia="zh-CN" w:bidi="ar"/>
              </w:rPr>
              <w:t>《工业涂装工序挥发性有机物排放标准》（DB35/1783-2018）表1家具制造行业标准限值（</w:t>
            </w:r>
            <w:r>
              <w:rPr>
                <w:rFonts w:hint="default" w:ascii="Times New Roman" w:hAnsi="Times New Roman" w:eastAsia="宋体" w:cs="Times New Roman"/>
                <w:b w:val="0"/>
                <w:bCs w:val="0"/>
                <w:color w:val="auto"/>
                <w:sz w:val="24"/>
                <w:szCs w:val="24"/>
                <w:highlight w:val="none"/>
                <w:lang w:val="en-US" w:eastAsia="zh-CN"/>
              </w:rPr>
              <w:t>50</w:t>
            </w:r>
            <w:r>
              <w:rPr>
                <w:rFonts w:hint="default" w:ascii="Times New Roman" w:hAnsi="Times New Roman" w:eastAsia="宋体" w:cs="Times New Roman"/>
                <w:color w:val="auto"/>
                <w:kern w:val="0"/>
                <w:sz w:val="24"/>
                <w:szCs w:val="24"/>
                <w:highlight w:val="none"/>
                <w:lang w:val="en-US" w:eastAsia="zh-CN" w:bidi="ar"/>
              </w:rPr>
              <w:t>mg/m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食堂油烟经处理后油烟</w:t>
            </w:r>
            <w:r>
              <w:rPr>
                <w:rFonts w:hint="eastAsia" w:ascii="宋体" w:hAnsi="宋体" w:cs="宋体"/>
                <w:color w:val="auto"/>
                <w:kern w:val="0"/>
                <w:sz w:val="24"/>
                <w:szCs w:val="24"/>
                <w:highlight w:val="none"/>
                <w:lang w:val="en-US" w:eastAsia="zh-CN" w:bidi="ar"/>
              </w:rPr>
              <w:t>符合</w:t>
            </w:r>
            <w:r>
              <w:rPr>
                <w:rFonts w:hint="default" w:ascii="Times New Roman" w:hAnsi="Times New Roman" w:eastAsia="宋体" w:cs="Times New Roman"/>
                <w:color w:val="auto"/>
                <w:kern w:val="0"/>
                <w:sz w:val="24"/>
                <w:szCs w:val="24"/>
                <w:highlight w:val="none"/>
                <w:lang w:val="en-US" w:eastAsia="zh-CN" w:bidi="ar"/>
              </w:rPr>
              <w:t>《饮食业油烟排放标准（试行）》（GB18483-2001）表2限值（≤2mg/m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。本项目废气处理措施对各污染物的去除率可行</w:t>
            </w:r>
            <w:r>
              <w:rPr>
                <w:rFonts w:hint="eastAsia" w:ascii="宋体" w:hAnsi="宋体" w:cs="宋体"/>
                <w:color w:val="auto"/>
                <w:kern w:val="0"/>
                <w:sz w:val="24"/>
                <w:szCs w:val="24"/>
                <w:highlight w:val="none"/>
                <w:lang w:val="en-US" w:eastAsia="zh-CN" w:bidi="ar"/>
              </w:rPr>
              <w:t>，措施可行。</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综上分析可知，项目所在区域环境质量良好，距离项目最近敏感目标为西北侧</w:t>
            </w:r>
            <w:r>
              <w:rPr>
                <w:rFonts w:hint="eastAsia" w:ascii="Times New Roman" w:hAnsi="Times New Roman" w:eastAsia="宋体" w:cs="Times New Roman"/>
                <w:color w:val="auto"/>
                <w:kern w:val="0"/>
                <w:sz w:val="24"/>
                <w:szCs w:val="24"/>
                <w:highlight w:val="none"/>
                <w:lang w:val="en-US" w:eastAsia="zh-CN" w:bidi="ar"/>
              </w:rPr>
              <w:t>1</w:t>
            </w:r>
            <w:r>
              <w:rPr>
                <w:rFonts w:hint="eastAsia" w:cs="Times New Roman"/>
                <w:color w:val="auto"/>
                <w:kern w:val="0"/>
                <w:sz w:val="24"/>
                <w:szCs w:val="24"/>
                <w:highlight w:val="none"/>
                <w:lang w:val="en-US" w:eastAsia="zh-CN" w:bidi="ar"/>
              </w:rPr>
              <w:t>46</w:t>
            </w:r>
            <w:r>
              <w:rPr>
                <w:rFonts w:hint="default" w:ascii="Times New Roman" w:hAnsi="Times New Roman" w:eastAsia="宋体" w:cs="Times New Roman"/>
                <w:color w:val="auto"/>
                <w:kern w:val="0"/>
                <w:sz w:val="24"/>
                <w:szCs w:val="24"/>
                <w:highlight w:val="none"/>
                <w:lang w:val="en-US" w:eastAsia="zh-CN" w:bidi="ar"/>
              </w:rPr>
              <w:t>m</w:t>
            </w:r>
            <w:r>
              <w:rPr>
                <w:rFonts w:hint="eastAsia" w:ascii="宋体" w:hAnsi="宋体" w:eastAsia="宋体" w:cs="宋体"/>
                <w:color w:val="auto"/>
                <w:kern w:val="0"/>
                <w:sz w:val="24"/>
                <w:szCs w:val="24"/>
                <w:highlight w:val="none"/>
                <w:lang w:val="en-US" w:eastAsia="zh-CN" w:bidi="ar"/>
              </w:rPr>
              <w:t>处的九牧生活宿舍区，距离较远，项目投产后合理规划设备布局，将高噪声设备及排气筒布设在远离敏感点的厂房东侧和南侧，且根据污染源强分析，项目产生的废气</w:t>
            </w:r>
            <w:r>
              <w:rPr>
                <w:rFonts w:hint="default" w:ascii="Times New Roman" w:hAnsi="Times New Roman" w:eastAsia="宋体" w:cs="Times New Roman"/>
                <w:color w:val="auto"/>
                <w:kern w:val="0"/>
                <w:sz w:val="24"/>
                <w:szCs w:val="24"/>
                <w:highlight w:val="none"/>
                <w:lang w:val="en-US" w:eastAsia="zh-CN" w:bidi="ar"/>
              </w:rPr>
              <w:t>通过相应的治理设施处理达标后排放，对周边大气环境及敏感点影响不大。</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rPr>
            </w:pPr>
            <w:r>
              <w:rPr>
                <w:rFonts w:hint="eastAsia" w:ascii="Times New Roman" w:hAnsi="Times New Roman" w:cs="Times New Roman"/>
                <w:b/>
                <w:bCs/>
                <w:color w:val="auto"/>
                <w:kern w:val="2"/>
                <w:sz w:val="24"/>
                <w:szCs w:val="24"/>
                <w:highlight w:val="none"/>
                <w:lang w:val="en-US" w:eastAsia="zh-CN"/>
              </w:rPr>
              <w:t>4.2.1.</w:t>
            </w:r>
            <w:r>
              <w:rPr>
                <w:rFonts w:hint="eastAsia" w:cs="Times New Roman"/>
                <w:b/>
                <w:bCs/>
                <w:color w:val="auto"/>
                <w:kern w:val="2"/>
                <w:sz w:val="24"/>
                <w:szCs w:val="24"/>
                <w:highlight w:val="none"/>
                <w:lang w:val="en-US" w:eastAsia="zh-CN"/>
              </w:rPr>
              <w:t>4</w:t>
            </w:r>
            <w:r>
              <w:rPr>
                <w:rFonts w:hint="default" w:ascii="Times New Roman" w:hAnsi="Times New Roman" w:cs="Times New Roman"/>
                <w:b/>
                <w:bCs/>
                <w:color w:val="auto"/>
                <w:kern w:val="2"/>
                <w:sz w:val="24"/>
                <w:szCs w:val="24"/>
                <w:highlight w:val="none"/>
                <w:lang w:val="en-US" w:eastAsia="zh-CN"/>
              </w:rPr>
              <w:t xml:space="preserve">、无组织废气污染防治措施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根据《泉州市铸造行业企业废气治理提升方案》，为了尽量减少项目无组织排放废气，项目生产过程涉及污染控制措施如下：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1、工艺生产过程控制措施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（1）项目加料口设置集气罩抽风，装模、落砂、抛丸、抛光等操作固定作业工位，便于采取防尘措施；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（2）项目落砂、抛丸等采取固定式集气设备，并配备除尘设施；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（3）造型、制芯、浇注工序安装集气罩，废气排至除尘设施、VOCs 废气收集处理系统；本项目不涉及恶臭气体排放；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（4）项目熔化、浇注位于同一片区域，金属熔化后即进行浇注，废气收集至除尘设施，无需使用浇包，无需进行金属液转运流程；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（5）项目清理(铲飞边毛刺等)采取固定式集气设备并配备除尘设施等抑尘措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施；</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 xml:space="preserve">2、废气收集系统控制要求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 xml:space="preserve">（1）项目废气收集系统排风罩（集气罩）的设置和控制风速满足《排风罩的分类及技术条件》（GB/T 16758-2008）和《局部排风设施控制风速检测与评估技术规范》（WS/T 757-2016）的要求，VOCs 的排风罩控制风速不低于0.3 m/s，颗粒物的排风罩控制风速不低于WS/T 757-2016规定的限值。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 xml:space="preserve">（2）项目尽可能利用主体生产装置(如中频感应炉、抛丸机等)自身的集气系统进行收集。排风罩（集气罩）的配置与所采用的生产工艺协调一致，不影响工艺操作。在保证收集能力的前提下，结构简单，便于安装和维护管理。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 xml:space="preserve">（3）项目排风罩（集气罩）根据生产操作要求选择半密闭罩或外部排风罩，并尽可能包围或靠近污染源，必要时将增设软帘围挡，防止污染物外逸。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 xml:space="preserve">（4）项目废气产生点较多，已分设多套收集系统。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 xml:space="preserve">3、物料储存、转运过程控制措施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lang w:val="en-US"/>
              </w:rPr>
            </w:pPr>
            <w:r>
              <w:rPr>
                <w:rFonts w:hint="default" w:ascii="Times New Roman" w:hAnsi="Times New Roman" w:eastAsia="宋体" w:cs="Times New Roman"/>
                <w:color w:val="auto"/>
                <w:kern w:val="0"/>
                <w:sz w:val="24"/>
                <w:szCs w:val="24"/>
                <w:lang w:val="en-US" w:eastAsia="zh-CN" w:bidi="ar"/>
              </w:rPr>
              <w:t>（1）项目</w:t>
            </w:r>
            <w:r>
              <w:rPr>
                <w:rFonts w:hint="eastAsia" w:ascii="Times New Roman" w:hAnsi="Times New Roman" w:eastAsia="宋体" w:cs="Times New Roman"/>
                <w:color w:val="auto"/>
                <w:kern w:val="0"/>
                <w:sz w:val="24"/>
                <w:szCs w:val="24"/>
                <w:lang w:val="en-US" w:eastAsia="zh-CN" w:bidi="ar"/>
              </w:rPr>
              <w:t>原砂</w:t>
            </w:r>
            <w:r>
              <w:rPr>
                <w:rFonts w:hint="default" w:ascii="Times New Roman" w:hAnsi="Times New Roman" w:eastAsia="宋体" w:cs="Times New Roman"/>
                <w:color w:val="auto"/>
                <w:kern w:val="0"/>
                <w:sz w:val="24"/>
                <w:szCs w:val="24"/>
                <w:lang w:val="en-US" w:eastAsia="zh-CN" w:bidi="ar"/>
              </w:rPr>
              <w:t>为粒状，采用吨包装袋密封装盛，储存于</w:t>
            </w:r>
            <w:r>
              <w:rPr>
                <w:rFonts w:hint="eastAsia" w:ascii="Times New Roman" w:hAnsi="Times New Roman" w:eastAsia="宋体" w:cs="Times New Roman"/>
                <w:color w:val="auto"/>
                <w:kern w:val="0"/>
                <w:sz w:val="24"/>
                <w:szCs w:val="24"/>
                <w:lang w:val="en-US" w:eastAsia="zh-CN" w:bidi="ar"/>
              </w:rPr>
              <w:t>封闭的</w:t>
            </w:r>
            <w:r>
              <w:rPr>
                <w:rFonts w:hint="default" w:ascii="Times New Roman" w:hAnsi="Times New Roman" w:eastAsia="宋体" w:cs="Times New Roman"/>
                <w:color w:val="auto"/>
                <w:kern w:val="0"/>
                <w:sz w:val="24"/>
                <w:szCs w:val="24"/>
                <w:lang w:val="en-US" w:eastAsia="zh-CN" w:bidi="ar"/>
              </w:rPr>
              <w:t>厂房内原料区域，属于封闭储库</w:t>
            </w:r>
            <w:r>
              <w:rPr>
                <w:rFonts w:hint="eastAsia" w:ascii="Times New Roman" w:hAnsi="Times New Roman" w:eastAsia="宋体" w:cs="Times New Roman"/>
                <w:color w:val="auto"/>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（2）</w:t>
            </w:r>
            <w:r>
              <w:rPr>
                <w:rFonts w:hint="eastAsia" w:ascii="Times New Roman" w:hAnsi="Times New Roman" w:eastAsia="宋体" w:cs="Times New Roman"/>
                <w:color w:val="auto"/>
                <w:kern w:val="0"/>
                <w:sz w:val="24"/>
                <w:szCs w:val="24"/>
                <w:lang w:val="en-US" w:eastAsia="zh-CN" w:bidi="ar"/>
              </w:rPr>
              <w:t>项目黄铜、铜棒、铝合金锭、铜棒</w:t>
            </w:r>
            <w:r>
              <w:rPr>
                <w:rFonts w:hint="default" w:ascii="Times New Roman" w:hAnsi="Times New Roman" w:eastAsia="宋体" w:cs="Times New Roman"/>
                <w:color w:val="auto"/>
                <w:kern w:val="0"/>
                <w:sz w:val="24"/>
                <w:szCs w:val="24"/>
                <w:lang w:val="en-US" w:eastAsia="zh-CN" w:bidi="ar"/>
              </w:rPr>
              <w:t>为块状，储存于</w:t>
            </w:r>
            <w:r>
              <w:rPr>
                <w:rFonts w:hint="eastAsia" w:ascii="Times New Roman" w:hAnsi="Times New Roman" w:eastAsia="宋体" w:cs="Times New Roman"/>
                <w:color w:val="auto"/>
                <w:kern w:val="0"/>
                <w:sz w:val="24"/>
                <w:szCs w:val="24"/>
                <w:lang w:val="en-US" w:eastAsia="zh-CN" w:bidi="ar"/>
              </w:rPr>
              <w:t>封闭的</w:t>
            </w:r>
            <w:r>
              <w:rPr>
                <w:rFonts w:hint="default" w:ascii="Times New Roman" w:hAnsi="Times New Roman" w:eastAsia="宋体" w:cs="Times New Roman"/>
                <w:color w:val="auto"/>
                <w:kern w:val="0"/>
                <w:sz w:val="24"/>
                <w:szCs w:val="24"/>
                <w:lang w:val="en-US" w:eastAsia="zh-CN" w:bidi="ar"/>
              </w:rPr>
              <w:t xml:space="preserve">厂房内原料区域，属于封闭储库。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（3）树脂、固化剂等 VOCs 物料储存于密闭的容器、包装袋、储库中。盛装VOCs 物料的容器或包装袋在非取用状态时加盖、封口，保持密闭。敞开液面 VOCs 无组织排放控制要求，</w:t>
            </w:r>
            <w:r>
              <w:rPr>
                <w:rFonts w:hint="eastAsia" w:ascii="Times New Roman" w:hAnsi="Times New Roman" w:eastAsia="宋体" w:cs="Times New Roman"/>
                <w:color w:val="auto"/>
                <w:kern w:val="0"/>
                <w:sz w:val="24"/>
                <w:szCs w:val="24"/>
                <w:lang w:val="en-US" w:eastAsia="zh-CN" w:bidi="ar"/>
              </w:rPr>
              <w:t>应</w:t>
            </w:r>
            <w:r>
              <w:rPr>
                <w:rFonts w:hint="default" w:ascii="Times New Roman" w:hAnsi="Times New Roman" w:eastAsia="宋体" w:cs="Times New Roman"/>
                <w:color w:val="auto"/>
                <w:kern w:val="0"/>
                <w:sz w:val="24"/>
                <w:szCs w:val="24"/>
                <w:lang w:val="en-US" w:eastAsia="zh-CN" w:bidi="ar"/>
              </w:rPr>
              <w:t xml:space="preserve">符合《挥发性有机物无组织排放控制标准》（GB 37822-2019）的规定。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（4）项目</w:t>
            </w:r>
            <w:r>
              <w:rPr>
                <w:rFonts w:hint="eastAsia" w:ascii="Times New Roman" w:hAnsi="Times New Roman" w:eastAsia="宋体" w:cs="Times New Roman"/>
                <w:color w:val="auto"/>
                <w:kern w:val="0"/>
                <w:sz w:val="24"/>
                <w:szCs w:val="24"/>
                <w:lang w:val="en-US" w:eastAsia="zh-CN" w:bidi="ar"/>
              </w:rPr>
              <w:t>原</w:t>
            </w:r>
            <w:r>
              <w:rPr>
                <w:rFonts w:hint="default" w:ascii="Times New Roman" w:hAnsi="Times New Roman" w:eastAsia="宋体" w:cs="Times New Roman"/>
                <w:color w:val="auto"/>
                <w:kern w:val="0"/>
                <w:sz w:val="24"/>
                <w:szCs w:val="24"/>
                <w:lang w:val="en-US" w:eastAsia="zh-CN" w:bidi="ar"/>
              </w:rPr>
              <w:t>砂等粒状物料采用吨包袋密封</w:t>
            </w:r>
            <w:r>
              <w:rPr>
                <w:rFonts w:hint="eastAsia" w:cs="Times New Roman"/>
                <w:color w:val="auto"/>
                <w:kern w:val="0"/>
                <w:sz w:val="24"/>
                <w:szCs w:val="24"/>
                <w:lang w:val="en-US" w:eastAsia="zh-CN" w:bidi="ar"/>
              </w:rPr>
              <w:t>装载</w:t>
            </w:r>
            <w:r>
              <w:rPr>
                <w:rFonts w:hint="default" w:ascii="Times New Roman" w:hAnsi="Times New Roman" w:eastAsia="宋体" w:cs="Times New Roman"/>
                <w:color w:val="auto"/>
                <w:kern w:val="0"/>
                <w:sz w:val="24"/>
                <w:szCs w:val="24"/>
                <w:lang w:val="en-US" w:eastAsia="zh-CN" w:bidi="ar"/>
              </w:rPr>
              <w:t xml:space="preserve">等密闭方式输送；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（5）</w:t>
            </w:r>
            <w:r>
              <w:rPr>
                <w:rFonts w:hint="eastAsia" w:cs="Times New Roman"/>
                <w:color w:val="auto"/>
                <w:kern w:val="0"/>
                <w:sz w:val="24"/>
                <w:szCs w:val="24"/>
                <w:lang w:val="en-US" w:eastAsia="zh-CN" w:bidi="ar"/>
              </w:rPr>
              <w:t>原</w:t>
            </w:r>
            <w:r>
              <w:rPr>
                <w:rFonts w:hint="default" w:ascii="Times New Roman" w:hAnsi="Times New Roman" w:eastAsia="宋体" w:cs="Times New Roman"/>
                <w:color w:val="auto"/>
                <w:kern w:val="0"/>
                <w:sz w:val="24"/>
                <w:szCs w:val="24"/>
                <w:lang w:val="en-US" w:eastAsia="zh-CN" w:bidi="ar"/>
              </w:rPr>
              <w:t>砂等粒状、</w:t>
            </w:r>
            <w:r>
              <w:rPr>
                <w:rFonts w:hint="eastAsia" w:ascii="Times New Roman" w:hAnsi="Times New Roman" w:eastAsia="宋体" w:cs="Times New Roman"/>
                <w:color w:val="auto"/>
                <w:kern w:val="0"/>
                <w:sz w:val="24"/>
                <w:szCs w:val="24"/>
                <w:lang w:val="en-US" w:eastAsia="zh-CN" w:bidi="ar"/>
              </w:rPr>
              <w:t>黄铜、铜棒、铝合金锭</w:t>
            </w:r>
            <w:r>
              <w:rPr>
                <w:rFonts w:hint="default" w:ascii="Times New Roman" w:hAnsi="Times New Roman" w:eastAsia="宋体" w:cs="Times New Roman"/>
                <w:color w:val="auto"/>
                <w:kern w:val="0"/>
                <w:sz w:val="24"/>
                <w:szCs w:val="24"/>
                <w:lang w:val="en-US" w:eastAsia="zh-CN" w:bidi="ar"/>
              </w:rPr>
              <w:t xml:space="preserve">等块状散装物料的运输车辆采用封闭车厢或苫盖严密。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 xml:space="preserve">（6）除尘器卸灰口采取密闭措施，除尘灰采取袋装、罐装等密闭方式收集、存放和运输，不会直接卸落到地面。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（7）项目粒料、</w:t>
            </w:r>
            <w:r>
              <w:rPr>
                <w:rFonts w:hint="eastAsia" w:ascii="Times New Roman" w:hAnsi="Times New Roman" w:eastAsia="宋体" w:cs="Times New Roman"/>
                <w:color w:val="auto"/>
                <w:kern w:val="0"/>
                <w:sz w:val="24"/>
                <w:szCs w:val="24"/>
                <w:lang w:val="en-US" w:eastAsia="zh-CN" w:bidi="ar"/>
              </w:rPr>
              <w:t>块状物料</w:t>
            </w:r>
            <w:r>
              <w:rPr>
                <w:rFonts w:hint="default" w:ascii="Times New Roman" w:hAnsi="Times New Roman" w:eastAsia="宋体" w:cs="Times New Roman"/>
                <w:color w:val="auto"/>
                <w:kern w:val="0"/>
                <w:sz w:val="24"/>
                <w:szCs w:val="24"/>
                <w:lang w:val="en-US" w:eastAsia="zh-CN" w:bidi="ar"/>
              </w:rPr>
              <w:t xml:space="preserve">均采用吨包装袋密封装盛转移，固定作业的产尘点采用集气罩收集，在不影响生产和安全的前提下，将尽量提高集气罩的密闭性；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 xml:space="preserve">（8）转移树脂、固化剂物料时，采用密闭容器输送。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通过以上废气控制措施，可有效降低项目生产过程中产生的废气对周边环境空气的影响。因此，采取上述环境空气治理措施是可行的。</w:t>
            </w:r>
          </w:p>
          <w:p>
            <w:pPr>
              <w:keepNext w:val="0"/>
              <w:keepLines w:val="0"/>
              <w:widowControl/>
              <w:suppressLineNumbers w:val="0"/>
              <w:spacing w:line="360" w:lineRule="auto"/>
              <w:jc w:val="left"/>
              <w:rPr>
                <w:rFonts w:hint="default" w:ascii="Times New Roman" w:hAnsi="Times New Roman" w:eastAsia="宋体" w:cs="Times New Roman"/>
                <w:color w:val="0000FF"/>
                <w:sz w:val="24"/>
                <w:szCs w:val="24"/>
              </w:rPr>
            </w:pPr>
            <w:r>
              <w:rPr>
                <w:rFonts w:hint="default" w:ascii="Times New Roman" w:hAnsi="Times New Roman" w:eastAsia="宋体" w:cs="Times New Roman"/>
                <w:b/>
                <w:bCs/>
                <w:color w:val="0000FF"/>
                <w:kern w:val="2"/>
                <w:sz w:val="24"/>
                <w:szCs w:val="24"/>
                <w:highlight w:val="none"/>
                <w:lang w:val="en-US" w:eastAsia="zh-CN" w:bidi="ar-SA"/>
              </w:rPr>
              <w:t>4.2.1.5</w:t>
            </w:r>
            <w:r>
              <w:rPr>
                <w:rFonts w:hint="default" w:ascii="Times New Roman" w:hAnsi="Times New Roman" w:eastAsia="宋体" w:cs="Times New Roman"/>
                <w:b/>
                <w:bCs/>
                <w:color w:val="0000FF"/>
                <w:kern w:val="0"/>
                <w:sz w:val="24"/>
                <w:szCs w:val="24"/>
                <w:lang w:val="en-US" w:eastAsia="zh-CN" w:bidi="ar"/>
              </w:rPr>
              <w:t xml:space="preserve">大气环境影响分析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FF"/>
                <w:kern w:val="0"/>
                <w:sz w:val="24"/>
                <w:szCs w:val="24"/>
                <w:highlight w:val="none"/>
                <w:lang w:val="en-US" w:eastAsia="zh-CN" w:bidi="ar"/>
              </w:rPr>
            </w:pPr>
            <w:r>
              <w:rPr>
                <w:rFonts w:hint="default" w:ascii="Times New Roman" w:hAnsi="Times New Roman" w:eastAsia="宋体" w:cs="Times New Roman"/>
                <w:color w:val="0000FF"/>
                <w:kern w:val="0"/>
                <w:sz w:val="24"/>
                <w:szCs w:val="24"/>
                <w:highlight w:val="none"/>
                <w:lang w:val="en-US" w:eastAsia="zh-CN" w:bidi="ar"/>
              </w:rPr>
              <w:t>项目生产加工废气主要为搅砂制芯、熔化、浇注、落砂、抛丸、抛光、锻造、压铸、注塑、喷漆烘干、压合封边、开料磨光机加工、焊接废气，熔化、浇注废气经各自处理设施处理后通过排气筒DA001排放，搅砂及制芯废气经处理设施处理后通过排气筒DA002排放，落砂、压铸、锻造废气经各自处理设施处理后通过排气筒DA003排放，抛光、抛丸经各自处理设施处理后通过排气筒DA004排放，注塑废气经处理设施处理后通过排气筒DA005排放，喷漆、烘干、压合、封边、开料、磨光、</w:t>
            </w:r>
            <w:r>
              <w:rPr>
                <w:rFonts w:hint="eastAsia" w:cs="Times New Roman"/>
                <w:color w:val="0000FF"/>
                <w:kern w:val="0"/>
                <w:sz w:val="24"/>
                <w:szCs w:val="24"/>
                <w:highlight w:val="none"/>
                <w:lang w:val="en-US" w:eastAsia="zh-CN" w:bidi="ar"/>
              </w:rPr>
              <w:t>木</w:t>
            </w:r>
            <w:r>
              <w:rPr>
                <w:rFonts w:hint="default" w:ascii="Times New Roman" w:hAnsi="Times New Roman" w:eastAsia="宋体" w:cs="Times New Roman"/>
                <w:color w:val="0000FF"/>
                <w:kern w:val="0"/>
                <w:sz w:val="24"/>
                <w:szCs w:val="24"/>
                <w:highlight w:val="none"/>
                <w:lang w:val="en-US" w:eastAsia="zh-CN" w:bidi="ar"/>
              </w:rPr>
              <w:t>机加工废气经各自处理设施处理后通过排气筒DA00</w:t>
            </w:r>
            <w:r>
              <w:rPr>
                <w:rFonts w:hint="eastAsia" w:ascii="Times New Roman" w:hAnsi="Times New Roman" w:eastAsia="宋体" w:cs="Times New Roman"/>
                <w:color w:val="0000FF"/>
                <w:kern w:val="0"/>
                <w:sz w:val="24"/>
                <w:szCs w:val="24"/>
                <w:highlight w:val="none"/>
                <w:lang w:val="en-US" w:eastAsia="zh-CN" w:bidi="ar"/>
              </w:rPr>
              <w:t>6</w:t>
            </w:r>
            <w:r>
              <w:rPr>
                <w:rFonts w:hint="default" w:ascii="Times New Roman" w:hAnsi="Times New Roman" w:eastAsia="宋体" w:cs="Times New Roman"/>
                <w:color w:val="0000FF"/>
                <w:kern w:val="0"/>
                <w:sz w:val="24"/>
                <w:szCs w:val="24"/>
                <w:highlight w:val="none"/>
                <w:lang w:val="en-US" w:eastAsia="zh-CN" w:bidi="ar"/>
              </w:rPr>
              <w:t>排放，未经收集的</w:t>
            </w:r>
            <w:r>
              <w:rPr>
                <w:rFonts w:hint="default" w:ascii="Times New Roman" w:hAnsi="Times New Roman" w:eastAsia="宋体" w:cs="Times New Roman"/>
                <w:color w:val="0000FF"/>
                <w:kern w:val="0"/>
                <w:sz w:val="24"/>
                <w:szCs w:val="24"/>
                <w:highlight w:val="none"/>
                <w:lang w:val="en-US" w:eastAsia="zh-CN"/>
              </w:rPr>
              <w:t>无组织废气主要是</w:t>
            </w:r>
            <w:r>
              <w:rPr>
                <w:rFonts w:hint="default" w:ascii="Times New Roman" w:hAnsi="Times New Roman" w:eastAsia="宋体" w:cs="Times New Roman"/>
                <w:color w:val="0000FF"/>
                <w:kern w:val="0"/>
                <w:sz w:val="24"/>
                <w:szCs w:val="24"/>
                <w:highlight w:val="none"/>
                <w:lang w:val="en-US" w:eastAsia="zh-CN" w:bidi="ar"/>
              </w:rPr>
              <w:t>生产过程中未收集到的颗粒物、非甲烷总烃。</w:t>
            </w:r>
          </w:p>
          <w:p>
            <w:pPr>
              <w:adjustRightInd w:val="0"/>
              <w:spacing w:line="360" w:lineRule="auto"/>
              <w:ind w:firstLine="48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0000FF"/>
                <w:sz w:val="24"/>
                <w:szCs w:val="24"/>
              </w:rPr>
              <w:t>根据《环境影响评价导则 大气环境》（HJ2.2-2018）</w:t>
            </w:r>
            <w:r>
              <w:rPr>
                <w:rFonts w:hint="eastAsia"/>
                <w:color w:val="0000FF"/>
                <w:sz w:val="24"/>
                <w:szCs w:val="24"/>
                <w:lang w:val="en-US" w:eastAsia="zh-CN"/>
              </w:rPr>
              <w:t>利用</w:t>
            </w:r>
            <w:r>
              <w:rPr>
                <w:color w:val="0000FF"/>
                <w:sz w:val="24"/>
                <w:szCs w:val="24"/>
              </w:rPr>
              <w:t>AERSCREEN</w:t>
            </w:r>
            <w:r>
              <w:rPr>
                <w:rFonts w:hint="eastAsia"/>
                <w:color w:val="0000FF"/>
                <w:sz w:val="24"/>
                <w:szCs w:val="24"/>
              </w:rPr>
              <w:t>估算模型</w:t>
            </w:r>
            <w:r>
              <w:rPr>
                <w:rFonts w:hint="eastAsia"/>
                <w:color w:val="0000FF"/>
                <w:sz w:val="24"/>
                <w:szCs w:val="24"/>
                <w:lang w:val="en-US" w:eastAsia="zh-CN"/>
              </w:rPr>
              <w:t>对项目废气进行估算</w:t>
            </w:r>
            <w:r>
              <w:rPr>
                <w:rFonts w:hint="default" w:ascii="Times New Roman" w:hAnsi="Times New Roman" w:eastAsia="宋体" w:cs="Times New Roman"/>
                <w:color w:val="0000FF"/>
                <w:sz w:val="24"/>
                <w:szCs w:val="24"/>
              </w:rPr>
              <w:t>，本评价选取颗粒物（PM</w:t>
            </w:r>
            <w:r>
              <w:rPr>
                <w:rFonts w:hint="default" w:ascii="Times New Roman" w:hAnsi="Times New Roman" w:eastAsia="宋体" w:cs="Times New Roman"/>
                <w:color w:val="0000FF"/>
                <w:sz w:val="24"/>
                <w:szCs w:val="24"/>
                <w:vertAlign w:val="subscript"/>
              </w:rPr>
              <w:t>10</w:t>
            </w:r>
            <w:r>
              <w:rPr>
                <w:rFonts w:hint="default" w:ascii="Times New Roman" w:hAnsi="Times New Roman" w:eastAsia="宋体" w:cs="Times New Roman"/>
                <w:color w:val="0000FF"/>
                <w:sz w:val="24"/>
                <w:szCs w:val="24"/>
              </w:rPr>
              <w:t>）、非甲烷总烃主要污染物，</w:t>
            </w:r>
            <w:r>
              <w:rPr>
                <w:rFonts w:hint="eastAsia" w:cs="Times New Roman"/>
                <w:color w:val="0000FF"/>
                <w:sz w:val="24"/>
                <w:szCs w:val="24"/>
                <w:lang w:val="en-US" w:eastAsia="zh-CN"/>
              </w:rPr>
              <w:t>评价因子、标准</w:t>
            </w:r>
            <w:r>
              <w:rPr>
                <w:rFonts w:hint="default" w:ascii="Times New Roman" w:hAnsi="Times New Roman" w:eastAsia="宋体" w:cs="Times New Roman"/>
                <w:color w:val="0000FF"/>
                <w:sz w:val="24"/>
                <w:szCs w:val="24"/>
              </w:rPr>
              <w:t>见表4.2-</w:t>
            </w:r>
            <w:r>
              <w:rPr>
                <w:rFonts w:hint="eastAsia" w:ascii="Times New Roman" w:hAnsi="Times New Roman" w:eastAsia="宋体" w:cs="Times New Roman"/>
                <w:color w:val="0000FF"/>
                <w:sz w:val="24"/>
                <w:szCs w:val="24"/>
                <w:lang w:val="en-US" w:eastAsia="zh-CN"/>
              </w:rPr>
              <w:t>8</w:t>
            </w:r>
            <w:r>
              <w:rPr>
                <w:rFonts w:hint="default" w:ascii="Times New Roman" w:hAnsi="Times New Roman" w:eastAsia="宋体" w:cs="Times New Roman"/>
                <w:color w:val="0000FF"/>
                <w:sz w:val="24"/>
                <w:szCs w:val="24"/>
              </w:rPr>
              <w:t>，估算模型参数见表4.2-</w:t>
            </w:r>
            <w:r>
              <w:rPr>
                <w:rFonts w:hint="eastAsia" w:ascii="Times New Roman" w:hAnsi="Times New Roman" w:eastAsia="宋体" w:cs="Times New Roman"/>
                <w:color w:val="0000FF"/>
                <w:sz w:val="24"/>
                <w:szCs w:val="24"/>
                <w:lang w:val="en-US" w:eastAsia="zh-CN"/>
              </w:rPr>
              <w:t>9</w:t>
            </w:r>
            <w:r>
              <w:rPr>
                <w:rFonts w:hint="default" w:ascii="Times New Roman" w:hAnsi="Times New Roman" w:eastAsia="宋体" w:cs="Times New Roman"/>
                <w:color w:val="0000FF"/>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黑体" w:cs="Times New Roman"/>
                <w:color w:val="0000FF"/>
                <w:szCs w:val="24"/>
              </w:rPr>
            </w:pPr>
            <w:r>
              <w:rPr>
                <w:rFonts w:hint="default" w:ascii="Times New Roman" w:hAnsi="Times New Roman" w:eastAsia="宋体" w:cs="Times New Roman"/>
                <w:b/>
                <w:bCs/>
                <w:color w:val="0000FF"/>
                <w:kern w:val="0"/>
                <w:sz w:val="24"/>
                <w:szCs w:val="24"/>
                <w:highlight w:val="none"/>
                <w:lang w:val="en-US" w:eastAsia="zh-CN" w:bidi="ar"/>
              </w:rPr>
              <w:t>表4.2-</w:t>
            </w:r>
            <w:r>
              <w:rPr>
                <w:rFonts w:hint="default" w:ascii="Times New Roman" w:hAnsi="Times New Roman" w:cs="Times New Roman"/>
                <w:b/>
                <w:bCs/>
                <w:color w:val="0000FF"/>
                <w:kern w:val="0"/>
                <w:sz w:val="24"/>
                <w:szCs w:val="24"/>
                <w:highlight w:val="none"/>
                <w:lang w:val="en-US" w:eastAsia="zh-CN" w:bidi="ar"/>
              </w:rPr>
              <w:t>8</w:t>
            </w:r>
            <w:r>
              <w:rPr>
                <w:rFonts w:hint="default" w:ascii="Times New Roman" w:hAnsi="Times New Roman" w:eastAsia="宋体" w:cs="Times New Roman"/>
                <w:b/>
                <w:bCs/>
                <w:color w:val="0000FF"/>
                <w:kern w:val="0"/>
                <w:sz w:val="24"/>
                <w:szCs w:val="24"/>
                <w:highlight w:val="none"/>
                <w:lang w:val="en-US" w:eastAsia="zh-CN" w:bidi="ar"/>
              </w:rPr>
              <w:t xml:space="preserve">  评价因子和评价标准表</w:t>
            </w:r>
          </w:p>
          <w:tbl>
            <w:tblPr>
              <w:tblStyle w:val="28"/>
              <w:tblW w:w="843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65"/>
              <w:gridCol w:w="990"/>
              <w:gridCol w:w="1733"/>
              <w:gridCol w:w="42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exact"/>
                <w:jc w:val="center"/>
              </w:trPr>
              <w:tc>
                <w:tcPr>
                  <w:tcW w:w="1465" w:type="dxa"/>
                  <w:tcBorders>
                    <w:top w:val="single" w:color="auto" w:sz="12" w:space="0"/>
                    <w:left w:val="nil"/>
                    <w:bottom w:val="single" w:color="auto" w:sz="4" w:space="0"/>
                    <w:right w:val="single" w:color="auto" w:sz="4" w:space="0"/>
                  </w:tcBorders>
                  <w:noWrap w:val="0"/>
                  <w:vAlign w:val="center"/>
                </w:tcPr>
                <w:p>
                  <w:pPr>
                    <w:widowControl w:val="0"/>
                    <w:autoSpaceDE w:val="0"/>
                    <w:autoSpaceDN w:val="0"/>
                    <w:adjustRightInd w:val="0"/>
                    <w:spacing w:line="240" w:lineRule="auto"/>
                    <w:ind w:firstLine="0" w:firstLineChars="0"/>
                    <w:jc w:val="center"/>
                    <w:rPr>
                      <w:bCs/>
                      <w:color w:val="0000FF"/>
                      <w:sz w:val="21"/>
                      <w:szCs w:val="21"/>
                    </w:rPr>
                  </w:pPr>
                  <w:r>
                    <w:rPr>
                      <w:rFonts w:hint="eastAsia"/>
                      <w:bCs/>
                      <w:color w:val="0000FF"/>
                      <w:sz w:val="21"/>
                      <w:szCs w:val="21"/>
                    </w:rPr>
                    <w:t>评价因子</w:t>
                  </w:r>
                </w:p>
              </w:tc>
              <w:tc>
                <w:tcPr>
                  <w:tcW w:w="990" w:type="dxa"/>
                  <w:tcBorders>
                    <w:top w:val="single" w:color="auto" w:sz="12" w:space="0"/>
                    <w:left w:val="single" w:color="auto" w:sz="4" w:space="0"/>
                    <w:bottom w:val="single" w:color="auto" w:sz="4" w:space="0"/>
                    <w:right w:val="single" w:color="auto" w:sz="4" w:space="0"/>
                  </w:tcBorders>
                  <w:noWrap w:val="0"/>
                  <w:vAlign w:val="center"/>
                </w:tcPr>
                <w:p>
                  <w:pPr>
                    <w:widowControl w:val="0"/>
                    <w:autoSpaceDE w:val="0"/>
                    <w:autoSpaceDN w:val="0"/>
                    <w:adjustRightInd w:val="0"/>
                    <w:spacing w:line="240" w:lineRule="auto"/>
                    <w:ind w:firstLine="0" w:firstLineChars="0"/>
                    <w:jc w:val="center"/>
                    <w:rPr>
                      <w:bCs/>
                      <w:color w:val="0000FF"/>
                      <w:sz w:val="21"/>
                      <w:szCs w:val="21"/>
                    </w:rPr>
                  </w:pPr>
                  <w:r>
                    <w:rPr>
                      <w:rFonts w:hint="eastAsia"/>
                      <w:bCs/>
                      <w:color w:val="0000FF"/>
                      <w:sz w:val="21"/>
                      <w:szCs w:val="21"/>
                    </w:rPr>
                    <w:t>平均时段</w:t>
                  </w:r>
                </w:p>
              </w:tc>
              <w:tc>
                <w:tcPr>
                  <w:tcW w:w="1733" w:type="dxa"/>
                  <w:tcBorders>
                    <w:top w:val="single" w:color="auto" w:sz="12" w:space="0"/>
                    <w:left w:val="single" w:color="auto" w:sz="4" w:space="0"/>
                    <w:bottom w:val="single" w:color="auto" w:sz="4" w:space="0"/>
                    <w:right w:val="single" w:color="auto" w:sz="4" w:space="0"/>
                  </w:tcBorders>
                  <w:noWrap w:val="0"/>
                  <w:vAlign w:val="center"/>
                </w:tcPr>
                <w:p>
                  <w:pPr>
                    <w:widowControl w:val="0"/>
                    <w:autoSpaceDE w:val="0"/>
                    <w:autoSpaceDN w:val="0"/>
                    <w:adjustRightInd w:val="0"/>
                    <w:spacing w:line="240" w:lineRule="auto"/>
                    <w:ind w:firstLine="0" w:firstLineChars="0"/>
                    <w:jc w:val="center"/>
                    <w:rPr>
                      <w:bCs/>
                      <w:color w:val="0000FF"/>
                      <w:sz w:val="21"/>
                      <w:szCs w:val="21"/>
                    </w:rPr>
                  </w:pPr>
                  <w:r>
                    <w:rPr>
                      <w:rFonts w:hint="eastAsia"/>
                      <w:bCs/>
                      <w:color w:val="0000FF"/>
                      <w:sz w:val="21"/>
                      <w:szCs w:val="21"/>
                    </w:rPr>
                    <w:t>标准值</w:t>
                  </w:r>
                </w:p>
              </w:tc>
              <w:tc>
                <w:tcPr>
                  <w:tcW w:w="4251" w:type="dxa"/>
                  <w:tcBorders>
                    <w:top w:val="single" w:color="auto" w:sz="12" w:space="0"/>
                    <w:left w:val="single" w:color="auto" w:sz="4" w:space="0"/>
                    <w:bottom w:val="single" w:color="auto" w:sz="4" w:space="0"/>
                    <w:right w:val="nil"/>
                  </w:tcBorders>
                  <w:noWrap w:val="0"/>
                  <w:vAlign w:val="center"/>
                </w:tcPr>
                <w:p>
                  <w:pPr>
                    <w:widowControl w:val="0"/>
                    <w:autoSpaceDE w:val="0"/>
                    <w:autoSpaceDN w:val="0"/>
                    <w:adjustRightInd w:val="0"/>
                    <w:spacing w:line="240" w:lineRule="auto"/>
                    <w:ind w:firstLine="0" w:firstLineChars="0"/>
                    <w:jc w:val="center"/>
                    <w:rPr>
                      <w:bCs/>
                      <w:color w:val="0000FF"/>
                      <w:sz w:val="21"/>
                      <w:szCs w:val="21"/>
                    </w:rPr>
                  </w:pPr>
                  <w:r>
                    <w:rPr>
                      <w:rFonts w:hint="eastAsia"/>
                      <w:bCs/>
                      <w:color w:val="0000FF"/>
                      <w:sz w:val="21"/>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exact"/>
                <w:jc w:val="center"/>
              </w:trPr>
              <w:tc>
                <w:tcPr>
                  <w:tcW w:w="1465" w:type="dxa"/>
                  <w:tcBorders>
                    <w:top w:val="single" w:color="auto" w:sz="4" w:space="0"/>
                    <w:left w:val="nil"/>
                    <w:bottom w:val="single" w:color="auto" w:sz="4" w:space="0"/>
                    <w:right w:val="single" w:color="auto" w:sz="4" w:space="0"/>
                  </w:tcBorders>
                  <w:noWrap w:val="0"/>
                  <w:vAlign w:val="center"/>
                </w:tcPr>
                <w:p>
                  <w:pPr>
                    <w:widowControl w:val="0"/>
                    <w:spacing w:line="240" w:lineRule="auto"/>
                    <w:ind w:firstLine="0" w:firstLineChars="0"/>
                    <w:jc w:val="center"/>
                    <w:rPr>
                      <w:color w:val="0000FF"/>
                      <w:sz w:val="21"/>
                      <w:szCs w:val="21"/>
                    </w:rPr>
                  </w:pPr>
                  <w:r>
                    <w:rPr>
                      <w:rFonts w:hint="eastAsia"/>
                      <w:color w:val="0000FF"/>
                      <w:sz w:val="21"/>
                      <w:szCs w:val="21"/>
                    </w:rPr>
                    <w:t>非甲烷总烃</w:t>
                  </w:r>
                </w:p>
              </w:tc>
              <w:tc>
                <w:tcPr>
                  <w:tcW w:w="990"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pacing w:line="240" w:lineRule="auto"/>
                    <w:ind w:firstLine="0" w:firstLineChars="0"/>
                    <w:jc w:val="center"/>
                    <w:rPr>
                      <w:color w:val="0000FF"/>
                      <w:sz w:val="21"/>
                      <w:szCs w:val="21"/>
                    </w:rPr>
                  </w:pPr>
                  <w:r>
                    <w:rPr>
                      <w:color w:val="0000FF"/>
                      <w:sz w:val="21"/>
                      <w:szCs w:val="21"/>
                    </w:rPr>
                    <w:t>1h</w:t>
                  </w:r>
                </w:p>
              </w:tc>
              <w:tc>
                <w:tcPr>
                  <w:tcW w:w="1733" w:type="dxa"/>
                  <w:tcBorders>
                    <w:top w:val="single" w:color="auto" w:sz="4" w:space="0"/>
                    <w:left w:val="single" w:color="auto" w:sz="4" w:space="0"/>
                    <w:bottom w:val="single" w:color="auto" w:sz="4" w:space="0"/>
                    <w:right w:val="single" w:color="auto" w:sz="4" w:space="0"/>
                  </w:tcBorders>
                  <w:noWrap w:val="0"/>
                  <w:vAlign w:val="center"/>
                </w:tcPr>
                <w:p>
                  <w:pPr>
                    <w:widowControl w:val="0"/>
                    <w:spacing w:line="240" w:lineRule="auto"/>
                    <w:ind w:firstLine="0" w:firstLineChars="0"/>
                    <w:jc w:val="center"/>
                    <w:rPr>
                      <w:color w:val="0000FF"/>
                      <w:sz w:val="21"/>
                      <w:szCs w:val="21"/>
                    </w:rPr>
                  </w:pPr>
                  <w:r>
                    <w:rPr>
                      <w:color w:val="0000FF"/>
                      <w:sz w:val="21"/>
                      <w:szCs w:val="21"/>
                    </w:rPr>
                    <w:t>1.2mg/m</w:t>
                  </w:r>
                  <w:r>
                    <w:rPr>
                      <w:color w:val="0000FF"/>
                      <w:sz w:val="21"/>
                      <w:szCs w:val="21"/>
                      <w:vertAlign w:val="superscript"/>
                    </w:rPr>
                    <w:t>3</w:t>
                  </w:r>
                </w:p>
              </w:tc>
              <w:tc>
                <w:tcPr>
                  <w:tcW w:w="4251" w:type="dxa"/>
                  <w:tcBorders>
                    <w:top w:val="single" w:color="auto" w:sz="4" w:space="0"/>
                    <w:left w:val="single" w:color="auto" w:sz="4" w:space="0"/>
                    <w:right w:val="nil"/>
                  </w:tcBorders>
                  <w:noWrap w:val="0"/>
                  <w:vAlign w:val="center"/>
                </w:tcPr>
                <w:p>
                  <w:pPr>
                    <w:widowControl w:val="0"/>
                    <w:spacing w:line="240" w:lineRule="auto"/>
                    <w:ind w:firstLine="0" w:firstLineChars="0"/>
                    <w:jc w:val="center"/>
                    <w:rPr>
                      <w:color w:val="0000FF"/>
                      <w:sz w:val="21"/>
                      <w:szCs w:val="21"/>
                    </w:rPr>
                  </w:pPr>
                  <w:r>
                    <w:rPr>
                      <w:rFonts w:hint="eastAsia"/>
                      <w:color w:val="0000FF"/>
                      <w:sz w:val="21"/>
                      <w:szCs w:val="21"/>
                    </w:rPr>
                    <w:t>《环境影响评价技术导则</w:t>
                  </w:r>
                  <w:r>
                    <w:rPr>
                      <w:color w:val="0000FF"/>
                      <w:sz w:val="21"/>
                      <w:szCs w:val="21"/>
                    </w:rPr>
                    <w:t>-</w:t>
                  </w:r>
                  <w:r>
                    <w:rPr>
                      <w:rFonts w:hint="eastAsia"/>
                      <w:color w:val="0000FF"/>
                      <w:sz w:val="21"/>
                      <w:szCs w:val="21"/>
                    </w:rPr>
                    <w:t>大气环境》（</w:t>
                  </w:r>
                  <w:r>
                    <w:rPr>
                      <w:color w:val="0000FF"/>
                      <w:sz w:val="21"/>
                      <w:szCs w:val="21"/>
                    </w:rPr>
                    <w:t>HJ2.2-2018</w:t>
                  </w:r>
                  <w:r>
                    <w:rPr>
                      <w:rFonts w:hint="eastAsia"/>
                      <w:color w:val="0000FF"/>
                      <w:sz w:val="21"/>
                      <w:szCs w:val="21"/>
                    </w:rPr>
                    <w:t>）附录</w:t>
                  </w:r>
                  <w:r>
                    <w:rPr>
                      <w:color w:val="0000FF"/>
                      <w:sz w:val="21"/>
                      <w:szCs w:val="21"/>
                    </w:rP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1465" w:type="dxa"/>
                  <w:tcBorders>
                    <w:top w:val="single" w:color="auto" w:sz="4" w:space="0"/>
                    <w:left w:val="nil"/>
                    <w:bottom w:val="single" w:color="auto" w:sz="12" w:space="0"/>
                    <w:right w:val="single" w:color="auto" w:sz="4" w:space="0"/>
                  </w:tcBorders>
                  <w:noWrap w:val="0"/>
                  <w:vAlign w:val="center"/>
                </w:tcPr>
                <w:p>
                  <w:pPr>
                    <w:widowControl w:val="0"/>
                    <w:spacing w:line="240" w:lineRule="auto"/>
                    <w:ind w:firstLine="0" w:firstLineChars="0"/>
                    <w:jc w:val="center"/>
                    <w:rPr>
                      <w:rFonts w:hint="eastAsia"/>
                      <w:color w:val="0000FF"/>
                      <w:sz w:val="21"/>
                      <w:szCs w:val="21"/>
                    </w:rPr>
                  </w:pPr>
                  <w:r>
                    <w:rPr>
                      <w:color w:val="0000FF"/>
                      <w:sz w:val="21"/>
                      <w:szCs w:val="21"/>
                    </w:rPr>
                    <w:t>PM</w:t>
                  </w:r>
                  <w:r>
                    <w:rPr>
                      <w:color w:val="0000FF"/>
                      <w:sz w:val="21"/>
                      <w:szCs w:val="21"/>
                      <w:vertAlign w:val="subscript"/>
                    </w:rPr>
                    <w:t>10</w:t>
                  </w:r>
                </w:p>
              </w:tc>
              <w:tc>
                <w:tcPr>
                  <w:tcW w:w="990" w:type="dxa"/>
                  <w:tcBorders>
                    <w:top w:val="single" w:color="auto" w:sz="4" w:space="0"/>
                    <w:left w:val="single" w:color="auto" w:sz="4" w:space="0"/>
                    <w:bottom w:val="single" w:color="auto" w:sz="12" w:space="0"/>
                    <w:right w:val="single" w:color="auto" w:sz="4" w:space="0"/>
                  </w:tcBorders>
                  <w:noWrap w:val="0"/>
                  <w:vAlign w:val="center"/>
                </w:tcPr>
                <w:p>
                  <w:pPr>
                    <w:widowControl w:val="0"/>
                    <w:adjustRightInd w:val="0"/>
                    <w:spacing w:line="240" w:lineRule="auto"/>
                    <w:ind w:firstLine="0" w:firstLineChars="0"/>
                    <w:jc w:val="center"/>
                    <w:rPr>
                      <w:color w:val="0000FF"/>
                      <w:sz w:val="21"/>
                      <w:szCs w:val="21"/>
                    </w:rPr>
                  </w:pPr>
                  <w:r>
                    <w:rPr>
                      <w:color w:val="0000FF"/>
                      <w:sz w:val="21"/>
                      <w:szCs w:val="21"/>
                    </w:rPr>
                    <w:t>1h</w:t>
                  </w:r>
                </w:p>
              </w:tc>
              <w:tc>
                <w:tcPr>
                  <w:tcW w:w="1733" w:type="dxa"/>
                  <w:tcBorders>
                    <w:top w:val="single" w:color="auto" w:sz="4" w:space="0"/>
                    <w:left w:val="single" w:color="auto" w:sz="4" w:space="0"/>
                    <w:bottom w:val="single" w:color="auto" w:sz="12" w:space="0"/>
                    <w:right w:val="single" w:color="auto" w:sz="4" w:space="0"/>
                  </w:tcBorders>
                  <w:noWrap w:val="0"/>
                  <w:vAlign w:val="center"/>
                </w:tcPr>
                <w:p>
                  <w:pPr>
                    <w:widowControl w:val="0"/>
                    <w:spacing w:line="240" w:lineRule="auto"/>
                    <w:ind w:firstLine="0" w:firstLineChars="0"/>
                    <w:jc w:val="center"/>
                    <w:rPr>
                      <w:rFonts w:hint="eastAsia"/>
                      <w:color w:val="0000FF"/>
                      <w:sz w:val="21"/>
                      <w:szCs w:val="21"/>
                    </w:rPr>
                  </w:pPr>
                  <w:r>
                    <w:rPr>
                      <w:rFonts w:hint="eastAsia"/>
                      <w:color w:val="0000FF"/>
                      <w:sz w:val="21"/>
                      <w:szCs w:val="21"/>
                    </w:rPr>
                    <w:t>0.45</w:t>
                  </w:r>
                  <w:r>
                    <w:rPr>
                      <w:color w:val="0000FF"/>
                      <w:sz w:val="21"/>
                      <w:szCs w:val="21"/>
                    </w:rPr>
                    <w:t>mg/m</w:t>
                  </w:r>
                  <w:r>
                    <w:rPr>
                      <w:color w:val="0000FF"/>
                      <w:sz w:val="21"/>
                      <w:szCs w:val="21"/>
                      <w:vertAlign w:val="superscript"/>
                    </w:rPr>
                    <w:t>3</w:t>
                  </w:r>
                </w:p>
              </w:tc>
              <w:tc>
                <w:tcPr>
                  <w:tcW w:w="4251" w:type="dxa"/>
                  <w:tcBorders>
                    <w:top w:val="single" w:color="auto" w:sz="4" w:space="0"/>
                    <w:left w:val="single" w:color="auto" w:sz="4" w:space="0"/>
                    <w:bottom w:val="single" w:color="auto" w:sz="12" w:space="0"/>
                    <w:right w:val="nil"/>
                  </w:tcBorders>
                  <w:noWrap w:val="0"/>
                  <w:vAlign w:val="center"/>
                </w:tcPr>
                <w:p>
                  <w:pPr>
                    <w:widowControl w:val="0"/>
                    <w:spacing w:line="240" w:lineRule="auto"/>
                    <w:ind w:firstLine="0" w:firstLineChars="0"/>
                    <w:jc w:val="center"/>
                    <w:rPr>
                      <w:rFonts w:hint="eastAsia"/>
                      <w:color w:val="0000FF"/>
                      <w:sz w:val="21"/>
                      <w:szCs w:val="21"/>
                    </w:rPr>
                  </w:pPr>
                  <w:r>
                    <w:rPr>
                      <w:rFonts w:hint="eastAsia"/>
                      <w:color w:val="0000FF"/>
                      <w:sz w:val="21"/>
                      <w:szCs w:val="21"/>
                    </w:rPr>
                    <w:t>《环境空气质量标准》（</w:t>
                  </w:r>
                  <w:r>
                    <w:rPr>
                      <w:color w:val="0000FF"/>
                      <w:sz w:val="21"/>
                      <w:szCs w:val="21"/>
                    </w:rPr>
                    <w:t>GB3095-2012</w:t>
                  </w:r>
                  <w:r>
                    <w:rPr>
                      <w:rFonts w:hint="eastAsia"/>
                      <w:color w:val="0000FF"/>
                      <w:sz w:val="21"/>
                      <w:szCs w:val="21"/>
                    </w:rPr>
                    <w:t>）</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jc w:val="center"/>
              <w:textAlignment w:val="auto"/>
              <w:rPr>
                <w:rFonts w:hint="default" w:ascii="Times New Roman" w:hAnsi="Times New Roman" w:eastAsia="宋体" w:cs="Times New Roman"/>
                <w:b/>
                <w:bCs/>
                <w:color w:val="0000FF"/>
                <w:kern w:val="0"/>
                <w:sz w:val="24"/>
                <w:szCs w:val="24"/>
                <w:highlight w:val="none"/>
                <w:lang w:val="en-US" w:eastAsia="zh-CN" w:bidi="ar"/>
              </w:rPr>
            </w:pPr>
            <w:r>
              <w:rPr>
                <w:rFonts w:hint="eastAsia" w:ascii="Times New Roman" w:hAnsi="Times New Roman" w:eastAsia="宋体" w:cs="Times New Roman"/>
                <w:b/>
                <w:bCs/>
                <w:color w:val="0000FF"/>
                <w:kern w:val="0"/>
                <w:sz w:val="24"/>
                <w:szCs w:val="24"/>
                <w:highlight w:val="none"/>
                <w:lang w:val="en-US" w:eastAsia="zh-CN" w:bidi="ar"/>
              </w:rPr>
              <w:t>表4</w:t>
            </w:r>
            <w:r>
              <w:rPr>
                <w:rFonts w:hint="default" w:ascii="Times New Roman" w:hAnsi="Times New Roman" w:eastAsia="宋体" w:cs="Times New Roman"/>
                <w:b/>
                <w:bCs/>
                <w:color w:val="0000FF"/>
                <w:kern w:val="0"/>
                <w:sz w:val="24"/>
                <w:szCs w:val="24"/>
                <w:highlight w:val="none"/>
                <w:lang w:val="en-US" w:eastAsia="zh-CN" w:bidi="ar"/>
              </w:rPr>
              <w:t>.2-</w:t>
            </w:r>
            <w:r>
              <w:rPr>
                <w:rFonts w:hint="eastAsia" w:ascii="Times New Roman" w:hAnsi="Times New Roman" w:cs="Times New Roman"/>
                <w:b/>
                <w:bCs/>
                <w:color w:val="0000FF"/>
                <w:kern w:val="0"/>
                <w:sz w:val="24"/>
                <w:szCs w:val="24"/>
                <w:highlight w:val="none"/>
                <w:lang w:val="en-US" w:eastAsia="zh-CN" w:bidi="ar"/>
              </w:rPr>
              <w:t>9</w:t>
            </w:r>
            <w:r>
              <w:rPr>
                <w:rFonts w:hint="default" w:ascii="Times New Roman" w:hAnsi="Times New Roman" w:eastAsia="宋体" w:cs="Times New Roman"/>
                <w:b/>
                <w:bCs/>
                <w:color w:val="0000FF"/>
                <w:kern w:val="0"/>
                <w:sz w:val="24"/>
                <w:szCs w:val="24"/>
                <w:highlight w:val="none"/>
                <w:lang w:val="en-US" w:eastAsia="zh-CN" w:bidi="ar"/>
              </w:rPr>
              <w:t xml:space="preserve">  </w:t>
            </w:r>
            <w:r>
              <w:rPr>
                <w:rFonts w:hint="eastAsia" w:ascii="Times New Roman" w:hAnsi="Times New Roman" w:eastAsia="宋体" w:cs="Times New Roman"/>
                <w:b/>
                <w:bCs/>
                <w:color w:val="0000FF"/>
                <w:kern w:val="0"/>
                <w:sz w:val="24"/>
                <w:szCs w:val="24"/>
                <w:highlight w:val="none"/>
                <w:lang w:val="en-US" w:eastAsia="zh-CN" w:bidi="ar"/>
              </w:rPr>
              <w:t>估算模型参数表</w:t>
            </w:r>
          </w:p>
          <w:tbl>
            <w:tblPr>
              <w:tblStyle w:val="28"/>
              <w:tblW w:w="841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56"/>
              <w:gridCol w:w="2535"/>
              <w:gridCol w:w="37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exact"/>
                <w:jc w:val="center"/>
              </w:trPr>
              <w:tc>
                <w:tcPr>
                  <w:tcW w:w="4691" w:type="dxa"/>
                  <w:gridSpan w:val="2"/>
                  <w:tcBorders>
                    <w:top w:val="single" w:color="auto" w:sz="12" w:space="0"/>
                    <w:left w:val="nil"/>
                    <w:bottom w:val="single" w:color="auto" w:sz="4" w:space="0"/>
                    <w:right w:val="single" w:color="auto" w:sz="4" w:space="0"/>
                  </w:tcBorders>
                  <w:noWrap w:val="0"/>
                  <w:vAlign w:val="center"/>
                </w:tcPr>
                <w:p>
                  <w:pPr>
                    <w:widowControl w:val="0"/>
                    <w:adjustRightInd w:val="0"/>
                    <w:spacing w:line="240" w:lineRule="auto"/>
                    <w:ind w:firstLine="0" w:firstLineChars="0"/>
                    <w:jc w:val="center"/>
                    <w:rPr>
                      <w:color w:val="0000FF"/>
                      <w:sz w:val="21"/>
                      <w:szCs w:val="21"/>
                    </w:rPr>
                  </w:pPr>
                  <w:r>
                    <w:rPr>
                      <w:rFonts w:hint="eastAsia"/>
                      <w:color w:val="0000FF"/>
                      <w:sz w:val="21"/>
                      <w:szCs w:val="21"/>
                    </w:rPr>
                    <w:t>参数</w:t>
                  </w:r>
                </w:p>
              </w:tc>
              <w:tc>
                <w:tcPr>
                  <w:tcW w:w="3728" w:type="dxa"/>
                  <w:tcBorders>
                    <w:top w:val="single" w:color="auto" w:sz="12" w:space="0"/>
                    <w:left w:val="single" w:color="auto" w:sz="4" w:space="0"/>
                    <w:bottom w:val="single" w:color="auto" w:sz="4" w:space="0"/>
                    <w:right w:val="nil"/>
                  </w:tcBorders>
                  <w:noWrap w:val="0"/>
                  <w:vAlign w:val="center"/>
                </w:tcPr>
                <w:p>
                  <w:pPr>
                    <w:widowControl w:val="0"/>
                    <w:adjustRightInd w:val="0"/>
                    <w:spacing w:line="240" w:lineRule="auto"/>
                    <w:ind w:firstLine="0" w:firstLineChars="0"/>
                    <w:jc w:val="center"/>
                    <w:rPr>
                      <w:color w:val="0000FF"/>
                      <w:sz w:val="21"/>
                      <w:szCs w:val="21"/>
                    </w:rPr>
                  </w:pPr>
                  <w:r>
                    <w:rPr>
                      <w:rFonts w:hint="eastAsia"/>
                      <w:color w:val="0000FF"/>
                      <w:sz w:val="21"/>
                      <w:szCs w:val="21"/>
                    </w:rPr>
                    <w:t>取值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exact"/>
                <w:jc w:val="center"/>
              </w:trPr>
              <w:tc>
                <w:tcPr>
                  <w:tcW w:w="2156" w:type="dxa"/>
                  <w:vMerge w:val="restart"/>
                  <w:tcBorders>
                    <w:top w:val="single" w:color="auto" w:sz="4" w:space="0"/>
                    <w:left w:val="nil"/>
                    <w:bottom w:val="single" w:color="auto" w:sz="4" w:space="0"/>
                    <w:right w:val="single" w:color="auto" w:sz="4" w:space="0"/>
                  </w:tcBorders>
                  <w:noWrap w:val="0"/>
                  <w:vAlign w:val="center"/>
                </w:tcPr>
                <w:p>
                  <w:pPr>
                    <w:widowControl w:val="0"/>
                    <w:adjustRightInd w:val="0"/>
                    <w:spacing w:line="240" w:lineRule="auto"/>
                    <w:ind w:firstLine="0" w:firstLineChars="0"/>
                    <w:jc w:val="center"/>
                    <w:rPr>
                      <w:color w:val="0000FF"/>
                      <w:sz w:val="21"/>
                      <w:szCs w:val="21"/>
                    </w:rPr>
                  </w:pPr>
                  <w:r>
                    <w:rPr>
                      <w:rFonts w:hint="eastAsia"/>
                      <w:color w:val="0000FF"/>
                      <w:sz w:val="21"/>
                      <w:szCs w:val="21"/>
                    </w:rPr>
                    <w:t>城市农村</w:t>
                  </w:r>
                  <w:r>
                    <w:rPr>
                      <w:color w:val="0000FF"/>
                      <w:sz w:val="21"/>
                      <w:szCs w:val="21"/>
                    </w:rPr>
                    <w:t>/</w:t>
                  </w:r>
                  <w:r>
                    <w:rPr>
                      <w:rFonts w:hint="eastAsia"/>
                      <w:color w:val="0000FF"/>
                      <w:sz w:val="21"/>
                      <w:szCs w:val="21"/>
                    </w:rPr>
                    <w:t>选项</w:t>
                  </w:r>
                </w:p>
              </w:tc>
              <w:tc>
                <w:tcPr>
                  <w:tcW w:w="2535"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pacing w:line="240" w:lineRule="auto"/>
                    <w:ind w:firstLine="0" w:firstLineChars="0"/>
                    <w:jc w:val="center"/>
                    <w:rPr>
                      <w:color w:val="0000FF"/>
                      <w:sz w:val="21"/>
                      <w:szCs w:val="21"/>
                    </w:rPr>
                  </w:pPr>
                  <w:r>
                    <w:rPr>
                      <w:rFonts w:hint="eastAsia"/>
                      <w:color w:val="0000FF"/>
                      <w:sz w:val="21"/>
                      <w:szCs w:val="21"/>
                    </w:rPr>
                    <w:t>城市</w:t>
                  </w:r>
                  <w:r>
                    <w:rPr>
                      <w:color w:val="0000FF"/>
                      <w:sz w:val="21"/>
                      <w:szCs w:val="21"/>
                    </w:rPr>
                    <w:t>/</w:t>
                  </w:r>
                  <w:r>
                    <w:rPr>
                      <w:rFonts w:hint="eastAsia"/>
                      <w:color w:val="0000FF"/>
                      <w:sz w:val="21"/>
                      <w:szCs w:val="21"/>
                    </w:rPr>
                    <w:t>农村</w:t>
                  </w:r>
                </w:p>
              </w:tc>
              <w:tc>
                <w:tcPr>
                  <w:tcW w:w="3728" w:type="dxa"/>
                  <w:tcBorders>
                    <w:top w:val="single" w:color="auto" w:sz="4" w:space="0"/>
                    <w:left w:val="single" w:color="auto" w:sz="4" w:space="0"/>
                    <w:bottom w:val="single" w:color="auto" w:sz="4" w:space="0"/>
                    <w:right w:val="nil"/>
                  </w:tcBorders>
                  <w:noWrap w:val="0"/>
                  <w:vAlign w:val="center"/>
                </w:tcPr>
                <w:p>
                  <w:pPr>
                    <w:widowControl w:val="0"/>
                    <w:spacing w:line="240" w:lineRule="auto"/>
                    <w:ind w:firstLine="0" w:firstLineChars="0"/>
                    <w:jc w:val="center"/>
                    <w:rPr>
                      <w:color w:val="0000FF"/>
                      <w:sz w:val="21"/>
                      <w:szCs w:val="21"/>
                    </w:rPr>
                  </w:pPr>
                  <w:r>
                    <w:rPr>
                      <w:rFonts w:hint="eastAsia"/>
                      <w:color w:val="0000FF"/>
                      <w:sz w:val="21"/>
                      <w:szCs w:val="21"/>
                    </w:rPr>
                    <w:t>城市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exact"/>
                <w:jc w:val="center"/>
              </w:trPr>
              <w:tc>
                <w:tcPr>
                  <w:tcW w:w="2156" w:type="dxa"/>
                  <w:vMerge w:val="continue"/>
                  <w:tcBorders>
                    <w:top w:val="single" w:color="auto" w:sz="4" w:space="0"/>
                    <w:left w:val="nil"/>
                    <w:bottom w:val="single" w:color="auto" w:sz="4" w:space="0"/>
                    <w:right w:val="single" w:color="auto" w:sz="4" w:space="0"/>
                  </w:tcBorders>
                  <w:noWrap w:val="0"/>
                  <w:vAlign w:val="center"/>
                </w:tcPr>
                <w:p>
                  <w:pPr>
                    <w:widowControl w:val="0"/>
                    <w:adjustRightInd w:val="0"/>
                    <w:spacing w:line="240" w:lineRule="auto"/>
                    <w:ind w:firstLine="0" w:firstLineChars="0"/>
                    <w:jc w:val="center"/>
                    <w:rPr>
                      <w:color w:val="0000FF"/>
                      <w:sz w:val="21"/>
                      <w:szCs w:val="21"/>
                    </w:rPr>
                  </w:pPr>
                </w:p>
              </w:tc>
              <w:tc>
                <w:tcPr>
                  <w:tcW w:w="2535"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napToGrid w:val="0"/>
                    <w:spacing w:line="240" w:lineRule="auto"/>
                    <w:ind w:firstLine="0" w:firstLineChars="0"/>
                    <w:jc w:val="center"/>
                    <w:rPr>
                      <w:color w:val="0000FF"/>
                      <w:sz w:val="21"/>
                      <w:szCs w:val="21"/>
                    </w:rPr>
                  </w:pPr>
                  <w:r>
                    <w:rPr>
                      <w:rFonts w:hint="eastAsia"/>
                      <w:color w:val="0000FF"/>
                      <w:sz w:val="21"/>
                      <w:szCs w:val="21"/>
                    </w:rPr>
                    <w:t>人口数（城市人口数）</w:t>
                  </w:r>
                </w:p>
              </w:tc>
              <w:tc>
                <w:tcPr>
                  <w:tcW w:w="3728" w:type="dxa"/>
                  <w:tcBorders>
                    <w:top w:val="single" w:color="auto" w:sz="4" w:space="0"/>
                    <w:left w:val="single" w:color="auto" w:sz="4" w:space="0"/>
                    <w:bottom w:val="single" w:color="auto" w:sz="4" w:space="0"/>
                    <w:right w:val="nil"/>
                  </w:tcBorders>
                  <w:noWrap w:val="0"/>
                  <w:vAlign w:val="center"/>
                </w:tcPr>
                <w:p>
                  <w:pPr>
                    <w:pStyle w:val="96"/>
                    <w:adjustRightInd w:val="0"/>
                    <w:spacing w:line="240" w:lineRule="auto"/>
                    <w:ind w:firstLine="0" w:firstLineChars="0"/>
                    <w:jc w:val="center"/>
                    <w:rPr>
                      <w:rFonts w:eastAsia="宋体"/>
                      <w:color w:val="0000FF"/>
                      <w:kern w:val="0"/>
                      <w:sz w:val="21"/>
                      <w:szCs w:val="21"/>
                      <w:lang w:val="en-US" w:eastAsia="zh-CN"/>
                    </w:rPr>
                  </w:pPr>
                  <w:r>
                    <w:rPr>
                      <w:rFonts w:hint="eastAsia" w:eastAsia="宋体"/>
                      <w:color w:val="0000FF"/>
                      <w:kern w:val="0"/>
                      <w:sz w:val="21"/>
                      <w:szCs w:val="21"/>
                      <w:lang w:val="en-US" w:eastAsia="zh-CN"/>
                    </w:rPr>
                    <w:t>约166万人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exact"/>
                <w:jc w:val="center"/>
              </w:trPr>
              <w:tc>
                <w:tcPr>
                  <w:tcW w:w="4691" w:type="dxa"/>
                  <w:gridSpan w:val="2"/>
                  <w:tcBorders>
                    <w:top w:val="single" w:color="auto" w:sz="4" w:space="0"/>
                    <w:left w:val="nil"/>
                    <w:bottom w:val="single" w:color="auto" w:sz="4" w:space="0"/>
                    <w:right w:val="single" w:color="auto" w:sz="4" w:space="0"/>
                  </w:tcBorders>
                  <w:noWrap w:val="0"/>
                  <w:vAlign w:val="center"/>
                </w:tcPr>
                <w:p>
                  <w:pPr>
                    <w:widowControl w:val="0"/>
                    <w:adjustRightInd w:val="0"/>
                    <w:spacing w:line="240" w:lineRule="auto"/>
                    <w:ind w:firstLine="0" w:firstLineChars="0"/>
                    <w:jc w:val="center"/>
                    <w:rPr>
                      <w:color w:val="0000FF"/>
                      <w:sz w:val="21"/>
                      <w:szCs w:val="21"/>
                    </w:rPr>
                  </w:pPr>
                  <w:r>
                    <w:rPr>
                      <w:rFonts w:hint="eastAsia"/>
                      <w:color w:val="0000FF"/>
                      <w:sz w:val="21"/>
                      <w:szCs w:val="21"/>
                    </w:rPr>
                    <w:t>最高环境温度</w:t>
                  </w:r>
                </w:p>
              </w:tc>
              <w:tc>
                <w:tcPr>
                  <w:tcW w:w="3728" w:type="dxa"/>
                  <w:tcBorders>
                    <w:top w:val="single" w:color="auto" w:sz="4" w:space="0"/>
                    <w:left w:val="single" w:color="auto" w:sz="4" w:space="0"/>
                    <w:bottom w:val="single" w:color="auto" w:sz="4" w:space="0"/>
                    <w:right w:val="nil"/>
                  </w:tcBorders>
                  <w:noWrap w:val="0"/>
                  <w:vAlign w:val="center"/>
                </w:tcPr>
                <w:p>
                  <w:pPr>
                    <w:widowControl w:val="0"/>
                    <w:adjustRightInd w:val="0"/>
                    <w:spacing w:line="240" w:lineRule="auto"/>
                    <w:ind w:firstLine="0" w:firstLineChars="0"/>
                    <w:jc w:val="center"/>
                    <w:rPr>
                      <w:color w:val="0000FF"/>
                      <w:sz w:val="21"/>
                      <w:szCs w:val="21"/>
                    </w:rPr>
                  </w:pPr>
                  <w:r>
                    <w:rPr>
                      <w:color w:val="0000FF"/>
                      <w:sz w:val="21"/>
                      <w:szCs w:val="21"/>
                    </w:rPr>
                    <w:t>38.7°C</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exact"/>
                <w:jc w:val="center"/>
              </w:trPr>
              <w:tc>
                <w:tcPr>
                  <w:tcW w:w="4691" w:type="dxa"/>
                  <w:gridSpan w:val="2"/>
                  <w:tcBorders>
                    <w:top w:val="single" w:color="auto" w:sz="4" w:space="0"/>
                    <w:left w:val="nil"/>
                    <w:bottom w:val="single" w:color="auto" w:sz="4" w:space="0"/>
                    <w:right w:val="single" w:color="auto" w:sz="4" w:space="0"/>
                  </w:tcBorders>
                  <w:noWrap w:val="0"/>
                  <w:vAlign w:val="center"/>
                </w:tcPr>
                <w:p>
                  <w:pPr>
                    <w:widowControl w:val="0"/>
                    <w:adjustRightInd w:val="0"/>
                    <w:spacing w:line="240" w:lineRule="auto"/>
                    <w:ind w:firstLine="0" w:firstLineChars="0"/>
                    <w:jc w:val="center"/>
                    <w:rPr>
                      <w:color w:val="0000FF"/>
                      <w:sz w:val="21"/>
                      <w:szCs w:val="21"/>
                    </w:rPr>
                  </w:pPr>
                  <w:r>
                    <w:rPr>
                      <w:rFonts w:hint="eastAsia"/>
                      <w:color w:val="0000FF"/>
                      <w:sz w:val="21"/>
                      <w:szCs w:val="21"/>
                    </w:rPr>
                    <w:t>最低环境温度</w:t>
                  </w:r>
                </w:p>
              </w:tc>
              <w:tc>
                <w:tcPr>
                  <w:tcW w:w="3728" w:type="dxa"/>
                  <w:tcBorders>
                    <w:top w:val="single" w:color="auto" w:sz="4" w:space="0"/>
                    <w:left w:val="single" w:color="auto" w:sz="4" w:space="0"/>
                    <w:bottom w:val="single" w:color="auto" w:sz="4" w:space="0"/>
                    <w:right w:val="nil"/>
                  </w:tcBorders>
                  <w:noWrap w:val="0"/>
                  <w:vAlign w:val="center"/>
                </w:tcPr>
                <w:p>
                  <w:pPr>
                    <w:widowControl w:val="0"/>
                    <w:adjustRightInd w:val="0"/>
                    <w:spacing w:line="240" w:lineRule="auto"/>
                    <w:ind w:firstLine="0" w:firstLineChars="0"/>
                    <w:jc w:val="center"/>
                    <w:rPr>
                      <w:color w:val="0000FF"/>
                      <w:sz w:val="21"/>
                      <w:szCs w:val="21"/>
                    </w:rPr>
                  </w:pPr>
                  <w:r>
                    <w:rPr>
                      <w:rFonts w:hint="eastAsia"/>
                      <w:color w:val="0000FF"/>
                      <w:sz w:val="21"/>
                      <w:szCs w:val="21"/>
                    </w:rPr>
                    <w:t>5</w:t>
                  </w:r>
                  <w:r>
                    <w:rPr>
                      <w:color w:val="0000FF"/>
                      <w:sz w:val="21"/>
                      <w:szCs w:val="21"/>
                    </w:rPr>
                    <w:t>°C</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exact"/>
                <w:jc w:val="center"/>
              </w:trPr>
              <w:tc>
                <w:tcPr>
                  <w:tcW w:w="4691" w:type="dxa"/>
                  <w:gridSpan w:val="2"/>
                  <w:tcBorders>
                    <w:top w:val="single" w:color="auto" w:sz="4" w:space="0"/>
                    <w:left w:val="nil"/>
                    <w:bottom w:val="single" w:color="auto" w:sz="4" w:space="0"/>
                    <w:right w:val="single" w:color="auto" w:sz="4" w:space="0"/>
                  </w:tcBorders>
                  <w:noWrap w:val="0"/>
                  <w:vAlign w:val="center"/>
                </w:tcPr>
                <w:p>
                  <w:pPr>
                    <w:widowControl w:val="0"/>
                    <w:adjustRightInd w:val="0"/>
                    <w:spacing w:line="240" w:lineRule="auto"/>
                    <w:ind w:firstLine="0" w:firstLineChars="0"/>
                    <w:jc w:val="center"/>
                    <w:rPr>
                      <w:color w:val="0000FF"/>
                      <w:sz w:val="21"/>
                      <w:szCs w:val="21"/>
                    </w:rPr>
                  </w:pPr>
                  <w:r>
                    <w:rPr>
                      <w:rFonts w:hint="eastAsia"/>
                      <w:color w:val="0000FF"/>
                      <w:sz w:val="21"/>
                      <w:szCs w:val="21"/>
                    </w:rPr>
                    <w:t>土地利用类型</w:t>
                  </w:r>
                </w:p>
              </w:tc>
              <w:tc>
                <w:tcPr>
                  <w:tcW w:w="3728" w:type="dxa"/>
                  <w:tcBorders>
                    <w:top w:val="single" w:color="auto" w:sz="4" w:space="0"/>
                    <w:left w:val="single" w:color="auto" w:sz="4" w:space="0"/>
                    <w:bottom w:val="single" w:color="auto" w:sz="4" w:space="0"/>
                    <w:right w:val="nil"/>
                  </w:tcBorders>
                  <w:noWrap w:val="0"/>
                  <w:vAlign w:val="center"/>
                </w:tcPr>
                <w:p>
                  <w:pPr>
                    <w:widowControl w:val="0"/>
                    <w:adjustRightInd w:val="0"/>
                    <w:spacing w:line="240" w:lineRule="auto"/>
                    <w:ind w:firstLine="0" w:firstLineChars="0"/>
                    <w:jc w:val="center"/>
                    <w:rPr>
                      <w:color w:val="0000FF"/>
                      <w:sz w:val="21"/>
                      <w:szCs w:val="21"/>
                    </w:rPr>
                  </w:pPr>
                  <w:r>
                    <w:rPr>
                      <w:rFonts w:hint="eastAsia"/>
                      <w:color w:val="0000FF"/>
                      <w:sz w:val="21"/>
                      <w:szCs w:val="21"/>
                    </w:rPr>
                    <w:t>城市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exact"/>
                <w:jc w:val="center"/>
              </w:trPr>
              <w:tc>
                <w:tcPr>
                  <w:tcW w:w="4691" w:type="dxa"/>
                  <w:gridSpan w:val="2"/>
                  <w:tcBorders>
                    <w:top w:val="single" w:color="auto" w:sz="4" w:space="0"/>
                    <w:left w:val="nil"/>
                    <w:bottom w:val="single" w:color="auto" w:sz="4" w:space="0"/>
                    <w:right w:val="single" w:color="auto" w:sz="4" w:space="0"/>
                  </w:tcBorders>
                  <w:noWrap w:val="0"/>
                  <w:vAlign w:val="center"/>
                </w:tcPr>
                <w:p>
                  <w:pPr>
                    <w:widowControl w:val="0"/>
                    <w:adjustRightInd w:val="0"/>
                    <w:spacing w:line="240" w:lineRule="auto"/>
                    <w:ind w:firstLine="0" w:firstLineChars="0"/>
                    <w:jc w:val="center"/>
                    <w:rPr>
                      <w:color w:val="0000FF"/>
                      <w:sz w:val="21"/>
                      <w:szCs w:val="21"/>
                    </w:rPr>
                  </w:pPr>
                  <w:r>
                    <w:rPr>
                      <w:rFonts w:hint="eastAsia"/>
                      <w:color w:val="0000FF"/>
                      <w:sz w:val="21"/>
                      <w:szCs w:val="21"/>
                    </w:rPr>
                    <w:t>区域湿度条件</w:t>
                  </w:r>
                </w:p>
              </w:tc>
              <w:tc>
                <w:tcPr>
                  <w:tcW w:w="3728" w:type="dxa"/>
                  <w:tcBorders>
                    <w:top w:val="single" w:color="auto" w:sz="4" w:space="0"/>
                    <w:left w:val="single" w:color="auto" w:sz="4" w:space="0"/>
                    <w:bottom w:val="single" w:color="auto" w:sz="4" w:space="0"/>
                    <w:right w:val="nil"/>
                  </w:tcBorders>
                  <w:noWrap w:val="0"/>
                  <w:vAlign w:val="center"/>
                </w:tcPr>
                <w:p>
                  <w:pPr>
                    <w:widowControl w:val="0"/>
                    <w:adjustRightInd w:val="0"/>
                    <w:spacing w:line="240" w:lineRule="auto"/>
                    <w:ind w:firstLine="0" w:firstLineChars="0"/>
                    <w:jc w:val="center"/>
                    <w:rPr>
                      <w:color w:val="0000FF"/>
                      <w:sz w:val="21"/>
                      <w:szCs w:val="21"/>
                    </w:rPr>
                  </w:pPr>
                  <w:r>
                    <w:rPr>
                      <w:rFonts w:hint="eastAsia"/>
                      <w:color w:val="0000FF"/>
                      <w:sz w:val="21"/>
                      <w:szCs w:val="21"/>
                    </w:rPr>
                    <w:t>潮湿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exact"/>
                <w:jc w:val="center"/>
              </w:trPr>
              <w:tc>
                <w:tcPr>
                  <w:tcW w:w="2156" w:type="dxa"/>
                  <w:vMerge w:val="restart"/>
                  <w:tcBorders>
                    <w:top w:val="single" w:color="auto" w:sz="4" w:space="0"/>
                    <w:left w:val="nil"/>
                    <w:bottom w:val="single" w:color="auto" w:sz="4" w:space="0"/>
                    <w:right w:val="single" w:color="auto" w:sz="4" w:space="0"/>
                  </w:tcBorders>
                  <w:noWrap w:val="0"/>
                  <w:vAlign w:val="center"/>
                </w:tcPr>
                <w:p>
                  <w:pPr>
                    <w:widowControl w:val="0"/>
                    <w:adjustRightInd w:val="0"/>
                    <w:spacing w:line="240" w:lineRule="auto"/>
                    <w:ind w:firstLine="0" w:firstLineChars="0"/>
                    <w:jc w:val="center"/>
                    <w:rPr>
                      <w:color w:val="0000FF"/>
                      <w:sz w:val="21"/>
                      <w:szCs w:val="21"/>
                    </w:rPr>
                  </w:pPr>
                  <w:r>
                    <w:rPr>
                      <w:rFonts w:hint="eastAsia"/>
                      <w:color w:val="0000FF"/>
                      <w:sz w:val="21"/>
                      <w:szCs w:val="21"/>
                    </w:rPr>
                    <w:t>是否考虑地形</w:t>
                  </w:r>
                </w:p>
              </w:tc>
              <w:tc>
                <w:tcPr>
                  <w:tcW w:w="2535"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pacing w:line="240" w:lineRule="auto"/>
                    <w:ind w:firstLine="0" w:firstLineChars="0"/>
                    <w:jc w:val="center"/>
                    <w:rPr>
                      <w:color w:val="0000FF"/>
                      <w:sz w:val="21"/>
                      <w:szCs w:val="21"/>
                    </w:rPr>
                  </w:pPr>
                  <w:r>
                    <w:rPr>
                      <w:rFonts w:hint="eastAsia"/>
                      <w:color w:val="0000FF"/>
                      <w:sz w:val="21"/>
                      <w:szCs w:val="21"/>
                    </w:rPr>
                    <w:t>考虑地形</w:t>
                  </w:r>
                </w:p>
              </w:tc>
              <w:tc>
                <w:tcPr>
                  <w:tcW w:w="3728" w:type="dxa"/>
                  <w:tcBorders>
                    <w:top w:val="single" w:color="auto" w:sz="4" w:space="0"/>
                    <w:left w:val="single" w:color="auto" w:sz="4" w:space="0"/>
                    <w:bottom w:val="single" w:color="auto" w:sz="4" w:space="0"/>
                    <w:right w:val="nil"/>
                  </w:tcBorders>
                  <w:noWrap w:val="0"/>
                  <w:vAlign w:val="center"/>
                </w:tcPr>
                <w:p>
                  <w:pPr>
                    <w:widowControl w:val="0"/>
                    <w:adjustRightInd w:val="0"/>
                    <w:spacing w:line="240" w:lineRule="auto"/>
                    <w:ind w:firstLine="0" w:firstLineChars="0"/>
                    <w:jc w:val="center"/>
                    <w:rPr>
                      <w:color w:val="0000FF"/>
                      <w:sz w:val="21"/>
                      <w:szCs w:val="21"/>
                    </w:rPr>
                  </w:pPr>
                  <w:r>
                    <w:rPr>
                      <w:rFonts w:hint="eastAsia"/>
                      <w:color w:val="0000FF"/>
                      <w:sz w:val="2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exact"/>
                <w:jc w:val="center"/>
              </w:trPr>
              <w:tc>
                <w:tcPr>
                  <w:tcW w:w="2156" w:type="dxa"/>
                  <w:vMerge w:val="continue"/>
                  <w:tcBorders>
                    <w:top w:val="single" w:color="auto" w:sz="4" w:space="0"/>
                    <w:left w:val="nil"/>
                    <w:bottom w:val="single" w:color="auto" w:sz="4" w:space="0"/>
                    <w:right w:val="single" w:color="auto" w:sz="4" w:space="0"/>
                  </w:tcBorders>
                  <w:noWrap w:val="0"/>
                  <w:vAlign w:val="center"/>
                </w:tcPr>
                <w:p>
                  <w:pPr>
                    <w:widowControl w:val="0"/>
                    <w:adjustRightInd w:val="0"/>
                    <w:spacing w:line="240" w:lineRule="auto"/>
                    <w:ind w:firstLine="0" w:firstLineChars="0"/>
                    <w:jc w:val="center"/>
                    <w:rPr>
                      <w:color w:val="0000FF"/>
                      <w:sz w:val="21"/>
                      <w:szCs w:val="21"/>
                    </w:rPr>
                  </w:pPr>
                </w:p>
              </w:tc>
              <w:tc>
                <w:tcPr>
                  <w:tcW w:w="2535"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napToGrid w:val="0"/>
                    <w:spacing w:line="240" w:lineRule="auto"/>
                    <w:ind w:firstLine="0" w:firstLineChars="0"/>
                    <w:jc w:val="center"/>
                    <w:rPr>
                      <w:color w:val="0000FF"/>
                      <w:sz w:val="21"/>
                      <w:szCs w:val="21"/>
                    </w:rPr>
                  </w:pPr>
                  <w:r>
                    <w:rPr>
                      <w:rFonts w:hint="eastAsia"/>
                      <w:color w:val="0000FF"/>
                      <w:sz w:val="21"/>
                      <w:szCs w:val="21"/>
                    </w:rPr>
                    <w:t>地形数据分辨率</w:t>
                  </w:r>
                  <w:r>
                    <w:rPr>
                      <w:color w:val="0000FF"/>
                      <w:sz w:val="21"/>
                      <w:szCs w:val="21"/>
                    </w:rPr>
                    <w:t>(m)</w:t>
                  </w:r>
                </w:p>
              </w:tc>
              <w:tc>
                <w:tcPr>
                  <w:tcW w:w="3728" w:type="dxa"/>
                  <w:tcBorders>
                    <w:top w:val="single" w:color="auto" w:sz="4" w:space="0"/>
                    <w:left w:val="single" w:color="auto" w:sz="4" w:space="0"/>
                    <w:bottom w:val="single" w:color="auto" w:sz="4" w:space="0"/>
                    <w:right w:val="nil"/>
                  </w:tcBorders>
                  <w:noWrap w:val="0"/>
                  <w:vAlign w:val="center"/>
                </w:tcPr>
                <w:p>
                  <w:pPr>
                    <w:pStyle w:val="96"/>
                    <w:adjustRightInd w:val="0"/>
                    <w:spacing w:line="240" w:lineRule="auto"/>
                    <w:ind w:firstLine="0" w:firstLineChars="0"/>
                    <w:jc w:val="center"/>
                    <w:rPr>
                      <w:rFonts w:eastAsia="宋体"/>
                      <w:color w:val="0000FF"/>
                      <w:kern w:val="0"/>
                      <w:sz w:val="21"/>
                      <w:szCs w:val="21"/>
                      <w:lang w:val="en-US" w:eastAsia="zh-CN"/>
                    </w:rPr>
                  </w:pPr>
                  <w:r>
                    <w:rPr>
                      <w:rFonts w:eastAsia="宋体"/>
                      <w:color w:val="0000FF"/>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exact"/>
                <w:jc w:val="center"/>
              </w:trPr>
              <w:tc>
                <w:tcPr>
                  <w:tcW w:w="2156" w:type="dxa"/>
                  <w:vMerge w:val="restart"/>
                  <w:tcBorders>
                    <w:top w:val="single" w:color="auto" w:sz="4" w:space="0"/>
                    <w:left w:val="nil"/>
                    <w:bottom w:val="single" w:color="auto" w:sz="12" w:space="0"/>
                    <w:right w:val="single" w:color="auto" w:sz="4" w:space="0"/>
                  </w:tcBorders>
                  <w:noWrap w:val="0"/>
                  <w:vAlign w:val="center"/>
                </w:tcPr>
                <w:p>
                  <w:pPr>
                    <w:widowControl w:val="0"/>
                    <w:adjustRightInd w:val="0"/>
                    <w:spacing w:line="240" w:lineRule="auto"/>
                    <w:ind w:firstLine="0" w:firstLineChars="0"/>
                    <w:jc w:val="center"/>
                    <w:rPr>
                      <w:color w:val="0000FF"/>
                      <w:sz w:val="21"/>
                      <w:szCs w:val="21"/>
                    </w:rPr>
                  </w:pPr>
                  <w:r>
                    <w:rPr>
                      <w:rFonts w:hint="eastAsia"/>
                      <w:color w:val="0000FF"/>
                      <w:sz w:val="21"/>
                      <w:szCs w:val="21"/>
                    </w:rPr>
                    <w:t>是否考虑海岸线熏烟</w:t>
                  </w:r>
                </w:p>
              </w:tc>
              <w:tc>
                <w:tcPr>
                  <w:tcW w:w="2535"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pacing w:line="240" w:lineRule="auto"/>
                    <w:ind w:firstLine="0" w:firstLineChars="0"/>
                    <w:jc w:val="center"/>
                    <w:rPr>
                      <w:color w:val="0000FF"/>
                      <w:sz w:val="21"/>
                      <w:szCs w:val="21"/>
                    </w:rPr>
                  </w:pPr>
                  <w:r>
                    <w:rPr>
                      <w:rFonts w:hint="eastAsia"/>
                      <w:color w:val="0000FF"/>
                      <w:sz w:val="21"/>
                      <w:szCs w:val="21"/>
                    </w:rPr>
                    <w:t>考虑海岸线熏烟</w:t>
                  </w:r>
                </w:p>
              </w:tc>
              <w:tc>
                <w:tcPr>
                  <w:tcW w:w="3728" w:type="dxa"/>
                  <w:tcBorders>
                    <w:top w:val="single" w:color="auto" w:sz="4" w:space="0"/>
                    <w:left w:val="single" w:color="auto" w:sz="4" w:space="0"/>
                    <w:bottom w:val="single" w:color="auto" w:sz="4" w:space="0"/>
                    <w:right w:val="nil"/>
                  </w:tcBorders>
                  <w:noWrap w:val="0"/>
                  <w:vAlign w:val="center"/>
                </w:tcPr>
                <w:p>
                  <w:pPr>
                    <w:widowControl w:val="0"/>
                    <w:adjustRightInd w:val="0"/>
                    <w:spacing w:line="240" w:lineRule="auto"/>
                    <w:ind w:firstLine="0" w:firstLineChars="0"/>
                    <w:jc w:val="center"/>
                    <w:rPr>
                      <w:color w:val="0000FF"/>
                      <w:sz w:val="21"/>
                      <w:szCs w:val="21"/>
                    </w:rPr>
                  </w:pPr>
                  <w:r>
                    <w:rPr>
                      <w:rFonts w:hint="eastAsia"/>
                      <w:color w:val="0000FF"/>
                      <w:sz w:val="2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exact"/>
                <w:jc w:val="center"/>
              </w:trPr>
              <w:tc>
                <w:tcPr>
                  <w:tcW w:w="2156" w:type="dxa"/>
                  <w:vMerge w:val="continue"/>
                  <w:tcBorders>
                    <w:top w:val="single" w:color="auto" w:sz="4" w:space="0"/>
                    <w:left w:val="nil"/>
                    <w:bottom w:val="single" w:color="auto" w:sz="12" w:space="0"/>
                    <w:right w:val="single" w:color="auto" w:sz="4" w:space="0"/>
                  </w:tcBorders>
                  <w:noWrap w:val="0"/>
                  <w:vAlign w:val="center"/>
                </w:tcPr>
                <w:p>
                  <w:pPr>
                    <w:widowControl w:val="0"/>
                    <w:adjustRightInd w:val="0"/>
                    <w:spacing w:line="240" w:lineRule="auto"/>
                    <w:ind w:firstLine="0" w:firstLineChars="0"/>
                    <w:jc w:val="center"/>
                    <w:rPr>
                      <w:color w:val="0000FF"/>
                      <w:sz w:val="21"/>
                      <w:szCs w:val="21"/>
                    </w:rPr>
                  </w:pPr>
                </w:p>
              </w:tc>
              <w:tc>
                <w:tcPr>
                  <w:tcW w:w="2535"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napToGrid w:val="0"/>
                    <w:spacing w:line="240" w:lineRule="auto"/>
                    <w:ind w:firstLine="0" w:firstLineChars="0"/>
                    <w:jc w:val="center"/>
                    <w:rPr>
                      <w:color w:val="0000FF"/>
                      <w:sz w:val="21"/>
                      <w:szCs w:val="21"/>
                    </w:rPr>
                  </w:pPr>
                  <w:r>
                    <w:rPr>
                      <w:rFonts w:hint="eastAsia"/>
                      <w:color w:val="0000FF"/>
                      <w:sz w:val="21"/>
                      <w:szCs w:val="21"/>
                    </w:rPr>
                    <w:t>海岸线距离</w:t>
                  </w:r>
                  <w:r>
                    <w:rPr>
                      <w:color w:val="0000FF"/>
                      <w:sz w:val="21"/>
                      <w:szCs w:val="21"/>
                    </w:rPr>
                    <w:t>/km</w:t>
                  </w:r>
                </w:p>
              </w:tc>
              <w:tc>
                <w:tcPr>
                  <w:tcW w:w="3728" w:type="dxa"/>
                  <w:tcBorders>
                    <w:top w:val="single" w:color="auto" w:sz="4" w:space="0"/>
                    <w:left w:val="single" w:color="auto" w:sz="4" w:space="0"/>
                    <w:bottom w:val="single" w:color="auto" w:sz="4" w:space="0"/>
                    <w:right w:val="nil"/>
                  </w:tcBorders>
                  <w:noWrap w:val="0"/>
                  <w:vAlign w:val="center"/>
                </w:tcPr>
                <w:p>
                  <w:pPr>
                    <w:pStyle w:val="96"/>
                    <w:adjustRightInd w:val="0"/>
                    <w:spacing w:line="240" w:lineRule="auto"/>
                    <w:ind w:firstLine="0" w:firstLineChars="0"/>
                    <w:jc w:val="center"/>
                    <w:rPr>
                      <w:rFonts w:eastAsia="宋体"/>
                      <w:color w:val="0000FF"/>
                      <w:kern w:val="0"/>
                      <w:sz w:val="21"/>
                      <w:szCs w:val="21"/>
                      <w:lang w:val="en-US" w:eastAsia="zh-CN"/>
                    </w:rPr>
                  </w:pPr>
                  <w:r>
                    <w:rPr>
                      <w:rFonts w:eastAsia="宋体"/>
                      <w:color w:val="0000FF"/>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exact"/>
                <w:jc w:val="center"/>
              </w:trPr>
              <w:tc>
                <w:tcPr>
                  <w:tcW w:w="2156" w:type="dxa"/>
                  <w:vMerge w:val="continue"/>
                  <w:tcBorders>
                    <w:top w:val="single" w:color="auto" w:sz="4" w:space="0"/>
                    <w:left w:val="nil"/>
                    <w:bottom w:val="single" w:color="auto" w:sz="12" w:space="0"/>
                    <w:right w:val="single" w:color="auto" w:sz="4" w:space="0"/>
                  </w:tcBorders>
                  <w:noWrap w:val="0"/>
                  <w:vAlign w:val="center"/>
                </w:tcPr>
                <w:p>
                  <w:pPr>
                    <w:widowControl w:val="0"/>
                    <w:adjustRightInd w:val="0"/>
                    <w:spacing w:line="240" w:lineRule="auto"/>
                    <w:ind w:firstLine="0" w:firstLineChars="0"/>
                    <w:jc w:val="center"/>
                    <w:rPr>
                      <w:color w:val="0000FF"/>
                      <w:sz w:val="21"/>
                      <w:szCs w:val="21"/>
                    </w:rPr>
                  </w:pPr>
                </w:p>
              </w:tc>
              <w:tc>
                <w:tcPr>
                  <w:tcW w:w="2535" w:type="dxa"/>
                  <w:tcBorders>
                    <w:top w:val="single" w:color="auto" w:sz="4" w:space="0"/>
                    <w:left w:val="single" w:color="auto" w:sz="4" w:space="0"/>
                    <w:bottom w:val="single" w:color="auto" w:sz="12" w:space="0"/>
                    <w:right w:val="single" w:color="auto" w:sz="4" w:space="0"/>
                  </w:tcBorders>
                  <w:noWrap w:val="0"/>
                  <w:vAlign w:val="center"/>
                </w:tcPr>
                <w:p>
                  <w:pPr>
                    <w:widowControl w:val="0"/>
                    <w:adjustRightInd w:val="0"/>
                    <w:snapToGrid w:val="0"/>
                    <w:spacing w:line="240" w:lineRule="auto"/>
                    <w:ind w:firstLine="0" w:firstLineChars="0"/>
                    <w:jc w:val="center"/>
                    <w:rPr>
                      <w:color w:val="0000FF"/>
                      <w:sz w:val="21"/>
                      <w:szCs w:val="21"/>
                    </w:rPr>
                  </w:pPr>
                  <w:r>
                    <w:rPr>
                      <w:rFonts w:hint="eastAsia"/>
                      <w:color w:val="0000FF"/>
                      <w:sz w:val="21"/>
                      <w:szCs w:val="21"/>
                    </w:rPr>
                    <w:t>海岸线方向</w:t>
                  </w:r>
                  <w:r>
                    <w:rPr>
                      <w:color w:val="0000FF"/>
                      <w:sz w:val="21"/>
                      <w:szCs w:val="21"/>
                    </w:rPr>
                    <w:t>/o</w:t>
                  </w:r>
                </w:p>
              </w:tc>
              <w:tc>
                <w:tcPr>
                  <w:tcW w:w="3728" w:type="dxa"/>
                  <w:tcBorders>
                    <w:top w:val="single" w:color="auto" w:sz="4" w:space="0"/>
                    <w:left w:val="single" w:color="auto" w:sz="4" w:space="0"/>
                    <w:bottom w:val="single" w:color="auto" w:sz="12" w:space="0"/>
                    <w:right w:val="nil"/>
                  </w:tcBorders>
                  <w:noWrap w:val="0"/>
                  <w:vAlign w:val="center"/>
                </w:tcPr>
                <w:p>
                  <w:pPr>
                    <w:pStyle w:val="96"/>
                    <w:adjustRightInd w:val="0"/>
                    <w:spacing w:line="240" w:lineRule="auto"/>
                    <w:ind w:firstLine="0" w:firstLineChars="0"/>
                    <w:jc w:val="center"/>
                    <w:rPr>
                      <w:rFonts w:eastAsia="宋体"/>
                      <w:color w:val="0000FF"/>
                      <w:kern w:val="0"/>
                      <w:sz w:val="21"/>
                      <w:szCs w:val="21"/>
                      <w:lang w:val="en-US" w:eastAsia="zh-CN"/>
                    </w:rPr>
                  </w:pPr>
                  <w:r>
                    <w:rPr>
                      <w:rFonts w:eastAsia="宋体"/>
                      <w:color w:val="0000FF"/>
                      <w:kern w:val="0"/>
                      <w:sz w:val="21"/>
                      <w:szCs w:val="21"/>
                      <w:lang w:val="en-US" w:eastAsia="zh-CN"/>
                    </w:rPr>
                    <w:t>/</w:t>
                  </w:r>
                </w:p>
              </w:tc>
            </w:tr>
          </w:tbl>
          <w:p>
            <w:pPr>
              <w:spacing w:line="480" w:lineRule="exact"/>
              <w:ind w:firstLine="422" w:firstLineChars="176"/>
              <w:rPr>
                <w:color w:val="0000FF"/>
                <w:sz w:val="24"/>
                <w:szCs w:val="24"/>
              </w:rPr>
            </w:pPr>
            <w:r>
              <w:rPr>
                <w:rFonts w:hint="eastAsia"/>
                <w:color w:val="0000FF"/>
                <w:sz w:val="24"/>
                <w:szCs w:val="24"/>
                <w:lang w:val="en-US" w:eastAsia="zh-CN"/>
              </w:rPr>
              <w:t>项目</w:t>
            </w:r>
            <w:r>
              <w:rPr>
                <w:rFonts w:hint="eastAsia"/>
                <w:color w:val="0000FF"/>
                <w:sz w:val="24"/>
                <w:szCs w:val="24"/>
              </w:rPr>
              <w:t>主要废气污染源排放参数见表4</w:t>
            </w:r>
            <w:r>
              <w:rPr>
                <w:color w:val="0000FF"/>
                <w:sz w:val="24"/>
                <w:szCs w:val="24"/>
              </w:rPr>
              <w:t>.2-</w:t>
            </w:r>
            <w:r>
              <w:rPr>
                <w:rFonts w:hint="eastAsia"/>
                <w:color w:val="0000FF"/>
                <w:sz w:val="24"/>
                <w:szCs w:val="24"/>
                <w:lang w:val="en-US" w:eastAsia="zh-CN"/>
              </w:rPr>
              <w:t>10</w:t>
            </w:r>
            <w:r>
              <w:rPr>
                <w:rFonts w:hint="eastAsia"/>
                <w:color w:val="0000FF"/>
                <w:sz w:val="24"/>
                <w:szCs w:val="24"/>
              </w:rPr>
              <w:t>、表4</w:t>
            </w:r>
            <w:r>
              <w:rPr>
                <w:color w:val="0000FF"/>
                <w:sz w:val="24"/>
                <w:szCs w:val="24"/>
              </w:rPr>
              <w:t>.2-</w:t>
            </w:r>
            <w:r>
              <w:rPr>
                <w:rFonts w:hint="eastAsia"/>
                <w:color w:val="0000FF"/>
                <w:sz w:val="24"/>
                <w:szCs w:val="24"/>
              </w:rPr>
              <w:t>1</w:t>
            </w:r>
            <w:r>
              <w:rPr>
                <w:rFonts w:hint="eastAsia"/>
                <w:color w:val="0000FF"/>
                <w:sz w:val="24"/>
                <w:szCs w:val="24"/>
                <w:lang w:val="en-US" w:eastAsia="zh-CN"/>
              </w:rPr>
              <w:t>1</w:t>
            </w:r>
            <w:r>
              <w:rPr>
                <w:rFonts w:hint="eastAsia"/>
                <w:color w:val="0000FF"/>
                <w:sz w:val="24"/>
                <w:szCs w:val="24"/>
              </w:rPr>
              <w:t>。</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jc w:val="center"/>
              <w:textAlignment w:val="auto"/>
              <w:rPr>
                <w:rFonts w:hint="eastAsia" w:ascii="Times New Roman" w:hAnsi="Times New Roman" w:eastAsia="宋体" w:cs="Times New Roman"/>
                <w:b/>
                <w:bCs/>
                <w:color w:val="0000FF"/>
                <w:kern w:val="0"/>
                <w:sz w:val="24"/>
                <w:szCs w:val="24"/>
                <w:highlight w:val="none"/>
                <w:lang w:val="en-US" w:eastAsia="zh-CN" w:bidi="ar"/>
              </w:rPr>
            </w:pPr>
            <w:r>
              <w:rPr>
                <w:rFonts w:hint="eastAsia" w:ascii="Times New Roman" w:hAnsi="Times New Roman" w:eastAsia="宋体" w:cs="Times New Roman"/>
                <w:b/>
                <w:bCs/>
                <w:color w:val="0000FF"/>
                <w:kern w:val="0"/>
                <w:sz w:val="24"/>
                <w:szCs w:val="24"/>
                <w:highlight w:val="none"/>
                <w:lang w:val="en-US" w:eastAsia="zh-CN" w:bidi="ar"/>
              </w:rPr>
              <w:t>表4.2-</w:t>
            </w:r>
            <w:r>
              <w:rPr>
                <w:rFonts w:hint="eastAsia" w:ascii="Times New Roman" w:hAnsi="Times New Roman" w:cs="Times New Roman"/>
                <w:b/>
                <w:bCs/>
                <w:color w:val="0000FF"/>
                <w:kern w:val="0"/>
                <w:sz w:val="24"/>
                <w:szCs w:val="24"/>
                <w:highlight w:val="none"/>
                <w:lang w:val="en-US" w:eastAsia="zh-CN" w:bidi="ar"/>
              </w:rPr>
              <w:t>10</w:t>
            </w:r>
            <w:r>
              <w:rPr>
                <w:rFonts w:hint="eastAsia" w:ascii="Times New Roman" w:hAnsi="Times New Roman" w:eastAsia="宋体" w:cs="Times New Roman"/>
                <w:b/>
                <w:bCs/>
                <w:color w:val="0000FF"/>
                <w:kern w:val="0"/>
                <w:sz w:val="24"/>
                <w:szCs w:val="24"/>
                <w:highlight w:val="none"/>
                <w:lang w:val="en-US" w:eastAsia="zh-CN" w:bidi="ar"/>
              </w:rPr>
              <w:t xml:space="preserve">  无组织废气污染源参数一览表</w:t>
            </w:r>
          </w:p>
          <w:tbl>
            <w:tblPr>
              <w:tblStyle w:val="28"/>
              <w:tblW w:w="85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0"/>
              <w:gridCol w:w="1210"/>
              <w:gridCol w:w="987"/>
              <w:gridCol w:w="1305"/>
              <w:gridCol w:w="1035"/>
              <w:gridCol w:w="945"/>
              <w:gridCol w:w="915"/>
              <w:gridCol w:w="9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170" w:type="dxa"/>
                  <w:vMerge w:val="restart"/>
                  <w:tcBorders>
                    <w:top w:val="single" w:color="auto" w:sz="12" w:space="0"/>
                    <w:left w:val="nil"/>
                    <w:bottom w:val="single" w:color="auto" w:sz="4" w:space="0"/>
                    <w:right w:val="single" w:color="auto" w:sz="4" w:space="0"/>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车间</w:t>
                  </w:r>
                </w:p>
              </w:tc>
              <w:tc>
                <w:tcPr>
                  <w:tcW w:w="2197" w:type="dxa"/>
                  <w:gridSpan w:val="2"/>
                  <w:tcBorders>
                    <w:top w:val="single" w:color="auto" w:sz="12" w:space="0"/>
                    <w:left w:val="single" w:color="auto" w:sz="4" w:space="0"/>
                    <w:bottom w:val="single" w:color="auto" w:sz="4" w:space="0"/>
                    <w:right w:val="single" w:color="auto" w:sz="4" w:space="0"/>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面源起点坐标/m</w:t>
                  </w:r>
                </w:p>
              </w:tc>
              <w:tc>
                <w:tcPr>
                  <w:tcW w:w="1305" w:type="dxa"/>
                  <w:vMerge w:val="restart"/>
                  <w:tcBorders>
                    <w:top w:val="single" w:color="auto" w:sz="12" w:space="0"/>
                    <w:left w:val="single" w:color="auto" w:sz="4" w:space="0"/>
                    <w:bottom w:val="single" w:color="auto" w:sz="4" w:space="0"/>
                    <w:right w:val="single" w:color="auto" w:sz="4" w:space="0"/>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污染物</w:t>
                  </w:r>
                </w:p>
              </w:tc>
              <w:tc>
                <w:tcPr>
                  <w:tcW w:w="1035" w:type="dxa"/>
                  <w:vMerge w:val="restart"/>
                  <w:tcBorders>
                    <w:top w:val="single" w:color="auto" w:sz="12" w:space="0"/>
                    <w:left w:val="single" w:color="auto" w:sz="4" w:space="0"/>
                    <w:bottom w:val="single" w:color="auto" w:sz="4" w:space="0"/>
                    <w:right w:val="single" w:color="auto" w:sz="4" w:space="0"/>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rPr>
                    <w:t>面源</w:t>
                  </w:r>
                  <w:r>
                    <w:rPr>
                      <w:rFonts w:hint="default" w:ascii="Times New Roman" w:hAnsi="Times New Roman" w:eastAsia="宋体" w:cs="Times New Roman"/>
                      <w:color w:val="0000FF"/>
                      <w:sz w:val="21"/>
                      <w:szCs w:val="21"/>
                      <w:lang w:val="en-US" w:eastAsia="zh-CN"/>
                    </w:rPr>
                    <w:t>海拔</w:t>
                  </w:r>
                  <w:r>
                    <w:rPr>
                      <w:rFonts w:hint="default" w:ascii="Times New Roman" w:hAnsi="Times New Roman" w:eastAsia="宋体" w:cs="Times New Roman"/>
                      <w:color w:val="0000FF"/>
                      <w:sz w:val="21"/>
                      <w:szCs w:val="21"/>
                    </w:rPr>
                    <w:t>高度</w:t>
                  </w:r>
                  <w:r>
                    <w:rPr>
                      <w:rFonts w:hint="default" w:ascii="Times New Roman" w:hAnsi="Times New Roman" w:eastAsia="宋体" w:cs="Times New Roman"/>
                      <w:color w:val="0000FF"/>
                      <w:sz w:val="21"/>
                      <w:szCs w:val="21"/>
                      <w:lang w:val="en-US" w:eastAsia="zh-CN"/>
                    </w:rPr>
                    <w:t>Z</w:t>
                  </w:r>
                </w:p>
                <w:p>
                  <w:pPr>
                    <w:widowControl w:val="0"/>
                    <w:adjustRightInd w:val="0"/>
                    <w:spacing w:line="240" w:lineRule="auto"/>
                    <w:ind w:firstLine="0" w:firstLineChars="0"/>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w:t>
                  </w:r>
                  <w:r>
                    <w:rPr>
                      <w:rFonts w:hint="default" w:ascii="Times New Roman" w:hAnsi="Times New Roman" w:eastAsia="宋体" w:cs="Times New Roman"/>
                      <w:color w:val="0000FF"/>
                      <w:sz w:val="21"/>
                      <w:szCs w:val="21"/>
                    </w:rPr>
                    <w:t>m</w:t>
                  </w:r>
                  <w:r>
                    <w:rPr>
                      <w:rFonts w:hint="default" w:ascii="Times New Roman" w:hAnsi="Times New Roman" w:eastAsia="宋体" w:cs="Times New Roman"/>
                      <w:color w:val="0000FF"/>
                      <w:sz w:val="21"/>
                      <w:szCs w:val="21"/>
                      <w:lang w:val="en-US" w:eastAsia="zh-CN"/>
                    </w:rPr>
                    <w:t>)</w:t>
                  </w:r>
                </w:p>
              </w:tc>
              <w:tc>
                <w:tcPr>
                  <w:tcW w:w="945" w:type="dxa"/>
                  <w:vMerge w:val="restart"/>
                  <w:tcBorders>
                    <w:top w:val="single" w:color="auto" w:sz="12" w:space="0"/>
                    <w:left w:val="single" w:color="auto" w:sz="4" w:space="0"/>
                    <w:bottom w:val="single" w:color="auto" w:sz="4" w:space="0"/>
                    <w:right w:val="single" w:color="auto" w:sz="4" w:space="0"/>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rPr>
                    <w:t>面源长度</w:t>
                  </w:r>
                  <w:r>
                    <w:rPr>
                      <w:rFonts w:hint="default" w:ascii="Times New Roman" w:hAnsi="Times New Roman" w:eastAsia="宋体" w:cs="Times New Roman"/>
                      <w:color w:val="0000FF"/>
                      <w:sz w:val="21"/>
                      <w:szCs w:val="21"/>
                      <w:lang w:val="en-US" w:eastAsia="zh-CN"/>
                    </w:rPr>
                    <w:t>(</w:t>
                  </w:r>
                  <w:r>
                    <w:rPr>
                      <w:rFonts w:hint="default" w:ascii="Times New Roman" w:hAnsi="Times New Roman" w:eastAsia="宋体" w:cs="Times New Roman"/>
                      <w:color w:val="0000FF"/>
                      <w:sz w:val="21"/>
                      <w:szCs w:val="21"/>
                    </w:rPr>
                    <w:t>m</w:t>
                  </w:r>
                  <w:r>
                    <w:rPr>
                      <w:rFonts w:hint="default" w:ascii="Times New Roman" w:hAnsi="Times New Roman" w:eastAsia="宋体" w:cs="Times New Roman"/>
                      <w:color w:val="0000FF"/>
                      <w:sz w:val="21"/>
                      <w:szCs w:val="21"/>
                      <w:lang w:val="en-US" w:eastAsia="zh-CN"/>
                    </w:rPr>
                    <w:t>)</w:t>
                  </w:r>
                </w:p>
              </w:tc>
              <w:tc>
                <w:tcPr>
                  <w:tcW w:w="915" w:type="dxa"/>
                  <w:vMerge w:val="restart"/>
                  <w:tcBorders>
                    <w:top w:val="single" w:color="auto" w:sz="12" w:space="0"/>
                    <w:left w:val="single" w:color="auto" w:sz="4" w:space="0"/>
                    <w:bottom w:val="single" w:color="auto" w:sz="4" w:space="0"/>
                    <w:right w:val="single" w:color="auto" w:sz="4" w:space="0"/>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rPr>
                    <w:t>面源宽度</w:t>
                  </w:r>
                  <w:r>
                    <w:rPr>
                      <w:rFonts w:hint="default" w:ascii="Times New Roman" w:hAnsi="Times New Roman" w:eastAsia="宋体" w:cs="Times New Roman"/>
                      <w:color w:val="0000FF"/>
                      <w:sz w:val="21"/>
                      <w:szCs w:val="21"/>
                      <w:lang w:val="en-US" w:eastAsia="zh-CN"/>
                    </w:rPr>
                    <w:t>(</w:t>
                  </w:r>
                  <w:r>
                    <w:rPr>
                      <w:rFonts w:hint="default" w:ascii="Times New Roman" w:hAnsi="Times New Roman" w:eastAsia="宋体" w:cs="Times New Roman"/>
                      <w:color w:val="0000FF"/>
                      <w:sz w:val="21"/>
                      <w:szCs w:val="21"/>
                    </w:rPr>
                    <w:t>m</w:t>
                  </w:r>
                  <w:r>
                    <w:rPr>
                      <w:rFonts w:hint="default" w:ascii="Times New Roman" w:hAnsi="Times New Roman" w:eastAsia="宋体" w:cs="Times New Roman"/>
                      <w:color w:val="0000FF"/>
                      <w:sz w:val="21"/>
                      <w:szCs w:val="21"/>
                      <w:lang w:val="en-US" w:eastAsia="zh-CN"/>
                    </w:rPr>
                    <w:t>)</w:t>
                  </w:r>
                </w:p>
              </w:tc>
              <w:tc>
                <w:tcPr>
                  <w:tcW w:w="987" w:type="dxa"/>
                  <w:vMerge w:val="restart"/>
                  <w:tcBorders>
                    <w:top w:val="single" w:color="auto" w:sz="12" w:space="0"/>
                    <w:left w:val="single" w:color="auto" w:sz="4" w:space="0"/>
                    <w:bottom w:val="single" w:color="auto" w:sz="4" w:space="0"/>
                    <w:right w:val="nil"/>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rPr>
                    <w:t>排放速率</w:t>
                  </w:r>
                  <w:r>
                    <w:rPr>
                      <w:rFonts w:hint="default" w:ascii="Times New Roman" w:hAnsi="Times New Roman" w:eastAsia="宋体" w:cs="Times New Roman"/>
                      <w:color w:val="0000FF"/>
                      <w:sz w:val="21"/>
                      <w:szCs w:val="21"/>
                      <w:lang w:val="en-US" w:eastAsia="zh-CN"/>
                    </w:rPr>
                    <w:t>(</w:t>
                  </w:r>
                  <w:r>
                    <w:rPr>
                      <w:rFonts w:hint="default" w:ascii="Times New Roman" w:hAnsi="Times New Roman" w:eastAsia="宋体" w:cs="Times New Roman"/>
                      <w:color w:val="0000FF"/>
                      <w:sz w:val="21"/>
                      <w:szCs w:val="21"/>
                    </w:rPr>
                    <w:t>kg/h</w:t>
                  </w:r>
                  <w:r>
                    <w:rPr>
                      <w:rFonts w:hint="default" w:ascii="Times New Roman" w:hAnsi="Times New Roman" w:eastAsia="宋体" w:cs="Times New Roman"/>
                      <w:color w:val="0000FF"/>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1170" w:type="dxa"/>
                  <w:vMerge w:val="continue"/>
                  <w:tcBorders>
                    <w:top w:val="single" w:color="auto" w:sz="12" w:space="0"/>
                    <w:left w:val="nil"/>
                    <w:bottom w:val="single" w:color="auto" w:sz="4" w:space="0"/>
                    <w:right w:val="single" w:color="auto" w:sz="4" w:space="0"/>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sz w:val="21"/>
                      <w:szCs w:val="21"/>
                    </w:rPr>
                  </w:pPr>
                </w:p>
              </w:tc>
              <w:tc>
                <w:tcPr>
                  <w:tcW w:w="1210" w:type="dxa"/>
                  <w:tcBorders>
                    <w:top w:val="single" w:color="auto" w:sz="4" w:space="0"/>
                    <w:left w:val="single" w:color="auto" w:sz="4" w:space="0"/>
                    <w:bottom w:val="single" w:color="auto" w:sz="4" w:space="0"/>
                    <w:right w:val="single" w:color="auto" w:sz="4" w:space="0"/>
                  </w:tcBorders>
                  <w:noWrap w:val="0"/>
                  <w:vAlign w:val="center"/>
                </w:tcPr>
                <w:p>
                  <w:pPr>
                    <w:pStyle w:val="56"/>
                    <w:adjustRightInd w:val="0"/>
                    <w:spacing w:line="240" w:lineRule="auto"/>
                    <w:ind w:firstLine="0" w:firstLineChars="0"/>
                    <w:rPr>
                      <w:rFonts w:hint="default" w:ascii="Times New Roman" w:hAnsi="Times New Roman" w:eastAsia="宋体" w:cs="Times New Roman"/>
                      <w:color w:val="0000FF"/>
                      <w:kern w:val="0"/>
                      <w:sz w:val="21"/>
                      <w:szCs w:val="21"/>
                      <w:lang w:val="en-US" w:eastAsia="zh-CN"/>
                    </w:rPr>
                  </w:pPr>
                  <w:r>
                    <w:rPr>
                      <w:rFonts w:hint="default" w:ascii="Times New Roman" w:hAnsi="Times New Roman" w:eastAsia="宋体" w:cs="Times New Roman"/>
                      <w:color w:val="0000FF"/>
                      <w:kern w:val="0"/>
                      <w:sz w:val="21"/>
                      <w:szCs w:val="21"/>
                    </w:rPr>
                    <w:t>经度</w:t>
                  </w:r>
                  <w:r>
                    <w:rPr>
                      <w:rFonts w:hint="default" w:ascii="Times New Roman" w:hAnsi="Times New Roman" w:eastAsia="宋体" w:cs="Times New Roman"/>
                      <w:color w:val="0000FF"/>
                      <w:kern w:val="0"/>
                      <w:sz w:val="21"/>
                      <w:szCs w:val="21"/>
                      <w:lang w:val="en-US" w:eastAsia="zh-CN"/>
                    </w:rPr>
                    <w:t>X</w:t>
                  </w:r>
                </w:p>
              </w:tc>
              <w:tc>
                <w:tcPr>
                  <w:tcW w:w="987" w:type="dxa"/>
                  <w:tcBorders>
                    <w:top w:val="single" w:color="auto" w:sz="4" w:space="0"/>
                    <w:left w:val="single" w:color="auto" w:sz="4" w:space="0"/>
                    <w:bottom w:val="single" w:color="auto" w:sz="4" w:space="0"/>
                    <w:right w:val="single" w:color="auto" w:sz="4" w:space="0"/>
                  </w:tcBorders>
                  <w:noWrap w:val="0"/>
                  <w:vAlign w:val="center"/>
                </w:tcPr>
                <w:p>
                  <w:pPr>
                    <w:pStyle w:val="56"/>
                    <w:adjustRightInd w:val="0"/>
                    <w:spacing w:line="240" w:lineRule="auto"/>
                    <w:ind w:firstLine="0" w:firstLineChars="0"/>
                    <w:rPr>
                      <w:rFonts w:hint="default" w:ascii="Times New Roman" w:hAnsi="Times New Roman" w:eastAsia="宋体" w:cs="Times New Roman"/>
                      <w:color w:val="0000FF"/>
                      <w:kern w:val="0"/>
                      <w:sz w:val="21"/>
                      <w:szCs w:val="21"/>
                      <w:lang w:val="en-US" w:eastAsia="zh-CN"/>
                    </w:rPr>
                  </w:pPr>
                  <w:r>
                    <w:rPr>
                      <w:rFonts w:hint="default" w:ascii="Times New Roman" w:hAnsi="Times New Roman" w:eastAsia="宋体" w:cs="Times New Roman"/>
                      <w:color w:val="0000FF"/>
                      <w:kern w:val="0"/>
                      <w:sz w:val="21"/>
                      <w:szCs w:val="21"/>
                    </w:rPr>
                    <w:t>纬度</w:t>
                  </w:r>
                  <w:r>
                    <w:rPr>
                      <w:rFonts w:hint="default" w:ascii="Times New Roman" w:hAnsi="Times New Roman" w:eastAsia="宋体" w:cs="Times New Roman"/>
                      <w:color w:val="0000FF"/>
                      <w:kern w:val="0"/>
                      <w:sz w:val="21"/>
                      <w:szCs w:val="21"/>
                      <w:lang w:val="en-US" w:eastAsia="zh-CN"/>
                    </w:rPr>
                    <w:t>Y</w:t>
                  </w:r>
                </w:p>
              </w:tc>
              <w:tc>
                <w:tcPr>
                  <w:tcW w:w="1305" w:type="dxa"/>
                  <w:vMerge w:val="continue"/>
                  <w:tcBorders>
                    <w:top w:val="single" w:color="auto" w:sz="12" w:space="0"/>
                    <w:left w:val="single" w:color="auto" w:sz="4" w:space="0"/>
                    <w:bottom w:val="single" w:color="auto" w:sz="4" w:space="0"/>
                    <w:right w:val="single" w:color="auto" w:sz="4" w:space="0"/>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sz w:val="21"/>
                      <w:szCs w:val="21"/>
                    </w:rPr>
                  </w:pPr>
                </w:p>
              </w:tc>
              <w:tc>
                <w:tcPr>
                  <w:tcW w:w="1035" w:type="dxa"/>
                  <w:vMerge w:val="continue"/>
                  <w:tcBorders>
                    <w:top w:val="single" w:color="auto" w:sz="12" w:space="0"/>
                    <w:left w:val="single" w:color="auto" w:sz="4" w:space="0"/>
                    <w:bottom w:val="single" w:color="auto" w:sz="4" w:space="0"/>
                    <w:right w:val="single" w:color="auto" w:sz="4" w:space="0"/>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sz w:val="21"/>
                      <w:szCs w:val="21"/>
                    </w:rPr>
                  </w:pPr>
                </w:p>
              </w:tc>
              <w:tc>
                <w:tcPr>
                  <w:tcW w:w="945" w:type="dxa"/>
                  <w:vMerge w:val="continue"/>
                  <w:tcBorders>
                    <w:top w:val="single" w:color="auto" w:sz="12" w:space="0"/>
                    <w:left w:val="single" w:color="auto" w:sz="4" w:space="0"/>
                    <w:bottom w:val="single" w:color="auto" w:sz="4" w:space="0"/>
                    <w:right w:val="single" w:color="auto" w:sz="4" w:space="0"/>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sz w:val="21"/>
                      <w:szCs w:val="21"/>
                    </w:rPr>
                  </w:pPr>
                </w:p>
              </w:tc>
              <w:tc>
                <w:tcPr>
                  <w:tcW w:w="915" w:type="dxa"/>
                  <w:vMerge w:val="continue"/>
                  <w:tcBorders>
                    <w:top w:val="single" w:color="auto" w:sz="12" w:space="0"/>
                    <w:left w:val="single" w:color="auto" w:sz="4" w:space="0"/>
                    <w:bottom w:val="single" w:color="auto" w:sz="4" w:space="0"/>
                    <w:right w:val="single" w:color="auto" w:sz="4" w:space="0"/>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sz w:val="21"/>
                      <w:szCs w:val="21"/>
                    </w:rPr>
                  </w:pPr>
                </w:p>
              </w:tc>
              <w:tc>
                <w:tcPr>
                  <w:tcW w:w="987" w:type="dxa"/>
                  <w:vMerge w:val="continue"/>
                  <w:tcBorders>
                    <w:top w:val="single" w:color="auto" w:sz="12" w:space="0"/>
                    <w:left w:val="single" w:color="auto" w:sz="4" w:space="0"/>
                    <w:bottom w:val="single" w:color="auto" w:sz="4" w:space="0"/>
                    <w:right w:val="nil"/>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exact"/>
                <w:jc w:val="center"/>
              </w:trPr>
              <w:tc>
                <w:tcPr>
                  <w:tcW w:w="1170" w:type="dxa"/>
                  <w:vMerge w:val="restart"/>
                  <w:tcBorders>
                    <w:top w:val="single" w:color="auto" w:sz="4" w:space="0"/>
                    <w:left w:val="nil"/>
                    <w:right w:val="single" w:color="auto" w:sz="4" w:space="0"/>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2"/>
                      <w:sz w:val="21"/>
                      <w:szCs w:val="21"/>
                    </w:rPr>
                    <w:t>生产车间</w:t>
                  </w:r>
                </w:p>
              </w:tc>
              <w:tc>
                <w:tcPr>
                  <w:tcW w:w="1210" w:type="dxa"/>
                  <w:vMerge w:val="restart"/>
                  <w:tcBorders>
                    <w:top w:val="single" w:color="auto" w:sz="4" w:space="0"/>
                    <w:left w:val="single" w:color="auto" w:sz="4" w:space="0"/>
                    <w:right w:val="single" w:color="auto" w:sz="4" w:space="0"/>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636396</w:t>
                  </w:r>
                </w:p>
              </w:tc>
              <w:tc>
                <w:tcPr>
                  <w:tcW w:w="987" w:type="dxa"/>
                  <w:vMerge w:val="restart"/>
                  <w:tcBorders>
                    <w:top w:val="single" w:color="auto" w:sz="4" w:space="0"/>
                    <w:left w:val="single" w:color="auto" w:sz="4" w:space="0"/>
                    <w:right w:val="single" w:color="auto" w:sz="4" w:space="0"/>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636396</w:t>
                  </w:r>
                </w:p>
              </w:tc>
              <w:tc>
                <w:tcPr>
                  <w:tcW w:w="1305"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PM</w:t>
                  </w:r>
                  <w:r>
                    <w:rPr>
                      <w:rFonts w:hint="default" w:ascii="Times New Roman" w:hAnsi="Times New Roman" w:eastAsia="宋体" w:cs="Times New Roman"/>
                      <w:color w:val="0000FF"/>
                      <w:sz w:val="21"/>
                      <w:szCs w:val="21"/>
                      <w:vertAlign w:val="subscript"/>
                    </w:rPr>
                    <w:t>10</w:t>
                  </w:r>
                </w:p>
              </w:tc>
              <w:tc>
                <w:tcPr>
                  <w:tcW w:w="1035" w:type="dxa"/>
                  <w:vMerge w:val="restart"/>
                  <w:tcBorders>
                    <w:top w:val="single" w:color="auto" w:sz="4" w:space="0"/>
                    <w:left w:val="single" w:color="auto" w:sz="4" w:space="0"/>
                    <w:right w:val="single" w:color="auto" w:sz="4" w:space="0"/>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50</w:t>
                  </w:r>
                </w:p>
              </w:tc>
              <w:tc>
                <w:tcPr>
                  <w:tcW w:w="945" w:type="dxa"/>
                  <w:vMerge w:val="restart"/>
                  <w:tcBorders>
                    <w:top w:val="single" w:color="auto" w:sz="4" w:space="0"/>
                    <w:left w:val="single" w:color="auto" w:sz="4" w:space="0"/>
                    <w:right w:val="single" w:color="auto" w:sz="4" w:space="0"/>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53</w:t>
                  </w:r>
                </w:p>
              </w:tc>
              <w:tc>
                <w:tcPr>
                  <w:tcW w:w="915" w:type="dxa"/>
                  <w:vMerge w:val="restart"/>
                  <w:tcBorders>
                    <w:top w:val="single" w:color="auto" w:sz="4" w:space="0"/>
                    <w:left w:val="single" w:color="auto" w:sz="4" w:space="0"/>
                    <w:right w:val="single" w:color="auto" w:sz="4" w:space="0"/>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40</w:t>
                  </w:r>
                </w:p>
              </w:tc>
              <w:tc>
                <w:tcPr>
                  <w:tcW w:w="987" w:type="dxa"/>
                  <w:tcBorders>
                    <w:top w:val="single" w:color="auto" w:sz="4" w:space="0"/>
                    <w:left w:val="single" w:color="auto" w:sz="4" w:space="0"/>
                    <w:bottom w:val="single" w:color="auto" w:sz="4" w:space="0"/>
                    <w:right w:val="nil"/>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highlight w:val="none"/>
                      <w:lang w:val="en-US" w:eastAsia="zh-CN" w:bidi="ar"/>
                    </w:rPr>
                    <w:t>0.1109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exact"/>
                <w:jc w:val="center"/>
              </w:trPr>
              <w:tc>
                <w:tcPr>
                  <w:tcW w:w="1170" w:type="dxa"/>
                  <w:vMerge w:val="continue"/>
                  <w:tcBorders>
                    <w:left w:val="nil"/>
                    <w:right w:val="single" w:color="auto" w:sz="4" w:space="0"/>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rPr>
                  </w:pPr>
                </w:p>
              </w:tc>
              <w:tc>
                <w:tcPr>
                  <w:tcW w:w="1210" w:type="dxa"/>
                  <w:vMerge w:val="continue"/>
                  <w:tcBorders>
                    <w:left w:val="single" w:color="auto" w:sz="4" w:space="0"/>
                    <w:right w:val="single" w:color="auto" w:sz="4" w:space="0"/>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sz w:val="21"/>
                      <w:szCs w:val="21"/>
                    </w:rPr>
                  </w:pPr>
                </w:p>
              </w:tc>
              <w:tc>
                <w:tcPr>
                  <w:tcW w:w="987" w:type="dxa"/>
                  <w:vMerge w:val="continue"/>
                  <w:tcBorders>
                    <w:left w:val="single" w:color="auto" w:sz="4" w:space="0"/>
                    <w:right w:val="single" w:color="auto" w:sz="4" w:space="0"/>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sz w:val="21"/>
                      <w:szCs w:val="21"/>
                    </w:rPr>
                  </w:pPr>
                </w:p>
              </w:tc>
              <w:tc>
                <w:tcPr>
                  <w:tcW w:w="1305"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2"/>
                      <w:sz w:val="21"/>
                      <w:szCs w:val="21"/>
                    </w:rPr>
                    <w:t>非甲烷总烃</w:t>
                  </w:r>
                </w:p>
              </w:tc>
              <w:tc>
                <w:tcPr>
                  <w:tcW w:w="1035" w:type="dxa"/>
                  <w:vMerge w:val="continue"/>
                  <w:tcBorders>
                    <w:left w:val="single" w:color="auto" w:sz="4" w:space="0"/>
                    <w:right w:val="single" w:color="auto" w:sz="4" w:space="0"/>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sz w:val="21"/>
                      <w:szCs w:val="21"/>
                    </w:rPr>
                  </w:pPr>
                </w:p>
              </w:tc>
              <w:tc>
                <w:tcPr>
                  <w:tcW w:w="945" w:type="dxa"/>
                  <w:vMerge w:val="continue"/>
                  <w:tcBorders>
                    <w:left w:val="single" w:color="auto" w:sz="4" w:space="0"/>
                    <w:right w:val="single" w:color="auto" w:sz="4" w:space="0"/>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sz w:val="21"/>
                      <w:szCs w:val="21"/>
                    </w:rPr>
                  </w:pPr>
                </w:p>
              </w:tc>
              <w:tc>
                <w:tcPr>
                  <w:tcW w:w="915" w:type="dxa"/>
                  <w:vMerge w:val="continue"/>
                  <w:tcBorders>
                    <w:left w:val="single" w:color="auto" w:sz="4" w:space="0"/>
                    <w:right w:val="single" w:color="auto" w:sz="4" w:space="0"/>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sz w:val="21"/>
                      <w:szCs w:val="21"/>
                    </w:rPr>
                  </w:pPr>
                </w:p>
              </w:tc>
              <w:tc>
                <w:tcPr>
                  <w:tcW w:w="987" w:type="dxa"/>
                  <w:tcBorders>
                    <w:top w:val="single" w:color="auto" w:sz="4" w:space="0"/>
                    <w:left w:val="single" w:color="auto" w:sz="4" w:space="0"/>
                    <w:bottom w:val="single" w:color="auto" w:sz="4" w:space="0"/>
                    <w:right w:val="nil"/>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rPr>
                  </w:pPr>
                  <w:r>
                    <w:rPr>
                      <w:rFonts w:hint="default" w:ascii="Times New Roman" w:hAnsi="Times New Roman" w:eastAsia="宋体" w:cs="Times New Roman"/>
                      <w:color w:val="0000FF"/>
                      <w:kern w:val="0"/>
                      <w:sz w:val="21"/>
                      <w:szCs w:val="21"/>
                      <w:highlight w:val="none"/>
                      <w:lang w:val="en-US" w:eastAsia="zh-CN" w:bidi="ar"/>
                    </w:rPr>
                    <w:t>0.0897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exact"/>
                <w:jc w:val="center"/>
              </w:trPr>
              <w:tc>
                <w:tcPr>
                  <w:tcW w:w="8554" w:type="dxa"/>
                  <w:gridSpan w:val="8"/>
                  <w:tcBorders>
                    <w:left w:val="nil"/>
                    <w:bottom w:val="single" w:color="auto" w:sz="12" w:space="0"/>
                    <w:right w:val="nil"/>
                  </w:tcBorders>
                  <w:noWrap w:val="0"/>
                  <w:vAlign w:val="center"/>
                </w:tcPr>
                <w:p>
                  <w:pPr>
                    <w:widowControl w:val="0"/>
                    <w:adjustRightInd w:val="0"/>
                    <w:spacing w:line="240" w:lineRule="auto"/>
                    <w:ind w:firstLine="0" w:firstLineChars="0"/>
                    <w:jc w:val="left"/>
                    <w:rPr>
                      <w:rFonts w:hint="default" w:ascii="Times New Roman" w:hAnsi="Times New Roman" w:eastAsia="宋体" w:cs="Times New Roman"/>
                      <w:color w:val="0000FF"/>
                      <w:kern w:val="0"/>
                      <w:sz w:val="21"/>
                      <w:szCs w:val="21"/>
                      <w:highlight w:val="none"/>
                      <w:lang w:val="en-US" w:eastAsia="zh-CN" w:bidi="ar"/>
                    </w:rPr>
                  </w:pPr>
                  <w:r>
                    <w:rPr>
                      <w:rFonts w:hint="default" w:ascii="Times New Roman" w:hAnsi="Times New Roman" w:eastAsia="宋体" w:cs="Times New Roman"/>
                      <w:color w:val="0000FF"/>
                      <w:kern w:val="0"/>
                      <w:sz w:val="21"/>
                      <w:szCs w:val="21"/>
                      <w:highlight w:val="none"/>
                      <w:lang w:val="en-US" w:eastAsia="zh-CN" w:bidi="ar"/>
                    </w:rPr>
                    <w:t>注：X、Y、Z取值为UTM坐标，海拔高度从地图获取</w:t>
                  </w:r>
                </w:p>
              </w:tc>
            </w:tr>
          </w:tbl>
          <w:p>
            <w:pPr>
              <w:spacing w:before="120" w:beforeLines="50"/>
              <w:ind w:firstLine="0" w:firstLineChars="0"/>
              <w:jc w:val="center"/>
              <w:rPr>
                <w:rFonts w:hint="eastAsia" w:hAnsi="黑体" w:eastAsia="黑体"/>
                <w:color w:val="auto"/>
                <w:szCs w:val="24"/>
              </w:rPr>
            </w:pPr>
          </w:p>
          <w:p>
            <w:pPr>
              <w:spacing w:before="120" w:beforeLines="50"/>
              <w:ind w:firstLine="0" w:firstLineChars="0"/>
              <w:jc w:val="center"/>
              <w:rPr>
                <w:rFonts w:hint="eastAsia" w:hAnsi="黑体" w:eastAsia="黑体"/>
                <w:color w:val="auto"/>
                <w:szCs w:val="24"/>
              </w:rPr>
            </w:pPr>
          </w:p>
          <w:p>
            <w:pPr>
              <w:spacing w:before="120" w:beforeLines="50"/>
              <w:ind w:firstLine="0" w:firstLineChars="0"/>
              <w:jc w:val="center"/>
              <w:rPr>
                <w:rFonts w:hint="eastAsia" w:hAnsi="黑体" w:eastAsia="黑体"/>
                <w:color w:val="auto"/>
                <w:szCs w:val="24"/>
              </w:rPr>
            </w:pPr>
          </w:p>
          <w:p>
            <w:pPr>
              <w:spacing w:before="120" w:beforeLines="50"/>
              <w:ind w:firstLine="0" w:firstLineChars="0"/>
              <w:jc w:val="center"/>
              <w:rPr>
                <w:rFonts w:hint="eastAsia" w:hAnsi="黑体" w:eastAsia="黑体"/>
                <w:color w:val="auto"/>
                <w:szCs w:val="24"/>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jc w:val="center"/>
              <w:textAlignment w:val="auto"/>
              <w:rPr>
                <w:rFonts w:hint="eastAsia" w:ascii="Times New Roman" w:hAnsi="Times New Roman" w:eastAsia="宋体" w:cs="Times New Roman"/>
                <w:b/>
                <w:bCs/>
                <w:color w:val="0000FF"/>
                <w:kern w:val="0"/>
                <w:sz w:val="24"/>
                <w:szCs w:val="24"/>
                <w:highlight w:val="none"/>
                <w:lang w:val="en-US" w:eastAsia="zh-CN" w:bidi="ar"/>
              </w:rPr>
            </w:pPr>
            <w:r>
              <w:rPr>
                <w:rFonts w:hint="eastAsia" w:ascii="Times New Roman" w:hAnsi="Times New Roman" w:eastAsia="宋体" w:cs="Times New Roman"/>
                <w:b/>
                <w:bCs/>
                <w:color w:val="0000FF"/>
                <w:kern w:val="0"/>
                <w:sz w:val="24"/>
                <w:szCs w:val="24"/>
                <w:highlight w:val="none"/>
                <w:lang w:val="en-US" w:eastAsia="zh-CN" w:bidi="ar"/>
              </w:rPr>
              <w:t>表4.2-1</w:t>
            </w:r>
            <w:r>
              <w:rPr>
                <w:rFonts w:hint="eastAsia" w:ascii="Times New Roman" w:hAnsi="Times New Roman" w:cs="Times New Roman"/>
                <w:b/>
                <w:bCs/>
                <w:color w:val="0000FF"/>
                <w:kern w:val="0"/>
                <w:sz w:val="24"/>
                <w:szCs w:val="24"/>
                <w:highlight w:val="none"/>
                <w:lang w:val="en-US" w:eastAsia="zh-CN" w:bidi="ar"/>
              </w:rPr>
              <w:t>1</w:t>
            </w:r>
            <w:r>
              <w:rPr>
                <w:rFonts w:hint="eastAsia" w:ascii="Times New Roman" w:hAnsi="Times New Roman" w:eastAsia="宋体" w:cs="Times New Roman"/>
                <w:b/>
                <w:bCs/>
                <w:color w:val="0000FF"/>
                <w:kern w:val="0"/>
                <w:sz w:val="24"/>
                <w:szCs w:val="24"/>
                <w:highlight w:val="none"/>
                <w:lang w:val="en-US" w:eastAsia="zh-CN" w:bidi="ar"/>
              </w:rPr>
              <w:t xml:space="preserve">  有组织废气污染源参数一览表</w:t>
            </w:r>
          </w:p>
          <w:tbl>
            <w:tblPr>
              <w:tblStyle w:val="28"/>
              <w:tblW w:w="83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1131"/>
              <w:gridCol w:w="1049"/>
              <w:gridCol w:w="825"/>
              <w:gridCol w:w="840"/>
              <w:gridCol w:w="953"/>
              <w:gridCol w:w="1095"/>
              <w:gridCol w:w="13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52" w:hRule="exact"/>
                <w:jc w:val="center"/>
              </w:trPr>
              <w:tc>
                <w:tcPr>
                  <w:tcW w:w="1064" w:type="dxa"/>
                  <w:vMerge w:val="restart"/>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rPr>
                  </w:pPr>
                  <w:r>
                    <w:rPr>
                      <w:rFonts w:hint="default" w:ascii="Times New Roman" w:hAnsi="Times New Roman" w:eastAsia="宋体" w:cs="Times New Roman"/>
                      <w:color w:val="0000FF"/>
                      <w:kern w:val="2"/>
                      <w:sz w:val="21"/>
                      <w:szCs w:val="21"/>
                    </w:rPr>
                    <w:t>点源</w:t>
                  </w:r>
                </w:p>
              </w:tc>
              <w:tc>
                <w:tcPr>
                  <w:tcW w:w="2180" w:type="dxa"/>
                  <w:gridSpan w:val="2"/>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lang w:eastAsia="zh-CN"/>
                    </w:rPr>
                  </w:pPr>
                  <w:r>
                    <w:rPr>
                      <w:rFonts w:hint="default" w:ascii="Times New Roman" w:hAnsi="Times New Roman" w:eastAsia="宋体" w:cs="Times New Roman"/>
                      <w:color w:val="0000FF"/>
                      <w:kern w:val="2"/>
                      <w:sz w:val="21"/>
                      <w:szCs w:val="21"/>
                    </w:rPr>
                    <w:t>排气筒底部中心坐标</w:t>
                  </w:r>
                  <w:r>
                    <w:rPr>
                      <w:rFonts w:hint="default" w:ascii="Times New Roman" w:hAnsi="Times New Roman" w:eastAsia="宋体" w:cs="Times New Roman"/>
                      <w:color w:val="0000FF"/>
                      <w:kern w:val="2"/>
                      <w:sz w:val="21"/>
                      <w:szCs w:val="21"/>
                      <w:lang w:eastAsia="zh-CN"/>
                    </w:rPr>
                    <w:t>（</w:t>
                  </w:r>
                  <w:r>
                    <w:rPr>
                      <w:rFonts w:hint="default" w:ascii="Times New Roman" w:hAnsi="Times New Roman" w:eastAsia="宋体" w:cs="Times New Roman"/>
                      <w:color w:val="0000FF"/>
                      <w:kern w:val="2"/>
                      <w:sz w:val="21"/>
                      <w:szCs w:val="21"/>
                      <w:lang w:val="en-US" w:eastAsia="zh-CN"/>
                    </w:rPr>
                    <w:t>m</w:t>
                  </w:r>
                  <w:r>
                    <w:rPr>
                      <w:rFonts w:hint="default" w:ascii="Times New Roman" w:hAnsi="Times New Roman" w:eastAsia="宋体" w:cs="Times New Roman"/>
                      <w:color w:val="0000FF"/>
                      <w:kern w:val="2"/>
                      <w:sz w:val="21"/>
                      <w:szCs w:val="21"/>
                      <w:lang w:eastAsia="zh-CN"/>
                    </w:rPr>
                    <w:t>）</w:t>
                  </w:r>
                </w:p>
              </w:tc>
              <w:tc>
                <w:tcPr>
                  <w:tcW w:w="825" w:type="dxa"/>
                  <w:vMerge w:val="restart"/>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lang w:val="en-US" w:eastAsia="zh-CN"/>
                    </w:rPr>
                  </w:pPr>
                  <w:r>
                    <w:rPr>
                      <w:rFonts w:hint="default" w:ascii="Times New Roman" w:hAnsi="Times New Roman" w:eastAsia="宋体" w:cs="Times New Roman"/>
                      <w:color w:val="0000FF"/>
                      <w:kern w:val="2"/>
                      <w:sz w:val="21"/>
                      <w:szCs w:val="21"/>
                      <w:lang w:val="en-US" w:eastAsia="zh-CN"/>
                    </w:rPr>
                    <w:t>排气筒高度(</w:t>
                  </w:r>
                  <w:r>
                    <w:rPr>
                      <w:rFonts w:hint="default" w:ascii="Times New Roman" w:hAnsi="Times New Roman" w:eastAsia="宋体" w:cs="Times New Roman"/>
                      <w:color w:val="0000FF"/>
                      <w:kern w:val="2"/>
                      <w:sz w:val="21"/>
                      <w:szCs w:val="21"/>
                    </w:rPr>
                    <w:t>m</w:t>
                  </w:r>
                  <w:r>
                    <w:rPr>
                      <w:rFonts w:hint="default" w:ascii="Times New Roman" w:hAnsi="Times New Roman" w:eastAsia="宋体" w:cs="Times New Roman"/>
                      <w:color w:val="0000FF"/>
                      <w:kern w:val="2"/>
                      <w:sz w:val="21"/>
                      <w:szCs w:val="21"/>
                      <w:lang w:val="en-US" w:eastAsia="zh-CN"/>
                    </w:rPr>
                    <w:t>)</w:t>
                  </w:r>
                </w:p>
              </w:tc>
              <w:tc>
                <w:tcPr>
                  <w:tcW w:w="840" w:type="dxa"/>
                  <w:vMerge w:val="restart"/>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lang w:val="en-US" w:eastAsia="zh-CN"/>
                    </w:rPr>
                  </w:pPr>
                  <w:r>
                    <w:rPr>
                      <w:rFonts w:hint="default" w:ascii="Times New Roman" w:hAnsi="Times New Roman" w:eastAsia="宋体" w:cs="Times New Roman"/>
                      <w:color w:val="0000FF"/>
                      <w:kern w:val="2"/>
                      <w:sz w:val="21"/>
                      <w:szCs w:val="21"/>
                    </w:rPr>
                    <w:t>排气筒内径</w:t>
                  </w:r>
                  <w:r>
                    <w:rPr>
                      <w:rFonts w:hint="default" w:ascii="Times New Roman" w:hAnsi="Times New Roman" w:eastAsia="宋体" w:cs="Times New Roman"/>
                      <w:color w:val="0000FF"/>
                      <w:kern w:val="2"/>
                      <w:sz w:val="21"/>
                      <w:szCs w:val="21"/>
                      <w:lang w:val="en-US" w:eastAsia="zh-CN"/>
                    </w:rPr>
                    <w:t>(</w:t>
                  </w:r>
                  <w:r>
                    <w:rPr>
                      <w:rFonts w:hint="default" w:ascii="Times New Roman" w:hAnsi="Times New Roman" w:eastAsia="宋体" w:cs="Times New Roman"/>
                      <w:color w:val="0000FF"/>
                      <w:kern w:val="2"/>
                      <w:sz w:val="21"/>
                      <w:szCs w:val="21"/>
                    </w:rPr>
                    <w:t>m</w:t>
                  </w:r>
                  <w:r>
                    <w:rPr>
                      <w:rFonts w:hint="default" w:ascii="Times New Roman" w:hAnsi="Times New Roman" w:eastAsia="宋体" w:cs="Times New Roman"/>
                      <w:color w:val="0000FF"/>
                      <w:kern w:val="2"/>
                      <w:sz w:val="21"/>
                      <w:szCs w:val="21"/>
                      <w:lang w:val="en-US" w:eastAsia="zh-CN"/>
                    </w:rPr>
                    <w:t>)</w:t>
                  </w:r>
                </w:p>
              </w:tc>
              <w:tc>
                <w:tcPr>
                  <w:tcW w:w="953" w:type="dxa"/>
                  <w:vMerge w:val="restart"/>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lang w:val="en-US" w:eastAsia="zh-CN"/>
                    </w:rPr>
                  </w:pPr>
                  <w:r>
                    <w:rPr>
                      <w:rFonts w:hint="default" w:ascii="Times New Roman" w:hAnsi="Times New Roman" w:eastAsia="宋体" w:cs="Times New Roman"/>
                      <w:color w:val="0000FF"/>
                      <w:kern w:val="2"/>
                      <w:sz w:val="21"/>
                      <w:szCs w:val="21"/>
                    </w:rPr>
                    <w:t>年排放小时数</w:t>
                  </w:r>
                  <w:r>
                    <w:rPr>
                      <w:rFonts w:hint="default" w:ascii="Times New Roman" w:hAnsi="Times New Roman" w:eastAsia="宋体" w:cs="Times New Roman"/>
                      <w:color w:val="0000FF"/>
                      <w:kern w:val="2"/>
                      <w:sz w:val="21"/>
                      <w:szCs w:val="21"/>
                      <w:lang w:val="en-US" w:eastAsia="zh-CN"/>
                    </w:rPr>
                    <w:t>(</w:t>
                  </w:r>
                  <w:r>
                    <w:rPr>
                      <w:rFonts w:hint="default" w:ascii="Times New Roman" w:hAnsi="Times New Roman" w:eastAsia="宋体" w:cs="Times New Roman"/>
                      <w:color w:val="0000FF"/>
                      <w:kern w:val="2"/>
                      <w:sz w:val="21"/>
                      <w:szCs w:val="21"/>
                    </w:rPr>
                    <w:t>h</w:t>
                  </w:r>
                  <w:r>
                    <w:rPr>
                      <w:rFonts w:hint="default" w:ascii="Times New Roman" w:hAnsi="Times New Roman" w:eastAsia="宋体" w:cs="Times New Roman"/>
                      <w:color w:val="0000FF"/>
                      <w:kern w:val="2"/>
                      <w:sz w:val="21"/>
                      <w:szCs w:val="21"/>
                      <w:lang w:val="en-US" w:eastAsia="zh-CN"/>
                    </w:rPr>
                    <w:t>)</w:t>
                  </w:r>
                </w:p>
              </w:tc>
              <w:tc>
                <w:tcPr>
                  <w:tcW w:w="2475" w:type="dxa"/>
                  <w:gridSpan w:val="2"/>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rPr>
                  </w:pPr>
                  <w:r>
                    <w:rPr>
                      <w:rFonts w:hint="default" w:ascii="Times New Roman" w:hAnsi="Times New Roman" w:eastAsia="宋体" w:cs="Times New Roman"/>
                      <w:color w:val="0000FF"/>
                      <w:kern w:val="2"/>
                      <w:sz w:val="21"/>
                      <w:szCs w:val="21"/>
                      <w:lang w:val="en-US" w:eastAsia="zh-CN"/>
                    </w:rPr>
                    <w:t>排放</w:t>
                  </w:r>
                  <w:r>
                    <w:rPr>
                      <w:rFonts w:hint="default" w:ascii="Times New Roman" w:hAnsi="Times New Roman" w:eastAsia="宋体" w:cs="Times New Roman"/>
                      <w:color w:val="0000FF"/>
                      <w:kern w:val="2"/>
                      <w:sz w:val="21"/>
                      <w:szCs w:val="21"/>
                    </w:rPr>
                    <w:t>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064" w:type="dxa"/>
                  <w:vMerge w:val="continue"/>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rPr>
                  </w:pPr>
                </w:p>
              </w:tc>
              <w:tc>
                <w:tcPr>
                  <w:tcW w:w="1131" w:type="dxa"/>
                  <w:noWrap w:val="0"/>
                  <w:vAlign w:val="center"/>
                </w:tcPr>
                <w:p>
                  <w:pPr>
                    <w:pStyle w:val="56"/>
                    <w:adjustRightInd w:val="0"/>
                    <w:spacing w:line="240" w:lineRule="auto"/>
                    <w:ind w:firstLine="0" w:firstLineChars="0"/>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rPr>
                    <w:t>经度</w:t>
                  </w:r>
                  <w:r>
                    <w:rPr>
                      <w:rFonts w:hint="default" w:ascii="Times New Roman" w:hAnsi="Times New Roman" w:eastAsia="宋体" w:cs="Times New Roman"/>
                      <w:color w:val="0000FF"/>
                      <w:sz w:val="21"/>
                      <w:szCs w:val="21"/>
                      <w:lang w:val="en-US" w:eastAsia="zh-CN"/>
                    </w:rPr>
                    <w:t>X</w:t>
                  </w:r>
                </w:p>
              </w:tc>
              <w:tc>
                <w:tcPr>
                  <w:tcW w:w="1049" w:type="dxa"/>
                  <w:noWrap w:val="0"/>
                  <w:vAlign w:val="center"/>
                </w:tcPr>
                <w:p>
                  <w:pPr>
                    <w:pStyle w:val="56"/>
                    <w:adjustRightInd w:val="0"/>
                    <w:spacing w:line="240" w:lineRule="auto"/>
                    <w:ind w:firstLine="0" w:firstLineChars="0"/>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rPr>
                    <w:t>纬度</w:t>
                  </w:r>
                  <w:r>
                    <w:rPr>
                      <w:rFonts w:hint="default" w:ascii="Times New Roman" w:hAnsi="Times New Roman" w:eastAsia="宋体" w:cs="Times New Roman"/>
                      <w:color w:val="0000FF"/>
                      <w:sz w:val="21"/>
                      <w:szCs w:val="21"/>
                      <w:lang w:val="en-US" w:eastAsia="zh-CN"/>
                    </w:rPr>
                    <w:t>Y</w:t>
                  </w:r>
                </w:p>
              </w:tc>
              <w:tc>
                <w:tcPr>
                  <w:tcW w:w="825" w:type="dxa"/>
                  <w:vMerge w:val="continue"/>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rPr>
                  </w:pPr>
                </w:p>
              </w:tc>
              <w:tc>
                <w:tcPr>
                  <w:tcW w:w="840" w:type="dxa"/>
                  <w:vMerge w:val="continue"/>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rPr>
                  </w:pPr>
                </w:p>
              </w:tc>
              <w:tc>
                <w:tcPr>
                  <w:tcW w:w="953" w:type="dxa"/>
                  <w:vMerge w:val="continue"/>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rPr>
                  </w:pPr>
                </w:p>
              </w:tc>
              <w:tc>
                <w:tcPr>
                  <w:tcW w:w="1095"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rPr>
                  </w:pPr>
                  <w:r>
                    <w:rPr>
                      <w:rFonts w:hint="default" w:ascii="Times New Roman" w:hAnsi="Times New Roman" w:eastAsia="宋体" w:cs="Times New Roman"/>
                      <w:color w:val="0000FF"/>
                      <w:sz w:val="21"/>
                      <w:szCs w:val="21"/>
                    </w:rPr>
                    <w:t>PM</w:t>
                  </w:r>
                  <w:r>
                    <w:rPr>
                      <w:rFonts w:hint="default" w:ascii="Times New Roman" w:hAnsi="Times New Roman" w:eastAsia="宋体" w:cs="Times New Roman"/>
                      <w:color w:val="0000FF"/>
                      <w:sz w:val="21"/>
                      <w:szCs w:val="21"/>
                      <w:vertAlign w:val="subscript"/>
                    </w:rPr>
                    <w:t>10</w:t>
                  </w:r>
                </w:p>
              </w:tc>
              <w:tc>
                <w:tcPr>
                  <w:tcW w:w="1380"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rPr>
                  </w:pPr>
                  <w:r>
                    <w:rPr>
                      <w:rFonts w:hint="default" w:ascii="Times New Roman" w:hAnsi="Times New Roman" w:eastAsia="宋体" w:cs="Times New Roman"/>
                      <w:color w:val="0000FF"/>
                      <w:kern w:val="2"/>
                      <w:sz w:val="21"/>
                      <w:szCs w:val="21"/>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exact"/>
                <w:jc w:val="center"/>
              </w:trPr>
              <w:tc>
                <w:tcPr>
                  <w:tcW w:w="1064"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rPr>
                  </w:pPr>
                  <w:r>
                    <w:rPr>
                      <w:rFonts w:hint="default" w:ascii="Times New Roman" w:hAnsi="Times New Roman" w:eastAsia="宋体" w:cs="Times New Roman"/>
                      <w:color w:val="0000FF"/>
                      <w:kern w:val="2"/>
                      <w:sz w:val="21"/>
                      <w:szCs w:val="21"/>
                    </w:rPr>
                    <w:t>1#排气筒</w:t>
                  </w:r>
                </w:p>
              </w:tc>
              <w:tc>
                <w:tcPr>
                  <w:tcW w:w="1131"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rPr>
                  </w:pPr>
                  <w:r>
                    <w:rPr>
                      <w:rFonts w:hint="default" w:ascii="Times New Roman" w:hAnsi="Times New Roman" w:eastAsia="宋体" w:cs="Times New Roman"/>
                      <w:color w:val="0000FF"/>
                      <w:kern w:val="2"/>
                      <w:sz w:val="21"/>
                      <w:szCs w:val="21"/>
                    </w:rPr>
                    <w:t>636409</w:t>
                  </w:r>
                </w:p>
              </w:tc>
              <w:tc>
                <w:tcPr>
                  <w:tcW w:w="1049"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rPr>
                  </w:pPr>
                  <w:r>
                    <w:rPr>
                      <w:rFonts w:hint="default" w:ascii="Times New Roman" w:hAnsi="Times New Roman" w:eastAsia="宋体" w:cs="Times New Roman"/>
                      <w:color w:val="0000FF"/>
                      <w:kern w:val="2"/>
                      <w:sz w:val="21"/>
                      <w:szCs w:val="21"/>
                    </w:rPr>
                    <w:t>2767514</w:t>
                  </w:r>
                </w:p>
              </w:tc>
              <w:tc>
                <w:tcPr>
                  <w:tcW w:w="825"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rPr>
                  </w:pPr>
                  <w:r>
                    <w:rPr>
                      <w:rFonts w:hint="default" w:ascii="Times New Roman" w:hAnsi="Times New Roman" w:eastAsia="宋体" w:cs="Times New Roman"/>
                      <w:color w:val="0000FF"/>
                      <w:kern w:val="2"/>
                      <w:sz w:val="21"/>
                      <w:szCs w:val="21"/>
                    </w:rPr>
                    <w:t>15</w:t>
                  </w:r>
                </w:p>
              </w:tc>
              <w:tc>
                <w:tcPr>
                  <w:tcW w:w="840"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rPr>
                  </w:pPr>
                  <w:r>
                    <w:rPr>
                      <w:rFonts w:hint="default" w:ascii="Times New Roman" w:hAnsi="Times New Roman" w:eastAsia="宋体" w:cs="Times New Roman"/>
                      <w:color w:val="0000FF"/>
                      <w:kern w:val="2"/>
                      <w:sz w:val="21"/>
                      <w:szCs w:val="21"/>
                    </w:rPr>
                    <w:t>0.5</w:t>
                  </w:r>
                </w:p>
              </w:tc>
              <w:tc>
                <w:tcPr>
                  <w:tcW w:w="953"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lang w:val="en-US" w:eastAsia="zh-CN"/>
                    </w:rPr>
                  </w:pPr>
                  <w:r>
                    <w:rPr>
                      <w:rFonts w:hint="default" w:ascii="Times New Roman" w:hAnsi="Times New Roman" w:eastAsia="宋体" w:cs="Times New Roman"/>
                      <w:color w:val="0000FF"/>
                      <w:kern w:val="2"/>
                      <w:sz w:val="21"/>
                      <w:szCs w:val="21"/>
                      <w:lang w:val="en-US" w:eastAsia="zh-CN"/>
                    </w:rPr>
                    <w:t>3000</w:t>
                  </w:r>
                </w:p>
              </w:tc>
              <w:tc>
                <w:tcPr>
                  <w:tcW w:w="1095"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lang w:val="en-US" w:eastAsia="zh-CN"/>
                    </w:rPr>
                  </w:pPr>
                  <w:r>
                    <w:rPr>
                      <w:rFonts w:hint="default" w:ascii="Times New Roman" w:hAnsi="Times New Roman" w:eastAsia="宋体" w:cs="Times New Roman"/>
                      <w:color w:val="0000FF"/>
                      <w:kern w:val="2"/>
                      <w:sz w:val="21"/>
                      <w:szCs w:val="21"/>
                      <w:lang w:val="en-US" w:eastAsia="zh-CN"/>
                    </w:rPr>
                    <w:t>0.07</w:t>
                  </w:r>
                </w:p>
              </w:tc>
              <w:tc>
                <w:tcPr>
                  <w:tcW w:w="1380"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lang w:val="en-US" w:eastAsia="zh-CN"/>
                    </w:rPr>
                  </w:pPr>
                  <w:r>
                    <w:rPr>
                      <w:rFonts w:hint="default" w:ascii="Times New Roman" w:hAnsi="Times New Roman" w:eastAsia="宋体" w:cs="Times New Roman"/>
                      <w:color w:val="0000FF"/>
                      <w:kern w:val="2"/>
                      <w:sz w:val="21"/>
                      <w:szCs w:val="21"/>
                      <w:lang w:val="en-US" w:eastAsia="zh-CN"/>
                    </w:rPr>
                    <w:t>0.2228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exact"/>
                <w:jc w:val="center"/>
              </w:trPr>
              <w:tc>
                <w:tcPr>
                  <w:tcW w:w="1064"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rPr>
                  </w:pPr>
                  <w:r>
                    <w:rPr>
                      <w:rFonts w:hint="default" w:ascii="Times New Roman" w:hAnsi="Times New Roman" w:eastAsia="宋体" w:cs="Times New Roman"/>
                      <w:color w:val="0000FF"/>
                      <w:kern w:val="2"/>
                      <w:sz w:val="21"/>
                      <w:szCs w:val="21"/>
                    </w:rPr>
                    <w:t>2#排气筒</w:t>
                  </w:r>
                </w:p>
              </w:tc>
              <w:tc>
                <w:tcPr>
                  <w:tcW w:w="1131"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rPr>
                  </w:pPr>
                  <w:r>
                    <w:rPr>
                      <w:rFonts w:hint="default" w:ascii="Times New Roman" w:hAnsi="Times New Roman" w:eastAsia="宋体" w:cs="Times New Roman"/>
                      <w:color w:val="0000FF"/>
                      <w:kern w:val="2"/>
                      <w:sz w:val="21"/>
                      <w:szCs w:val="21"/>
                    </w:rPr>
                    <w:t>636419</w:t>
                  </w:r>
                </w:p>
              </w:tc>
              <w:tc>
                <w:tcPr>
                  <w:tcW w:w="1049"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rPr>
                  </w:pPr>
                  <w:r>
                    <w:rPr>
                      <w:rFonts w:hint="default" w:ascii="Times New Roman" w:hAnsi="Times New Roman" w:eastAsia="宋体" w:cs="Times New Roman"/>
                      <w:color w:val="0000FF"/>
                      <w:kern w:val="2"/>
                      <w:sz w:val="21"/>
                      <w:szCs w:val="21"/>
                    </w:rPr>
                    <w:t>2767469</w:t>
                  </w:r>
                </w:p>
              </w:tc>
              <w:tc>
                <w:tcPr>
                  <w:tcW w:w="825"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lang w:val="en-US" w:eastAsia="zh-CN"/>
                    </w:rPr>
                  </w:pPr>
                  <w:r>
                    <w:rPr>
                      <w:rFonts w:hint="default" w:ascii="Times New Roman" w:hAnsi="Times New Roman" w:eastAsia="宋体" w:cs="Times New Roman"/>
                      <w:color w:val="0000FF"/>
                      <w:kern w:val="2"/>
                      <w:sz w:val="21"/>
                      <w:szCs w:val="21"/>
                    </w:rPr>
                    <w:t>15</w:t>
                  </w:r>
                </w:p>
              </w:tc>
              <w:tc>
                <w:tcPr>
                  <w:tcW w:w="840"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rPr>
                  </w:pPr>
                  <w:r>
                    <w:rPr>
                      <w:rFonts w:hint="default" w:ascii="Times New Roman" w:hAnsi="Times New Roman" w:eastAsia="宋体" w:cs="Times New Roman"/>
                      <w:color w:val="0000FF"/>
                      <w:kern w:val="2"/>
                      <w:sz w:val="21"/>
                      <w:szCs w:val="21"/>
                    </w:rPr>
                    <w:t>0.5</w:t>
                  </w:r>
                </w:p>
              </w:tc>
              <w:tc>
                <w:tcPr>
                  <w:tcW w:w="953"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rPr>
                  </w:pPr>
                  <w:r>
                    <w:rPr>
                      <w:rFonts w:hint="default" w:ascii="Times New Roman" w:hAnsi="Times New Roman" w:eastAsia="宋体" w:cs="Times New Roman"/>
                      <w:color w:val="0000FF"/>
                      <w:kern w:val="2"/>
                      <w:sz w:val="21"/>
                      <w:szCs w:val="21"/>
                      <w:lang w:val="en-US" w:eastAsia="zh-CN"/>
                    </w:rPr>
                    <w:t>3000</w:t>
                  </w:r>
                </w:p>
              </w:tc>
              <w:tc>
                <w:tcPr>
                  <w:tcW w:w="1095"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lang w:val="en-US" w:eastAsia="zh-CN"/>
                    </w:rPr>
                  </w:pPr>
                  <w:r>
                    <w:rPr>
                      <w:rFonts w:hint="default" w:ascii="Times New Roman" w:hAnsi="Times New Roman" w:eastAsia="宋体" w:cs="Times New Roman"/>
                      <w:color w:val="0000FF"/>
                      <w:kern w:val="2"/>
                      <w:sz w:val="21"/>
                      <w:szCs w:val="21"/>
                      <w:lang w:val="en-US" w:eastAsia="zh-CN"/>
                    </w:rPr>
                    <w:t>0.0446</w:t>
                  </w:r>
                </w:p>
              </w:tc>
              <w:tc>
                <w:tcPr>
                  <w:tcW w:w="1380"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lang w:val="en-US" w:eastAsia="zh-CN"/>
                    </w:rPr>
                  </w:pPr>
                  <w:r>
                    <w:rPr>
                      <w:rFonts w:hint="default" w:ascii="Times New Roman" w:hAnsi="Times New Roman" w:eastAsia="宋体" w:cs="Times New Roman"/>
                      <w:color w:val="0000FF"/>
                      <w:kern w:val="2"/>
                      <w:sz w:val="21"/>
                      <w:szCs w:val="21"/>
                      <w:lang w:val="en-US" w:eastAsia="zh-CN"/>
                    </w:rPr>
                    <w:t>0.0225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exact"/>
                <w:jc w:val="center"/>
              </w:trPr>
              <w:tc>
                <w:tcPr>
                  <w:tcW w:w="1064"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rPr>
                  </w:pPr>
                  <w:r>
                    <w:rPr>
                      <w:rFonts w:hint="default" w:ascii="Times New Roman" w:hAnsi="Times New Roman" w:eastAsia="宋体" w:cs="Times New Roman"/>
                      <w:color w:val="0000FF"/>
                      <w:kern w:val="2"/>
                      <w:sz w:val="21"/>
                      <w:szCs w:val="21"/>
                    </w:rPr>
                    <w:t>3#排气筒</w:t>
                  </w:r>
                </w:p>
              </w:tc>
              <w:tc>
                <w:tcPr>
                  <w:tcW w:w="1131"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rPr>
                  </w:pPr>
                  <w:r>
                    <w:rPr>
                      <w:rFonts w:hint="default" w:ascii="Times New Roman" w:hAnsi="Times New Roman" w:eastAsia="宋体" w:cs="Times New Roman"/>
                      <w:color w:val="0000FF"/>
                      <w:kern w:val="2"/>
                      <w:sz w:val="21"/>
                      <w:szCs w:val="21"/>
                    </w:rPr>
                    <w:t>636416</w:t>
                  </w:r>
                </w:p>
              </w:tc>
              <w:tc>
                <w:tcPr>
                  <w:tcW w:w="1049"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rPr>
                  </w:pPr>
                  <w:r>
                    <w:rPr>
                      <w:rFonts w:hint="default" w:ascii="Times New Roman" w:hAnsi="Times New Roman" w:eastAsia="宋体" w:cs="Times New Roman"/>
                      <w:color w:val="0000FF"/>
                      <w:kern w:val="2"/>
                      <w:sz w:val="21"/>
                      <w:szCs w:val="21"/>
                    </w:rPr>
                    <w:t>2767494</w:t>
                  </w:r>
                </w:p>
              </w:tc>
              <w:tc>
                <w:tcPr>
                  <w:tcW w:w="825"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rPr>
                  </w:pPr>
                  <w:r>
                    <w:rPr>
                      <w:rFonts w:hint="default" w:ascii="Times New Roman" w:hAnsi="Times New Roman" w:eastAsia="宋体" w:cs="Times New Roman"/>
                      <w:color w:val="0000FF"/>
                      <w:kern w:val="2"/>
                      <w:sz w:val="21"/>
                      <w:szCs w:val="21"/>
                    </w:rPr>
                    <w:t>15</w:t>
                  </w:r>
                </w:p>
              </w:tc>
              <w:tc>
                <w:tcPr>
                  <w:tcW w:w="840"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rPr>
                  </w:pPr>
                  <w:r>
                    <w:rPr>
                      <w:rFonts w:hint="default" w:ascii="Times New Roman" w:hAnsi="Times New Roman" w:eastAsia="宋体" w:cs="Times New Roman"/>
                      <w:color w:val="0000FF"/>
                      <w:kern w:val="2"/>
                      <w:sz w:val="21"/>
                      <w:szCs w:val="21"/>
                    </w:rPr>
                    <w:t>0.5</w:t>
                  </w:r>
                </w:p>
              </w:tc>
              <w:tc>
                <w:tcPr>
                  <w:tcW w:w="953"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rPr>
                  </w:pPr>
                  <w:r>
                    <w:rPr>
                      <w:rFonts w:hint="default" w:ascii="Times New Roman" w:hAnsi="Times New Roman" w:eastAsia="宋体" w:cs="Times New Roman"/>
                      <w:color w:val="0000FF"/>
                      <w:kern w:val="2"/>
                      <w:sz w:val="21"/>
                      <w:szCs w:val="21"/>
                      <w:lang w:val="en-US" w:eastAsia="zh-CN"/>
                    </w:rPr>
                    <w:t>3000</w:t>
                  </w:r>
                </w:p>
              </w:tc>
              <w:tc>
                <w:tcPr>
                  <w:tcW w:w="1095"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lang w:val="en-US" w:eastAsia="zh-CN"/>
                    </w:rPr>
                  </w:pPr>
                  <w:r>
                    <w:rPr>
                      <w:rFonts w:hint="default" w:ascii="Times New Roman" w:hAnsi="Times New Roman" w:eastAsia="宋体" w:cs="Times New Roman"/>
                      <w:color w:val="0000FF"/>
                      <w:kern w:val="2"/>
                      <w:sz w:val="21"/>
                      <w:szCs w:val="21"/>
                      <w:lang w:val="en-US" w:eastAsia="zh-CN"/>
                    </w:rPr>
                    <w:t>0.8718</w:t>
                  </w:r>
                </w:p>
              </w:tc>
              <w:tc>
                <w:tcPr>
                  <w:tcW w:w="1380"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lang w:val="en-US" w:eastAsia="zh-CN"/>
                    </w:rPr>
                  </w:pPr>
                  <w:r>
                    <w:rPr>
                      <w:rFonts w:hint="default" w:ascii="Times New Roman" w:hAnsi="Times New Roman" w:eastAsia="宋体" w:cs="Times New Roman"/>
                      <w:color w:val="0000FF"/>
                      <w:kern w:val="2"/>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 w:hRule="exact"/>
                <w:jc w:val="center"/>
              </w:trPr>
              <w:tc>
                <w:tcPr>
                  <w:tcW w:w="1064"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rPr>
                  </w:pPr>
                  <w:r>
                    <w:rPr>
                      <w:rFonts w:hint="default" w:ascii="Times New Roman" w:hAnsi="Times New Roman" w:eastAsia="宋体" w:cs="Times New Roman"/>
                      <w:color w:val="0000FF"/>
                      <w:kern w:val="2"/>
                      <w:sz w:val="21"/>
                      <w:szCs w:val="21"/>
                    </w:rPr>
                    <w:t>4#排气筒</w:t>
                  </w:r>
                </w:p>
              </w:tc>
              <w:tc>
                <w:tcPr>
                  <w:tcW w:w="1131"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rPr>
                  </w:pPr>
                  <w:r>
                    <w:rPr>
                      <w:rFonts w:hint="default" w:ascii="Times New Roman" w:hAnsi="Times New Roman" w:eastAsia="宋体" w:cs="Times New Roman"/>
                      <w:color w:val="0000FF"/>
                      <w:kern w:val="2"/>
                      <w:sz w:val="21"/>
                      <w:szCs w:val="21"/>
                    </w:rPr>
                    <w:t>636398</w:t>
                  </w:r>
                </w:p>
              </w:tc>
              <w:tc>
                <w:tcPr>
                  <w:tcW w:w="1049"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rPr>
                  </w:pPr>
                  <w:r>
                    <w:rPr>
                      <w:rFonts w:hint="default" w:ascii="Times New Roman" w:hAnsi="Times New Roman" w:eastAsia="宋体" w:cs="Times New Roman"/>
                      <w:color w:val="0000FF"/>
                      <w:kern w:val="2"/>
                      <w:sz w:val="21"/>
                      <w:szCs w:val="21"/>
                    </w:rPr>
                    <w:t>2767501</w:t>
                  </w:r>
                </w:p>
              </w:tc>
              <w:tc>
                <w:tcPr>
                  <w:tcW w:w="825"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rPr>
                  </w:pPr>
                  <w:r>
                    <w:rPr>
                      <w:rFonts w:hint="default" w:ascii="Times New Roman" w:hAnsi="Times New Roman" w:eastAsia="宋体" w:cs="Times New Roman"/>
                      <w:color w:val="0000FF"/>
                      <w:kern w:val="2"/>
                      <w:sz w:val="21"/>
                      <w:szCs w:val="21"/>
                    </w:rPr>
                    <w:t>15</w:t>
                  </w:r>
                </w:p>
              </w:tc>
              <w:tc>
                <w:tcPr>
                  <w:tcW w:w="840"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rPr>
                  </w:pPr>
                  <w:r>
                    <w:rPr>
                      <w:rFonts w:hint="default" w:ascii="Times New Roman" w:hAnsi="Times New Roman" w:eastAsia="宋体" w:cs="Times New Roman"/>
                      <w:color w:val="0000FF"/>
                      <w:kern w:val="2"/>
                      <w:sz w:val="21"/>
                      <w:szCs w:val="21"/>
                    </w:rPr>
                    <w:t>0.5</w:t>
                  </w:r>
                </w:p>
              </w:tc>
              <w:tc>
                <w:tcPr>
                  <w:tcW w:w="953"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rPr>
                  </w:pPr>
                  <w:r>
                    <w:rPr>
                      <w:rFonts w:hint="default" w:ascii="Times New Roman" w:hAnsi="Times New Roman" w:eastAsia="宋体" w:cs="Times New Roman"/>
                      <w:color w:val="0000FF"/>
                      <w:kern w:val="2"/>
                      <w:sz w:val="21"/>
                      <w:szCs w:val="21"/>
                      <w:lang w:val="en-US" w:eastAsia="zh-CN"/>
                    </w:rPr>
                    <w:t>3000</w:t>
                  </w:r>
                </w:p>
              </w:tc>
              <w:tc>
                <w:tcPr>
                  <w:tcW w:w="1095"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lang w:val="en-US" w:eastAsia="zh-CN"/>
                    </w:rPr>
                  </w:pPr>
                  <w:r>
                    <w:rPr>
                      <w:rFonts w:hint="default" w:ascii="Times New Roman" w:hAnsi="Times New Roman" w:eastAsia="宋体" w:cs="Times New Roman"/>
                      <w:color w:val="0000FF"/>
                      <w:kern w:val="2"/>
                      <w:sz w:val="21"/>
                      <w:szCs w:val="21"/>
                      <w:lang w:val="en-US" w:eastAsia="zh-CN"/>
                    </w:rPr>
                    <w:t>0.4307</w:t>
                  </w:r>
                </w:p>
              </w:tc>
              <w:tc>
                <w:tcPr>
                  <w:tcW w:w="1380"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lang w:val="en-US" w:eastAsia="zh-CN"/>
                    </w:rPr>
                  </w:pPr>
                  <w:r>
                    <w:rPr>
                      <w:rFonts w:hint="default" w:ascii="Times New Roman" w:hAnsi="Times New Roman" w:eastAsia="宋体" w:cs="Times New Roman"/>
                      <w:color w:val="0000FF"/>
                      <w:kern w:val="2"/>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4" w:hRule="exact"/>
                <w:jc w:val="center"/>
              </w:trPr>
              <w:tc>
                <w:tcPr>
                  <w:tcW w:w="1064"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rPr>
                  </w:pPr>
                  <w:r>
                    <w:rPr>
                      <w:rFonts w:hint="default" w:ascii="Times New Roman" w:hAnsi="Times New Roman" w:eastAsia="宋体" w:cs="Times New Roman"/>
                      <w:color w:val="0000FF"/>
                      <w:kern w:val="2"/>
                      <w:sz w:val="21"/>
                      <w:szCs w:val="21"/>
                      <w:lang w:val="en-US" w:eastAsia="zh-CN"/>
                    </w:rPr>
                    <w:t>5</w:t>
                  </w:r>
                  <w:r>
                    <w:rPr>
                      <w:rFonts w:hint="default" w:ascii="Times New Roman" w:hAnsi="Times New Roman" w:eastAsia="宋体" w:cs="Times New Roman"/>
                      <w:color w:val="0000FF"/>
                      <w:kern w:val="2"/>
                      <w:sz w:val="21"/>
                      <w:szCs w:val="21"/>
                    </w:rPr>
                    <w:t>#排气筒</w:t>
                  </w:r>
                </w:p>
              </w:tc>
              <w:tc>
                <w:tcPr>
                  <w:tcW w:w="1131"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rPr>
                  </w:pPr>
                  <w:r>
                    <w:rPr>
                      <w:rFonts w:hint="default" w:ascii="Times New Roman" w:hAnsi="Times New Roman" w:eastAsia="宋体" w:cs="Times New Roman"/>
                      <w:color w:val="0000FF"/>
                      <w:kern w:val="2"/>
                      <w:sz w:val="21"/>
                      <w:szCs w:val="21"/>
                    </w:rPr>
                    <w:t>636373</w:t>
                  </w:r>
                </w:p>
              </w:tc>
              <w:tc>
                <w:tcPr>
                  <w:tcW w:w="1049"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rPr>
                  </w:pPr>
                  <w:r>
                    <w:rPr>
                      <w:rFonts w:hint="default" w:ascii="Times New Roman" w:hAnsi="Times New Roman" w:eastAsia="宋体" w:cs="Times New Roman"/>
                      <w:color w:val="0000FF"/>
                      <w:kern w:val="2"/>
                      <w:sz w:val="21"/>
                      <w:szCs w:val="21"/>
                    </w:rPr>
                    <w:t>2767479</w:t>
                  </w:r>
                </w:p>
              </w:tc>
              <w:tc>
                <w:tcPr>
                  <w:tcW w:w="825"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rPr>
                  </w:pPr>
                  <w:r>
                    <w:rPr>
                      <w:rFonts w:hint="default" w:ascii="Times New Roman" w:hAnsi="Times New Roman" w:eastAsia="宋体" w:cs="Times New Roman"/>
                      <w:color w:val="0000FF"/>
                      <w:kern w:val="2"/>
                      <w:sz w:val="21"/>
                      <w:szCs w:val="21"/>
                    </w:rPr>
                    <w:t>15</w:t>
                  </w:r>
                </w:p>
              </w:tc>
              <w:tc>
                <w:tcPr>
                  <w:tcW w:w="840"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rPr>
                  </w:pPr>
                  <w:r>
                    <w:rPr>
                      <w:rFonts w:hint="default" w:ascii="Times New Roman" w:hAnsi="Times New Roman" w:eastAsia="宋体" w:cs="Times New Roman"/>
                      <w:color w:val="0000FF"/>
                      <w:kern w:val="2"/>
                      <w:sz w:val="21"/>
                      <w:szCs w:val="21"/>
                    </w:rPr>
                    <w:t>0.5</w:t>
                  </w:r>
                </w:p>
              </w:tc>
              <w:tc>
                <w:tcPr>
                  <w:tcW w:w="953"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lang w:val="en-US" w:eastAsia="zh-CN"/>
                    </w:rPr>
                  </w:pPr>
                  <w:r>
                    <w:rPr>
                      <w:rFonts w:hint="default" w:ascii="Times New Roman" w:hAnsi="Times New Roman" w:eastAsia="宋体" w:cs="Times New Roman"/>
                      <w:color w:val="0000FF"/>
                      <w:kern w:val="2"/>
                      <w:sz w:val="21"/>
                      <w:szCs w:val="21"/>
                      <w:lang w:val="en-US" w:eastAsia="zh-CN"/>
                    </w:rPr>
                    <w:t>3000</w:t>
                  </w:r>
                </w:p>
              </w:tc>
              <w:tc>
                <w:tcPr>
                  <w:tcW w:w="1095"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lang w:val="en-US" w:eastAsia="zh-CN"/>
                    </w:rPr>
                  </w:pPr>
                  <w:r>
                    <w:rPr>
                      <w:rFonts w:hint="default" w:ascii="Times New Roman" w:hAnsi="Times New Roman" w:eastAsia="宋体" w:cs="Times New Roman"/>
                      <w:color w:val="0000FF"/>
                      <w:kern w:val="2"/>
                      <w:sz w:val="21"/>
                      <w:szCs w:val="21"/>
                      <w:lang w:val="en-US" w:eastAsia="zh-CN"/>
                    </w:rPr>
                    <w:t>/</w:t>
                  </w:r>
                </w:p>
              </w:tc>
              <w:tc>
                <w:tcPr>
                  <w:tcW w:w="1380"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lang w:val="en-US" w:eastAsia="zh-CN"/>
                    </w:rPr>
                  </w:pPr>
                  <w:r>
                    <w:rPr>
                      <w:rFonts w:hint="default" w:ascii="Times New Roman" w:hAnsi="Times New Roman" w:eastAsia="宋体" w:cs="Times New Roman"/>
                      <w:color w:val="0000FF"/>
                      <w:kern w:val="2"/>
                      <w:sz w:val="21"/>
                      <w:szCs w:val="21"/>
                      <w:lang w:val="en-US" w:eastAsia="zh-CN"/>
                    </w:rPr>
                    <w:t>0.1575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1064"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lang w:val="en-US" w:eastAsia="zh-CN"/>
                    </w:rPr>
                  </w:pPr>
                  <w:r>
                    <w:rPr>
                      <w:rFonts w:hint="default" w:ascii="Times New Roman" w:hAnsi="Times New Roman" w:eastAsia="宋体" w:cs="Times New Roman"/>
                      <w:color w:val="0000FF"/>
                      <w:kern w:val="2"/>
                      <w:sz w:val="21"/>
                      <w:szCs w:val="21"/>
                      <w:lang w:val="en-US" w:eastAsia="zh-CN"/>
                    </w:rPr>
                    <w:t>6</w:t>
                  </w:r>
                  <w:r>
                    <w:rPr>
                      <w:rFonts w:hint="default" w:ascii="Times New Roman" w:hAnsi="Times New Roman" w:eastAsia="宋体" w:cs="Times New Roman"/>
                      <w:color w:val="0000FF"/>
                      <w:kern w:val="2"/>
                      <w:sz w:val="21"/>
                      <w:szCs w:val="21"/>
                    </w:rPr>
                    <w:t>#排气筒</w:t>
                  </w:r>
                </w:p>
              </w:tc>
              <w:tc>
                <w:tcPr>
                  <w:tcW w:w="1131"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rPr>
                  </w:pPr>
                  <w:r>
                    <w:rPr>
                      <w:rFonts w:hint="default" w:ascii="Times New Roman" w:hAnsi="Times New Roman" w:eastAsia="宋体" w:cs="Times New Roman"/>
                      <w:color w:val="0000FF"/>
                      <w:kern w:val="2"/>
                      <w:sz w:val="21"/>
                      <w:szCs w:val="21"/>
                    </w:rPr>
                    <w:t>636415</w:t>
                  </w:r>
                </w:p>
              </w:tc>
              <w:tc>
                <w:tcPr>
                  <w:tcW w:w="1049"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rPr>
                  </w:pPr>
                  <w:r>
                    <w:rPr>
                      <w:rFonts w:hint="default" w:ascii="Times New Roman" w:hAnsi="Times New Roman" w:eastAsia="宋体" w:cs="Times New Roman"/>
                      <w:color w:val="0000FF"/>
                      <w:kern w:val="2"/>
                      <w:sz w:val="21"/>
                      <w:szCs w:val="21"/>
                    </w:rPr>
                    <w:t>2767464</w:t>
                  </w:r>
                </w:p>
              </w:tc>
              <w:tc>
                <w:tcPr>
                  <w:tcW w:w="825"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rPr>
                  </w:pPr>
                  <w:r>
                    <w:rPr>
                      <w:rFonts w:hint="default" w:ascii="Times New Roman" w:hAnsi="Times New Roman" w:eastAsia="宋体" w:cs="Times New Roman"/>
                      <w:color w:val="0000FF"/>
                      <w:kern w:val="2"/>
                      <w:sz w:val="21"/>
                      <w:szCs w:val="21"/>
                    </w:rPr>
                    <w:t>15</w:t>
                  </w:r>
                </w:p>
              </w:tc>
              <w:tc>
                <w:tcPr>
                  <w:tcW w:w="840"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rPr>
                  </w:pPr>
                  <w:r>
                    <w:rPr>
                      <w:rFonts w:hint="default" w:ascii="Times New Roman" w:hAnsi="Times New Roman" w:eastAsia="宋体" w:cs="Times New Roman"/>
                      <w:color w:val="0000FF"/>
                      <w:kern w:val="2"/>
                      <w:sz w:val="21"/>
                      <w:szCs w:val="21"/>
                    </w:rPr>
                    <w:t>0.5</w:t>
                  </w:r>
                </w:p>
              </w:tc>
              <w:tc>
                <w:tcPr>
                  <w:tcW w:w="953"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lang w:val="en-US" w:eastAsia="zh-CN"/>
                    </w:rPr>
                  </w:pPr>
                  <w:r>
                    <w:rPr>
                      <w:rFonts w:hint="default" w:ascii="Times New Roman" w:hAnsi="Times New Roman" w:eastAsia="宋体" w:cs="Times New Roman"/>
                      <w:color w:val="0000FF"/>
                      <w:kern w:val="2"/>
                      <w:sz w:val="21"/>
                      <w:szCs w:val="21"/>
                      <w:lang w:val="en-US" w:eastAsia="zh-CN"/>
                    </w:rPr>
                    <w:t>3000</w:t>
                  </w:r>
                </w:p>
              </w:tc>
              <w:tc>
                <w:tcPr>
                  <w:tcW w:w="1095"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lang w:val="en-US" w:eastAsia="zh-CN"/>
                    </w:rPr>
                  </w:pPr>
                  <w:r>
                    <w:rPr>
                      <w:rFonts w:hint="default" w:ascii="Times New Roman" w:hAnsi="Times New Roman" w:eastAsia="宋体" w:cs="Times New Roman"/>
                      <w:color w:val="0000FF"/>
                      <w:kern w:val="2"/>
                      <w:sz w:val="21"/>
                      <w:szCs w:val="21"/>
                      <w:lang w:val="en-US" w:eastAsia="zh-CN"/>
                    </w:rPr>
                    <w:t>0.0022</w:t>
                  </w:r>
                </w:p>
              </w:tc>
              <w:tc>
                <w:tcPr>
                  <w:tcW w:w="1380"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0000FF"/>
                      <w:kern w:val="2"/>
                      <w:sz w:val="21"/>
                      <w:szCs w:val="21"/>
                      <w:lang w:val="en-US" w:eastAsia="zh-CN"/>
                    </w:rPr>
                  </w:pPr>
                  <w:r>
                    <w:rPr>
                      <w:rFonts w:hint="default" w:ascii="Times New Roman" w:hAnsi="Times New Roman" w:eastAsia="宋体" w:cs="Times New Roman"/>
                      <w:color w:val="0000FF"/>
                      <w:kern w:val="2"/>
                      <w:sz w:val="21"/>
                      <w:szCs w:val="21"/>
                      <w:lang w:val="en-US" w:eastAsia="zh-CN"/>
                    </w:rPr>
                    <w:t>0.0016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exact"/>
                <w:jc w:val="center"/>
              </w:trPr>
              <w:tc>
                <w:tcPr>
                  <w:tcW w:w="8337" w:type="dxa"/>
                  <w:gridSpan w:val="8"/>
                  <w:noWrap w:val="0"/>
                  <w:vAlign w:val="center"/>
                </w:tcPr>
                <w:p>
                  <w:pPr>
                    <w:widowControl w:val="0"/>
                    <w:adjustRightInd w:val="0"/>
                    <w:spacing w:line="240" w:lineRule="auto"/>
                    <w:ind w:firstLine="0" w:firstLineChars="0"/>
                    <w:jc w:val="both"/>
                    <w:rPr>
                      <w:rFonts w:hint="default" w:ascii="Times New Roman" w:hAnsi="Times New Roman" w:eastAsia="宋体" w:cs="Times New Roman"/>
                      <w:color w:val="0000FF"/>
                      <w:kern w:val="2"/>
                      <w:sz w:val="21"/>
                      <w:szCs w:val="21"/>
                      <w:lang w:val="en-US" w:eastAsia="zh-CN"/>
                    </w:rPr>
                  </w:pPr>
                  <w:r>
                    <w:rPr>
                      <w:rFonts w:hint="default" w:ascii="Times New Roman" w:hAnsi="Times New Roman" w:eastAsia="宋体" w:cs="Times New Roman"/>
                      <w:color w:val="0000FF"/>
                      <w:kern w:val="0"/>
                      <w:sz w:val="21"/>
                      <w:szCs w:val="21"/>
                      <w:highlight w:val="none"/>
                      <w:lang w:val="en-US" w:eastAsia="zh-CN" w:bidi="ar"/>
                    </w:rPr>
                    <w:t>注：X、Y取值为UTM坐标</w:t>
                  </w:r>
                </w:p>
              </w:tc>
            </w:tr>
          </w:tbl>
          <w:p>
            <w:pPr>
              <w:adjustRightInd w:val="0"/>
              <w:snapToGrid w:val="0"/>
              <w:spacing w:before="120" w:beforeLines="50"/>
              <w:ind w:firstLine="480"/>
              <w:textAlignment w:val="baseline"/>
              <w:rPr>
                <w:rFonts w:hint="default" w:eastAsia="宋体"/>
                <w:color w:val="0000FF"/>
                <w:sz w:val="24"/>
                <w:szCs w:val="24"/>
                <w:lang w:val="en-US" w:eastAsia="zh-CN"/>
              </w:rPr>
            </w:pPr>
            <w:r>
              <w:rPr>
                <w:rFonts w:hint="eastAsia"/>
                <w:color w:val="0000FF"/>
                <w:sz w:val="24"/>
                <w:szCs w:val="24"/>
                <w:lang w:val="en-US" w:eastAsia="zh-CN"/>
              </w:rPr>
              <w:t>利用</w:t>
            </w:r>
            <w:r>
              <w:rPr>
                <w:color w:val="0000FF"/>
                <w:sz w:val="24"/>
                <w:szCs w:val="24"/>
              </w:rPr>
              <w:t>AERSCREEN</w:t>
            </w:r>
            <w:r>
              <w:rPr>
                <w:rFonts w:hint="eastAsia"/>
                <w:color w:val="0000FF"/>
                <w:sz w:val="24"/>
                <w:szCs w:val="24"/>
              </w:rPr>
              <w:t>估算模型对废气排放污染物的计算结果</w:t>
            </w:r>
            <w:r>
              <w:rPr>
                <w:rFonts w:hint="eastAsia"/>
                <w:color w:val="0000FF"/>
                <w:sz w:val="24"/>
                <w:szCs w:val="24"/>
                <w:lang w:val="en-US" w:eastAsia="zh-CN"/>
              </w:rPr>
              <w:t>详见表4.2-12、4.2-13。</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jc w:val="center"/>
              <w:textAlignment w:val="auto"/>
              <w:rPr>
                <w:rFonts w:hint="eastAsia" w:ascii="Times New Roman" w:hAnsi="Times New Roman" w:eastAsia="宋体" w:cs="Times New Roman"/>
                <w:b/>
                <w:bCs/>
                <w:color w:val="0000FF"/>
                <w:kern w:val="0"/>
                <w:sz w:val="24"/>
                <w:szCs w:val="24"/>
                <w:highlight w:val="none"/>
                <w:lang w:val="en-US" w:eastAsia="zh-CN" w:bidi="ar"/>
              </w:rPr>
            </w:pPr>
            <w:r>
              <w:rPr>
                <w:rFonts w:hint="eastAsia" w:ascii="Times New Roman" w:hAnsi="Times New Roman" w:eastAsia="宋体" w:cs="Times New Roman"/>
                <w:b/>
                <w:bCs/>
                <w:color w:val="0000FF"/>
                <w:kern w:val="0"/>
                <w:sz w:val="24"/>
                <w:szCs w:val="24"/>
                <w:highlight w:val="none"/>
                <w:lang w:val="en-US" w:eastAsia="zh-CN" w:bidi="ar"/>
              </w:rPr>
              <w:t>表4.2-1</w:t>
            </w:r>
            <w:r>
              <w:rPr>
                <w:rFonts w:hint="eastAsia" w:ascii="Times New Roman" w:hAnsi="Times New Roman" w:cs="Times New Roman"/>
                <w:b/>
                <w:bCs/>
                <w:color w:val="0000FF"/>
                <w:kern w:val="0"/>
                <w:sz w:val="24"/>
                <w:szCs w:val="24"/>
                <w:highlight w:val="none"/>
                <w:lang w:val="en-US" w:eastAsia="zh-CN" w:bidi="ar"/>
              </w:rPr>
              <w:t>2</w:t>
            </w:r>
            <w:r>
              <w:rPr>
                <w:rFonts w:hint="eastAsia" w:ascii="Times New Roman" w:hAnsi="Times New Roman" w:eastAsia="宋体" w:cs="Times New Roman"/>
                <w:b/>
                <w:bCs/>
                <w:color w:val="0000FF"/>
                <w:kern w:val="0"/>
                <w:sz w:val="24"/>
                <w:szCs w:val="24"/>
                <w:highlight w:val="none"/>
                <w:lang w:val="en-US" w:eastAsia="zh-CN" w:bidi="ar"/>
              </w:rPr>
              <w:t xml:space="preserve">  预无组织测结果</w:t>
            </w:r>
          </w:p>
          <w:tbl>
            <w:tblPr>
              <w:tblStyle w:val="28"/>
              <w:tblW w:w="84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01"/>
              <w:gridCol w:w="1763"/>
              <w:gridCol w:w="1327"/>
              <w:gridCol w:w="1596"/>
              <w:gridCol w:w="12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exact"/>
                <w:jc w:val="center"/>
              </w:trPr>
              <w:tc>
                <w:tcPr>
                  <w:tcW w:w="250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hAnsi="宋体"/>
                      <w:color w:val="0000FF"/>
                      <w:sz w:val="21"/>
                      <w:szCs w:val="21"/>
                    </w:rPr>
                  </w:pPr>
                  <w:r>
                    <w:rPr>
                      <w:rFonts w:hint="eastAsia" w:hAnsi="宋体"/>
                      <w:color w:val="0000FF"/>
                      <w:sz w:val="21"/>
                      <w:szCs w:val="21"/>
                    </w:rPr>
                    <w:t>下风向距离</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sz w:val="21"/>
                      <w:szCs w:val="21"/>
                    </w:rPr>
                  </w:pPr>
                  <w:r>
                    <w:rPr>
                      <w:rFonts w:hAnsi="宋体"/>
                      <w:color w:val="0000FF"/>
                      <w:sz w:val="21"/>
                      <w:szCs w:val="21"/>
                    </w:rPr>
                    <w:t>/m</w:t>
                  </w:r>
                </w:p>
              </w:tc>
              <w:tc>
                <w:tcPr>
                  <w:tcW w:w="3090" w:type="dxa"/>
                  <w:gridSpan w:val="2"/>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sz w:val="21"/>
                      <w:szCs w:val="21"/>
                    </w:rPr>
                  </w:pPr>
                  <w:r>
                    <w:rPr>
                      <w:rFonts w:hAnsi="宋体"/>
                      <w:color w:val="0000FF"/>
                      <w:sz w:val="21"/>
                      <w:szCs w:val="21"/>
                    </w:rPr>
                    <w:t>非甲烷总烃</w:t>
                  </w:r>
                </w:p>
              </w:tc>
              <w:tc>
                <w:tcPr>
                  <w:tcW w:w="2867" w:type="dxa"/>
                  <w:gridSpan w:val="2"/>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sz w:val="21"/>
                      <w:szCs w:val="21"/>
                    </w:rPr>
                  </w:pPr>
                  <w:r>
                    <w:rPr>
                      <w:rFonts w:hAnsi="宋体"/>
                      <w:color w:val="0000FF"/>
                      <w:sz w:val="21"/>
                      <w:szCs w:val="21"/>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250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FF"/>
                      <w:sz w:val="21"/>
                      <w:szCs w:val="21"/>
                    </w:rPr>
                  </w:pPr>
                </w:p>
              </w:tc>
              <w:tc>
                <w:tcPr>
                  <w:tcW w:w="1763"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sz w:val="21"/>
                      <w:szCs w:val="21"/>
                    </w:rPr>
                  </w:pPr>
                  <w:r>
                    <w:rPr>
                      <w:rFonts w:hAnsi="宋体"/>
                      <w:color w:val="0000FF"/>
                      <w:sz w:val="21"/>
                      <w:szCs w:val="21"/>
                    </w:rPr>
                    <w:t>预测质量浓度</w:t>
                  </w:r>
                  <w:r>
                    <w:rPr>
                      <w:color w:val="0000FF"/>
                      <w:sz w:val="21"/>
                      <w:szCs w:val="21"/>
                    </w:rPr>
                    <w:t>/(μg/m</w:t>
                  </w:r>
                  <w:r>
                    <w:rPr>
                      <w:color w:val="0000FF"/>
                      <w:sz w:val="21"/>
                      <w:szCs w:val="21"/>
                      <w:vertAlign w:val="superscript"/>
                    </w:rPr>
                    <w:t>3</w:t>
                  </w:r>
                  <w:r>
                    <w:rPr>
                      <w:color w:val="0000FF"/>
                      <w:sz w:val="21"/>
                      <w:szCs w:val="21"/>
                    </w:rPr>
                    <w:t>)</w:t>
                  </w:r>
                </w:p>
              </w:tc>
              <w:tc>
                <w:tcPr>
                  <w:tcW w:w="1327"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sz w:val="21"/>
                      <w:szCs w:val="21"/>
                    </w:rPr>
                  </w:pPr>
                  <w:r>
                    <w:rPr>
                      <w:rFonts w:hAnsi="宋体"/>
                      <w:color w:val="0000FF"/>
                      <w:sz w:val="21"/>
                      <w:szCs w:val="21"/>
                    </w:rPr>
                    <w:t>占标率</w:t>
                  </w:r>
                  <w:r>
                    <w:rPr>
                      <w:color w:val="0000FF"/>
                      <w:sz w:val="21"/>
                      <w:szCs w:val="21"/>
                    </w:rPr>
                    <w:t>/%</w:t>
                  </w:r>
                </w:p>
              </w:tc>
              <w:tc>
                <w:tcPr>
                  <w:tcW w:w="1596"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sz w:val="21"/>
                      <w:szCs w:val="21"/>
                    </w:rPr>
                  </w:pPr>
                  <w:r>
                    <w:rPr>
                      <w:rFonts w:hAnsi="宋体"/>
                      <w:color w:val="0000FF"/>
                      <w:sz w:val="21"/>
                      <w:szCs w:val="21"/>
                    </w:rPr>
                    <w:t>预测质量浓度</w:t>
                  </w:r>
                  <w:r>
                    <w:rPr>
                      <w:color w:val="0000FF"/>
                      <w:sz w:val="21"/>
                      <w:szCs w:val="21"/>
                    </w:rPr>
                    <w:t>/(μg/m</w:t>
                  </w:r>
                  <w:r>
                    <w:rPr>
                      <w:color w:val="0000FF"/>
                      <w:sz w:val="21"/>
                      <w:szCs w:val="21"/>
                      <w:vertAlign w:val="superscript"/>
                    </w:rPr>
                    <w:t>3</w:t>
                  </w:r>
                  <w:r>
                    <w:rPr>
                      <w:color w:val="0000FF"/>
                      <w:sz w:val="21"/>
                      <w:szCs w:val="21"/>
                    </w:rPr>
                    <w:t>)</w:t>
                  </w:r>
                </w:p>
              </w:tc>
              <w:tc>
                <w:tcPr>
                  <w:tcW w:w="127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sz w:val="21"/>
                      <w:szCs w:val="21"/>
                    </w:rPr>
                  </w:pPr>
                  <w:r>
                    <w:rPr>
                      <w:rFonts w:hAnsi="宋体"/>
                      <w:color w:val="0000FF"/>
                      <w:sz w:val="21"/>
                      <w:szCs w:val="21"/>
                    </w:rPr>
                    <w:t>占标率</w:t>
                  </w:r>
                  <w:r>
                    <w:rPr>
                      <w:color w:val="0000FF"/>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exact"/>
                <w:jc w:val="center"/>
              </w:trPr>
              <w:tc>
                <w:tcPr>
                  <w:tcW w:w="250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sz w:val="21"/>
                      <w:szCs w:val="21"/>
                    </w:rPr>
                  </w:pPr>
                  <w:r>
                    <w:rPr>
                      <w:color w:val="0000FF"/>
                      <w:sz w:val="21"/>
                      <w:szCs w:val="21"/>
                    </w:rPr>
                    <w:t>10</w:t>
                  </w:r>
                </w:p>
              </w:tc>
              <w:tc>
                <w:tcPr>
                  <w:tcW w:w="1763"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sz w:val="21"/>
                      <w:szCs w:val="21"/>
                    </w:rPr>
                  </w:pPr>
                  <w:r>
                    <w:rPr>
                      <w:rFonts w:hint="eastAsia"/>
                      <w:color w:val="0000FF"/>
                    </w:rPr>
                    <w:t>3.627E-10</w:t>
                  </w:r>
                </w:p>
              </w:tc>
              <w:tc>
                <w:tcPr>
                  <w:tcW w:w="1327"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sz w:val="21"/>
                      <w:szCs w:val="21"/>
                    </w:rPr>
                  </w:pPr>
                  <w:r>
                    <w:rPr>
                      <w:rFonts w:hint="eastAsia"/>
                      <w:color w:val="0000FF"/>
                    </w:rPr>
                    <w:t>0.00</w:t>
                  </w:r>
                </w:p>
              </w:tc>
              <w:tc>
                <w:tcPr>
                  <w:tcW w:w="1596"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sz w:val="21"/>
                      <w:szCs w:val="21"/>
                    </w:rPr>
                  </w:pPr>
                  <w:r>
                    <w:rPr>
                      <w:rFonts w:hint="eastAsia"/>
                      <w:color w:val="0000FF"/>
                      <w:sz w:val="21"/>
                      <w:szCs w:val="21"/>
                    </w:rPr>
                    <w:t>4.576E-10</w:t>
                  </w:r>
                </w:p>
              </w:tc>
              <w:tc>
                <w:tcPr>
                  <w:tcW w:w="127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sz w:val="21"/>
                      <w:szCs w:val="21"/>
                    </w:rPr>
                  </w:pPr>
                  <w:r>
                    <w:rPr>
                      <w:rFonts w:hint="eastAsia"/>
                      <w:color w:val="0000FF"/>
                      <w:sz w:val="21"/>
                      <w:szCs w:val="21"/>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exact"/>
                <w:jc w:val="center"/>
              </w:trPr>
              <w:tc>
                <w:tcPr>
                  <w:tcW w:w="250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sz w:val="21"/>
                      <w:szCs w:val="21"/>
                    </w:rPr>
                  </w:pPr>
                  <w:r>
                    <w:rPr>
                      <w:color w:val="0000FF"/>
                      <w:sz w:val="21"/>
                      <w:szCs w:val="21"/>
                    </w:rPr>
                    <w:t>100</w:t>
                  </w:r>
                </w:p>
              </w:tc>
              <w:tc>
                <w:tcPr>
                  <w:tcW w:w="1763"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sz w:val="21"/>
                      <w:szCs w:val="21"/>
                    </w:rPr>
                  </w:pPr>
                  <w:r>
                    <w:rPr>
                      <w:rFonts w:hint="eastAsia"/>
                      <w:color w:val="0000FF"/>
                    </w:rPr>
                    <w:t>0.0009448</w:t>
                  </w:r>
                </w:p>
              </w:tc>
              <w:tc>
                <w:tcPr>
                  <w:tcW w:w="1327"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sz w:val="21"/>
                      <w:szCs w:val="21"/>
                    </w:rPr>
                  </w:pPr>
                  <w:r>
                    <w:rPr>
                      <w:rFonts w:hint="eastAsia"/>
                      <w:color w:val="0000FF"/>
                    </w:rPr>
                    <w:t>0.08</w:t>
                  </w:r>
                </w:p>
              </w:tc>
              <w:tc>
                <w:tcPr>
                  <w:tcW w:w="1596"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sz w:val="21"/>
                      <w:szCs w:val="21"/>
                    </w:rPr>
                  </w:pPr>
                  <w:r>
                    <w:rPr>
                      <w:rFonts w:hint="eastAsia"/>
                      <w:color w:val="0000FF"/>
                      <w:sz w:val="21"/>
                      <w:szCs w:val="21"/>
                    </w:rPr>
                    <w:t>0.001192</w:t>
                  </w:r>
                </w:p>
              </w:tc>
              <w:tc>
                <w:tcPr>
                  <w:tcW w:w="127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sz w:val="21"/>
                      <w:szCs w:val="21"/>
                    </w:rPr>
                  </w:pPr>
                  <w:r>
                    <w:rPr>
                      <w:rFonts w:hint="eastAsia"/>
                      <w:color w:val="0000FF"/>
                      <w:sz w:val="21"/>
                      <w:szCs w:val="21"/>
                    </w:rPr>
                    <w:t>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exact"/>
                <w:jc w:val="center"/>
              </w:trPr>
              <w:tc>
                <w:tcPr>
                  <w:tcW w:w="250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sz w:val="21"/>
                      <w:szCs w:val="21"/>
                    </w:rPr>
                  </w:pPr>
                  <w:r>
                    <w:rPr>
                      <w:color w:val="0000FF"/>
                      <w:sz w:val="21"/>
                      <w:szCs w:val="21"/>
                    </w:rPr>
                    <w:t>200</w:t>
                  </w:r>
                </w:p>
              </w:tc>
              <w:tc>
                <w:tcPr>
                  <w:tcW w:w="1763"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sz w:val="21"/>
                      <w:szCs w:val="21"/>
                    </w:rPr>
                  </w:pPr>
                  <w:r>
                    <w:rPr>
                      <w:rFonts w:hint="eastAsia"/>
                      <w:color w:val="0000FF"/>
                      <w:sz w:val="21"/>
                      <w:szCs w:val="21"/>
                    </w:rPr>
                    <w:t>0.0009448</w:t>
                  </w:r>
                </w:p>
              </w:tc>
              <w:tc>
                <w:tcPr>
                  <w:tcW w:w="1327"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sz w:val="21"/>
                      <w:szCs w:val="21"/>
                    </w:rPr>
                  </w:pPr>
                  <w:r>
                    <w:rPr>
                      <w:rFonts w:hint="eastAsia"/>
                      <w:color w:val="0000FF"/>
                    </w:rPr>
                    <w:t>0.12</w:t>
                  </w:r>
                </w:p>
              </w:tc>
              <w:tc>
                <w:tcPr>
                  <w:tcW w:w="1596"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sz w:val="21"/>
                      <w:szCs w:val="21"/>
                    </w:rPr>
                  </w:pPr>
                  <w:r>
                    <w:rPr>
                      <w:rFonts w:hint="eastAsia"/>
                      <w:color w:val="0000FF"/>
                      <w:sz w:val="21"/>
                      <w:szCs w:val="21"/>
                    </w:rPr>
                    <w:t>0.001836</w:t>
                  </w:r>
                </w:p>
              </w:tc>
              <w:tc>
                <w:tcPr>
                  <w:tcW w:w="127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sz w:val="21"/>
                      <w:szCs w:val="21"/>
                    </w:rPr>
                  </w:pPr>
                  <w:r>
                    <w:rPr>
                      <w:rFonts w:hint="eastAsia"/>
                      <w:color w:val="0000FF"/>
                    </w:rPr>
                    <w:t>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exact"/>
                <w:jc w:val="center"/>
              </w:trPr>
              <w:tc>
                <w:tcPr>
                  <w:tcW w:w="250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sz w:val="21"/>
                      <w:szCs w:val="21"/>
                    </w:rPr>
                  </w:pPr>
                  <w:r>
                    <w:rPr>
                      <w:color w:val="0000FF"/>
                      <w:sz w:val="21"/>
                      <w:szCs w:val="21"/>
                    </w:rPr>
                    <w:t>300</w:t>
                  </w:r>
                </w:p>
              </w:tc>
              <w:tc>
                <w:tcPr>
                  <w:tcW w:w="1763"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sz w:val="21"/>
                      <w:szCs w:val="21"/>
                    </w:rPr>
                  </w:pPr>
                  <w:r>
                    <w:rPr>
                      <w:rFonts w:hint="eastAsia"/>
                      <w:color w:val="0000FF"/>
                    </w:rPr>
                    <w:t>0.001455</w:t>
                  </w:r>
                </w:p>
              </w:tc>
              <w:tc>
                <w:tcPr>
                  <w:tcW w:w="1327"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sz w:val="21"/>
                      <w:szCs w:val="21"/>
                    </w:rPr>
                  </w:pPr>
                  <w:r>
                    <w:rPr>
                      <w:rFonts w:hint="eastAsia"/>
                      <w:color w:val="0000FF"/>
                    </w:rPr>
                    <w:t>0.11</w:t>
                  </w:r>
                </w:p>
              </w:tc>
              <w:tc>
                <w:tcPr>
                  <w:tcW w:w="1596"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sz w:val="21"/>
                      <w:szCs w:val="21"/>
                    </w:rPr>
                  </w:pPr>
                  <w:r>
                    <w:rPr>
                      <w:rFonts w:hint="eastAsia"/>
                      <w:color w:val="0000FF"/>
                      <w:sz w:val="21"/>
                      <w:szCs w:val="21"/>
                    </w:rPr>
                    <w:t>0.001602</w:t>
                  </w:r>
                </w:p>
              </w:tc>
              <w:tc>
                <w:tcPr>
                  <w:tcW w:w="127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sz w:val="21"/>
                      <w:szCs w:val="21"/>
                    </w:rPr>
                  </w:pPr>
                  <w:r>
                    <w:rPr>
                      <w:rFonts w:hint="eastAsia"/>
                      <w:color w:val="0000FF"/>
                    </w:rPr>
                    <w:t>0.13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exact"/>
                <w:jc w:val="center"/>
              </w:trPr>
              <w:tc>
                <w:tcPr>
                  <w:tcW w:w="250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FF"/>
                      <w:sz w:val="21"/>
                      <w:szCs w:val="21"/>
                      <w:lang w:val="en-US" w:eastAsia="zh-CN"/>
                    </w:rPr>
                  </w:pPr>
                  <w:r>
                    <w:rPr>
                      <w:rFonts w:hint="eastAsia"/>
                      <w:color w:val="0000FF"/>
                      <w:sz w:val="21"/>
                      <w:szCs w:val="21"/>
                      <w:lang w:val="en-US" w:eastAsia="zh-CN"/>
                    </w:rPr>
                    <w:t>400</w:t>
                  </w:r>
                </w:p>
              </w:tc>
              <w:tc>
                <w:tcPr>
                  <w:tcW w:w="1763"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sz w:val="21"/>
                      <w:szCs w:val="21"/>
                    </w:rPr>
                  </w:pPr>
                  <w:r>
                    <w:rPr>
                      <w:rFonts w:hint="eastAsia"/>
                      <w:color w:val="0000FF"/>
                    </w:rPr>
                    <w:t>0.00127</w:t>
                  </w:r>
                </w:p>
              </w:tc>
              <w:tc>
                <w:tcPr>
                  <w:tcW w:w="1327"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sz w:val="21"/>
                      <w:szCs w:val="21"/>
                    </w:rPr>
                  </w:pPr>
                  <w:r>
                    <w:rPr>
                      <w:rFonts w:hint="eastAsia"/>
                      <w:color w:val="0000FF"/>
                    </w:rPr>
                    <w:t>0.09</w:t>
                  </w:r>
                </w:p>
              </w:tc>
              <w:tc>
                <w:tcPr>
                  <w:tcW w:w="1596"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sz w:val="21"/>
                      <w:szCs w:val="21"/>
                    </w:rPr>
                  </w:pPr>
                  <w:r>
                    <w:rPr>
                      <w:rFonts w:hint="eastAsia"/>
                      <w:color w:val="0000FF"/>
                      <w:sz w:val="21"/>
                      <w:szCs w:val="21"/>
                    </w:rPr>
                    <w:t>0.001309</w:t>
                  </w:r>
                </w:p>
              </w:tc>
              <w:tc>
                <w:tcPr>
                  <w:tcW w:w="127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sz w:val="21"/>
                      <w:szCs w:val="21"/>
                    </w:rPr>
                  </w:pPr>
                  <w:r>
                    <w:rPr>
                      <w:rFonts w:hint="eastAsia"/>
                      <w:color w:val="0000FF"/>
                    </w:rPr>
                    <w:t>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exact"/>
                <w:jc w:val="center"/>
              </w:trPr>
              <w:tc>
                <w:tcPr>
                  <w:tcW w:w="250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sz w:val="21"/>
                      <w:szCs w:val="21"/>
                    </w:rPr>
                  </w:pPr>
                  <w:r>
                    <w:rPr>
                      <w:color w:val="0000FF"/>
                      <w:sz w:val="21"/>
                      <w:szCs w:val="21"/>
                    </w:rPr>
                    <w:t>500</w:t>
                  </w:r>
                </w:p>
              </w:tc>
              <w:tc>
                <w:tcPr>
                  <w:tcW w:w="1763"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sz w:val="21"/>
                      <w:szCs w:val="21"/>
                    </w:rPr>
                  </w:pPr>
                  <w:r>
                    <w:rPr>
                      <w:rFonts w:hint="eastAsia"/>
                      <w:color w:val="0000FF"/>
                    </w:rPr>
                    <w:t>0.001038</w:t>
                  </w:r>
                </w:p>
              </w:tc>
              <w:tc>
                <w:tcPr>
                  <w:tcW w:w="1327"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sz w:val="21"/>
                      <w:szCs w:val="21"/>
                    </w:rPr>
                  </w:pPr>
                  <w:r>
                    <w:rPr>
                      <w:rFonts w:hint="eastAsia"/>
                      <w:color w:val="0000FF"/>
                    </w:rPr>
                    <w:t>0.07</w:t>
                  </w:r>
                </w:p>
              </w:tc>
              <w:tc>
                <w:tcPr>
                  <w:tcW w:w="1596"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sz w:val="21"/>
                      <w:szCs w:val="21"/>
                    </w:rPr>
                  </w:pPr>
                  <w:r>
                    <w:rPr>
                      <w:rFonts w:hint="eastAsia"/>
                      <w:color w:val="0000FF"/>
                      <w:sz w:val="21"/>
                      <w:szCs w:val="21"/>
                    </w:rPr>
                    <w:t>0.001013</w:t>
                  </w:r>
                </w:p>
              </w:tc>
              <w:tc>
                <w:tcPr>
                  <w:tcW w:w="127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sz w:val="21"/>
                      <w:szCs w:val="21"/>
                    </w:rPr>
                  </w:pPr>
                  <w:r>
                    <w:rPr>
                      <w:rFonts w:hint="eastAsia"/>
                      <w:color w:val="0000FF"/>
                    </w:rPr>
                    <w:t>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exact"/>
                <w:jc w:val="center"/>
              </w:trPr>
              <w:tc>
                <w:tcPr>
                  <w:tcW w:w="250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sz w:val="21"/>
                      <w:szCs w:val="21"/>
                    </w:rPr>
                  </w:pPr>
                  <w:r>
                    <w:rPr>
                      <w:color w:val="0000FF"/>
                      <w:sz w:val="21"/>
                      <w:szCs w:val="21"/>
                    </w:rPr>
                    <w:t>800</w:t>
                  </w:r>
                </w:p>
              </w:tc>
              <w:tc>
                <w:tcPr>
                  <w:tcW w:w="1763"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sz w:val="21"/>
                      <w:szCs w:val="21"/>
                    </w:rPr>
                  </w:pPr>
                  <w:r>
                    <w:rPr>
                      <w:rFonts w:hint="eastAsia"/>
                      <w:color w:val="0000FF"/>
                      <w:sz w:val="21"/>
                      <w:szCs w:val="21"/>
                    </w:rPr>
                    <w:t>0.0007324</w:t>
                  </w:r>
                </w:p>
              </w:tc>
              <w:tc>
                <w:tcPr>
                  <w:tcW w:w="1327"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FF"/>
                      <w:sz w:val="21"/>
                      <w:szCs w:val="21"/>
                      <w:lang w:val="en-US" w:eastAsia="zh-CN"/>
                    </w:rPr>
                  </w:pPr>
                  <w:r>
                    <w:rPr>
                      <w:rFonts w:hint="eastAsia"/>
                      <w:color w:val="0000FF"/>
                      <w:sz w:val="21"/>
                      <w:szCs w:val="21"/>
                      <w:lang w:val="en-US" w:eastAsia="zh-CN"/>
                    </w:rPr>
                    <w:t>0.06</w:t>
                  </w:r>
                </w:p>
              </w:tc>
              <w:tc>
                <w:tcPr>
                  <w:tcW w:w="1596"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sz w:val="21"/>
                      <w:szCs w:val="21"/>
                    </w:rPr>
                  </w:pPr>
                  <w:r>
                    <w:rPr>
                      <w:rFonts w:hint="eastAsia"/>
                      <w:color w:val="0000FF"/>
                      <w:sz w:val="21"/>
                      <w:szCs w:val="21"/>
                    </w:rPr>
                    <w:t>0.000924</w:t>
                  </w:r>
                </w:p>
              </w:tc>
              <w:tc>
                <w:tcPr>
                  <w:tcW w:w="127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sz w:val="21"/>
                      <w:szCs w:val="21"/>
                    </w:rPr>
                  </w:pPr>
                  <w:r>
                    <w:rPr>
                      <w:rFonts w:hint="eastAsia"/>
                      <w:color w:val="0000FF"/>
                      <w:sz w:val="21"/>
                      <w:szCs w:val="21"/>
                    </w:rPr>
                    <w:t>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exact"/>
                <w:jc w:val="center"/>
              </w:trPr>
              <w:tc>
                <w:tcPr>
                  <w:tcW w:w="250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sz w:val="21"/>
                      <w:szCs w:val="21"/>
                    </w:rPr>
                  </w:pPr>
                  <w:r>
                    <w:rPr>
                      <w:color w:val="0000FF"/>
                      <w:sz w:val="21"/>
                      <w:szCs w:val="21"/>
                    </w:rPr>
                    <w:t>1000</w:t>
                  </w:r>
                </w:p>
              </w:tc>
              <w:tc>
                <w:tcPr>
                  <w:tcW w:w="1763"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sz w:val="21"/>
                      <w:szCs w:val="21"/>
                    </w:rPr>
                  </w:pPr>
                  <w:r>
                    <w:rPr>
                      <w:rFonts w:hint="eastAsia"/>
                      <w:color w:val="0000FF"/>
                      <w:sz w:val="21"/>
                      <w:szCs w:val="21"/>
                    </w:rPr>
                    <w:t>0.0006207</w:t>
                  </w:r>
                </w:p>
              </w:tc>
              <w:tc>
                <w:tcPr>
                  <w:tcW w:w="1327"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FF"/>
                      <w:sz w:val="21"/>
                      <w:szCs w:val="21"/>
                      <w:lang w:val="en-US" w:eastAsia="zh-CN"/>
                    </w:rPr>
                  </w:pPr>
                  <w:r>
                    <w:rPr>
                      <w:rFonts w:hint="eastAsia"/>
                      <w:color w:val="0000FF"/>
                      <w:sz w:val="21"/>
                      <w:szCs w:val="21"/>
                      <w:lang w:val="en-US" w:eastAsia="zh-CN"/>
                    </w:rPr>
                    <w:t>0.05</w:t>
                  </w:r>
                </w:p>
              </w:tc>
              <w:tc>
                <w:tcPr>
                  <w:tcW w:w="1596"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sz w:val="21"/>
                      <w:szCs w:val="21"/>
                    </w:rPr>
                  </w:pPr>
                  <w:r>
                    <w:rPr>
                      <w:rFonts w:hint="eastAsia"/>
                      <w:color w:val="0000FF"/>
                      <w:sz w:val="21"/>
                      <w:szCs w:val="21"/>
                    </w:rPr>
                    <w:t>0.0007832</w:t>
                  </w:r>
                </w:p>
              </w:tc>
              <w:tc>
                <w:tcPr>
                  <w:tcW w:w="127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sz w:val="21"/>
                      <w:szCs w:val="21"/>
                    </w:rPr>
                  </w:pPr>
                  <w:r>
                    <w:rPr>
                      <w:rFonts w:hint="eastAsia"/>
                      <w:color w:val="0000FF"/>
                      <w:sz w:val="21"/>
                      <w:szCs w:val="21"/>
                    </w:rPr>
                    <w:t>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exact"/>
                <w:jc w:val="center"/>
              </w:trPr>
              <w:tc>
                <w:tcPr>
                  <w:tcW w:w="250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sz w:val="21"/>
                      <w:szCs w:val="21"/>
                    </w:rPr>
                  </w:pPr>
                  <w:r>
                    <w:rPr>
                      <w:color w:val="0000FF"/>
                      <w:sz w:val="21"/>
                      <w:szCs w:val="21"/>
                    </w:rPr>
                    <w:t>1500</w:t>
                  </w:r>
                </w:p>
              </w:tc>
              <w:tc>
                <w:tcPr>
                  <w:tcW w:w="1763"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sz w:val="21"/>
                      <w:szCs w:val="21"/>
                    </w:rPr>
                  </w:pPr>
                  <w:r>
                    <w:rPr>
                      <w:rFonts w:hint="eastAsia"/>
                      <w:color w:val="0000FF"/>
                      <w:sz w:val="21"/>
                      <w:szCs w:val="21"/>
                    </w:rPr>
                    <w:t>0.0004145</w:t>
                  </w:r>
                </w:p>
              </w:tc>
              <w:tc>
                <w:tcPr>
                  <w:tcW w:w="1327"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FF"/>
                      <w:sz w:val="21"/>
                      <w:szCs w:val="21"/>
                      <w:lang w:val="en-US" w:eastAsia="zh-CN"/>
                    </w:rPr>
                  </w:pPr>
                  <w:r>
                    <w:rPr>
                      <w:rFonts w:hint="eastAsia"/>
                      <w:color w:val="0000FF"/>
                      <w:sz w:val="21"/>
                      <w:szCs w:val="21"/>
                      <w:lang w:val="en-US" w:eastAsia="zh-CN"/>
                    </w:rPr>
                    <w:t>0.03</w:t>
                  </w:r>
                </w:p>
              </w:tc>
              <w:tc>
                <w:tcPr>
                  <w:tcW w:w="1596"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sz w:val="21"/>
                      <w:szCs w:val="21"/>
                    </w:rPr>
                  </w:pPr>
                  <w:r>
                    <w:rPr>
                      <w:rFonts w:hint="eastAsia"/>
                      <w:color w:val="0000FF"/>
                      <w:sz w:val="21"/>
                      <w:szCs w:val="21"/>
                    </w:rPr>
                    <w:t>0.000523</w:t>
                  </w:r>
                </w:p>
              </w:tc>
              <w:tc>
                <w:tcPr>
                  <w:tcW w:w="127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sz w:val="21"/>
                      <w:szCs w:val="21"/>
                    </w:rPr>
                  </w:pPr>
                  <w:r>
                    <w:rPr>
                      <w:rFonts w:hint="eastAsia"/>
                      <w:color w:val="0000FF"/>
                      <w:sz w:val="21"/>
                      <w:szCs w:val="21"/>
                    </w:rPr>
                    <w:t>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exact"/>
                <w:jc w:val="center"/>
              </w:trPr>
              <w:tc>
                <w:tcPr>
                  <w:tcW w:w="250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sz w:val="21"/>
                      <w:szCs w:val="21"/>
                    </w:rPr>
                  </w:pPr>
                  <w:r>
                    <w:rPr>
                      <w:color w:val="0000FF"/>
                      <w:sz w:val="21"/>
                      <w:szCs w:val="21"/>
                    </w:rPr>
                    <w:t>2500</w:t>
                  </w:r>
                </w:p>
              </w:tc>
              <w:tc>
                <w:tcPr>
                  <w:tcW w:w="1763"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sz w:val="21"/>
                      <w:szCs w:val="21"/>
                    </w:rPr>
                  </w:pPr>
                  <w:r>
                    <w:rPr>
                      <w:rFonts w:hint="eastAsia"/>
                      <w:color w:val="0000FF"/>
                      <w:sz w:val="21"/>
                      <w:szCs w:val="21"/>
                    </w:rPr>
                    <w:t>0.0002311</w:t>
                  </w:r>
                </w:p>
              </w:tc>
              <w:tc>
                <w:tcPr>
                  <w:tcW w:w="1327"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FF"/>
                      <w:sz w:val="21"/>
                      <w:szCs w:val="21"/>
                      <w:lang w:val="en-US" w:eastAsia="zh-CN"/>
                    </w:rPr>
                  </w:pPr>
                  <w:r>
                    <w:rPr>
                      <w:rFonts w:hint="eastAsia"/>
                      <w:color w:val="0000FF"/>
                      <w:sz w:val="21"/>
                      <w:szCs w:val="21"/>
                      <w:lang w:val="en-US" w:eastAsia="zh-CN"/>
                    </w:rPr>
                    <w:t>0.02</w:t>
                  </w:r>
                </w:p>
              </w:tc>
              <w:tc>
                <w:tcPr>
                  <w:tcW w:w="1596"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sz w:val="21"/>
                      <w:szCs w:val="21"/>
                    </w:rPr>
                  </w:pPr>
                  <w:r>
                    <w:rPr>
                      <w:rFonts w:hint="eastAsia"/>
                      <w:color w:val="0000FF"/>
                      <w:sz w:val="21"/>
                      <w:szCs w:val="21"/>
                    </w:rPr>
                    <w:t>0.0002916</w:t>
                  </w:r>
                </w:p>
              </w:tc>
              <w:tc>
                <w:tcPr>
                  <w:tcW w:w="127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sz w:val="21"/>
                      <w:szCs w:val="21"/>
                    </w:rPr>
                  </w:pPr>
                  <w:r>
                    <w:rPr>
                      <w:rFonts w:hint="eastAsia"/>
                      <w:color w:val="0000FF"/>
                      <w:sz w:val="21"/>
                      <w:szCs w:val="21"/>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exact"/>
                <w:jc w:val="center"/>
              </w:trPr>
              <w:tc>
                <w:tcPr>
                  <w:tcW w:w="250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color w:val="0000FF"/>
                      <w:sz w:val="21"/>
                      <w:szCs w:val="21"/>
                    </w:rPr>
                  </w:pPr>
                  <w:r>
                    <w:rPr>
                      <w:rFonts w:hAnsi="宋体"/>
                      <w:b/>
                      <w:color w:val="0000FF"/>
                      <w:sz w:val="21"/>
                      <w:szCs w:val="21"/>
                    </w:rPr>
                    <w:t>最大值</w:t>
                  </w:r>
                </w:p>
              </w:tc>
              <w:tc>
                <w:tcPr>
                  <w:tcW w:w="1763"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color w:val="0000FF"/>
                      <w:sz w:val="21"/>
                      <w:szCs w:val="21"/>
                    </w:rPr>
                  </w:pPr>
                  <w:r>
                    <w:rPr>
                      <w:rFonts w:hint="eastAsia"/>
                      <w:b/>
                      <w:color w:val="0000FF"/>
                      <w:sz w:val="21"/>
                      <w:szCs w:val="21"/>
                    </w:rPr>
                    <w:t>0.001471</w:t>
                  </w:r>
                </w:p>
              </w:tc>
              <w:tc>
                <w:tcPr>
                  <w:tcW w:w="1327"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color w:val="0000FF"/>
                      <w:sz w:val="21"/>
                      <w:szCs w:val="21"/>
                      <w:lang w:val="en-US" w:eastAsia="zh-CN"/>
                    </w:rPr>
                  </w:pPr>
                  <w:r>
                    <w:rPr>
                      <w:rFonts w:hint="eastAsia"/>
                      <w:b/>
                      <w:color w:val="0000FF"/>
                      <w:sz w:val="21"/>
                      <w:szCs w:val="21"/>
                      <w:lang w:val="en-US" w:eastAsia="zh-CN"/>
                    </w:rPr>
                    <w:t>0.12</w:t>
                  </w:r>
                </w:p>
              </w:tc>
              <w:tc>
                <w:tcPr>
                  <w:tcW w:w="1596"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color w:val="0000FF"/>
                      <w:sz w:val="21"/>
                      <w:szCs w:val="21"/>
                    </w:rPr>
                  </w:pPr>
                  <w:r>
                    <w:rPr>
                      <w:rFonts w:hint="eastAsia"/>
                      <w:b/>
                      <w:color w:val="0000FF"/>
                      <w:sz w:val="21"/>
                      <w:szCs w:val="21"/>
                    </w:rPr>
                    <w:t>0.001856</w:t>
                  </w:r>
                </w:p>
              </w:tc>
              <w:tc>
                <w:tcPr>
                  <w:tcW w:w="127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color w:val="0000FF"/>
                      <w:sz w:val="21"/>
                      <w:szCs w:val="21"/>
                    </w:rPr>
                  </w:pPr>
                  <w:r>
                    <w:rPr>
                      <w:rFonts w:hint="eastAsia"/>
                      <w:b/>
                      <w:color w:val="0000FF"/>
                      <w:sz w:val="21"/>
                      <w:szCs w:val="21"/>
                    </w:rPr>
                    <w:t>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exact"/>
                <w:jc w:val="center"/>
              </w:trPr>
              <w:tc>
                <w:tcPr>
                  <w:tcW w:w="250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color w:val="0000FF"/>
                      <w:sz w:val="21"/>
                      <w:szCs w:val="21"/>
                    </w:rPr>
                  </w:pPr>
                  <w:r>
                    <w:rPr>
                      <w:rFonts w:hAnsi="宋体"/>
                      <w:b/>
                      <w:color w:val="0000FF"/>
                      <w:sz w:val="21"/>
                      <w:szCs w:val="21"/>
                    </w:rPr>
                    <w:t>最大值出现距离</w:t>
                  </w:r>
                  <w:r>
                    <w:rPr>
                      <w:b/>
                      <w:color w:val="0000FF"/>
                      <w:sz w:val="21"/>
                      <w:szCs w:val="21"/>
                    </w:rPr>
                    <w:t>/m</w:t>
                  </w:r>
                </w:p>
              </w:tc>
              <w:tc>
                <w:tcPr>
                  <w:tcW w:w="5957" w:type="dxa"/>
                  <w:gridSpan w:val="4"/>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color w:val="0000FF"/>
                      <w:sz w:val="21"/>
                      <w:szCs w:val="21"/>
                    </w:rPr>
                  </w:pPr>
                  <w:r>
                    <w:rPr>
                      <w:rFonts w:hint="eastAsia"/>
                      <w:b/>
                      <w:color w:val="0000FF"/>
                      <w:sz w:val="21"/>
                      <w:szCs w:val="21"/>
                    </w:rPr>
                    <w:t>185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exact"/>
                <w:jc w:val="center"/>
              </w:trPr>
              <w:tc>
                <w:tcPr>
                  <w:tcW w:w="250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color w:val="0000FF"/>
                      <w:sz w:val="21"/>
                      <w:szCs w:val="21"/>
                    </w:rPr>
                  </w:pPr>
                  <w:r>
                    <w:rPr>
                      <w:b/>
                      <w:color w:val="0000FF"/>
                      <w:sz w:val="21"/>
                      <w:szCs w:val="21"/>
                    </w:rPr>
                    <w:t>D10%</w:t>
                  </w:r>
                  <w:r>
                    <w:rPr>
                      <w:rFonts w:hAnsi="宋体"/>
                      <w:b/>
                      <w:color w:val="0000FF"/>
                      <w:sz w:val="21"/>
                      <w:szCs w:val="21"/>
                    </w:rPr>
                    <w:t>最远距离</w:t>
                  </w:r>
                  <w:r>
                    <w:rPr>
                      <w:b/>
                      <w:color w:val="0000FF"/>
                      <w:sz w:val="21"/>
                      <w:szCs w:val="21"/>
                    </w:rPr>
                    <w:t>/m</w:t>
                  </w:r>
                </w:p>
              </w:tc>
              <w:tc>
                <w:tcPr>
                  <w:tcW w:w="5957" w:type="dxa"/>
                  <w:gridSpan w:val="4"/>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color w:val="0000FF"/>
                      <w:sz w:val="21"/>
                      <w:szCs w:val="21"/>
                      <w:lang w:val="en-US" w:eastAsia="zh-CN"/>
                    </w:rPr>
                  </w:pPr>
                  <w:r>
                    <w:rPr>
                      <w:rFonts w:hint="eastAsia"/>
                      <w:b/>
                      <w:color w:val="0000FF"/>
                      <w:sz w:val="21"/>
                      <w:szCs w:val="21"/>
                      <w:lang w:val="en-US" w:eastAsia="zh-CN"/>
                    </w:rPr>
                    <w:t>未出现</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cs="Times New Roman"/>
                <w:b/>
                <w:bCs/>
                <w:color w:val="auto"/>
                <w:kern w:val="2"/>
                <w:sz w:val="24"/>
                <w:szCs w:val="24"/>
                <w:highlight w:val="none"/>
                <w:lang w:val="en-US" w:eastAsia="zh-CN" w:bidi="ar-SA"/>
              </w:rPr>
            </w:pPr>
          </w:p>
          <w:p>
            <w:pPr>
              <w:spacing w:line="360" w:lineRule="auto"/>
              <w:ind w:firstLine="480"/>
              <w:rPr>
                <w:color w:val="auto"/>
                <w:sz w:val="24"/>
                <w:highlight w:val="none"/>
              </w:rPr>
            </w:pPr>
          </w:p>
        </w:tc>
      </w:tr>
    </w:tbl>
    <w:p>
      <w:pPr>
        <w:rPr>
          <w:rFonts w:ascii="宋体" w:cs="宋体"/>
          <w:b/>
          <w:color w:val="auto"/>
          <w:kern w:val="0"/>
          <w:sz w:val="28"/>
          <w:szCs w:val="28"/>
          <w:highlight w:val="none"/>
        </w:rPr>
      </w:pPr>
      <w:r>
        <w:rPr>
          <w:rFonts w:ascii="宋体" w:cs="宋体"/>
          <w:b/>
          <w:color w:val="auto"/>
          <w:kern w:val="0"/>
          <w:sz w:val="28"/>
          <w:szCs w:val="28"/>
          <w:highlight w:val="none"/>
        </w:rPr>
        <w:br w:type="page"/>
      </w:r>
    </w:p>
    <w:p>
      <w:pPr>
        <w:pStyle w:val="2"/>
        <w:sectPr>
          <w:pgSz w:w="11907" w:h="16840"/>
          <w:pgMar w:top="1134" w:right="1531" w:bottom="1134"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
        <w:gridCol w:w="14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7" w:hRule="atLeast"/>
        </w:trPr>
        <w:tc>
          <w:tcPr>
            <w:tcW w:w="419" w:type="dxa"/>
          </w:tcPr>
          <w:p>
            <w:pPr>
              <w:pStyle w:val="2"/>
              <w:keepNext w:val="0"/>
              <w:keepLines w:val="0"/>
              <w:pageBreakBefore w:val="0"/>
              <w:widowControl w:val="0"/>
              <w:kinsoku/>
              <w:wordWrap/>
              <w:overflowPunct/>
              <w:topLinePunct w:val="0"/>
              <w:bidi w:val="0"/>
              <w:adjustRightInd w:val="0"/>
              <w:snapToGrid w:val="0"/>
              <w:spacing w:line="240" w:lineRule="auto"/>
              <w:textAlignment w:val="auto"/>
              <w:rPr>
                <w:vertAlign w:val="baseline"/>
              </w:rPr>
            </w:pPr>
          </w:p>
        </w:tc>
        <w:tc>
          <w:tcPr>
            <w:tcW w:w="14369" w:type="dxa"/>
          </w:tcPr>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0" w:firstLineChars="0"/>
              <w:jc w:val="center"/>
              <w:textAlignment w:val="auto"/>
              <w:rPr>
                <w:rFonts w:hint="eastAsia" w:ascii="Times New Roman" w:hAnsi="Times New Roman" w:eastAsia="宋体" w:cs="Times New Roman"/>
                <w:b/>
                <w:bCs/>
                <w:color w:val="0000FF"/>
                <w:kern w:val="0"/>
                <w:sz w:val="24"/>
                <w:szCs w:val="24"/>
                <w:highlight w:val="none"/>
                <w:lang w:val="en-US" w:eastAsia="zh-CN" w:bidi="ar"/>
              </w:rPr>
            </w:pPr>
            <w:r>
              <w:rPr>
                <w:rFonts w:hint="eastAsia" w:ascii="Times New Roman" w:hAnsi="Times New Roman" w:eastAsia="宋体" w:cs="Times New Roman"/>
                <w:b/>
                <w:bCs/>
                <w:color w:val="0000FF"/>
                <w:kern w:val="0"/>
                <w:sz w:val="24"/>
                <w:szCs w:val="24"/>
                <w:highlight w:val="none"/>
                <w:lang w:val="en-US" w:eastAsia="zh-CN" w:bidi="ar"/>
              </w:rPr>
              <w:t>表4.2-1</w:t>
            </w:r>
            <w:r>
              <w:rPr>
                <w:rFonts w:hint="eastAsia" w:ascii="Times New Roman" w:hAnsi="Times New Roman" w:cs="Times New Roman"/>
                <w:b/>
                <w:bCs/>
                <w:color w:val="0000FF"/>
                <w:kern w:val="0"/>
                <w:sz w:val="24"/>
                <w:szCs w:val="24"/>
                <w:highlight w:val="none"/>
                <w:lang w:val="en-US" w:eastAsia="zh-CN" w:bidi="ar"/>
              </w:rPr>
              <w:t>3</w:t>
            </w:r>
            <w:r>
              <w:rPr>
                <w:rFonts w:hint="eastAsia" w:ascii="Times New Roman" w:hAnsi="Times New Roman" w:eastAsia="宋体" w:cs="Times New Roman"/>
                <w:b/>
                <w:bCs/>
                <w:color w:val="0000FF"/>
                <w:kern w:val="0"/>
                <w:sz w:val="24"/>
                <w:szCs w:val="24"/>
                <w:highlight w:val="none"/>
                <w:lang w:val="en-US" w:eastAsia="zh-CN" w:bidi="ar"/>
              </w:rPr>
              <w:t xml:space="preserve">  有组织预测结果</w:t>
            </w:r>
          </w:p>
          <w:tbl>
            <w:tblPr>
              <w:tblStyle w:val="29"/>
              <w:tblW w:w="1426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71"/>
              <w:gridCol w:w="917"/>
              <w:gridCol w:w="544"/>
              <w:gridCol w:w="1005"/>
              <w:gridCol w:w="615"/>
              <w:gridCol w:w="1039"/>
              <w:gridCol w:w="539"/>
              <w:gridCol w:w="912"/>
              <w:gridCol w:w="569"/>
              <w:gridCol w:w="828"/>
              <w:gridCol w:w="637"/>
              <w:gridCol w:w="813"/>
              <w:gridCol w:w="667"/>
              <w:gridCol w:w="924"/>
              <w:gridCol w:w="498"/>
              <w:gridCol w:w="1079"/>
              <w:gridCol w:w="713"/>
              <w:gridCol w:w="849"/>
              <w:gridCol w:w="4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8" w:hRule="atLeast"/>
                <w:jc w:val="center"/>
              </w:trPr>
              <w:tc>
                <w:tcPr>
                  <w:tcW w:w="671" w:type="dxa"/>
                  <w:vMerge w:val="restart"/>
                  <w:tcBorders>
                    <w:tl2br w:val="nil"/>
                    <w:tr2bl w:val="nil"/>
                  </w:tcBorders>
                  <w:vAlign w:val="center"/>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0000FF"/>
                      <w:sz w:val="21"/>
                      <w:szCs w:val="21"/>
                      <w:vertAlign w:val="baseline"/>
                      <w:lang w:val="en-US" w:eastAsia="zh-CN"/>
                    </w:rPr>
                    <w:t>下风向距离</w:t>
                  </w:r>
                </w:p>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0000FF"/>
                      <w:sz w:val="21"/>
                      <w:szCs w:val="21"/>
                      <w:vertAlign w:val="baseline"/>
                      <w:lang w:val="en-US" w:eastAsia="zh-CN"/>
                    </w:rPr>
                    <w:t>/m</w:t>
                  </w:r>
                </w:p>
              </w:tc>
              <w:tc>
                <w:tcPr>
                  <w:tcW w:w="3081" w:type="dxa"/>
                  <w:gridSpan w:val="4"/>
                  <w:tcBorders>
                    <w:tl2br w:val="nil"/>
                    <w:tr2bl w:val="nil"/>
                  </w:tcBorders>
                  <w:vAlign w:val="center"/>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FF"/>
                      <w:sz w:val="21"/>
                      <w:szCs w:val="21"/>
                      <w:vertAlign w:val="baseline"/>
                    </w:rPr>
                  </w:pPr>
                  <w:r>
                    <w:rPr>
                      <w:rFonts w:hint="default" w:ascii="Times New Roman" w:hAnsi="Times New Roman" w:eastAsia="宋体" w:cs="Times New Roman"/>
                      <w:color w:val="0000FF"/>
                      <w:sz w:val="21"/>
                      <w:szCs w:val="21"/>
                      <w:vertAlign w:val="baseline"/>
                      <w:lang w:val="en-US" w:eastAsia="zh-CN"/>
                    </w:rPr>
                    <w:t>1#排气筒</w:t>
                  </w:r>
                </w:p>
              </w:tc>
              <w:tc>
                <w:tcPr>
                  <w:tcW w:w="3059" w:type="dxa"/>
                  <w:gridSpan w:val="4"/>
                  <w:tcBorders>
                    <w:tl2br w:val="nil"/>
                    <w:tr2bl w:val="nil"/>
                  </w:tcBorders>
                  <w:vAlign w:val="center"/>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FF"/>
                      <w:sz w:val="21"/>
                      <w:szCs w:val="21"/>
                      <w:vertAlign w:val="baseline"/>
                    </w:rPr>
                  </w:pPr>
                  <w:r>
                    <w:rPr>
                      <w:rFonts w:hint="default" w:ascii="Times New Roman" w:hAnsi="Times New Roman" w:eastAsia="宋体" w:cs="Times New Roman"/>
                      <w:color w:val="0000FF"/>
                      <w:sz w:val="21"/>
                      <w:szCs w:val="21"/>
                      <w:vertAlign w:val="baseline"/>
                      <w:lang w:val="en-US" w:eastAsia="zh-CN"/>
                    </w:rPr>
                    <w:t>2#排气筒</w:t>
                  </w:r>
                </w:p>
              </w:tc>
              <w:tc>
                <w:tcPr>
                  <w:tcW w:w="1465" w:type="dxa"/>
                  <w:gridSpan w:val="2"/>
                  <w:tcBorders>
                    <w:tl2br w:val="nil"/>
                    <w:tr2bl w:val="nil"/>
                  </w:tcBorders>
                  <w:vAlign w:val="center"/>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FF"/>
                      <w:sz w:val="21"/>
                      <w:szCs w:val="21"/>
                      <w:vertAlign w:val="baseline"/>
                    </w:rPr>
                  </w:pPr>
                  <w:r>
                    <w:rPr>
                      <w:rFonts w:hint="default" w:ascii="Times New Roman" w:hAnsi="Times New Roman" w:eastAsia="宋体" w:cs="Times New Roman"/>
                      <w:color w:val="0000FF"/>
                      <w:sz w:val="21"/>
                      <w:szCs w:val="21"/>
                      <w:vertAlign w:val="baseline"/>
                      <w:lang w:val="en-US" w:eastAsia="zh-CN"/>
                    </w:rPr>
                    <w:t>3#排气筒</w:t>
                  </w:r>
                </w:p>
              </w:tc>
              <w:tc>
                <w:tcPr>
                  <w:tcW w:w="1480" w:type="dxa"/>
                  <w:gridSpan w:val="2"/>
                  <w:tcBorders>
                    <w:tl2br w:val="nil"/>
                    <w:tr2bl w:val="nil"/>
                  </w:tcBorders>
                  <w:vAlign w:val="center"/>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FF"/>
                      <w:sz w:val="21"/>
                      <w:szCs w:val="21"/>
                      <w:vertAlign w:val="baseline"/>
                    </w:rPr>
                  </w:pPr>
                  <w:r>
                    <w:rPr>
                      <w:rFonts w:hint="default" w:ascii="Times New Roman" w:hAnsi="Times New Roman" w:eastAsia="宋体" w:cs="Times New Roman"/>
                      <w:color w:val="0000FF"/>
                      <w:sz w:val="21"/>
                      <w:szCs w:val="21"/>
                      <w:vertAlign w:val="baseline"/>
                      <w:lang w:val="en-US" w:eastAsia="zh-CN"/>
                    </w:rPr>
                    <w:t>4#排气筒</w:t>
                  </w:r>
                </w:p>
              </w:tc>
              <w:tc>
                <w:tcPr>
                  <w:tcW w:w="1422" w:type="dxa"/>
                  <w:gridSpan w:val="2"/>
                  <w:tcBorders>
                    <w:tl2br w:val="nil"/>
                    <w:tr2bl w:val="nil"/>
                  </w:tcBorders>
                  <w:vAlign w:val="center"/>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FF"/>
                      <w:sz w:val="21"/>
                      <w:szCs w:val="21"/>
                      <w:vertAlign w:val="baseline"/>
                    </w:rPr>
                  </w:pPr>
                  <w:r>
                    <w:rPr>
                      <w:rFonts w:hint="default" w:ascii="Times New Roman" w:hAnsi="Times New Roman" w:eastAsia="宋体" w:cs="Times New Roman"/>
                      <w:color w:val="0000FF"/>
                      <w:sz w:val="21"/>
                      <w:szCs w:val="21"/>
                      <w:vertAlign w:val="baseline"/>
                      <w:lang w:val="en-US" w:eastAsia="zh-CN"/>
                    </w:rPr>
                    <w:t>5#排气筒</w:t>
                  </w:r>
                </w:p>
              </w:tc>
              <w:tc>
                <w:tcPr>
                  <w:tcW w:w="3089" w:type="dxa"/>
                  <w:gridSpan w:val="4"/>
                  <w:tcBorders>
                    <w:tl2br w:val="nil"/>
                    <w:tr2bl w:val="nil"/>
                  </w:tcBorders>
                  <w:vAlign w:val="center"/>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FF"/>
                      <w:sz w:val="21"/>
                      <w:szCs w:val="21"/>
                      <w:vertAlign w:val="baseline"/>
                    </w:rPr>
                  </w:pPr>
                  <w:r>
                    <w:rPr>
                      <w:rFonts w:hint="default" w:ascii="Times New Roman" w:hAnsi="Times New Roman" w:eastAsia="宋体" w:cs="Times New Roman"/>
                      <w:color w:val="0000FF"/>
                      <w:sz w:val="21"/>
                      <w:szCs w:val="21"/>
                      <w:vertAlign w:val="baseline"/>
                      <w:lang w:val="en-US" w:eastAsia="zh-CN"/>
                    </w:rPr>
                    <w:t>6#排气筒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671" w:type="dxa"/>
                  <w:vMerge w:val="continue"/>
                  <w:tcBorders>
                    <w:tl2br w:val="nil"/>
                    <w:tr2bl w:val="nil"/>
                  </w:tcBorders>
                  <w:vAlign w:val="center"/>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FF"/>
                      <w:sz w:val="21"/>
                      <w:szCs w:val="21"/>
                      <w:vertAlign w:val="baseline"/>
                    </w:rPr>
                  </w:pPr>
                </w:p>
              </w:tc>
              <w:tc>
                <w:tcPr>
                  <w:tcW w:w="1461" w:type="dxa"/>
                  <w:gridSpan w:val="2"/>
                  <w:tcBorders>
                    <w:tl2br w:val="nil"/>
                    <w:tr2bl w:val="nil"/>
                  </w:tcBorders>
                  <w:vAlign w:val="center"/>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0000FF"/>
                      <w:sz w:val="21"/>
                      <w:szCs w:val="21"/>
                      <w:vertAlign w:val="baseline"/>
                      <w:lang w:val="en-US" w:eastAsia="zh-CN"/>
                    </w:rPr>
                    <w:t>颗粒物</w:t>
                  </w:r>
                </w:p>
              </w:tc>
              <w:tc>
                <w:tcPr>
                  <w:tcW w:w="1620" w:type="dxa"/>
                  <w:gridSpan w:val="2"/>
                  <w:tcBorders>
                    <w:tl2br w:val="nil"/>
                    <w:tr2bl w:val="nil"/>
                  </w:tcBorders>
                  <w:vAlign w:val="center"/>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0000FF"/>
                      <w:sz w:val="21"/>
                      <w:szCs w:val="21"/>
                      <w:vertAlign w:val="baseline"/>
                      <w:lang w:val="en-US" w:eastAsia="zh-CN"/>
                    </w:rPr>
                    <w:t>非甲烷总烃</w:t>
                  </w:r>
                </w:p>
              </w:tc>
              <w:tc>
                <w:tcPr>
                  <w:tcW w:w="1578" w:type="dxa"/>
                  <w:gridSpan w:val="2"/>
                  <w:tcBorders>
                    <w:tl2br w:val="nil"/>
                    <w:tr2bl w:val="nil"/>
                  </w:tcBorders>
                  <w:vAlign w:val="center"/>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FF"/>
                      <w:sz w:val="21"/>
                      <w:szCs w:val="21"/>
                      <w:vertAlign w:val="baseline"/>
                    </w:rPr>
                  </w:pPr>
                  <w:r>
                    <w:rPr>
                      <w:rFonts w:hint="default" w:ascii="Times New Roman" w:hAnsi="Times New Roman" w:eastAsia="宋体" w:cs="Times New Roman"/>
                      <w:color w:val="0000FF"/>
                      <w:sz w:val="21"/>
                      <w:szCs w:val="21"/>
                      <w:vertAlign w:val="baseline"/>
                      <w:lang w:val="en-US" w:eastAsia="zh-CN"/>
                    </w:rPr>
                    <w:t>颗粒物</w:t>
                  </w:r>
                </w:p>
              </w:tc>
              <w:tc>
                <w:tcPr>
                  <w:tcW w:w="1481" w:type="dxa"/>
                  <w:gridSpan w:val="2"/>
                  <w:tcBorders>
                    <w:tl2br w:val="nil"/>
                    <w:tr2bl w:val="nil"/>
                  </w:tcBorders>
                  <w:vAlign w:val="center"/>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FF"/>
                      <w:sz w:val="21"/>
                      <w:szCs w:val="21"/>
                      <w:vertAlign w:val="baseline"/>
                    </w:rPr>
                  </w:pPr>
                  <w:r>
                    <w:rPr>
                      <w:rFonts w:hint="default" w:ascii="Times New Roman" w:hAnsi="Times New Roman" w:eastAsia="宋体" w:cs="Times New Roman"/>
                      <w:color w:val="0000FF"/>
                      <w:sz w:val="21"/>
                      <w:szCs w:val="21"/>
                      <w:vertAlign w:val="baseline"/>
                      <w:lang w:val="en-US" w:eastAsia="zh-CN"/>
                    </w:rPr>
                    <w:t>非甲烷总烃</w:t>
                  </w:r>
                </w:p>
              </w:tc>
              <w:tc>
                <w:tcPr>
                  <w:tcW w:w="1465" w:type="dxa"/>
                  <w:gridSpan w:val="2"/>
                  <w:tcBorders>
                    <w:tl2br w:val="nil"/>
                    <w:tr2bl w:val="nil"/>
                  </w:tcBorders>
                  <w:vAlign w:val="center"/>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FF"/>
                      <w:sz w:val="21"/>
                      <w:szCs w:val="21"/>
                      <w:vertAlign w:val="baseline"/>
                    </w:rPr>
                  </w:pPr>
                  <w:r>
                    <w:rPr>
                      <w:rFonts w:hint="default" w:ascii="Times New Roman" w:hAnsi="Times New Roman" w:eastAsia="宋体" w:cs="Times New Roman"/>
                      <w:color w:val="0000FF"/>
                      <w:sz w:val="21"/>
                      <w:szCs w:val="21"/>
                      <w:vertAlign w:val="baseline"/>
                      <w:lang w:val="en-US" w:eastAsia="zh-CN"/>
                    </w:rPr>
                    <w:t>颗粒物</w:t>
                  </w:r>
                </w:p>
              </w:tc>
              <w:tc>
                <w:tcPr>
                  <w:tcW w:w="1480" w:type="dxa"/>
                  <w:gridSpan w:val="2"/>
                  <w:tcBorders>
                    <w:tl2br w:val="nil"/>
                    <w:tr2bl w:val="nil"/>
                  </w:tcBorders>
                  <w:vAlign w:val="center"/>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FF"/>
                      <w:sz w:val="21"/>
                      <w:szCs w:val="21"/>
                      <w:vertAlign w:val="baseline"/>
                    </w:rPr>
                  </w:pPr>
                  <w:r>
                    <w:rPr>
                      <w:rFonts w:hint="default" w:ascii="Times New Roman" w:hAnsi="Times New Roman" w:eastAsia="宋体" w:cs="Times New Roman"/>
                      <w:color w:val="0000FF"/>
                      <w:sz w:val="21"/>
                      <w:szCs w:val="21"/>
                      <w:vertAlign w:val="baseline"/>
                      <w:lang w:val="en-US" w:eastAsia="zh-CN"/>
                    </w:rPr>
                    <w:t>颗粒物</w:t>
                  </w:r>
                </w:p>
              </w:tc>
              <w:tc>
                <w:tcPr>
                  <w:tcW w:w="1422" w:type="dxa"/>
                  <w:gridSpan w:val="2"/>
                  <w:tcBorders>
                    <w:tl2br w:val="nil"/>
                    <w:tr2bl w:val="nil"/>
                  </w:tcBorders>
                  <w:vAlign w:val="center"/>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FF"/>
                      <w:sz w:val="21"/>
                      <w:szCs w:val="21"/>
                      <w:vertAlign w:val="baseline"/>
                    </w:rPr>
                  </w:pPr>
                  <w:r>
                    <w:rPr>
                      <w:rFonts w:hint="default" w:ascii="Times New Roman" w:hAnsi="Times New Roman" w:eastAsia="宋体" w:cs="Times New Roman"/>
                      <w:color w:val="0000FF"/>
                      <w:sz w:val="21"/>
                      <w:szCs w:val="21"/>
                      <w:vertAlign w:val="baseline"/>
                      <w:lang w:val="en-US" w:eastAsia="zh-CN"/>
                    </w:rPr>
                    <w:t>非甲烷总烃</w:t>
                  </w:r>
                </w:p>
              </w:tc>
              <w:tc>
                <w:tcPr>
                  <w:tcW w:w="1792" w:type="dxa"/>
                  <w:gridSpan w:val="2"/>
                  <w:tcBorders>
                    <w:tl2br w:val="nil"/>
                    <w:tr2bl w:val="nil"/>
                  </w:tcBorders>
                  <w:vAlign w:val="center"/>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FF"/>
                      <w:sz w:val="21"/>
                      <w:szCs w:val="21"/>
                      <w:vertAlign w:val="baseline"/>
                    </w:rPr>
                  </w:pPr>
                  <w:r>
                    <w:rPr>
                      <w:rFonts w:hint="default" w:ascii="Times New Roman" w:hAnsi="Times New Roman" w:eastAsia="宋体" w:cs="Times New Roman"/>
                      <w:color w:val="0000FF"/>
                      <w:sz w:val="21"/>
                      <w:szCs w:val="21"/>
                      <w:vertAlign w:val="baseline"/>
                      <w:lang w:val="en-US" w:eastAsia="zh-CN"/>
                    </w:rPr>
                    <w:t>颗粒物</w:t>
                  </w:r>
                </w:p>
              </w:tc>
              <w:tc>
                <w:tcPr>
                  <w:tcW w:w="1297" w:type="dxa"/>
                  <w:gridSpan w:val="2"/>
                  <w:tcBorders>
                    <w:tl2br w:val="nil"/>
                    <w:tr2bl w:val="nil"/>
                  </w:tcBorders>
                  <w:vAlign w:val="center"/>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FF"/>
                      <w:sz w:val="21"/>
                      <w:szCs w:val="21"/>
                      <w:vertAlign w:val="baseline"/>
                    </w:rPr>
                  </w:pPr>
                  <w:r>
                    <w:rPr>
                      <w:rFonts w:hint="default" w:ascii="Times New Roman" w:hAnsi="Times New Roman" w:eastAsia="宋体" w:cs="Times New Roman"/>
                      <w:color w:val="0000FF"/>
                      <w:sz w:val="21"/>
                      <w:szCs w:val="21"/>
                      <w:vertAlign w:val="baseline"/>
                      <w:lang w:val="en-US" w:eastAsia="zh-CN"/>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23" w:hRule="atLeast"/>
                <w:jc w:val="center"/>
              </w:trPr>
              <w:tc>
                <w:tcPr>
                  <w:tcW w:w="671" w:type="dxa"/>
                  <w:vMerge w:val="continue"/>
                  <w:tcBorders>
                    <w:tl2br w:val="nil"/>
                    <w:tr2bl w:val="nil"/>
                  </w:tcBorders>
                  <w:vAlign w:val="center"/>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FF"/>
                      <w:sz w:val="21"/>
                      <w:szCs w:val="21"/>
                      <w:vertAlign w:val="baseline"/>
                    </w:rPr>
                  </w:pPr>
                </w:p>
              </w:tc>
              <w:tc>
                <w:tcPr>
                  <w:tcW w:w="91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vertAlign w:val="baseline"/>
                    </w:rPr>
                  </w:pPr>
                  <w:r>
                    <w:rPr>
                      <w:rFonts w:hint="default" w:ascii="Times New Roman" w:hAnsi="Times New Roman" w:eastAsia="宋体" w:cs="Times New Roman"/>
                      <w:color w:val="0000FF"/>
                      <w:sz w:val="21"/>
                      <w:szCs w:val="21"/>
                    </w:rPr>
                    <w:t>预测质量浓度/(μg/m</w:t>
                  </w:r>
                  <w:r>
                    <w:rPr>
                      <w:rFonts w:hint="default" w:ascii="Times New Roman" w:hAnsi="Times New Roman" w:eastAsia="宋体" w:cs="Times New Roman"/>
                      <w:color w:val="0000FF"/>
                      <w:sz w:val="21"/>
                      <w:szCs w:val="21"/>
                      <w:vertAlign w:val="superscript"/>
                    </w:rPr>
                    <w:t>3</w:t>
                  </w:r>
                  <w:r>
                    <w:rPr>
                      <w:rFonts w:hint="default" w:ascii="Times New Roman" w:hAnsi="Times New Roman" w:eastAsia="宋体" w:cs="Times New Roman"/>
                      <w:color w:val="0000FF"/>
                      <w:sz w:val="21"/>
                      <w:szCs w:val="21"/>
                    </w:rPr>
                    <w:t>)</w:t>
                  </w:r>
                </w:p>
              </w:tc>
              <w:tc>
                <w:tcPr>
                  <w:tcW w:w="544"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vertAlign w:val="baseline"/>
                    </w:rPr>
                  </w:pPr>
                  <w:r>
                    <w:rPr>
                      <w:rFonts w:hint="default" w:ascii="Times New Roman" w:hAnsi="Times New Roman" w:eastAsia="宋体" w:cs="Times New Roman"/>
                      <w:color w:val="0000FF"/>
                      <w:sz w:val="21"/>
                      <w:szCs w:val="21"/>
                    </w:rPr>
                    <w:t>占标率/%</w:t>
                  </w:r>
                </w:p>
              </w:tc>
              <w:tc>
                <w:tcPr>
                  <w:tcW w:w="100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预测质</w:t>
                  </w: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vertAlign w:val="baseline"/>
                    </w:rPr>
                  </w:pPr>
                  <w:r>
                    <w:rPr>
                      <w:rFonts w:hint="default" w:ascii="Times New Roman" w:hAnsi="Times New Roman" w:eastAsia="宋体" w:cs="Times New Roman"/>
                      <w:color w:val="0000FF"/>
                      <w:sz w:val="21"/>
                      <w:szCs w:val="21"/>
                    </w:rPr>
                    <w:t>量浓度/(μg/m</w:t>
                  </w:r>
                  <w:r>
                    <w:rPr>
                      <w:rFonts w:hint="default" w:ascii="Times New Roman" w:hAnsi="Times New Roman" w:eastAsia="宋体" w:cs="Times New Roman"/>
                      <w:color w:val="0000FF"/>
                      <w:sz w:val="21"/>
                      <w:szCs w:val="21"/>
                      <w:vertAlign w:val="superscript"/>
                    </w:rPr>
                    <w:t>3</w:t>
                  </w:r>
                  <w:r>
                    <w:rPr>
                      <w:rFonts w:hint="default" w:ascii="Times New Roman" w:hAnsi="Times New Roman" w:eastAsia="宋体" w:cs="Times New Roman"/>
                      <w:color w:val="0000FF"/>
                      <w:sz w:val="21"/>
                      <w:szCs w:val="21"/>
                    </w:rPr>
                    <w:t>)</w:t>
                  </w:r>
                </w:p>
              </w:tc>
              <w:tc>
                <w:tcPr>
                  <w:tcW w:w="61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vertAlign w:val="baseline"/>
                    </w:rPr>
                  </w:pPr>
                  <w:r>
                    <w:rPr>
                      <w:rFonts w:hint="default" w:ascii="Times New Roman" w:hAnsi="Times New Roman" w:eastAsia="宋体" w:cs="Times New Roman"/>
                      <w:color w:val="0000FF"/>
                      <w:sz w:val="21"/>
                      <w:szCs w:val="21"/>
                    </w:rPr>
                    <w:t>占标率/%</w:t>
                  </w:r>
                </w:p>
              </w:tc>
              <w:tc>
                <w:tcPr>
                  <w:tcW w:w="103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vertAlign w:val="baseline"/>
                    </w:rPr>
                  </w:pPr>
                  <w:r>
                    <w:rPr>
                      <w:rFonts w:hint="default" w:ascii="Times New Roman" w:hAnsi="Times New Roman" w:eastAsia="宋体" w:cs="Times New Roman"/>
                      <w:color w:val="0000FF"/>
                      <w:sz w:val="21"/>
                      <w:szCs w:val="21"/>
                    </w:rPr>
                    <w:t>预测质量浓度/(μg/m</w:t>
                  </w:r>
                  <w:r>
                    <w:rPr>
                      <w:rFonts w:hint="default" w:ascii="Times New Roman" w:hAnsi="Times New Roman" w:eastAsia="宋体" w:cs="Times New Roman"/>
                      <w:color w:val="0000FF"/>
                      <w:sz w:val="21"/>
                      <w:szCs w:val="21"/>
                      <w:vertAlign w:val="superscript"/>
                    </w:rPr>
                    <w:t>3</w:t>
                  </w:r>
                  <w:r>
                    <w:rPr>
                      <w:rFonts w:hint="default" w:ascii="Times New Roman" w:hAnsi="Times New Roman" w:eastAsia="宋体" w:cs="Times New Roman"/>
                      <w:color w:val="0000FF"/>
                      <w:sz w:val="21"/>
                      <w:szCs w:val="21"/>
                    </w:rPr>
                    <w:t>)</w:t>
                  </w:r>
                </w:p>
              </w:tc>
              <w:tc>
                <w:tcPr>
                  <w:tcW w:w="53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vertAlign w:val="baseline"/>
                    </w:rPr>
                  </w:pPr>
                  <w:r>
                    <w:rPr>
                      <w:rFonts w:hint="default" w:ascii="Times New Roman" w:hAnsi="Times New Roman" w:eastAsia="宋体" w:cs="Times New Roman"/>
                      <w:color w:val="0000FF"/>
                      <w:sz w:val="21"/>
                      <w:szCs w:val="21"/>
                    </w:rPr>
                    <w:t>占标率/%</w:t>
                  </w:r>
                </w:p>
              </w:tc>
              <w:tc>
                <w:tcPr>
                  <w:tcW w:w="91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预测质</w:t>
                  </w: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vertAlign w:val="baseline"/>
                    </w:rPr>
                  </w:pPr>
                  <w:r>
                    <w:rPr>
                      <w:rFonts w:hint="default" w:ascii="Times New Roman" w:hAnsi="Times New Roman" w:eastAsia="宋体" w:cs="Times New Roman"/>
                      <w:color w:val="0000FF"/>
                      <w:sz w:val="21"/>
                      <w:szCs w:val="21"/>
                    </w:rPr>
                    <w:t>量浓度/(μg/m</w:t>
                  </w:r>
                  <w:r>
                    <w:rPr>
                      <w:rFonts w:hint="default" w:ascii="Times New Roman" w:hAnsi="Times New Roman" w:eastAsia="宋体" w:cs="Times New Roman"/>
                      <w:color w:val="0000FF"/>
                      <w:sz w:val="21"/>
                      <w:szCs w:val="21"/>
                      <w:vertAlign w:val="superscript"/>
                    </w:rPr>
                    <w:t>3</w:t>
                  </w:r>
                  <w:r>
                    <w:rPr>
                      <w:rFonts w:hint="default" w:ascii="Times New Roman" w:hAnsi="Times New Roman" w:eastAsia="宋体" w:cs="Times New Roman"/>
                      <w:color w:val="0000FF"/>
                      <w:sz w:val="21"/>
                      <w:szCs w:val="21"/>
                    </w:rPr>
                    <w:t>)</w:t>
                  </w:r>
                </w:p>
              </w:tc>
              <w:tc>
                <w:tcPr>
                  <w:tcW w:w="56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vertAlign w:val="baseline"/>
                    </w:rPr>
                  </w:pPr>
                  <w:r>
                    <w:rPr>
                      <w:rFonts w:hint="default" w:ascii="Times New Roman" w:hAnsi="Times New Roman" w:eastAsia="宋体" w:cs="Times New Roman"/>
                      <w:color w:val="0000FF"/>
                      <w:sz w:val="21"/>
                      <w:szCs w:val="21"/>
                    </w:rPr>
                    <w:t>占标率/%</w:t>
                  </w:r>
                </w:p>
              </w:tc>
              <w:tc>
                <w:tcPr>
                  <w:tcW w:w="82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vertAlign w:val="baseline"/>
                    </w:rPr>
                  </w:pPr>
                  <w:r>
                    <w:rPr>
                      <w:rFonts w:hint="default" w:ascii="Times New Roman" w:hAnsi="Times New Roman" w:eastAsia="宋体" w:cs="Times New Roman"/>
                      <w:color w:val="0000FF"/>
                      <w:sz w:val="21"/>
                      <w:szCs w:val="21"/>
                    </w:rPr>
                    <w:t>预测质量浓度/(μg/m</w:t>
                  </w:r>
                  <w:r>
                    <w:rPr>
                      <w:rFonts w:hint="default" w:ascii="Times New Roman" w:hAnsi="Times New Roman" w:eastAsia="宋体" w:cs="Times New Roman"/>
                      <w:color w:val="0000FF"/>
                      <w:sz w:val="21"/>
                      <w:szCs w:val="21"/>
                      <w:vertAlign w:val="superscript"/>
                    </w:rPr>
                    <w:t>3</w:t>
                  </w:r>
                  <w:r>
                    <w:rPr>
                      <w:rFonts w:hint="default" w:ascii="Times New Roman" w:hAnsi="Times New Roman" w:eastAsia="宋体" w:cs="Times New Roman"/>
                      <w:color w:val="0000FF"/>
                      <w:sz w:val="21"/>
                      <w:szCs w:val="21"/>
                    </w:rPr>
                    <w:t>)</w:t>
                  </w:r>
                </w:p>
              </w:tc>
              <w:tc>
                <w:tcPr>
                  <w:tcW w:w="63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vertAlign w:val="baseline"/>
                    </w:rPr>
                  </w:pPr>
                  <w:r>
                    <w:rPr>
                      <w:rFonts w:hint="default" w:ascii="Times New Roman" w:hAnsi="Times New Roman" w:eastAsia="宋体" w:cs="Times New Roman"/>
                      <w:color w:val="0000FF"/>
                      <w:sz w:val="21"/>
                      <w:szCs w:val="21"/>
                    </w:rPr>
                    <w:t>占标率/%</w:t>
                  </w:r>
                </w:p>
              </w:tc>
              <w:tc>
                <w:tcPr>
                  <w:tcW w:w="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vertAlign w:val="baseline"/>
                    </w:rPr>
                  </w:pPr>
                  <w:r>
                    <w:rPr>
                      <w:rFonts w:hint="default" w:ascii="Times New Roman" w:hAnsi="Times New Roman" w:eastAsia="宋体" w:cs="Times New Roman"/>
                      <w:color w:val="0000FF"/>
                      <w:sz w:val="21"/>
                      <w:szCs w:val="21"/>
                    </w:rPr>
                    <w:t>预测质量浓度/(μg/m</w:t>
                  </w:r>
                  <w:r>
                    <w:rPr>
                      <w:rFonts w:hint="default" w:ascii="Times New Roman" w:hAnsi="Times New Roman" w:eastAsia="宋体" w:cs="Times New Roman"/>
                      <w:color w:val="0000FF"/>
                      <w:sz w:val="21"/>
                      <w:szCs w:val="21"/>
                      <w:vertAlign w:val="superscript"/>
                    </w:rPr>
                    <w:t>3</w:t>
                  </w:r>
                  <w:r>
                    <w:rPr>
                      <w:rFonts w:hint="default" w:ascii="Times New Roman" w:hAnsi="Times New Roman" w:eastAsia="宋体" w:cs="Times New Roman"/>
                      <w:color w:val="0000FF"/>
                      <w:sz w:val="21"/>
                      <w:szCs w:val="21"/>
                    </w:rPr>
                    <w:t>)</w:t>
                  </w:r>
                </w:p>
              </w:tc>
              <w:tc>
                <w:tcPr>
                  <w:tcW w:w="66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vertAlign w:val="baseline"/>
                    </w:rPr>
                  </w:pPr>
                  <w:r>
                    <w:rPr>
                      <w:rFonts w:hint="default" w:ascii="Times New Roman" w:hAnsi="Times New Roman" w:eastAsia="宋体" w:cs="Times New Roman"/>
                      <w:color w:val="0000FF"/>
                      <w:sz w:val="21"/>
                      <w:szCs w:val="21"/>
                    </w:rPr>
                    <w:t>占标率/%</w:t>
                  </w:r>
                </w:p>
              </w:tc>
              <w:tc>
                <w:tcPr>
                  <w:tcW w:w="924"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vertAlign w:val="baseline"/>
                    </w:rPr>
                  </w:pPr>
                  <w:r>
                    <w:rPr>
                      <w:rFonts w:hint="default" w:ascii="Times New Roman" w:hAnsi="Times New Roman" w:eastAsia="宋体" w:cs="Times New Roman"/>
                      <w:color w:val="0000FF"/>
                      <w:sz w:val="21"/>
                      <w:szCs w:val="21"/>
                    </w:rPr>
                    <w:t>预测质量浓度/(μg/m</w:t>
                  </w:r>
                  <w:r>
                    <w:rPr>
                      <w:rFonts w:hint="default" w:ascii="Times New Roman" w:hAnsi="Times New Roman" w:eastAsia="宋体" w:cs="Times New Roman"/>
                      <w:color w:val="0000FF"/>
                      <w:sz w:val="21"/>
                      <w:szCs w:val="21"/>
                      <w:vertAlign w:val="superscript"/>
                    </w:rPr>
                    <w:t>3</w:t>
                  </w:r>
                  <w:r>
                    <w:rPr>
                      <w:rFonts w:hint="default" w:ascii="Times New Roman" w:hAnsi="Times New Roman" w:eastAsia="宋体" w:cs="Times New Roman"/>
                      <w:color w:val="0000FF"/>
                      <w:sz w:val="21"/>
                      <w:szCs w:val="21"/>
                    </w:rPr>
                    <w:t>)</w:t>
                  </w:r>
                </w:p>
              </w:tc>
              <w:tc>
                <w:tcPr>
                  <w:tcW w:w="49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vertAlign w:val="baseline"/>
                    </w:rPr>
                  </w:pPr>
                  <w:r>
                    <w:rPr>
                      <w:rFonts w:hint="default" w:ascii="Times New Roman" w:hAnsi="Times New Roman" w:eastAsia="宋体" w:cs="Times New Roman"/>
                      <w:color w:val="0000FF"/>
                      <w:sz w:val="21"/>
                      <w:szCs w:val="21"/>
                    </w:rPr>
                    <w:t>占标率/%</w:t>
                  </w:r>
                </w:p>
              </w:tc>
              <w:tc>
                <w:tcPr>
                  <w:tcW w:w="107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vertAlign w:val="baseline"/>
                    </w:rPr>
                  </w:pPr>
                  <w:r>
                    <w:rPr>
                      <w:rFonts w:hint="default" w:ascii="Times New Roman" w:hAnsi="Times New Roman" w:eastAsia="宋体" w:cs="Times New Roman"/>
                      <w:color w:val="0000FF"/>
                      <w:sz w:val="21"/>
                      <w:szCs w:val="21"/>
                    </w:rPr>
                    <w:t>预测质量浓度/(μg/m</w:t>
                  </w:r>
                  <w:r>
                    <w:rPr>
                      <w:rFonts w:hint="default" w:ascii="Times New Roman" w:hAnsi="Times New Roman" w:eastAsia="宋体" w:cs="Times New Roman"/>
                      <w:color w:val="0000FF"/>
                      <w:sz w:val="21"/>
                      <w:szCs w:val="21"/>
                      <w:vertAlign w:val="superscript"/>
                    </w:rPr>
                    <w:t>3</w:t>
                  </w:r>
                  <w:r>
                    <w:rPr>
                      <w:rFonts w:hint="default" w:ascii="Times New Roman" w:hAnsi="Times New Roman" w:eastAsia="宋体" w:cs="Times New Roman"/>
                      <w:color w:val="0000FF"/>
                      <w:sz w:val="21"/>
                      <w:szCs w:val="21"/>
                    </w:rPr>
                    <w:t>)</w:t>
                  </w:r>
                </w:p>
              </w:tc>
              <w:tc>
                <w:tcPr>
                  <w:tcW w:w="7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vertAlign w:val="baseline"/>
                    </w:rPr>
                  </w:pPr>
                  <w:r>
                    <w:rPr>
                      <w:rFonts w:hint="default" w:ascii="Times New Roman" w:hAnsi="Times New Roman" w:eastAsia="宋体" w:cs="Times New Roman"/>
                      <w:color w:val="0000FF"/>
                      <w:sz w:val="21"/>
                      <w:szCs w:val="21"/>
                    </w:rPr>
                    <w:t>占标率/%</w:t>
                  </w:r>
                </w:p>
              </w:tc>
              <w:tc>
                <w:tcPr>
                  <w:tcW w:w="84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vertAlign w:val="baseline"/>
                    </w:rPr>
                  </w:pPr>
                  <w:r>
                    <w:rPr>
                      <w:rFonts w:hint="default" w:ascii="Times New Roman" w:hAnsi="Times New Roman" w:eastAsia="宋体" w:cs="Times New Roman"/>
                      <w:color w:val="0000FF"/>
                      <w:sz w:val="21"/>
                      <w:szCs w:val="21"/>
                    </w:rPr>
                    <w:t>预测质量浓度/(μg/m</w:t>
                  </w:r>
                  <w:r>
                    <w:rPr>
                      <w:rFonts w:hint="default" w:ascii="Times New Roman" w:hAnsi="Times New Roman" w:eastAsia="宋体" w:cs="Times New Roman"/>
                      <w:color w:val="0000FF"/>
                      <w:sz w:val="21"/>
                      <w:szCs w:val="21"/>
                      <w:vertAlign w:val="superscript"/>
                    </w:rPr>
                    <w:t>3</w:t>
                  </w:r>
                  <w:r>
                    <w:rPr>
                      <w:rFonts w:hint="default" w:ascii="Times New Roman" w:hAnsi="Times New Roman" w:eastAsia="宋体" w:cs="Times New Roman"/>
                      <w:color w:val="0000FF"/>
                      <w:sz w:val="21"/>
                      <w:szCs w:val="21"/>
                    </w:rPr>
                    <w:t>)</w:t>
                  </w:r>
                </w:p>
              </w:tc>
              <w:tc>
                <w:tcPr>
                  <w:tcW w:w="44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vertAlign w:val="baseline"/>
                    </w:rPr>
                  </w:pPr>
                  <w:r>
                    <w:rPr>
                      <w:rFonts w:hint="default" w:ascii="Times New Roman" w:hAnsi="Times New Roman" w:eastAsia="宋体" w:cs="Times New Roman"/>
                      <w:color w:val="0000FF"/>
                      <w:sz w:val="21"/>
                      <w:szCs w:val="21"/>
                    </w:rPr>
                    <w:t>占标率/%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86" w:hRule="atLeast"/>
                <w:jc w:val="center"/>
              </w:trPr>
              <w:tc>
                <w:tcPr>
                  <w:tcW w:w="671" w:type="dxa"/>
                  <w:tcBorders>
                    <w:tl2br w:val="nil"/>
                    <w:tr2bl w:val="nil"/>
                  </w:tcBorders>
                  <w:vAlign w:val="center"/>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FF"/>
                      <w:sz w:val="21"/>
                      <w:szCs w:val="21"/>
                      <w:vertAlign w:val="baseline"/>
                      <w:lang w:val="en-US" w:eastAsia="zh-CN"/>
                    </w:rPr>
                  </w:pPr>
                  <w:r>
                    <w:rPr>
                      <w:rFonts w:hint="eastAsia" w:ascii="Times New Roman" w:hAnsi="Times New Roman" w:eastAsia="宋体" w:cs="Times New Roman"/>
                      <w:color w:val="0000FF"/>
                      <w:sz w:val="21"/>
                      <w:szCs w:val="21"/>
                      <w:vertAlign w:val="baseline"/>
                      <w:lang w:val="en-US" w:eastAsia="zh-CN"/>
                    </w:rPr>
                    <w:t>10</w:t>
                  </w:r>
                </w:p>
              </w:tc>
              <w:tc>
                <w:tcPr>
                  <w:tcW w:w="91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1.337E-10</w:t>
                  </w:r>
                </w:p>
              </w:tc>
              <w:tc>
                <w:tcPr>
                  <w:tcW w:w="544"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0.00</w:t>
                  </w:r>
                </w:p>
              </w:tc>
              <w:tc>
                <w:tcPr>
                  <w:tcW w:w="100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4.255E-10</w:t>
                  </w:r>
                </w:p>
              </w:tc>
              <w:tc>
                <w:tcPr>
                  <w:tcW w:w="61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0.00</w:t>
                  </w:r>
                </w:p>
              </w:tc>
              <w:tc>
                <w:tcPr>
                  <w:tcW w:w="103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3.693E-14</w:t>
                  </w:r>
                </w:p>
              </w:tc>
              <w:tc>
                <w:tcPr>
                  <w:tcW w:w="53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0.00</w:t>
                  </w:r>
                </w:p>
              </w:tc>
              <w:tc>
                <w:tcPr>
                  <w:tcW w:w="91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1.863E-14</w:t>
                  </w:r>
                </w:p>
              </w:tc>
              <w:tc>
                <w:tcPr>
                  <w:tcW w:w="56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0.00</w:t>
                  </w:r>
                </w:p>
              </w:tc>
              <w:tc>
                <w:tcPr>
                  <w:tcW w:w="82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2.501E-6</w:t>
                  </w:r>
                </w:p>
              </w:tc>
              <w:tc>
                <w:tcPr>
                  <w:tcW w:w="63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0.00</w:t>
                  </w:r>
                </w:p>
              </w:tc>
              <w:tc>
                <w:tcPr>
                  <w:tcW w:w="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3.817E-8</w:t>
                  </w:r>
                </w:p>
              </w:tc>
              <w:tc>
                <w:tcPr>
                  <w:tcW w:w="66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0.00</w:t>
                  </w:r>
                </w:p>
              </w:tc>
              <w:tc>
                <w:tcPr>
                  <w:tcW w:w="924"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4.867E-8</w:t>
                  </w:r>
                </w:p>
              </w:tc>
              <w:tc>
                <w:tcPr>
                  <w:tcW w:w="49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0.00</w:t>
                  </w:r>
                </w:p>
              </w:tc>
              <w:tc>
                <w:tcPr>
                  <w:tcW w:w="107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3.503E-13</w:t>
                  </w:r>
                </w:p>
              </w:tc>
              <w:tc>
                <w:tcPr>
                  <w:tcW w:w="7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0.00</w:t>
                  </w:r>
                </w:p>
              </w:tc>
              <w:tc>
                <w:tcPr>
                  <w:tcW w:w="84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2.548E-13</w:t>
                  </w:r>
                </w:p>
              </w:tc>
              <w:tc>
                <w:tcPr>
                  <w:tcW w:w="44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8" w:hRule="atLeast"/>
                <w:jc w:val="center"/>
              </w:trPr>
              <w:tc>
                <w:tcPr>
                  <w:tcW w:w="671" w:type="dxa"/>
                  <w:tcBorders>
                    <w:tl2br w:val="nil"/>
                    <w:tr2bl w:val="nil"/>
                  </w:tcBorders>
                  <w:vAlign w:val="center"/>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FF"/>
                      <w:sz w:val="21"/>
                      <w:szCs w:val="21"/>
                      <w:vertAlign w:val="baseline"/>
                      <w:lang w:val="en-US" w:eastAsia="zh-CN"/>
                    </w:rPr>
                  </w:pPr>
                  <w:r>
                    <w:rPr>
                      <w:rFonts w:hint="eastAsia" w:ascii="Times New Roman" w:hAnsi="Times New Roman" w:eastAsia="宋体" w:cs="Times New Roman"/>
                      <w:color w:val="0000FF"/>
                      <w:sz w:val="21"/>
                      <w:szCs w:val="21"/>
                      <w:vertAlign w:val="baseline"/>
                      <w:lang w:val="en-US" w:eastAsia="zh-CN"/>
                    </w:rPr>
                    <w:t>100</w:t>
                  </w:r>
                </w:p>
              </w:tc>
              <w:tc>
                <w:tcPr>
                  <w:tcW w:w="91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0.001447</w:t>
                  </w:r>
                </w:p>
              </w:tc>
              <w:tc>
                <w:tcPr>
                  <w:tcW w:w="544"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0.32</w:t>
                  </w:r>
                </w:p>
              </w:tc>
              <w:tc>
                <w:tcPr>
                  <w:tcW w:w="100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0.004605</w:t>
                  </w:r>
                </w:p>
              </w:tc>
              <w:tc>
                <w:tcPr>
                  <w:tcW w:w="61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0.38</w:t>
                  </w:r>
                </w:p>
              </w:tc>
              <w:tc>
                <w:tcPr>
                  <w:tcW w:w="103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0.001844</w:t>
                  </w:r>
                </w:p>
              </w:tc>
              <w:tc>
                <w:tcPr>
                  <w:tcW w:w="53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0.41</w:t>
                  </w:r>
                </w:p>
              </w:tc>
              <w:tc>
                <w:tcPr>
                  <w:tcW w:w="91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0.0009301</w:t>
                  </w:r>
                </w:p>
              </w:tc>
              <w:tc>
                <w:tcPr>
                  <w:tcW w:w="56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0.08</w:t>
                  </w:r>
                </w:p>
              </w:tc>
              <w:tc>
                <w:tcPr>
                  <w:tcW w:w="82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0.007939</w:t>
                  </w:r>
                </w:p>
              </w:tc>
              <w:tc>
                <w:tcPr>
                  <w:tcW w:w="63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1.76</w:t>
                  </w:r>
                </w:p>
              </w:tc>
              <w:tc>
                <w:tcPr>
                  <w:tcW w:w="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0.007129</w:t>
                  </w:r>
                </w:p>
              </w:tc>
              <w:tc>
                <w:tcPr>
                  <w:tcW w:w="66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1.58</w:t>
                  </w:r>
                </w:p>
              </w:tc>
              <w:tc>
                <w:tcPr>
                  <w:tcW w:w="924"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0.002607</w:t>
                  </w:r>
                </w:p>
              </w:tc>
              <w:tc>
                <w:tcPr>
                  <w:tcW w:w="49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0.22</w:t>
                  </w:r>
                </w:p>
              </w:tc>
              <w:tc>
                <w:tcPr>
                  <w:tcW w:w="107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5.782E-5</w:t>
                  </w:r>
                </w:p>
              </w:tc>
              <w:tc>
                <w:tcPr>
                  <w:tcW w:w="7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0.01</w:t>
                  </w:r>
                </w:p>
              </w:tc>
              <w:tc>
                <w:tcPr>
                  <w:tcW w:w="84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4.205E-5</w:t>
                  </w:r>
                </w:p>
              </w:tc>
              <w:tc>
                <w:tcPr>
                  <w:tcW w:w="44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8" w:hRule="atLeast"/>
                <w:jc w:val="center"/>
              </w:trPr>
              <w:tc>
                <w:tcPr>
                  <w:tcW w:w="671" w:type="dxa"/>
                  <w:tcBorders>
                    <w:tl2br w:val="nil"/>
                    <w:tr2bl w:val="nil"/>
                  </w:tcBorders>
                  <w:vAlign w:val="center"/>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FF"/>
                      <w:sz w:val="21"/>
                      <w:szCs w:val="21"/>
                      <w:vertAlign w:val="baseline"/>
                      <w:lang w:val="en-US" w:eastAsia="zh-CN"/>
                    </w:rPr>
                  </w:pPr>
                  <w:r>
                    <w:rPr>
                      <w:rFonts w:hint="eastAsia" w:ascii="Times New Roman" w:hAnsi="Times New Roman" w:eastAsia="宋体" w:cs="Times New Roman"/>
                      <w:color w:val="0000FF"/>
                      <w:sz w:val="21"/>
                      <w:szCs w:val="21"/>
                      <w:vertAlign w:val="baseline"/>
                      <w:lang w:val="en-US" w:eastAsia="zh-CN"/>
                    </w:rPr>
                    <w:t>200</w:t>
                  </w:r>
                </w:p>
              </w:tc>
              <w:tc>
                <w:tcPr>
                  <w:tcW w:w="91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0.001325</w:t>
                  </w:r>
                </w:p>
              </w:tc>
              <w:tc>
                <w:tcPr>
                  <w:tcW w:w="544"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0.29</w:t>
                  </w:r>
                </w:p>
              </w:tc>
              <w:tc>
                <w:tcPr>
                  <w:tcW w:w="100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0.004218</w:t>
                  </w:r>
                </w:p>
              </w:tc>
              <w:tc>
                <w:tcPr>
                  <w:tcW w:w="61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0.35</w:t>
                  </w:r>
                </w:p>
              </w:tc>
              <w:tc>
                <w:tcPr>
                  <w:tcW w:w="103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0.001689</w:t>
                  </w:r>
                </w:p>
              </w:tc>
              <w:tc>
                <w:tcPr>
                  <w:tcW w:w="53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0.38</w:t>
                  </w:r>
                </w:p>
              </w:tc>
              <w:tc>
                <w:tcPr>
                  <w:tcW w:w="91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0.0008519</w:t>
                  </w:r>
                </w:p>
              </w:tc>
              <w:tc>
                <w:tcPr>
                  <w:tcW w:w="56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0.07</w:t>
                  </w:r>
                </w:p>
              </w:tc>
              <w:tc>
                <w:tcPr>
                  <w:tcW w:w="82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0.007336</w:t>
                  </w:r>
                </w:p>
              </w:tc>
              <w:tc>
                <w:tcPr>
                  <w:tcW w:w="63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1.63</w:t>
                  </w:r>
                </w:p>
              </w:tc>
              <w:tc>
                <w:tcPr>
                  <w:tcW w:w="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0.006523</w:t>
                  </w:r>
                </w:p>
              </w:tc>
              <w:tc>
                <w:tcPr>
                  <w:tcW w:w="66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1.45</w:t>
                  </w:r>
                </w:p>
              </w:tc>
              <w:tc>
                <w:tcPr>
                  <w:tcW w:w="924"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0.002385</w:t>
                  </w:r>
                </w:p>
              </w:tc>
              <w:tc>
                <w:tcPr>
                  <w:tcW w:w="49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0.20</w:t>
                  </w:r>
                </w:p>
              </w:tc>
              <w:tc>
                <w:tcPr>
                  <w:tcW w:w="107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5.269E-5</w:t>
                  </w:r>
                </w:p>
              </w:tc>
              <w:tc>
                <w:tcPr>
                  <w:tcW w:w="7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0.01</w:t>
                  </w:r>
                </w:p>
              </w:tc>
              <w:tc>
                <w:tcPr>
                  <w:tcW w:w="84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3.832E-5</w:t>
                  </w:r>
                </w:p>
              </w:tc>
              <w:tc>
                <w:tcPr>
                  <w:tcW w:w="44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8" w:hRule="atLeast"/>
                <w:jc w:val="center"/>
              </w:trPr>
              <w:tc>
                <w:tcPr>
                  <w:tcW w:w="671" w:type="dxa"/>
                  <w:tcBorders>
                    <w:tl2br w:val="nil"/>
                    <w:tr2bl w:val="nil"/>
                  </w:tcBorders>
                  <w:vAlign w:val="center"/>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FF"/>
                      <w:sz w:val="21"/>
                      <w:szCs w:val="21"/>
                      <w:vertAlign w:val="baseline"/>
                      <w:lang w:val="en-US" w:eastAsia="zh-CN"/>
                    </w:rPr>
                  </w:pPr>
                  <w:r>
                    <w:rPr>
                      <w:rFonts w:hint="eastAsia" w:ascii="Times New Roman" w:hAnsi="Times New Roman" w:eastAsia="宋体" w:cs="Times New Roman"/>
                      <w:color w:val="0000FF"/>
                      <w:sz w:val="21"/>
                      <w:szCs w:val="21"/>
                      <w:vertAlign w:val="baseline"/>
                      <w:lang w:val="en-US" w:eastAsia="zh-CN"/>
                    </w:rPr>
                    <w:t>300</w:t>
                  </w:r>
                </w:p>
              </w:tc>
              <w:tc>
                <w:tcPr>
                  <w:tcW w:w="91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0.001289</w:t>
                  </w:r>
                </w:p>
              </w:tc>
              <w:tc>
                <w:tcPr>
                  <w:tcW w:w="544"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0.29</w:t>
                  </w:r>
                </w:p>
              </w:tc>
              <w:tc>
                <w:tcPr>
                  <w:tcW w:w="100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0.004104</w:t>
                  </w:r>
                </w:p>
              </w:tc>
              <w:tc>
                <w:tcPr>
                  <w:tcW w:w="61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0.34</w:t>
                  </w:r>
                </w:p>
              </w:tc>
              <w:tc>
                <w:tcPr>
                  <w:tcW w:w="103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0.001265</w:t>
                  </w:r>
                </w:p>
              </w:tc>
              <w:tc>
                <w:tcPr>
                  <w:tcW w:w="53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0.28</w:t>
                  </w:r>
                </w:p>
              </w:tc>
              <w:tc>
                <w:tcPr>
                  <w:tcW w:w="91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0.0006383</w:t>
                  </w:r>
                </w:p>
              </w:tc>
              <w:tc>
                <w:tcPr>
                  <w:tcW w:w="56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0.05</w:t>
                  </w:r>
                </w:p>
              </w:tc>
              <w:tc>
                <w:tcPr>
                  <w:tcW w:w="82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0.008459</w:t>
                  </w:r>
                </w:p>
              </w:tc>
              <w:tc>
                <w:tcPr>
                  <w:tcW w:w="63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1.88</w:t>
                  </w:r>
                </w:p>
              </w:tc>
              <w:tc>
                <w:tcPr>
                  <w:tcW w:w="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0.006769</w:t>
                  </w:r>
                </w:p>
              </w:tc>
              <w:tc>
                <w:tcPr>
                  <w:tcW w:w="66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1.50</w:t>
                  </w:r>
                </w:p>
              </w:tc>
              <w:tc>
                <w:tcPr>
                  <w:tcW w:w="924"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0.002998</w:t>
                  </w:r>
                </w:p>
              </w:tc>
              <w:tc>
                <w:tcPr>
                  <w:tcW w:w="49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0.25</w:t>
                  </w:r>
                </w:p>
              </w:tc>
              <w:tc>
                <w:tcPr>
                  <w:tcW w:w="107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5.56E-5</w:t>
                  </w:r>
                </w:p>
              </w:tc>
              <w:tc>
                <w:tcPr>
                  <w:tcW w:w="7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0.01</w:t>
                  </w:r>
                </w:p>
              </w:tc>
              <w:tc>
                <w:tcPr>
                  <w:tcW w:w="84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4.044E-5</w:t>
                  </w:r>
                </w:p>
              </w:tc>
              <w:tc>
                <w:tcPr>
                  <w:tcW w:w="44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8" w:hRule="atLeast"/>
                <w:jc w:val="center"/>
              </w:trPr>
              <w:tc>
                <w:tcPr>
                  <w:tcW w:w="671" w:type="dxa"/>
                  <w:tcBorders>
                    <w:tl2br w:val="nil"/>
                    <w:tr2bl w:val="nil"/>
                  </w:tcBorders>
                  <w:vAlign w:val="center"/>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FF"/>
                      <w:sz w:val="21"/>
                      <w:szCs w:val="21"/>
                      <w:vertAlign w:val="baseline"/>
                      <w:lang w:val="en-US" w:eastAsia="zh-CN"/>
                    </w:rPr>
                  </w:pPr>
                  <w:r>
                    <w:rPr>
                      <w:rFonts w:hint="eastAsia" w:ascii="Times New Roman" w:hAnsi="Times New Roman" w:eastAsia="宋体" w:cs="Times New Roman"/>
                      <w:color w:val="0000FF"/>
                      <w:sz w:val="21"/>
                      <w:szCs w:val="21"/>
                      <w:vertAlign w:val="baseline"/>
                      <w:lang w:val="en-US" w:eastAsia="zh-CN"/>
                    </w:rPr>
                    <w:t>400</w:t>
                  </w:r>
                </w:p>
              </w:tc>
              <w:tc>
                <w:tcPr>
                  <w:tcW w:w="91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0.001523</w:t>
                  </w:r>
                </w:p>
              </w:tc>
              <w:tc>
                <w:tcPr>
                  <w:tcW w:w="544"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0.34</w:t>
                  </w:r>
                </w:p>
              </w:tc>
              <w:tc>
                <w:tcPr>
                  <w:tcW w:w="100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0.004849</w:t>
                  </w:r>
                </w:p>
              </w:tc>
              <w:tc>
                <w:tcPr>
                  <w:tcW w:w="61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0.40</w:t>
                  </w:r>
                </w:p>
              </w:tc>
              <w:tc>
                <w:tcPr>
                  <w:tcW w:w="103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0.001289</w:t>
                  </w:r>
                </w:p>
              </w:tc>
              <w:tc>
                <w:tcPr>
                  <w:tcW w:w="53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0.29</w:t>
                  </w:r>
                </w:p>
              </w:tc>
              <w:tc>
                <w:tcPr>
                  <w:tcW w:w="91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0.0006503</w:t>
                  </w:r>
                </w:p>
              </w:tc>
              <w:tc>
                <w:tcPr>
                  <w:tcW w:w="56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0.05</w:t>
                  </w:r>
                </w:p>
              </w:tc>
              <w:tc>
                <w:tcPr>
                  <w:tcW w:w="82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0.01197</w:t>
                  </w:r>
                </w:p>
              </w:tc>
              <w:tc>
                <w:tcPr>
                  <w:tcW w:w="63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2.66</w:t>
                  </w:r>
                </w:p>
              </w:tc>
              <w:tc>
                <w:tcPr>
                  <w:tcW w:w="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0.008385</w:t>
                  </w:r>
                </w:p>
              </w:tc>
              <w:tc>
                <w:tcPr>
                  <w:tcW w:w="66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1.86</w:t>
                  </w:r>
                </w:p>
              </w:tc>
              <w:tc>
                <w:tcPr>
                  <w:tcW w:w="924"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0.003507</w:t>
                  </w:r>
                </w:p>
              </w:tc>
              <w:tc>
                <w:tcPr>
                  <w:tcW w:w="49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0.29</w:t>
                  </w:r>
                </w:p>
              </w:tc>
              <w:tc>
                <w:tcPr>
                  <w:tcW w:w="107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5.951E-5</w:t>
                  </w:r>
                </w:p>
              </w:tc>
              <w:tc>
                <w:tcPr>
                  <w:tcW w:w="7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0.01</w:t>
                  </w:r>
                </w:p>
              </w:tc>
              <w:tc>
                <w:tcPr>
                  <w:tcW w:w="84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4.328E-5</w:t>
                  </w:r>
                </w:p>
              </w:tc>
              <w:tc>
                <w:tcPr>
                  <w:tcW w:w="44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8" w:hRule="atLeast"/>
                <w:jc w:val="center"/>
              </w:trPr>
              <w:tc>
                <w:tcPr>
                  <w:tcW w:w="671" w:type="dxa"/>
                  <w:tcBorders>
                    <w:tl2br w:val="nil"/>
                    <w:tr2bl w:val="nil"/>
                  </w:tcBorders>
                  <w:vAlign w:val="center"/>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FF"/>
                      <w:sz w:val="21"/>
                      <w:szCs w:val="21"/>
                      <w:vertAlign w:val="baseline"/>
                      <w:lang w:val="en-US" w:eastAsia="zh-CN"/>
                    </w:rPr>
                  </w:pPr>
                  <w:r>
                    <w:rPr>
                      <w:rFonts w:hint="eastAsia" w:ascii="Times New Roman" w:hAnsi="Times New Roman" w:eastAsia="宋体" w:cs="Times New Roman"/>
                      <w:color w:val="0000FF"/>
                      <w:sz w:val="21"/>
                      <w:szCs w:val="21"/>
                      <w:vertAlign w:val="baseline"/>
                      <w:lang w:val="en-US" w:eastAsia="zh-CN"/>
                    </w:rPr>
                    <w:t>500</w:t>
                  </w:r>
                </w:p>
              </w:tc>
              <w:tc>
                <w:tcPr>
                  <w:tcW w:w="91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0.001478</w:t>
                  </w:r>
                </w:p>
              </w:tc>
              <w:tc>
                <w:tcPr>
                  <w:tcW w:w="544"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0.33</w:t>
                  </w:r>
                </w:p>
              </w:tc>
              <w:tc>
                <w:tcPr>
                  <w:tcW w:w="100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0.004706</w:t>
                  </w:r>
                </w:p>
              </w:tc>
              <w:tc>
                <w:tcPr>
                  <w:tcW w:w="61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0.39</w:t>
                  </w:r>
                </w:p>
              </w:tc>
              <w:tc>
                <w:tcPr>
                  <w:tcW w:w="103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0.00116</w:t>
                  </w:r>
                </w:p>
              </w:tc>
              <w:tc>
                <w:tcPr>
                  <w:tcW w:w="53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0.26</w:t>
                  </w:r>
                </w:p>
              </w:tc>
              <w:tc>
                <w:tcPr>
                  <w:tcW w:w="91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0.0005854</w:t>
                  </w:r>
                </w:p>
              </w:tc>
              <w:tc>
                <w:tcPr>
                  <w:tcW w:w="56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0.05</w:t>
                  </w:r>
                </w:p>
              </w:tc>
              <w:tc>
                <w:tcPr>
                  <w:tcW w:w="82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0.01301</w:t>
                  </w:r>
                </w:p>
              </w:tc>
              <w:tc>
                <w:tcPr>
                  <w:tcW w:w="63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2.89</w:t>
                  </w:r>
                </w:p>
              </w:tc>
              <w:tc>
                <w:tcPr>
                  <w:tcW w:w="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0.008372</w:t>
                  </w:r>
                </w:p>
              </w:tc>
              <w:tc>
                <w:tcPr>
                  <w:tcW w:w="66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1.86</w:t>
                  </w:r>
                </w:p>
              </w:tc>
              <w:tc>
                <w:tcPr>
                  <w:tcW w:w="924"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0.003383</w:t>
                  </w:r>
                </w:p>
              </w:tc>
              <w:tc>
                <w:tcPr>
                  <w:tcW w:w="49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0.28</w:t>
                  </w:r>
                </w:p>
              </w:tc>
              <w:tc>
                <w:tcPr>
                  <w:tcW w:w="107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5.454E-5</w:t>
                  </w:r>
                </w:p>
              </w:tc>
              <w:tc>
                <w:tcPr>
                  <w:tcW w:w="7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0.01</w:t>
                  </w:r>
                </w:p>
              </w:tc>
              <w:tc>
                <w:tcPr>
                  <w:tcW w:w="84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3.966E-5</w:t>
                  </w:r>
                </w:p>
              </w:tc>
              <w:tc>
                <w:tcPr>
                  <w:tcW w:w="44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8" w:hRule="atLeast"/>
                <w:jc w:val="center"/>
              </w:trPr>
              <w:tc>
                <w:tcPr>
                  <w:tcW w:w="671" w:type="dxa"/>
                  <w:tcBorders>
                    <w:tl2br w:val="nil"/>
                    <w:tr2bl w:val="nil"/>
                  </w:tcBorders>
                  <w:vAlign w:val="center"/>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FF"/>
                      <w:sz w:val="21"/>
                      <w:szCs w:val="21"/>
                      <w:vertAlign w:val="baseline"/>
                      <w:lang w:val="en-US" w:eastAsia="zh-CN"/>
                    </w:rPr>
                  </w:pPr>
                  <w:r>
                    <w:rPr>
                      <w:rFonts w:hint="eastAsia" w:ascii="Times New Roman" w:hAnsi="Times New Roman" w:eastAsia="宋体" w:cs="Times New Roman"/>
                      <w:color w:val="0000FF"/>
                      <w:sz w:val="21"/>
                      <w:szCs w:val="21"/>
                      <w:vertAlign w:val="baseline"/>
                      <w:lang w:val="en-US" w:eastAsia="zh-CN"/>
                    </w:rPr>
                    <w:t>800</w:t>
                  </w:r>
                </w:p>
              </w:tc>
              <w:tc>
                <w:tcPr>
                  <w:tcW w:w="91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0.001057</w:t>
                  </w:r>
                </w:p>
              </w:tc>
              <w:tc>
                <w:tcPr>
                  <w:tcW w:w="544"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0.23</w:t>
                  </w:r>
                </w:p>
              </w:tc>
              <w:tc>
                <w:tcPr>
                  <w:tcW w:w="100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0.003365</w:t>
                  </w:r>
                </w:p>
              </w:tc>
              <w:tc>
                <w:tcPr>
                  <w:tcW w:w="61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0.28</w:t>
                  </w:r>
                </w:p>
              </w:tc>
              <w:tc>
                <w:tcPr>
                  <w:tcW w:w="103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0.0007508</w:t>
                  </w:r>
                </w:p>
              </w:tc>
              <w:tc>
                <w:tcPr>
                  <w:tcW w:w="53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0.17</w:t>
                  </w:r>
                </w:p>
              </w:tc>
              <w:tc>
                <w:tcPr>
                  <w:tcW w:w="91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0.0003788</w:t>
                  </w:r>
                </w:p>
              </w:tc>
              <w:tc>
                <w:tcPr>
                  <w:tcW w:w="56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0.03</w:t>
                  </w:r>
                </w:p>
              </w:tc>
              <w:tc>
                <w:tcPr>
                  <w:tcW w:w="82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0.01093</w:t>
                  </w:r>
                </w:p>
              </w:tc>
              <w:tc>
                <w:tcPr>
                  <w:tcW w:w="63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2.43</w:t>
                  </w:r>
                </w:p>
              </w:tc>
              <w:tc>
                <w:tcPr>
                  <w:tcW w:w="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0.006225</w:t>
                  </w:r>
                </w:p>
              </w:tc>
              <w:tc>
                <w:tcPr>
                  <w:tcW w:w="66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1.38</w:t>
                  </w:r>
                </w:p>
              </w:tc>
              <w:tc>
                <w:tcPr>
                  <w:tcW w:w="924"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0.0024</w:t>
                  </w:r>
                </w:p>
              </w:tc>
              <w:tc>
                <w:tcPr>
                  <w:tcW w:w="49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0.16</w:t>
                  </w:r>
                </w:p>
              </w:tc>
              <w:tc>
                <w:tcPr>
                  <w:tcW w:w="107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3.612E-5</w:t>
                  </w:r>
                </w:p>
              </w:tc>
              <w:tc>
                <w:tcPr>
                  <w:tcW w:w="7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0.01</w:t>
                  </w:r>
                </w:p>
              </w:tc>
              <w:tc>
                <w:tcPr>
                  <w:tcW w:w="84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2.627E-5</w:t>
                  </w:r>
                </w:p>
              </w:tc>
              <w:tc>
                <w:tcPr>
                  <w:tcW w:w="44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8" w:hRule="atLeast"/>
                <w:jc w:val="center"/>
              </w:trPr>
              <w:tc>
                <w:tcPr>
                  <w:tcW w:w="671" w:type="dxa"/>
                  <w:tcBorders>
                    <w:tl2br w:val="nil"/>
                    <w:tr2bl w:val="nil"/>
                  </w:tcBorders>
                  <w:vAlign w:val="center"/>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FF"/>
                      <w:sz w:val="21"/>
                      <w:szCs w:val="21"/>
                      <w:vertAlign w:val="baseline"/>
                      <w:lang w:val="en-US" w:eastAsia="zh-CN"/>
                    </w:rPr>
                  </w:pPr>
                  <w:r>
                    <w:rPr>
                      <w:rFonts w:hint="eastAsia" w:ascii="Times New Roman" w:hAnsi="Times New Roman" w:eastAsia="宋体" w:cs="Times New Roman"/>
                      <w:color w:val="0000FF"/>
                      <w:sz w:val="21"/>
                      <w:szCs w:val="21"/>
                      <w:vertAlign w:val="baseline"/>
                      <w:lang w:val="en-US" w:eastAsia="zh-CN"/>
                    </w:rPr>
                    <w:t>1000</w:t>
                  </w:r>
                </w:p>
              </w:tc>
              <w:tc>
                <w:tcPr>
                  <w:tcW w:w="91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0.000838</w:t>
                  </w:r>
                </w:p>
              </w:tc>
              <w:tc>
                <w:tcPr>
                  <w:tcW w:w="544"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0.19</w:t>
                  </w:r>
                </w:p>
              </w:tc>
              <w:tc>
                <w:tcPr>
                  <w:tcW w:w="100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0.002667</w:t>
                  </w:r>
                </w:p>
              </w:tc>
              <w:tc>
                <w:tcPr>
                  <w:tcW w:w="61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0.22</w:t>
                  </w:r>
                </w:p>
              </w:tc>
              <w:tc>
                <w:tcPr>
                  <w:tcW w:w="103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0.0005784</w:t>
                  </w:r>
                </w:p>
              </w:tc>
              <w:tc>
                <w:tcPr>
                  <w:tcW w:w="53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0.13</w:t>
                  </w:r>
                </w:p>
              </w:tc>
              <w:tc>
                <w:tcPr>
                  <w:tcW w:w="91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0.0002918</w:t>
                  </w:r>
                </w:p>
              </w:tc>
              <w:tc>
                <w:tcPr>
                  <w:tcW w:w="56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0.02</w:t>
                  </w:r>
                </w:p>
              </w:tc>
              <w:tc>
                <w:tcPr>
                  <w:tcW w:w="82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0.009083</w:t>
                  </w:r>
                </w:p>
              </w:tc>
              <w:tc>
                <w:tcPr>
                  <w:tcW w:w="63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2.02</w:t>
                  </w:r>
                </w:p>
              </w:tc>
              <w:tc>
                <w:tcPr>
                  <w:tcW w:w="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0.004991</w:t>
                  </w:r>
                </w:p>
              </w:tc>
              <w:tc>
                <w:tcPr>
                  <w:tcW w:w="66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1.11</w:t>
                  </w:r>
                </w:p>
              </w:tc>
              <w:tc>
                <w:tcPr>
                  <w:tcW w:w="924"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0.001898</w:t>
                  </w:r>
                </w:p>
              </w:tc>
              <w:tc>
                <w:tcPr>
                  <w:tcW w:w="49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0.16</w:t>
                  </w:r>
                </w:p>
              </w:tc>
              <w:tc>
                <w:tcPr>
                  <w:tcW w:w="107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2.801E-5</w:t>
                  </w:r>
                </w:p>
              </w:tc>
              <w:tc>
                <w:tcPr>
                  <w:tcW w:w="7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0.01</w:t>
                  </w:r>
                </w:p>
              </w:tc>
              <w:tc>
                <w:tcPr>
                  <w:tcW w:w="84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2.037E-5</w:t>
                  </w:r>
                </w:p>
              </w:tc>
              <w:tc>
                <w:tcPr>
                  <w:tcW w:w="44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8" w:hRule="atLeast"/>
                <w:jc w:val="center"/>
              </w:trPr>
              <w:tc>
                <w:tcPr>
                  <w:tcW w:w="671" w:type="dxa"/>
                  <w:tcBorders>
                    <w:tl2br w:val="nil"/>
                    <w:tr2bl w:val="nil"/>
                  </w:tcBorders>
                  <w:vAlign w:val="center"/>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FF"/>
                      <w:sz w:val="21"/>
                      <w:szCs w:val="21"/>
                      <w:vertAlign w:val="baseline"/>
                      <w:lang w:val="en-US" w:eastAsia="zh-CN"/>
                    </w:rPr>
                  </w:pPr>
                  <w:r>
                    <w:rPr>
                      <w:rFonts w:hint="eastAsia" w:ascii="Times New Roman" w:hAnsi="Times New Roman" w:eastAsia="宋体" w:cs="Times New Roman"/>
                      <w:color w:val="0000FF"/>
                      <w:sz w:val="21"/>
                      <w:szCs w:val="21"/>
                      <w:vertAlign w:val="baseline"/>
                      <w:lang w:val="en-US" w:eastAsia="zh-CN"/>
                    </w:rPr>
                    <w:t>1500</w:t>
                  </w:r>
                </w:p>
              </w:tc>
              <w:tc>
                <w:tcPr>
                  <w:tcW w:w="91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0.000521</w:t>
                  </w:r>
                </w:p>
              </w:tc>
              <w:tc>
                <w:tcPr>
                  <w:tcW w:w="544"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0.12</w:t>
                  </w:r>
                </w:p>
              </w:tc>
              <w:tc>
                <w:tcPr>
                  <w:tcW w:w="100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0.001658</w:t>
                  </w:r>
                </w:p>
              </w:tc>
              <w:tc>
                <w:tcPr>
                  <w:tcW w:w="61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0.14</w:t>
                  </w:r>
                </w:p>
              </w:tc>
              <w:tc>
                <w:tcPr>
                  <w:tcW w:w="103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0.0003479</w:t>
                  </w:r>
                </w:p>
              </w:tc>
              <w:tc>
                <w:tcPr>
                  <w:tcW w:w="53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0.08</w:t>
                  </w:r>
                </w:p>
              </w:tc>
              <w:tc>
                <w:tcPr>
                  <w:tcW w:w="91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0.0001755</w:t>
                  </w:r>
                </w:p>
              </w:tc>
              <w:tc>
                <w:tcPr>
                  <w:tcW w:w="56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0.01</w:t>
                  </w:r>
                </w:p>
              </w:tc>
              <w:tc>
                <w:tcPr>
                  <w:tcW w:w="82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0.005976</w:t>
                  </w:r>
                </w:p>
              </w:tc>
              <w:tc>
                <w:tcPr>
                  <w:tcW w:w="63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1.33</w:t>
                  </w:r>
                </w:p>
              </w:tc>
              <w:tc>
                <w:tcPr>
                  <w:tcW w:w="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0.003145</w:t>
                  </w:r>
                </w:p>
              </w:tc>
              <w:tc>
                <w:tcPr>
                  <w:tcW w:w="66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0.70</w:t>
                  </w:r>
                </w:p>
              </w:tc>
              <w:tc>
                <w:tcPr>
                  <w:tcW w:w="924"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0.001177</w:t>
                  </w:r>
                </w:p>
              </w:tc>
              <w:tc>
                <w:tcPr>
                  <w:tcW w:w="49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0.10</w:t>
                  </w:r>
                </w:p>
              </w:tc>
              <w:tc>
                <w:tcPr>
                  <w:tcW w:w="107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1.698E-5</w:t>
                  </w:r>
                </w:p>
              </w:tc>
              <w:tc>
                <w:tcPr>
                  <w:tcW w:w="7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0.00</w:t>
                  </w:r>
                </w:p>
              </w:tc>
              <w:tc>
                <w:tcPr>
                  <w:tcW w:w="84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1.235E-5</w:t>
                  </w:r>
                </w:p>
              </w:tc>
              <w:tc>
                <w:tcPr>
                  <w:tcW w:w="44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8" w:hRule="atLeast"/>
                <w:jc w:val="center"/>
              </w:trPr>
              <w:tc>
                <w:tcPr>
                  <w:tcW w:w="671" w:type="dxa"/>
                  <w:tcBorders>
                    <w:tl2br w:val="nil"/>
                    <w:tr2bl w:val="nil"/>
                  </w:tcBorders>
                  <w:vAlign w:val="center"/>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FF"/>
                      <w:sz w:val="21"/>
                      <w:szCs w:val="21"/>
                      <w:vertAlign w:val="baseline"/>
                      <w:lang w:val="en-US" w:eastAsia="zh-CN"/>
                    </w:rPr>
                  </w:pPr>
                  <w:r>
                    <w:rPr>
                      <w:rFonts w:hint="eastAsia" w:ascii="Times New Roman" w:hAnsi="Times New Roman" w:eastAsia="宋体" w:cs="Times New Roman"/>
                      <w:color w:val="0000FF"/>
                      <w:sz w:val="21"/>
                      <w:szCs w:val="21"/>
                      <w:vertAlign w:val="baseline"/>
                      <w:lang w:val="en-US" w:eastAsia="zh-CN"/>
                    </w:rPr>
                    <w:t>2500</w:t>
                  </w:r>
                </w:p>
              </w:tc>
              <w:tc>
                <w:tcPr>
                  <w:tcW w:w="91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0.0002775</w:t>
                  </w:r>
                </w:p>
              </w:tc>
              <w:tc>
                <w:tcPr>
                  <w:tcW w:w="544"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0.06</w:t>
                  </w:r>
                </w:p>
              </w:tc>
              <w:tc>
                <w:tcPr>
                  <w:tcW w:w="100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0.0008833</w:t>
                  </w:r>
                </w:p>
              </w:tc>
              <w:tc>
                <w:tcPr>
                  <w:tcW w:w="61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0.07</w:t>
                  </w:r>
                </w:p>
              </w:tc>
              <w:tc>
                <w:tcPr>
                  <w:tcW w:w="103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0.0001813</w:t>
                  </w:r>
                </w:p>
              </w:tc>
              <w:tc>
                <w:tcPr>
                  <w:tcW w:w="53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0.04</w:t>
                  </w:r>
                </w:p>
              </w:tc>
              <w:tc>
                <w:tcPr>
                  <w:tcW w:w="91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9.146E-5</w:t>
                  </w:r>
                </w:p>
              </w:tc>
              <w:tc>
                <w:tcPr>
                  <w:tcW w:w="56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0.01</w:t>
                  </w:r>
                </w:p>
              </w:tc>
              <w:tc>
                <w:tcPr>
                  <w:tcW w:w="82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0.003307</w:t>
                  </w:r>
                </w:p>
              </w:tc>
              <w:tc>
                <w:tcPr>
                  <w:tcW w:w="63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0.73</w:t>
                  </w:r>
                </w:p>
              </w:tc>
              <w:tc>
                <w:tcPr>
                  <w:tcW w:w="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0.00169</w:t>
                  </w:r>
                </w:p>
              </w:tc>
              <w:tc>
                <w:tcPr>
                  <w:tcW w:w="66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0.38</w:t>
                  </w:r>
                </w:p>
              </w:tc>
              <w:tc>
                <w:tcPr>
                  <w:tcW w:w="924"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0.0006257</w:t>
                  </w:r>
                </w:p>
              </w:tc>
              <w:tc>
                <w:tcPr>
                  <w:tcW w:w="49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0.05</w:t>
                  </w:r>
                </w:p>
              </w:tc>
              <w:tc>
                <w:tcPr>
                  <w:tcW w:w="107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8.892E-6</w:t>
                  </w:r>
                </w:p>
              </w:tc>
              <w:tc>
                <w:tcPr>
                  <w:tcW w:w="7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0.00</w:t>
                  </w:r>
                </w:p>
              </w:tc>
              <w:tc>
                <w:tcPr>
                  <w:tcW w:w="84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6.467E-6</w:t>
                  </w:r>
                </w:p>
              </w:tc>
              <w:tc>
                <w:tcPr>
                  <w:tcW w:w="44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color w:val="0000FF"/>
                      <w:sz w:val="21"/>
                      <w:szCs w:val="21"/>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671"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bCs w:val="0"/>
                      <w:color w:val="0000FF"/>
                      <w:sz w:val="21"/>
                      <w:szCs w:val="21"/>
                      <w:vertAlign w:val="baseline"/>
                      <w:lang w:val="en-US" w:eastAsia="zh-CN"/>
                    </w:rPr>
                  </w:pPr>
                  <w:r>
                    <w:rPr>
                      <w:rFonts w:hAnsi="宋体"/>
                      <w:b/>
                      <w:bCs w:val="0"/>
                      <w:color w:val="0000FF"/>
                      <w:sz w:val="21"/>
                      <w:szCs w:val="21"/>
                    </w:rPr>
                    <w:t>最大值</w:t>
                  </w:r>
                </w:p>
              </w:tc>
              <w:tc>
                <w:tcPr>
                  <w:tcW w:w="91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FF"/>
                      <w:sz w:val="21"/>
                      <w:szCs w:val="21"/>
                    </w:rPr>
                  </w:pPr>
                  <w:r>
                    <w:rPr>
                      <w:rFonts w:hint="default" w:ascii="Times New Roman" w:hAnsi="Times New Roman" w:eastAsia="宋体" w:cs="Times New Roman"/>
                      <w:b/>
                      <w:bCs w:val="0"/>
                      <w:color w:val="0000FF"/>
                      <w:sz w:val="21"/>
                      <w:szCs w:val="21"/>
                    </w:rPr>
                    <w:t>0.001529</w:t>
                  </w:r>
                </w:p>
              </w:tc>
              <w:tc>
                <w:tcPr>
                  <w:tcW w:w="544"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FF"/>
                      <w:sz w:val="21"/>
                      <w:szCs w:val="21"/>
                      <w:lang w:val="en-US" w:eastAsia="zh-CN"/>
                    </w:rPr>
                  </w:pPr>
                  <w:r>
                    <w:rPr>
                      <w:rFonts w:hint="eastAsia" w:ascii="Times New Roman" w:hAnsi="Times New Roman" w:eastAsia="宋体" w:cs="Times New Roman"/>
                      <w:b/>
                      <w:bCs w:val="0"/>
                      <w:color w:val="0000FF"/>
                      <w:sz w:val="21"/>
                      <w:szCs w:val="21"/>
                      <w:lang w:val="en-US" w:eastAsia="zh-CN"/>
                    </w:rPr>
                    <w:t>0.34</w:t>
                  </w:r>
                </w:p>
              </w:tc>
              <w:tc>
                <w:tcPr>
                  <w:tcW w:w="100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FF"/>
                      <w:sz w:val="21"/>
                      <w:szCs w:val="21"/>
                    </w:rPr>
                  </w:pPr>
                  <w:r>
                    <w:rPr>
                      <w:rFonts w:hint="default" w:ascii="Times New Roman" w:hAnsi="Times New Roman" w:eastAsia="宋体" w:cs="Times New Roman"/>
                      <w:b/>
                      <w:bCs w:val="0"/>
                      <w:color w:val="0000FF"/>
                      <w:sz w:val="21"/>
                      <w:szCs w:val="21"/>
                    </w:rPr>
                    <w:t>0.004866</w:t>
                  </w:r>
                </w:p>
              </w:tc>
              <w:tc>
                <w:tcPr>
                  <w:tcW w:w="61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FF"/>
                      <w:sz w:val="21"/>
                      <w:szCs w:val="21"/>
                    </w:rPr>
                  </w:pPr>
                  <w:r>
                    <w:rPr>
                      <w:rFonts w:hint="default" w:ascii="Times New Roman" w:hAnsi="Times New Roman" w:eastAsia="宋体" w:cs="Times New Roman"/>
                      <w:b/>
                      <w:bCs w:val="0"/>
                      <w:color w:val="0000FF"/>
                      <w:sz w:val="21"/>
                      <w:szCs w:val="21"/>
                    </w:rPr>
                    <w:t>0.41</w:t>
                  </w:r>
                </w:p>
              </w:tc>
              <w:tc>
                <w:tcPr>
                  <w:tcW w:w="103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FF"/>
                      <w:sz w:val="21"/>
                      <w:szCs w:val="21"/>
                    </w:rPr>
                  </w:pPr>
                  <w:r>
                    <w:rPr>
                      <w:rFonts w:hint="default" w:ascii="Times New Roman" w:hAnsi="Times New Roman" w:eastAsia="宋体" w:cs="Times New Roman"/>
                      <w:b/>
                      <w:bCs w:val="0"/>
                      <w:color w:val="0000FF"/>
                      <w:sz w:val="21"/>
                      <w:szCs w:val="21"/>
                    </w:rPr>
                    <w:t>0.001849</w:t>
                  </w:r>
                </w:p>
              </w:tc>
              <w:tc>
                <w:tcPr>
                  <w:tcW w:w="53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FF"/>
                      <w:sz w:val="21"/>
                      <w:szCs w:val="21"/>
                    </w:rPr>
                  </w:pPr>
                  <w:r>
                    <w:rPr>
                      <w:rFonts w:hint="default" w:ascii="Times New Roman" w:hAnsi="Times New Roman" w:eastAsia="宋体" w:cs="Times New Roman"/>
                      <w:b/>
                      <w:bCs w:val="0"/>
                      <w:color w:val="0000FF"/>
                      <w:sz w:val="21"/>
                      <w:szCs w:val="21"/>
                    </w:rPr>
                    <w:t>0.41</w:t>
                  </w:r>
                </w:p>
              </w:tc>
              <w:tc>
                <w:tcPr>
                  <w:tcW w:w="91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FF"/>
                      <w:sz w:val="21"/>
                      <w:szCs w:val="21"/>
                    </w:rPr>
                  </w:pPr>
                  <w:r>
                    <w:rPr>
                      <w:rFonts w:hint="default" w:ascii="Times New Roman" w:hAnsi="Times New Roman" w:eastAsia="宋体" w:cs="Times New Roman"/>
                      <w:b/>
                      <w:bCs w:val="0"/>
                      <w:color w:val="0000FF"/>
                      <w:sz w:val="21"/>
                      <w:szCs w:val="21"/>
                    </w:rPr>
                    <w:t>0.0009329</w:t>
                  </w:r>
                </w:p>
              </w:tc>
              <w:tc>
                <w:tcPr>
                  <w:tcW w:w="56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FF"/>
                      <w:sz w:val="21"/>
                      <w:szCs w:val="21"/>
                      <w:lang w:val="en-US" w:eastAsia="zh-CN"/>
                    </w:rPr>
                  </w:pPr>
                  <w:r>
                    <w:rPr>
                      <w:rFonts w:hint="eastAsia" w:ascii="Times New Roman" w:hAnsi="Times New Roman" w:eastAsia="宋体" w:cs="Times New Roman"/>
                      <w:b/>
                      <w:bCs w:val="0"/>
                      <w:color w:val="0000FF"/>
                      <w:sz w:val="21"/>
                      <w:szCs w:val="21"/>
                      <w:lang w:val="en-US" w:eastAsia="zh-CN"/>
                    </w:rPr>
                    <w:t>0.08</w:t>
                  </w:r>
                </w:p>
              </w:tc>
              <w:tc>
                <w:tcPr>
                  <w:tcW w:w="82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FF"/>
                      <w:sz w:val="21"/>
                      <w:szCs w:val="21"/>
                    </w:rPr>
                  </w:pPr>
                  <w:r>
                    <w:rPr>
                      <w:rFonts w:hint="default" w:ascii="Times New Roman" w:hAnsi="Times New Roman" w:eastAsia="宋体" w:cs="Times New Roman"/>
                      <w:b/>
                      <w:bCs w:val="0"/>
                      <w:color w:val="0000FF"/>
                      <w:sz w:val="21"/>
                      <w:szCs w:val="21"/>
                    </w:rPr>
                    <w:t>0.01303</w:t>
                  </w:r>
                </w:p>
              </w:tc>
              <w:tc>
                <w:tcPr>
                  <w:tcW w:w="63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FF"/>
                      <w:sz w:val="21"/>
                      <w:szCs w:val="21"/>
                    </w:rPr>
                  </w:pPr>
                  <w:r>
                    <w:rPr>
                      <w:rFonts w:hint="default" w:ascii="Times New Roman" w:hAnsi="Times New Roman" w:eastAsia="宋体" w:cs="Times New Roman"/>
                      <w:b/>
                      <w:bCs w:val="0"/>
                      <w:color w:val="0000FF"/>
                      <w:sz w:val="21"/>
                      <w:szCs w:val="21"/>
                    </w:rPr>
                    <w:t>2.90</w:t>
                  </w:r>
                </w:p>
              </w:tc>
              <w:tc>
                <w:tcPr>
                  <w:tcW w:w="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FF"/>
                      <w:sz w:val="21"/>
                      <w:szCs w:val="21"/>
                    </w:rPr>
                  </w:pPr>
                  <w:r>
                    <w:rPr>
                      <w:rFonts w:hint="default" w:ascii="Times New Roman" w:hAnsi="Times New Roman" w:eastAsia="宋体" w:cs="Times New Roman"/>
                      <w:b/>
                      <w:bCs w:val="0"/>
                      <w:color w:val="0000FF"/>
                      <w:sz w:val="21"/>
                      <w:szCs w:val="21"/>
                    </w:rPr>
                    <w:t>0.008506</w:t>
                  </w:r>
                </w:p>
              </w:tc>
              <w:tc>
                <w:tcPr>
                  <w:tcW w:w="66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FF"/>
                      <w:sz w:val="21"/>
                      <w:szCs w:val="21"/>
                      <w:lang w:val="en-US" w:eastAsia="zh-CN"/>
                    </w:rPr>
                  </w:pPr>
                  <w:r>
                    <w:rPr>
                      <w:rFonts w:hint="eastAsia" w:ascii="Times New Roman" w:hAnsi="Times New Roman" w:eastAsia="宋体" w:cs="Times New Roman"/>
                      <w:b/>
                      <w:bCs w:val="0"/>
                      <w:color w:val="0000FF"/>
                      <w:sz w:val="21"/>
                      <w:szCs w:val="21"/>
                      <w:lang w:val="en-US" w:eastAsia="zh-CN"/>
                    </w:rPr>
                    <w:t>1.89</w:t>
                  </w:r>
                </w:p>
              </w:tc>
              <w:tc>
                <w:tcPr>
                  <w:tcW w:w="924"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FF"/>
                      <w:sz w:val="21"/>
                      <w:szCs w:val="21"/>
                    </w:rPr>
                  </w:pPr>
                  <w:r>
                    <w:rPr>
                      <w:rFonts w:hint="default" w:ascii="Times New Roman" w:hAnsi="Times New Roman" w:eastAsia="宋体" w:cs="Times New Roman"/>
                      <w:b/>
                      <w:bCs w:val="0"/>
                      <w:color w:val="0000FF"/>
                      <w:sz w:val="21"/>
                      <w:szCs w:val="21"/>
                    </w:rPr>
                    <w:t>0.003514</w:t>
                  </w:r>
                </w:p>
              </w:tc>
              <w:tc>
                <w:tcPr>
                  <w:tcW w:w="49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FF"/>
                      <w:sz w:val="21"/>
                      <w:szCs w:val="21"/>
                      <w:lang w:val="en-US" w:eastAsia="zh-CN"/>
                    </w:rPr>
                  </w:pPr>
                  <w:r>
                    <w:rPr>
                      <w:rFonts w:hint="eastAsia" w:ascii="Times New Roman" w:hAnsi="Times New Roman" w:eastAsia="宋体" w:cs="Times New Roman"/>
                      <w:b/>
                      <w:bCs w:val="0"/>
                      <w:color w:val="0000FF"/>
                      <w:sz w:val="21"/>
                      <w:szCs w:val="21"/>
                      <w:lang w:val="en-US" w:eastAsia="zh-CN"/>
                    </w:rPr>
                    <w:t>0.29</w:t>
                  </w:r>
                </w:p>
              </w:tc>
              <w:tc>
                <w:tcPr>
                  <w:tcW w:w="107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FF"/>
                      <w:sz w:val="21"/>
                      <w:szCs w:val="21"/>
                    </w:rPr>
                  </w:pPr>
                  <w:r>
                    <w:rPr>
                      <w:rFonts w:hint="default" w:ascii="Times New Roman" w:hAnsi="Times New Roman" w:eastAsia="宋体" w:cs="Times New Roman"/>
                      <w:b/>
                      <w:bCs w:val="0"/>
                      <w:color w:val="0000FF"/>
                      <w:sz w:val="21"/>
                      <w:szCs w:val="21"/>
                    </w:rPr>
                    <w:t>5.982E-5</w:t>
                  </w:r>
                </w:p>
              </w:tc>
              <w:tc>
                <w:tcPr>
                  <w:tcW w:w="7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FF"/>
                      <w:sz w:val="21"/>
                      <w:szCs w:val="21"/>
                      <w:lang w:val="en-US" w:eastAsia="zh-CN"/>
                    </w:rPr>
                  </w:pPr>
                  <w:r>
                    <w:rPr>
                      <w:rFonts w:hint="eastAsia" w:ascii="Times New Roman" w:hAnsi="Times New Roman" w:eastAsia="宋体" w:cs="Times New Roman"/>
                      <w:b/>
                      <w:bCs w:val="0"/>
                      <w:color w:val="0000FF"/>
                      <w:sz w:val="21"/>
                      <w:szCs w:val="21"/>
                      <w:lang w:val="en-US" w:eastAsia="zh-CN"/>
                    </w:rPr>
                    <w:t>0.01</w:t>
                  </w:r>
                </w:p>
              </w:tc>
              <w:tc>
                <w:tcPr>
                  <w:tcW w:w="84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FF"/>
                      <w:sz w:val="21"/>
                      <w:szCs w:val="21"/>
                    </w:rPr>
                  </w:pPr>
                  <w:r>
                    <w:rPr>
                      <w:rFonts w:hint="default" w:ascii="Times New Roman" w:hAnsi="Times New Roman" w:eastAsia="宋体" w:cs="Times New Roman"/>
                      <w:b/>
                      <w:bCs w:val="0"/>
                      <w:color w:val="0000FF"/>
                      <w:sz w:val="21"/>
                      <w:szCs w:val="21"/>
                    </w:rPr>
                    <w:t>4.351E-5</w:t>
                  </w:r>
                </w:p>
              </w:tc>
              <w:tc>
                <w:tcPr>
                  <w:tcW w:w="44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FF"/>
                      <w:sz w:val="21"/>
                      <w:szCs w:val="21"/>
                    </w:rPr>
                  </w:pPr>
                  <w:r>
                    <w:rPr>
                      <w:rFonts w:hint="eastAsia"/>
                      <w:b/>
                      <w:bCs w:val="0"/>
                      <w:color w:val="0000FF"/>
                      <w:sz w:val="21"/>
                      <w:szCs w:val="21"/>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16" w:hRule="atLeast"/>
                <w:jc w:val="center"/>
              </w:trPr>
              <w:tc>
                <w:tcPr>
                  <w:tcW w:w="671"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bCs w:val="0"/>
                      <w:color w:val="0000FF"/>
                      <w:sz w:val="21"/>
                      <w:szCs w:val="21"/>
                      <w:vertAlign w:val="baseline"/>
                      <w:lang w:val="en-US" w:eastAsia="zh-CN"/>
                    </w:rPr>
                  </w:pPr>
                  <w:r>
                    <w:rPr>
                      <w:rFonts w:hAnsi="宋体"/>
                      <w:b/>
                      <w:bCs w:val="0"/>
                      <w:color w:val="0000FF"/>
                      <w:sz w:val="21"/>
                      <w:szCs w:val="21"/>
                    </w:rPr>
                    <w:t>最大值出现距离</w:t>
                  </w:r>
                  <w:r>
                    <w:rPr>
                      <w:b/>
                      <w:bCs w:val="0"/>
                      <w:color w:val="0000FF"/>
                      <w:sz w:val="21"/>
                      <w:szCs w:val="21"/>
                    </w:rPr>
                    <w:t>/m</w:t>
                  </w:r>
                </w:p>
              </w:tc>
              <w:tc>
                <w:tcPr>
                  <w:tcW w:w="3081" w:type="dxa"/>
                  <w:gridSpan w:val="4"/>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FF"/>
                      <w:sz w:val="21"/>
                      <w:szCs w:val="21"/>
                      <w:lang w:val="en-US" w:eastAsia="zh-CN"/>
                    </w:rPr>
                  </w:pPr>
                  <w:r>
                    <w:rPr>
                      <w:rFonts w:hint="eastAsia" w:ascii="Times New Roman" w:hAnsi="Times New Roman" w:eastAsia="宋体" w:cs="Times New Roman"/>
                      <w:b/>
                      <w:bCs w:val="0"/>
                      <w:color w:val="0000FF"/>
                      <w:sz w:val="21"/>
                      <w:szCs w:val="21"/>
                      <w:lang w:val="en-US" w:eastAsia="zh-CN"/>
                    </w:rPr>
                    <w:t>421</w:t>
                  </w:r>
                </w:p>
              </w:tc>
              <w:tc>
                <w:tcPr>
                  <w:tcW w:w="3059" w:type="dxa"/>
                  <w:gridSpan w:val="4"/>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FF"/>
                      <w:sz w:val="21"/>
                      <w:szCs w:val="21"/>
                      <w:lang w:val="en-US" w:eastAsia="zh-CN"/>
                    </w:rPr>
                  </w:pPr>
                  <w:r>
                    <w:rPr>
                      <w:rFonts w:hint="eastAsia" w:ascii="Times New Roman" w:hAnsi="Times New Roman" w:eastAsia="宋体" w:cs="Times New Roman"/>
                      <w:b/>
                      <w:bCs w:val="0"/>
                      <w:color w:val="0000FF"/>
                      <w:sz w:val="21"/>
                      <w:szCs w:val="21"/>
                      <w:lang w:val="en-US" w:eastAsia="zh-CN"/>
                    </w:rPr>
                    <w:t>104</w:t>
                  </w:r>
                </w:p>
              </w:tc>
              <w:tc>
                <w:tcPr>
                  <w:tcW w:w="1465" w:type="dxa"/>
                  <w:gridSpan w:val="2"/>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FF"/>
                      <w:sz w:val="21"/>
                      <w:szCs w:val="21"/>
                    </w:rPr>
                  </w:pPr>
                  <w:r>
                    <w:rPr>
                      <w:rFonts w:hint="default" w:ascii="Times New Roman" w:hAnsi="Times New Roman" w:eastAsia="宋体" w:cs="Times New Roman"/>
                      <w:b/>
                      <w:bCs w:val="0"/>
                      <w:color w:val="0000FF"/>
                      <w:sz w:val="21"/>
                      <w:szCs w:val="21"/>
                    </w:rPr>
                    <w:t>517</w:t>
                  </w:r>
                </w:p>
              </w:tc>
              <w:tc>
                <w:tcPr>
                  <w:tcW w:w="1480" w:type="dxa"/>
                  <w:gridSpan w:val="2"/>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FF"/>
                      <w:sz w:val="21"/>
                      <w:szCs w:val="21"/>
                      <w:lang w:val="en-US" w:eastAsia="zh-CN"/>
                    </w:rPr>
                  </w:pPr>
                  <w:r>
                    <w:rPr>
                      <w:rFonts w:hint="eastAsia" w:ascii="Times New Roman" w:hAnsi="Times New Roman" w:eastAsia="宋体" w:cs="Times New Roman"/>
                      <w:b/>
                      <w:bCs w:val="0"/>
                      <w:color w:val="0000FF"/>
                      <w:sz w:val="21"/>
                      <w:szCs w:val="21"/>
                      <w:lang w:val="en-US" w:eastAsia="zh-CN"/>
                    </w:rPr>
                    <w:t>445</w:t>
                  </w:r>
                </w:p>
              </w:tc>
              <w:tc>
                <w:tcPr>
                  <w:tcW w:w="1422" w:type="dxa"/>
                  <w:gridSpan w:val="2"/>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FF"/>
                      <w:sz w:val="21"/>
                      <w:szCs w:val="21"/>
                      <w:lang w:val="en-US" w:eastAsia="zh-CN"/>
                    </w:rPr>
                  </w:pPr>
                  <w:r>
                    <w:rPr>
                      <w:rFonts w:hint="eastAsia" w:ascii="Times New Roman" w:hAnsi="Times New Roman" w:eastAsia="宋体" w:cs="Times New Roman"/>
                      <w:b/>
                      <w:bCs w:val="0"/>
                      <w:color w:val="0000FF"/>
                      <w:sz w:val="21"/>
                      <w:szCs w:val="21"/>
                      <w:lang w:val="en-US" w:eastAsia="zh-CN"/>
                    </w:rPr>
                    <w:t>416</w:t>
                  </w:r>
                </w:p>
              </w:tc>
              <w:tc>
                <w:tcPr>
                  <w:tcW w:w="3089" w:type="dxa"/>
                  <w:gridSpan w:val="4"/>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FF"/>
                      <w:sz w:val="21"/>
                      <w:szCs w:val="21"/>
                      <w:lang w:val="en-US" w:eastAsia="zh-CN"/>
                    </w:rPr>
                  </w:pPr>
                  <w:r>
                    <w:rPr>
                      <w:rFonts w:hint="eastAsia" w:ascii="Times New Roman" w:hAnsi="Times New Roman" w:eastAsia="宋体" w:cs="Times New Roman"/>
                      <w:b/>
                      <w:bCs w:val="0"/>
                      <w:color w:val="0000FF"/>
                      <w:sz w:val="21"/>
                      <w:szCs w:val="21"/>
                      <w:lang w:val="en-US" w:eastAsia="zh-CN"/>
                    </w:rPr>
                    <w:t>375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15" w:hRule="atLeast"/>
                <w:jc w:val="center"/>
              </w:trPr>
              <w:tc>
                <w:tcPr>
                  <w:tcW w:w="671"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FF"/>
                      <w:sz w:val="21"/>
                      <w:szCs w:val="21"/>
                      <w:vertAlign w:val="baseline"/>
                      <w:lang w:val="en-US" w:eastAsia="zh-CN"/>
                    </w:rPr>
                  </w:pPr>
                  <w:r>
                    <w:rPr>
                      <w:b/>
                      <w:color w:val="0000FF"/>
                      <w:sz w:val="21"/>
                      <w:szCs w:val="21"/>
                    </w:rPr>
                    <w:t>D10%</w:t>
                  </w:r>
                  <w:r>
                    <w:rPr>
                      <w:rFonts w:hAnsi="宋体"/>
                      <w:b/>
                      <w:color w:val="0000FF"/>
                      <w:sz w:val="21"/>
                      <w:szCs w:val="21"/>
                    </w:rPr>
                    <w:t>最远距离</w:t>
                  </w:r>
                  <w:r>
                    <w:rPr>
                      <w:b/>
                      <w:color w:val="0000FF"/>
                      <w:sz w:val="21"/>
                      <w:szCs w:val="21"/>
                    </w:rPr>
                    <w:t>/m</w:t>
                  </w:r>
                </w:p>
              </w:tc>
              <w:tc>
                <w:tcPr>
                  <w:tcW w:w="3081" w:type="dxa"/>
                  <w:gridSpan w:val="4"/>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未出现</w:t>
                  </w:r>
                </w:p>
              </w:tc>
              <w:tc>
                <w:tcPr>
                  <w:tcW w:w="3059" w:type="dxa"/>
                  <w:gridSpan w:val="4"/>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ascii="Times New Roman" w:hAnsi="Times New Roman" w:eastAsia="宋体" w:cs="Times New Roman"/>
                      <w:color w:val="0000FF"/>
                      <w:sz w:val="21"/>
                      <w:szCs w:val="21"/>
                      <w:lang w:val="en-US" w:eastAsia="zh-CN"/>
                    </w:rPr>
                    <w:t>未出现</w:t>
                  </w:r>
                </w:p>
              </w:tc>
              <w:tc>
                <w:tcPr>
                  <w:tcW w:w="1465" w:type="dxa"/>
                  <w:gridSpan w:val="2"/>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ascii="Times New Roman" w:hAnsi="Times New Roman" w:eastAsia="宋体" w:cs="Times New Roman"/>
                      <w:color w:val="0000FF"/>
                      <w:sz w:val="21"/>
                      <w:szCs w:val="21"/>
                      <w:lang w:val="en-US" w:eastAsia="zh-CN"/>
                    </w:rPr>
                    <w:t>未出现</w:t>
                  </w:r>
                </w:p>
              </w:tc>
              <w:tc>
                <w:tcPr>
                  <w:tcW w:w="1480" w:type="dxa"/>
                  <w:gridSpan w:val="2"/>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ascii="Times New Roman" w:hAnsi="Times New Roman" w:eastAsia="宋体" w:cs="Times New Roman"/>
                      <w:color w:val="0000FF"/>
                      <w:sz w:val="21"/>
                      <w:szCs w:val="21"/>
                      <w:lang w:val="en-US" w:eastAsia="zh-CN"/>
                    </w:rPr>
                    <w:t>未出现</w:t>
                  </w:r>
                </w:p>
              </w:tc>
              <w:tc>
                <w:tcPr>
                  <w:tcW w:w="1422" w:type="dxa"/>
                  <w:gridSpan w:val="2"/>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ascii="Times New Roman" w:hAnsi="Times New Roman" w:eastAsia="宋体" w:cs="Times New Roman"/>
                      <w:color w:val="0000FF"/>
                      <w:sz w:val="21"/>
                      <w:szCs w:val="21"/>
                      <w:lang w:val="en-US" w:eastAsia="zh-CN"/>
                    </w:rPr>
                    <w:t>未出现</w:t>
                  </w:r>
                </w:p>
              </w:tc>
              <w:tc>
                <w:tcPr>
                  <w:tcW w:w="3089" w:type="dxa"/>
                  <w:gridSpan w:val="4"/>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FF"/>
                      <w:sz w:val="21"/>
                      <w:szCs w:val="21"/>
                    </w:rPr>
                  </w:pPr>
                  <w:r>
                    <w:rPr>
                      <w:rFonts w:hint="eastAsia" w:ascii="Times New Roman" w:hAnsi="Times New Roman" w:eastAsia="宋体" w:cs="Times New Roman"/>
                      <w:color w:val="0000FF"/>
                      <w:sz w:val="21"/>
                      <w:szCs w:val="21"/>
                      <w:lang w:val="en-US" w:eastAsia="zh-CN"/>
                    </w:rPr>
                    <w:t>未出现</w:t>
                  </w:r>
                </w:p>
              </w:tc>
            </w:tr>
          </w:tbl>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0000FF"/>
                <w:kern w:val="0"/>
                <w:sz w:val="24"/>
                <w:szCs w:val="24"/>
                <w:lang w:val="en-US" w:eastAsia="zh-CN" w:bidi="ar"/>
              </w:rPr>
            </w:pPr>
            <w:r>
              <w:rPr>
                <w:rFonts w:hint="eastAsia" w:ascii="宋体" w:hAnsi="宋体" w:eastAsia="宋体" w:cs="宋体"/>
                <w:color w:val="0000FF"/>
                <w:kern w:val="0"/>
                <w:sz w:val="24"/>
                <w:szCs w:val="24"/>
                <w:lang w:val="en-US" w:eastAsia="zh-CN" w:bidi="ar"/>
              </w:rPr>
              <w:t>估算结果表明：①本项目废气正常排放时，各项废气污染物最大落地浓度低于相应的环境质量控制标准，均未超标，废气污染物在下风向的最大占标率小于10%，</w:t>
            </w:r>
            <w:r>
              <w:rPr>
                <w:rFonts w:hint="default" w:ascii="宋体" w:hAnsi="宋体" w:eastAsia="宋体" w:cs="宋体"/>
                <w:color w:val="0000FF"/>
                <w:kern w:val="0"/>
                <w:sz w:val="24"/>
                <w:szCs w:val="24"/>
                <w:lang w:val="en-US" w:eastAsia="zh-CN" w:bidi="ar"/>
              </w:rPr>
              <w:t>D10</w:t>
            </w:r>
            <w:r>
              <w:rPr>
                <w:rFonts w:hint="eastAsia" w:ascii="宋体" w:hAnsi="宋体" w:eastAsia="宋体" w:cs="宋体"/>
                <w:color w:val="0000FF"/>
                <w:kern w:val="0"/>
                <w:sz w:val="24"/>
                <w:szCs w:val="24"/>
                <w:lang w:val="en-US" w:eastAsia="zh-CN" w:bidi="ar"/>
              </w:rPr>
              <w:t xml:space="preserve">%未出现，对评价区域内的污染物浓度增量贡献值较小，项目废气正常排放对周边大气环境影响不大。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vertAlign w:val="baseline"/>
              </w:rPr>
            </w:pPr>
            <w:r>
              <w:rPr>
                <w:rFonts w:hint="eastAsia" w:ascii="宋体" w:hAnsi="宋体" w:eastAsia="宋体" w:cs="宋体"/>
                <w:color w:val="0000FF"/>
                <w:kern w:val="0"/>
                <w:sz w:val="24"/>
                <w:szCs w:val="24"/>
                <w:lang w:val="en-US" w:eastAsia="zh-CN" w:bidi="ar"/>
              </w:rPr>
              <w:t>②大气环境防护距离是为保护人群健康,减少大气污染物无组织排放对居住区的环境影响，在项目厂界以外设置的环境防护距离。根据预测结果表明，项目无组织排放废气厂界外下风向未出现超标点，不需要设置大气环境防护距离。</w:t>
            </w:r>
          </w:p>
        </w:tc>
      </w:tr>
    </w:tbl>
    <w:p>
      <w:r>
        <w:br w:type="page"/>
      </w:r>
    </w:p>
    <w:p>
      <w:pPr>
        <w:pStyle w:val="2"/>
        <w:sectPr>
          <w:pgSz w:w="16840" w:h="11907" w:orient="landscape"/>
          <w:pgMar w:top="1531" w:right="1134" w:bottom="1531" w:left="1134"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7"/>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0" w:hRule="atLeast"/>
        </w:trPr>
        <w:tc>
          <w:tcPr>
            <w:tcW w:w="826" w:type="dxa"/>
          </w:tcPr>
          <w:p>
            <w:pPr>
              <w:pStyle w:val="2"/>
              <w:rPr>
                <w:vertAlign w:val="baseline"/>
              </w:rPr>
            </w:pPr>
          </w:p>
        </w:tc>
        <w:tc>
          <w:tcPr>
            <w:tcW w:w="8235" w:type="dxa"/>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cs="Times New Roman"/>
                <w:b/>
                <w:bCs/>
                <w:color w:val="auto"/>
                <w:kern w:val="2"/>
                <w:sz w:val="24"/>
                <w:szCs w:val="24"/>
                <w:highlight w:val="none"/>
              </w:rPr>
            </w:pPr>
            <w:r>
              <w:rPr>
                <w:rFonts w:hint="eastAsia" w:cs="Times New Roman"/>
                <w:b/>
                <w:bCs/>
                <w:color w:val="auto"/>
                <w:kern w:val="2"/>
                <w:sz w:val="24"/>
                <w:szCs w:val="24"/>
                <w:highlight w:val="none"/>
                <w:lang w:val="en-US" w:eastAsia="zh-CN" w:bidi="ar-SA"/>
              </w:rPr>
              <w:t>4.2.1.6</w:t>
            </w:r>
            <w:r>
              <w:rPr>
                <w:rFonts w:hint="eastAsia" w:ascii="Times New Roman" w:hAnsi="Times New Roman" w:eastAsia="宋体" w:cs="Times New Roman"/>
                <w:b/>
                <w:bCs/>
                <w:color w:val="auto"/>
                <w:kern w:val="2"/>
                <w:sz w:val="24"/>
                <w:szCs w:val="24"/>
                <w:highlight w:val="none"/>
                <w:lang w:val="en-US" w:eastAsia="zh-CN" w:bidi="ar-SA"/>
              </w:rPr>
              <w:t>、</w:t>
            </w:r>
            <w:r>
              <w:rPr>
                <w:rFonts w:hint="eastAsia" w:ascii="Times New Roman" w:hAnsi="Times New Roman" w:eastAsia="宋体" w:cs="Times New Roman"/>
                <w:b/>
                <w:bCs/>
                <w:color w:val="auto"/>
                <w:kern w:val="2"/>
                <w:sz w:val="24"/>
                <w:szCs w:val="24"/>
                <w:highlight w:val="none"/>
                <w:lang w:val="en-US" w:eastAsia="zh-CN"/>
              </w:rPr>
              <w:t>卫生防护距离分析</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color w:val="auto"/>
                <w:kern w:val="0"/>
                <w:sz w:val="24"/>
                <w:szCs w:val="24"/>
                <w:highlight w:val="none"/>
                <w:lang w:val="en-US" w:eastAsia="zh-CN"/>
              </w:rPr>
              <w:t>项目无组织废气主要是</w:t>
            </w:r>
            <w:r>
              <w:rPr>
                <w:rFonts w:hint="eastAsia" w:ascii="宋体" w:hAnsi="宋体" w:eastAsia="宋体" w:cs="宋体"/>
                <w:color w:val="auto"/>
                <w:kern w:val="0"/>
                <w:sz w:val="24"/>
                <w:szCs w:val="24"/>
                <w:highlight w:val="none"/>
                <w:lang w:val="en-US" w:eastAsia="zh-CN" w:bidi="ar"/>
              </w:rPr>
              <w:t>生产过程中未收集到的颗粒物、非甲烷总烃</w:t>
            </w:r>
            <w:r>
              <w:rPr>
                <w:rFonts w:hint="eastAsia"/>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bidi="ar"/>
              </w:rPr>
              <w:t>根据废气污染物源强分析，项目颗粒物无组织排放量为</w:t>
            </w:r>
            <w:r>
              <w:rPr>
                <w:rFonts w:hint="default" w:ascii="Times New Roman" w:hAnsi="Times New Roman" w:eastAsia="宋体" w:cs="Times New Roman"/>
                <w:color w:val="auto"/>
                <w:kern w:val="0"/>
                <w:sz w:val="24"/>
                <w:szCs w:val="24"/>
                <w:highlight w:val="none"/>
                <w:lang w:val="en-US" w:eastAsia="zh-CN" w:bidi="ar"/>
              </w:rPr>
              <w:t>0.332</w:t>
            </w:r>
            <w:r>
              <w:rPr>
                <w:rFonts w:hint="eastAsia" w:cs="Times New Roman"/>
                <w:color w:val="auto"/>
                <w:kern w:val="0"/>
                <w:sz w:val="24"/>
                <w:szCs w:val="24"/>
                <w:highlight w:val="none"/>
                <w:lang w:val="en-US" w:eastAsia="zh-CN" w:bidi="ar"/>
              </w:rPr>
              <w:t>6</w:t>
            </w:r>
            <w:r>
              <w:rPr>
                <w:rFonts w:hint="default" w:ascii="Times New Roman" w:hAnsi="Times New Roman" w:eastAsia="宋体" w:cs="Times New Roman"/>
                <w:color w:val="auto"/>
                <w:kern w:val="0"/>
                <w:sz w:val="24"/>
                <w:szCs w:val="24"/>
                <w:highlight w:val="none"/>
                <w:lang w:val="en-US" w:eastAsia="zh-CN" w:bidi="ar"/>
              </w:rPr>
              <w:t>t/a</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0.1109</w:t>
            </w:r>
            <w:r>
              <w:rPr>
                <w:rFonts w:hint="eastAsia" w:ascii="Times New Roman" w:hAnsi="Times New Roman" w:eastAsia="宋体" w:cs="Times New Roman"/>
                <w:color w:val="auto"/>
                <w:kern w:val="0"/>
                <w:sz w:val="24"/>
                <w:szCs w:val="24"/>
                <w:highlight w:val="none"/>
                <w:lang w:val="en-US" w:eastAsia="zh-CN" w:bidi="ar"/>
              </w:rPr>
              <w:t>kg/h）</w:t>
            </w:r>
            <w:r>
              <w:rPr>
                <w:rFonts w:hint="eastAsia" w:ascii="宋体" w:hAnsi="宋体" w:eastAsia="宋体" w:cs="宋体"/>
                <w:color w:val="auto"/>
                <w:kern w:val="0"/>
                <w:sz w:val="24"/>
                <w:szCs w:val="24"/>
                <w:highlight w:val="none"/>
                <w:lang w:val="en-US" w:eastAsia="zh-CN" w:bidi="ar"/>
              </w:rPr>
              <w:t>，非甲烷总烃无组织排放量为</w:t>
            </w:r>
            <w:r>
              <w:rPr>
                <w:rFonts w:hint="default" w:ascii="Times New Roman" w:hAnsi="Times New Roman" w:eastAsia="宋体" w:cs="Times New Roman"/>
                <w:color w:val="auto"/>
                <w:kern w:val="0"/>
                <w:sz w:val="24"/>
                <w:szCs w:val="24"/>
                <w:highlight w:val="none"/>
                <w:lang w:val="en-US" w:eastAsia="zh-CN" w:bidi="ar"/>
              </w:rPr>
              <w:t>0.2690t/a</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0.0897</w:t>
            </w:r>
            <w:r>
              <w:rPr>
                <w:rFonts w:hint="eastAsia" w:ascii="Times New Roman" w:hAnsi="Times New Roman" w:eastAsia="宋体" w:cs="Times New Roman"/>
                <w:color w:val="auto"/>
                <w:kern w:val="0"/>
                <w:sz w:val="24"/>
                <w:szCs w:val="24"/>
                <w:highlight w:val="none"/>
                <w:lang w:val="en-US" w:eastAsia="zh-CN" w:bidi="ar"/>
              </w:rPr>
              <w:t>kg/h）</w:t>
            </w:r>
            <w:r>
              <w:rPr>
                <w:rFonts w:hint="eastAsia" w:ascii="宋体" w:hAnsi="宋体" w:eastAsia="宋体" w:cs="宋体"/>
                <w:color w:val="auto"/>
                <w:kern w:val="0"/>
                <w:sz w:val="24"/>
                <w:szCs w:val="24"/>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color w:val="auto"/>
                <w:kern w:val="0"/>
                <w:sz w:val="24"/>
                <w:highlight w:val="none"/>
              </w:rPr>
            </w:pPr>
            <w:r>
              <w:rPr>
                <w:rFonts w:hint="eastAsia"/>
                <w:color w:val="auto"/>
                <w:kern w:val="0"/>
                <w:sz w:val="24"/>
                <w:szCs w:val="24"/>
                <w:highlight w:val="none"/>
                <w:lang w:val="en-US" w:eastAsia="zh-CN"/>
              </w:rPr>
              <w:t>依据</w:t>
            </w:r>
            <w:r>
              <w:rPr>
                <w:rFonts w:hint="eastAsia"/>
                <w:color w:val="auto"/>
                <w:kern w:val="0"/>
                <w:sz w:val="24"/>
                <w:szCs w:val="24"/>
                <w:highlight w:val="none"/>
              </w:rPr>
              <w:t>《大气有害物质无组织排放卫生防护距离推导技术导则》</w:t>
            </w:r>
            <w:r>
              <w:rPr>
                <w:color w:val="auto"/>
                <w:kern w:val="0"/>
                <w:sz w:val="24"/>
                <w:szCs w:val="24"/>
                <w:highlight w:val="none"/>
              </w:rPr>
              <w:t>(</w:t>
            </w:r>
            <w:r>
              <w:rPr>
                <w:rFonts w:hint="eastAsia"/>
                <w:color w:val="auto"/>
                <w:kern w:val="0"/>
                <w:sz w:val="24"/>
                <w:szCs w:val="24"/>
                <w:highlight w:val="none"/>
              </w:rPr>
              <w:t>GB/T39499-2020</w:t>
            </w:r>
            <w:r>
              <w:rPr>
                <w:color w:val="auto"/>
                <w:kern w:val="0"/>
                <w:sz w:val="24"/>
                <w:szCs w:val="24"/>
                <w:highlight w:val="none"/>
              </w:rPr>
              <w:t>)</w:t>
            </w:r>
            <w:r>
              <w:rPr>
                <w:rFonts w:hint="eastAsia"/>
                <w:color w:val="auto"/>
                <w:kern w:val="0"/>
                <w:sz w:val="24"/>
                <w:szCs w:val="24"/>
                <w:highlight w:val="none"/>
              </w:rPr>
              <w:t>中的卫生防护距离计算公式，计算本项目卫生防护距离，公式如下：</w:t>
            </w:r>
          </w:p>
          <w:p>
            <w:pPr>
              <w:spacing w:line="360" w:lineRule="auto"/>
              <w:ind w:firstLine="480" w:firstLineChars="200"/>
              <w:jc w:val="center"/>
              <w:rPr>
                <w:color w:val="auto"/>
                <w:kern w:val="0"/>
                <w:sz w:val="24"/>
                <w:highlight w:val="none"/>
              </w:rPr>
            </w:pPr>
            <w:r>
              <w:rPr>
                <w:color w:val="auto"/>
                <w:kern w:val="0"/>
                <w:position w:val="-24"/>
                <w:sz w:val="24"/>
                <w:highlight w:val="none"/>
              </w:rPr>
              <w:object>
                <v:shape id="_x0000_i1038" o:spt="75" type="#_x0000_t75" style="height:33.75pt;width:153.75pt;" o:ole="t" filled="f" o:preferrelative="t" stroked="f" coordsize="21600,21600">
                  <v:path/>
                  <v:fill on="f" focussize="0,0"/>
                  <v:stroke on="f"/>
                  <v:imagedata r:id="rId23" o:title=""/>
                  <o:lock v:ext="edit" aspectratio="t"/>
                  <w10:wrap type="none"/>
                  <w10:anchorlock/>
                </v:shape>
                <o:OLEObject Type="Embed" ProgID="Equation.3" ShapeID="_x0000_i1038" DrawAspect="Content" ObjectID="_1468075731" r:id="rId22">
                  <o:LockedField>false</o:LockedField>
                </o:OLEObject>
              </w:object>
            </w:r>
          </w:p>
          <w:p>
            <w:pPr>
              <w:spacing w:line="360" w:lineRule="auto"/>
              <w:ind w:firstLine="480" w:firstLineChars="200"/>
              <w:rPr>
                <w:color w:val="auto"/>
                <w:kern w:val="0"/>
                <w:sz w:val="24"/>
                <w:highlight w:val="none"/>
              </w:rPr>
            </w:pPr>
            <w:r>
              <w:rPr>
                <w:rFonts w:hint="eastAsia" w:ascii="宋体" w:hAnsi="宋体" w:cs="宋体"/>
                <w:color w:val="auto"/>
                <w:kern w:val="0"/>
                <w:sz w:val="24"/>
                <w:highlight w:val="none"/>
              </w:rPr>
              <w:t>式中：</w:t>
            </w:r>
            <w:r>
              <w:rPr>
                <w:color w:val="auto"/>
                <w:kern w:val="0"/>
                <w:sz w:val="24"/>
                <w:highlight w:val="none"/>
              </w:rPr>
              <w:t>Q</w:t>
            </w:r>
            <w:r>
              <w:rPr>
                <w:color w:val="auto"/>
                <w:kern w:val="0"/>
                <w:sz w:val="24"/>
                <w:highlight w:val="none"/>
                <w:vertAlign w:val="subscript"/>
              </w:rPr>
              <w:t>c</w:t>
            </w:r>
            <w:r>
              <w:rPr>
                <w:color w:val="auto"/>
                <w:kern w:val="0"/>
                <w:sz w:val="24"/>
                <w:highlight w:val="none"/>
              </w:rPr>
              <w:t>——</w:t>
            </w:r>
            <w:r>
              <w:rPr>
                <w:rFonts w:hint="eastAsia" w:ascii="宋体" w:hAnsi="宋体" w:cs="宋体"/>
                <w:color w:val="auto"/>
                <w:kern w:val="0"/>
                <w:sz w:val="24"/>
                <w:highlight w:val="none"/>
              </w:rPr>
              <w:t>大气有害物质的无组织排放量，</w:t>
            </w:r>
            <w:r>
              <w:rPr>
                <w:color w:val="auto"/>
                <w:kern w:val="0"/>
                <w:sz w:val="24"/>
                <w:highlight w:val="none"/>
              </w:rPr>
              <w:t>kg/h</w:t>
            </w:r>
          </w:p>
          <w:p>
            <w:pPr>
              <w:spacing w:line="360" w:lineRule="auto"/>
              <w:ind w:firstLine="480" w:firstLineChars="200"/>
              <w:rPr>
                <w:color w:val="auto"/>
                <w:kern w:val="0"/>
                <w:sz w:val="24"/>
                <w:highlight w:val="none"/>
              </w:rPr>
            </w:pPr>
            <w:r>
              <w:rPr>
                <w:color w:val="auto"/>
                <w:kern w:val="0"/>
                <w:sz w:val="24"/>
                <w:highlight w:val="none"/>
              </w:rPr>
              <w:t>C</w:t>
            </w:r>
            <w:r>
              <w:rPr>
                <w:color w:val="auto"/>
                <w:kern w:val="0"/>
                <w:sz w:val="24"/>
                <w:highlight w:val="none"/>
                <w:vertAlign w:val="subscript"/>
              </w:rPr>
              <w:t>m</w:t>
            </w:r>
            <w:r>
              <w:rPr>
                <w:color w:val="auto"/>
                <w:kern w:val="0"/>
                <w:sz w:val="24"/>
                <w:highlight w:val="none"/>
              </w:rPr>
              <w:t>——</w:t>
            </w:r>
            <w:r>
              <w:rPr>
                <w:rFonts w:hint="eastAsia" w:ascii="宋体" w:hAnsi="宋体" w:cs="宋体"/>
                <w:color w:val="auto"/>
                <w:kern w:val="0"/>
                <w:sz w:val="24"/>
                <w:highlight w:val="none"/>
              </w:rPr>
              <w:t>大气有害物质环境空气质量的标准限值，</w:t>
            </w:r>
            <w:r>
              <w:rPr>
                <w:color w:val="auto"/>
                <w:kern w:val="0"/>
                <w:sz w:val="24"/>
                <w:highlight w:val="none"/>
              </w:rPr>
              <w:t>mg/m</w:t>
            </w:r>
            <w:r>
              <w:rPr>
                <w:color w:val="auto"/>
                <w:kern w:val="0"/>
                <w:sz w:val="24"/>
                <w:highlight w:val="none"/>
                <w:vertAlign w:val="superscript"/>
              </w:rPr>
              <w:t>3</w:t>
            </w:r>
          </w:p>
          <w:p>
            <w:pPr>
              <w:spacing w:line="360" w:lineRule="auto"/>
              <w:ind w:firstLine="480" w:firstLineChars="200"/>
              <w:rPr>
                <w:color w:val="auto"/>
                <w:kern w:val="0"/>
                <w:sz w:val="24"/>
                <w:highlight w:val="none"/>
              </w:rPr>
            </w:pPr>
            <w:r>
              <w:rPr>
                <w:color w:val="auto"/>
                <w:kern w:val="0"/>
                <w:sz w:val="24"/>
                <w:highlight w:val="none"/>
              </w:rPr>
              <w:t>L——</w:t>
            </w:r>
            <w:r>
              <w:rPr>
                <w:rFonts w:hint="eastAsia"/>
                <w:color w:val="auto"/>
                <w:kern w:val="0"/>
                <w:sz w:val="24"/>
                <w:highlight w:val="none"/>
              </w:rPr>
              <w:t>大气有害物质卫生防护距离初值</w:t>
            </w:r>
            <w:r>
              <w:rPr>
                <w:rFonts w:hint="eastAsia" w:ascii="宋体" w:hAnsi="宋体" w:cs="宋体"/>
                <w:color w:val="auto"/>
                <w:kern w:val="0"/>
                <w:sz w:val="24"/>
                <w:highlight w:val="none"/>
              </w:rPr>
              <w:t>，</w:t>
            </w:r>
            <w:r>
              <w:rPr>
                <w:color w:val="auto"/>
                <w:kern w:val="0"/>
                <w:sz w:val="24"/>
                <w:highlight w:val="none"/>
              </w:rPr>
              <w:t>m</w:t>
            </w:r>
          </w:p>
          <w:p>
            <w:pPr>
              <w:spacing w:line="360" w:lineRule="auto"/>
              <w:ind w:firstLine="480" w:firstLineChars="200"/>
              <w:rPr>
                <w:color w:val="auto"/>
                <w:kern w:val="0"/>
                <w:sz w:val="24"/>
                <w:highlight w:val="none"/>
              </w:rPr>
            </w:pPr>
            <w:r>
              <w:rPr>
                <w:color w:val="auto"/>
                <w:kern w:val="0"/>
                <w:sz w:val="24"/>
                <w:highlight w:val="none"/>
              </w:rPr>
              <w:t>r——</w:t>
            </w:r>
            <w:r>
              <w:rPr>
                <w:rFonts w:hint="eastAsia" w:ascii="宋体" w:hAnsi="宋体" w:cs="宋体"/>
                <w:color w:val="auto"/>
                <w:kern w:val="0"/>
                <w:sz w:val="24"/>
                <w:highlight w:val="none"/>
              </w:rPr>
              <w:t>大气有害物质无组织排放源所在生产单元的等效半径，</w:t>
            </w:r>
            <w:r>
              <w:rPr>
                <w:color w:val="auto"/>
                <w:kern w:val="0"/>
                <w:sz w:val="24"/>
                <w:highlight w:val="none"/>
              </w:rPr>
              <w:t>m</w:t>
            </w:r>
            <w:r>
              <w:rPr>
                <w:rFonts w:hint="eastAsia" w:ascii="宋体" w:hAnsi="宋体" w:cs="宋体"/>
                <w:color w:val="auto"/>
                <w:kern w:val="0"/>
                <w:sz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color w:val="auto"/>
                <w:sz w:val="24"/>
                <w:highlight w:val="none"/>
                <w:lang w:val="en-US" w:eastAsia="zh-CN"/>
              </w:rPr>
            </w:pPr>
            <w:r>
              <w:rPr>
                <w:rFonts w:hint="eastAsia"/>
                <w:color w:val="auto"/>
                <w:sz w:val="24"/>
                <w:highlight w:val="none"/>
                <w:lang w:eastAsia="zh-CN"/>
              </w:rPr>
              <w:t>本项目无组织</w:t>
            </w:r>
            <w:r>
              <w:rPr>
                <w:color w:val="auto"/>
                <w:sz w:val="24"/>
                <w:highlight w:val="none"/>
              </w:rPr>
              <w:t>废气污染源排放参数见表</w:t>
            </w:r>
            <w:r>
              <w:rPr>
                <w:rFonts w:hint="eastAsia"/>
                <w:color w:val="auto"/>
                <w:sz w:val="24"/>
                <w:highlight w:val="none"/>
              </w:rPr>
              <w:t>4</w:t>
            </w:r>
            <w:r>
              <w:rPr>
                <w:rFonts w:hint="eastAsia"/>
                <w:color w:val="auto"/>
                <w:sz w:val="24"/>
                <w:highlight w:val="none"/>
                <w:lang w:val="en-US" w:eastAsia="zh-CN"/>
              </w:rPr>
              <w:t>.2</w:t>
            </w:r>
            <w:r>
              <w:rPr>
                <w:rFonts w:hint="eastAsia"/>
                <w:color w:val="auto"/>
                <w:sz w:val="24"/>
                <w:highlight w:val="none"/>
              </w:rPr>
              <w:t>-</w:t>
            </w:r>
            <w:r>
              <w:rPr>
                <w:rFonts w:hint="eastAsia"/>
                <w:color w:val="auto"/>
                <w:sz w:val="24"/>
                <w:highlight w:val="none"/>
                <w:lang w:val="en-US" w:eastAsia="zh-CN"/>
              </w:rPr>
              <w:t>14</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sz w:val="24"/>
                <w:highlight w:val="none"/>
              </w:rPr>
            </w:pPr>
            <w:r>
              <w:rPr>
                <w:rFonts w:hint="eastAsia" w:ascii="Times New Roman" w:hAnsi="Times New Roman" w:eastAsia="宋体" w:cs="Times New Roman"/>
                <w:b/>
                <w:bCs/>
                <w:color w:val="auto"/>
                <w:sz w:val="24"/>
                <w:highlight w:val="none"/>
              </w:rPr>
              <w:t>表4</w:t>
            </w:r>
            <w:r>
              <w:rPr>
                <w:rFonts w:hint="eastAsia" w:ascii="Times New Roman" w:hAnsi="Times New Roman" w:eastAsia="宋体" w:cs="Times New Roman"/>
                <w:b/>
                <w:bCs/>
                <w:color w:val="auto"/>
                <w:sz w:val="24"/>
                <w:highlight w:val="none"/>
                <w:lang w:val="en-US" w:eastAsia="zh-CN"/>
              </w:rPr>
              <w:t>.2</w:t>
            </w:r>
            <w:r>
              <w:rPr>
                <w:rFonts w:hint="eastAsia" w:ascii="Times New Roman" w:hAnsi="Times New Roman" w:eastAsia="宋体" w:cs="Times New Roman"/>
                <w:b/>
                <w:bCs/>
                <w:color w:val="auto"/>
                <w:sz w:val="24"/>
                <w:highlight w:val="none"/>
              </w:rPr>
              <w:t>-</w:t>
            </w:r>
            <w:r>
              <w:rPr>
                <w:rFonts w:hint="eastAsia" w:cs="Times New Roman"/>
                <w:b/>
                <w:bCs/>
                <w:color w:val="auto"/>
                <w:sz w:val="24"/>
                <w:highlight w:val="none"/>
                <w:lang w:val="en-US" w:eastAsia="zh-CN"/>
              </w:rPr>
              <w:t>14</w:t>
            </w:r>
            <w:r>
              <w:rPr>
                <w:rFonts w:hint="default" w:ascii="Times New Roman" w:hAnsi="Times New Roman" w:eastAsia="宋体" w:cs="Times New Roman"/>
                <w:b/>
                <w:bCs/>
                <w:color w:val="auto"/>
                <w:sz w:val="24"/>
                <w:highlight w:val="none"/>
              </w:rPr>
              <w:t xml:space="preserve">  </w:t>
            </w:r>
            <w:r>
              <w:rPr>
                <w:rFonts w:hint="eastAsia" w:ascii="Times New Roman" w:hAnsi="Times New Roman" w:eastAsia="宋体" w:cs="Times New Roman"/>
                <w:b/>
                <w:bCs/>
                <w:color w:val="auto"/>
                <w:sz w:val="24"/>
                <w:highlight w:val="none"/>
              </w:rPr>
              <w:t>卫生环境防护距离参数表</w:t>
            </w:r>
          </w:p>
          <w:tbl>
            <w:tblPr>
              <w:tblStyle w:val="28"/>
              <w:tblW w:w="84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5"/>
              <w:gridCol w:w="1067"/>
              <w:gridCol w:w="1224"/>
              <w:gridCol w:w="576"/>
              <w:gridCol w:w="767"/>
              <w:gridCol w:w="767"/>
              <w:gridCol w:w="690"/>
              <w:gridCol w:w="1074"/>
              <w:gridCol w:w="8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15" w:type="dxa"/>
                  <w:vMerge w:val="restart"/>
                  <w:tcBorders>
                    <w:tl2br w:val="nil"/>
                    <w:tr2bl w:val="nil"/>
                  </w:tcBorders>
                  <w:noWrap/>
                  <w:vAlign w:val="center"/>
                </w:tcPr>
                <w:p>
                  <w:pPr>
                    <w:pStyle w:val="87"/>
                    <w:spacing w:line="240" w:lineRule="auto"/>
                    <w:ind w:firstLine="0" w:firstLineChars="0"/>
                    <w:jc w:val="center"/>
                    <w:rPr>
                      <w:rFonts w:hint="eastAsia" w:hAnsi="宋体" w:eastAsia="宋体"/>
                      <w:color w:val="auto"/>
                      <w:kern w:val="2"/>
                      <w:sz w:val="21"/>
                      <w:szCs w:val="21"/>
                      <w:highlight w:val="none"/>
                      <w:lang w:val="en-US" w:eastAsia="zh-CN" w:bidi="ar-SA"/>
                    </w:rPr>
                  </w:pPr>
                  <w:r>
                    <w:rPr>
                      <w:rFonts w:hint="eastAsia" w:hAnsi="宋体" w:eastAsia="宋体"/>
                      <w:color w:val="auto"/>
                      <w:kern w:val="2"/>
                      <w:sz w:val="21"/>
                      <w:szCs w:val="21"/>
                      <w:highlight w:val="none"/>
                      <w:lang w:val="en-US" w:eastAsia="zh-CN" w:bidi="ar-SA"/>
                    </w:rPr>
                    <w:t>污染源名称</w:t>
                  </w:r>
                </w:p>
              </w:tc>
              <w:tc>
                <w:tcPr>
                  <w:tcW w:w="1067" w:type="dxa"/>
                  <w:vMerge w:val="restart"/>
                  <w:tcBorders>
                    <w:tl2br w:val="nil"/>
                    <w:tr2bl w:val="nil"/>
                  </w:tcBorders>
                  <w:noWrap w:val="0"/>
                  <w:vAlign w:val="center"/>
                </w:tcPr>
                <w:p>
                  <w:pPr>
                    <w:pStyle w:val="87"/>
                    <w:spacing w:line="240" w:lineRule="auto"/>
                    <w:ind w:firstLine="0" w:firstLineChars="0"/>
                    <w:jc w:val="center"/>
                    <w:rPr>
                      <w:rFonts w:hint="eastAsia" w:hAnsi="宋体" w:eastAsia="宋体"/>
                      <w:color w:val="auto"/>
                      <w:kern w:val="2"/>
                      <w:sz w:val="21"/>
                      <w:szCs w:val="21"/>
                      <w:highlight w:val="none"/>
                      <w:lang w:eastAsia="zh-CN" w:bidi="ar-SA"/>
                    </w:rPr>
                  </w:pPr>
                  <w:r>
                    <w:rPr>
                      <w:rFonts w:hint="eastAsia" w:hAnsi="宋体"/>
                      <w:color w:val="auto"/>
                      <w:kern w:val="2"/>
                      <w:sz w:val="21"/>
                      <w:szCs w:val="21"/>
                      <w:highlight w:val="none"/>
                      <w:lang w:val="en-US" w:eastAsia="zh-CN" w:bidi="ar-SA"/>
                    </w:rPr>
                    <w:t>污染物</w:t>
                  </w:r>
                </w:p>
              </w:tc>
              <w:tc>
                <w:tcPr>
                  <w:tcW w:w="1224" w:type="dxa"/>
                  <w:vMerge w:val="restart"/>
                  <w:tcBorders>
                    <w:tl2br w:val="nil"/>
                    <w:tr2bl w:val="nil"/>
                  </w:tcBorders>
                  <w:noWrap/>
                  <w:vAlign w:val="center"/>
                </w:tcPr>
                <w:p>
                  <w:pPr>
                    <w:pStyle w:val="87"/>
                    <w:spacing w:line="240" w:lineRule="auto"/>
                    <w:ind w:firstLine="0" w:firstLineChars="0"/>
                    <w:jc w:val="center"/>
                    <w:rPr>
                      <w:color w:val="auto"/>
                      <w:kern w:val="0"/>
                      <w:sz w:val="24"/>
                      <w:highlight w:val="none"/>
                      <w:vertAlign w:val="subscript"/>
                    </w:rPr>
                  </w:pPr>
                  <w:r>
                    <w:rPr>
                      <w:color w:val="auto"/>
                      <w:kern w:val="0"/>
                      <w:sz w:val="24"/>
                      <w:highlight w:val="none"/>
                    </w:rPr>
                    <w:t>Q</w:t>
                  </w:r>
                  <w:r>
                    <w:rPr>
                      <w:color w:val="auto"/>
                      <w:kern w:val="0"/>
                      <w:sz w:val="24"/>
                      <w:highlight w:val="none"/>
                      <w:vertAlign w:val="subscript"/>
                    </w:rPr>
                    <w:t>c</w:t>
                  </w:r>
                </w:p>
                <w:p>
                  <w:pPr>
                    <w:pStyle w:val="87"/>
                    <w:spacing w:line="240" w:lineRule="auto"/>
                    <w:ind w:firstLine="0" w:firstLineChars="0"/>
                    <w:jc w:val="center"/>
                    <w:rPr>
                      <w:rFonts w:hint="eastAsia" w:eastAsia="宋体"/>
                      <w:color w:val="auto"/>
                      <w:kern w:val="0"/>
                      <w:sz w:val="24"/>
                      <w:highlight w:val="none"/>
                      <w:vertAlign w:val="subscript"/>
                      <w:lang w:val="en-US" w:eastAsia="zh-CN"/>
                    </w:rPr>
                  </w:pPr>
                  <w:r>
                    <w:rPr>
                      <w:rFonts w:hint="eastAsia"/>
                      <w:color w:val="auto"/>
                      <w:kern w:val="0"/>
                      <w:sz w:val="24"/>
                      <w:highlight w:val="none"/>
                      <w:vertAlign w:val="baseline"/>
                      <w:lang w:val="en-US" w:eastAsia="zh-CN"/>
                    </w:rPr>
                    <w:t>（kg/h）</w:t>
                  </w:r>
                </w:p>
              </w:tc>
              <w:tc>
                <w:tcPr>
                  <w:tcW w:w="2800" w:type="dxa"/>
                  <w:gridSpan w:val="4"/>
                  <w:tcBorders>
                    <w:tl2br w:val="nil"/>
                    <w:tr2bl w:val="nil"/>
                  </w:tcBorders>
                  <w:noWrap/>
                  <w:vAlign w:val="center"/>
                </w:tcPr>
                <w:p>
                  <w:pPr>
                    <w:pStyle w:val="87"/>
                    <w:spacing w:line="240" w:lineRule="auto"/>
                    <w:ind w:firstLine="0" w:firstLineChars="0"/>
                    <w:jc w:val="center"/>
                    <w:rPr>
                      <w:rFonts w:hAnsi="宋体"/>
                      <w:color w:val="auto"/>
                      <w:kern w:val="2"/>
                      <w:sz w:val="21"/>
                      <w:szCs w:val="21"/>
                      <w:highlight w:val="none"/>
                      <w:lang w:bidi="ar-SA"/>
                    </w:rPr>
                  </w:pPr>
                  <w:r>
                    <w:rPr>
                      <w:rFonts w:hint="eastAsia" w:hAnsi="宋体"/>
                      <w:color w:val="auto"/>
                      <w:kern w:val="2"/>
                      <w:sz w:val="21"/>
                      <w:szCs w:val="21"/>
                      <w:highlight w:val="none"/>
                      <w:lang w:bidi="ar-SA"/>
                    </w:rPr>
                    <w:t>计算系数</w:t>
                  </w:r>
                  <w:r>
                    <w:rPr>
                      <w:rFonts w:hAnsi="宋体"/>
                      <w:color w:val="auto"/>
                      <w:kern w:val="2"/>
                      <w:sz w:val="21"/>
                      <w:szCs w:val="21"/>
                      <w:highlight w:val="none"/>
                      <w:lang w:bidi="ar-SA"/>
                    </w:rPr>
                    <w:t>(</w:t>
                  </w:r>
                  <w:r>
                    <w:rPr>
                      <w:rFonts w:hint="eastAsia" w:hAnsi="宋体"/>
                      <w:color w:val="auto"/>
                      <w:kern w:val="2"/>
                      <w:sz w:val="21"/>
                      <w:szCs w:val="21"/>
                      <w:highlight w:val="none"/>
                      <w:lang w:bidi="ar-SA"/>
                    </w:rPr>
                    <w:t>无因次</w:t>
                  </w:r>
                  <w:r>
                    <w:rPr>
                      <w:rFonts w:hAnsi="宋体"/>
                      <w:color w:val="auto"/>
                      <w:kern w:val="2"/>
                      <w:sz w:val="21"/>
                      <w:szCs w:val="21"/>
                      <w:highlight w:val="none"/>
                      <w:lang w:bidi="ar-SA"/>
                    </w:rPr>
                    <w:t>)</w:t>
                  </w:r>
                </w:p>
              </w:tc>
              <w:tc>
                <w:tcPr>
                  <w:tcW w:w="1074" w:type="dxa"/>
                  <w:vMerge w:val="restart"/>
                  <w:tcBorders>
                    <w:tl2br w:val="nil"/>
                    <w:tr2bl w:val="nil"/>
                  </w:tcBorders>
                  <w:noWrap/>
                  <w:vAlign w:val="center"/>
                </w:tcPr>
                <w:p>
                  <w:pPr>
                    <w:pStyle w:val="87"/>
                    <w:spacing w:line="240" w:lineRule="auto"/>
                    <w:ind w:firstLine="0" w:firstLineChars="0"/>
                    <w:jc w:val="center"/>
                    <w:rPr>
                      <w:rFonts w:hAnsi="宋体"/>
                      <w:color w:val="auto"/>
                      <w:kern w:val="2"/>
                      <w:sz w:val="21"/>
                      <w:szCs w:val="21"/>
                      <w:highlight w:val="none"/>
                      <w:lang w:bidi="ar-SA"/>
                    </w:rPr>
                  </w:pPr>
                  <w:r>
                    <w:rPr>
                      <w:rFonts w:hint="eastAsia" w:hAnsi="宋体"/>
                      <w:color w:val="auto"/>
                      <w:kern w:val="2"/>
                      <w:sz w:val="21"/>
                      <w:szCs w:val="21"/>
                      <w:highlight w:val="none"/>
                      <w:lang w:bidi="ar-SA"/>
                    </w:rPr>
                    <w:t>卫生防护距离计算值</w:t>
                  </w:r>
                  <w:r>
                    <w:rPr>
                      <w:rFonts w:hAnsi="宋体"/>
                      <w:color w:val="auto"/>
                      <w:kern w:val="2"/>
                      <w:sz w:val="21"/>
                      <w:szCs w:val="21"/>
                      <w:highlight w:val="none"/>
                      <w:lang w:bidi="ar-SA"/>
                    </w:rPr>
                    <w:t>(m)</w:t>
                  </w:r>
                </w:p>
              </w:tc>
              <w:tc>
                <w:tcPr>
                  <w:tcW w:w="878" w:type="dxa"/>
                  <w:vMerge w:val="restart"/>
                  <w:tcBorders>
                    <w:tl2br w:val="nil"/>
                    <w:tr2bl w:val="nil"/>
                  </w:tcBorders>
                  <w:noWrap/>
                  <w:vAlign w:val="center"/>
                </w:tcPr>
                <w:p>
                  <w:pPr>
                    <w:pStyle w:val="87"/>
                    <w:spacing w:line="240" w:lineRule="auto"/>
                    <w:ind w:firstLine="0" w:firstLineChars="0"/>
                    <w:jc w:val="center"/>
                    <w:rPr>
                      <w:rFonts w:hAnsi="宋体"/>
                      <w:color w:val="auto"/>
                      <w:kern w:val="2"/>
                      <w:sz w:val="21"/>
                      <w:szCs w:val="21"/>
                      <w:highlight w:val="none"/>
                      <w:lang w:bidi="ar-SA"/>
                    </w:rPr>
                  </w:pPr>
                  <w:r>
                    <w:rPr>
                      <w:rFonts w:hint="eastAsia" w:hAnsi="宋体"/>
                      <w:color w:val="auto"/>
                      <w:kern w:val="2"/>
                      <w:sz w:val="21"/>
                      <w:szCs w:val="21"/>
                      <w:highlight w:val="none"/>
                      <w:lang w:bidi="ar-SA"/>
                    </w:rPr>
                    <w:t>卫生防护距离</w:t>
                  </w:r>
                  <w:r>
                    <w:rPr>
                      <w:rFonts w:hAnsi="宋体"/>
                      <w:color w:val="auto"/>
                      <w:kern w:val="2"/>
                      <w:sz w:val="21"/>
                      <w:szCs w:val="21"/>
                      <w:highlight w:val="none"/>
                      <w:lang w:bidi="ar-SA"/>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exact"/>
                <w:jc w:val="center"/>
              </w:trPr>
              <w:tc>
                <w:tcPr>
                  <w:tcW w:w="1415" w:type="dxa"/>
                  <w:vMerge w:val="continue"/>
                  <w:tcBorders>
                    <w:tl2br w:val="nil"/>
                    <w:tr2bl w:val="nil"/>
                  </w:tcBorders>
                  <w:noWrap w:val="0"/>
                  <w:vAlign w:val="center"/>
                </w:tcPr>
                <w:p>
                  <w:pPr>
                    <w:pStyle w:val="87"/>
                    <w:spacing w:line="240" w:lineRule="auto"/>
                    <w:ind w:firstLine="0" w:firstLineChars="0"/>
                    <w:jc w:val="center"/>
                    <w:rPr>
                      <w:rFonts w:hAnsi="宋体"/>
                      <w:color w:val="auto"/>
                      <w:kern w:val="2"/>
                      <w:sz w:val="21"/>
                      <w:szCs w:val="21"/>
                      <w:highlight w:val="none"/>
                      <w:lang w:bidi="ar-SA"/>
                    </w:rPr>
                  </w:pPr>
                </w:p>
              </w:tc>
              <w:tc>
                <w:tcPr>
                  <w:tcW w:w="1067" w:type="dxa"/>
                  <w:vMerge w:val="continue"/>
                  <w:tcBorders>
                    <w:tl2br w:val="nil"/>
                    <w:tr2bl w:val="nil"/>
                  </w:tcBorders>
                  <w:noWrap w:val="0"/>
                  <w:vAlign w:val="center"/>
                </w:tcPr>
                <w:p>
                  <w:pPr>
                    <w:pStyle w:val="87"/>
                    <w:spacing w:line="240" w:lineRule="auto"/>
                    <w:ind w:firstLine="0" w:firstLineChars="0"/>
                    <w:jc w:val="center"/>
                    <w:rPr>
                      <w:rFonts w:hAnsi="宋体"/>
                      <w:color w:val="auto"/>
                      <w:kern w:val="2"/>
                      <w:sz w:val="21"/>
                      <w:szCs w:val="21"/>
                      <w:highlight w:val="none"/>
                      <w:lang w:bidi="ar-SA"/>
                    </w:rPr>
                  </w:pPr>
                </w:p>
              </w:tc>
              <w:tc>
                <w:tcPr>
                  <w:tcW w:w="1224" w:type="dxa"/>
                  <w:vMerge w:val="continue"/>
                  <w:tcBorders>
                    <w:tl2br w:val="nil"/>
                    <w:tr2bl w:val="nil"/>
                  </w:tcBorders>
                  <w:noWrap w:val="0"/>
                  <w:vAlign w:val="center"/>
                </w:tcPr>
                <w:p>
                  <w:pPr>
                    <w:pStyle w:val="87"/>
                    <w:spacing w:line="240" w:lineRule="auto"/>
                    <w:ind w:firstLine="0" w:firstLineChars="0"/>
                    <w:jc w:val="center"/>
                    <w:rPr>
                      <w:rFonts w:hAnsi="宋体"/>
                      <w:color w:val="auto"/>
                      <w:kern w:val="2"/>
                      <w:sz w:val="21"/>
                      <w:szCs w:val="21"/>
                      <w:highlight w:val="none"/>
                      <w:lang w:bidi="ar-SA"/>
                    </w:rPr>
                  </w:pPr>
                </w:p>
              </w:tc>
              <w:tc>
                <w:tcPr>
                  <w:tcW w:w="576" w:type="dxa"/>
                  <w:tcBorders>
                    <w:tl2br w:val="nil"/>
                    <w:tr2bl w:val="nil"/>
                  </w:tcBorders>
                  <w:noWrap/>
                  <w:vAlign w:val="center"/>
                </w:tcPr>
                <w:p>
                  <w:pPr>
                    <w:pStyle w:val="87"/>
                    <w:spacing w:line="240" w:lineRule="auto"/>
                    <w:ind w:firstLine="0" w:firstLineChars="0"/>
                    <w:jc w:val="center"/>
                    <w:rPr>
                      <w:rFonts w:hAnsi="宋体"/>
                      <w:color w:val="auto"/>
                      <w:kern w:val="2"/>
                      <w:sz w:val="21"/>
                      <w:szCs w:val="21"/>
                      <w:highlight w:val="none"/>
                      <w:lang w:bidi="ar-SA"/>
                    </w:rPr>
                  </w:pPr>
                  <w:r>
                    <w:rPr>
                      <w:rFonts w:hAnsi="宋体"/>
                      <w:color w:val="auto"/>
                      <w:kern w:val="2"/>
                      <w:sz w:val="21"/>
                      <w:szCs w:val="21"/>
                      <w:highlight w:val="none"/>
                      <w:lang w:bidi="ar-SA"/>
                    </w:rPr>
                    <w:t>A</w:t>
                  </w:r>
                </w:p>
              </w:tc>
              <w:tc>
                <w:tcPr>
                  <w:tcW w:w="767" w:type="dxa"/>
                  <w:tcBorders>
                    <w:tl2br w:val="nil"/>
                    <w:tr2bl w:val="nil"/>
                  </w:tcBorders>
                  <w:noWrap/>
                  <w:vAlign w:val="center"/>
                </w:tcPr>
                <w:p>
                  <w:pPr>
                    <w:pStyle w:val="87"/>
                    <w:spacing w:line="240" w:lineRule="auto"/>
                    <w:ind w:firstLine="0" w:firstLineChars="0"/>
                    <w:jc w:val="center"/>
                    <w:rPr>
                      <w:rFonts w:hAnsi="宋体"/>
                      <w:color w:val="auto"/>
                      <w:kern w:val="2"/>
                      <w:sz w:val="21"/>
                      <w:szCs w:val="21"/>
                      <w:highlight w:val="none"/>
                      <w:lang w:bidi="ar-SA"/>
                    </w:rPr>
                  </w:pPr>
                  <w:r>
                    <w:rPr>
                      <w:rFonts w:hAnsi="宋体"/>
                      <w:color w:val="auto"/>
                      <w:kern w:val="2"/>
                      <w:sz w:val="21"/>
                      <w:szCs w:val="21"/>
                      <w:highlight w:val="none"/>
                      <w:lang w:bidi="ar-SA"/>
                    </w:rPr>
                    <w:t>B</w:t>
                  </w:r>
                </w:p>
              </w:tc>
              <w:tc>
                <w:tcPr>
                  <w:tcW w:w="767" w:type="dxa"/>
                  <w:tcBorders>
                    <w:tl2br w:val="nil"/>
                    <w:tr2bl w:val="nil"/>
                  </w:tcBorders>
                  <w:noWrap/>
                  <w:vAlign w:val="center"/>
                </w:tcPr>
                <w:p>
                  <w:pPr>
                    <w:pStyle w:val="87"/>
                    <w:spacing w:line="240" w:lineRule="auto"/>
                    <w:ind w:firstLine="0" w:firstLineChars="0"/>
                    <w:jc w:val="center"/>
                    <w:rPr>
                      <w:rFonts w:hAnsi="宋体"/>
                      <w:color w:val="auto"/>
                      <w:kern w:val="2"/>
                      <w:sz w:val="21"/>
                      <w:szCs w:val="21"/>
                      <w:highlight w:val="none"/>
                      <w:lang w:bidi="ar-SA"/>
                    </w:rPr>
                  </w:pPr>
                  <w:r>
                    <w:rPr>
                      <w:rFonts w:hAnsi="宋体"/>
                      <w:color w:val="auto"/>
                      <w:kern w:val="2"/>
                      <w:sz w:val="21"/>
                      <w:szCs w:val="21"/>
                      <w:highlight w:val="none"/>
                      <w:lang w:bidi="ar-SA"/>
                    </w:rPr>
                    <w:t>C</w:t>
                  </w:r>
                </w:p>
              </w:tc>
              <w:tc>
                <w:tcPr>
                  <w:tcW w:w="690" w:type="dxa"/>
                  <w:tcBorders>
                    <w:tl2br w:val="nil"/>
                    <w:tr2bl w:val="nil"/>
                  </w:tcBorders>
                  <w:noWrap/>
                  <w:vAlign w:val="center"/>
                </w:tcPr>
                <w:p>
                  <w:pPr>
                    <w:pStyle w:val="87"/>
                    <w:spacing w:line="240" w:lineRule="auto"/>
                    <w:ind w:firstLine="0" w:firstLineChars="0"/>
                    <w:jc w:val="center"/>
                    <w:rPr>
                      <w:rFonts w:hAnsi="宋体"/>
                      <w:color w:val="auto"/>
                      <w:kern w:val="2"/>
                      <w:sz w:val="21"/>
                      <w:szCs w:val="21"/>
                      <w:highlight w:val="none"/>
                      <w:lang w:bidi="ar-SA"/>
                    </w:rPr>
                  </w:pPr>
                  <w:r>
                    <w:rPr>
                      <w:rFonts w:hAnsi="宋体"/>
                      <w:color w:val="auto"/>
                      <w:kern w:val="2"/>
                      <w:sz w:val="21"/>
                      <w:szCs w:val="21"/>
                      <w:highlight w:val="none"/>
                      <w:lang w:bidi="ar-SA"/>
                    </w:rPr>
                    <w:t>D</w:t>
                  </w:r>
                </w:p>
              </w:tc>
              <w:tc>
                <w:tcPr>
                  <w:tcW w:w="1074" w:type="dxa"/>
                  <w:vMerge w:val="continue"/>
                  <w:tcBorders>
                    <w:tl2br w:val="nil"/>
                    <w:tr2bl w:val="nil"/>
                  </w:tcBorders>
                  <w:noWrap w:val="0"/>
                  <w:vAlign w:val="center"/>
                </w:tcPr>
                <w:p>
                  <w:pPr>
                    <w:pStyle w:val="87"/>
                    <w:spacing w:line="240" w:lineRule="auto"/>
                    <w:ind w:firstLine="0" w:firstLineChars="0"/>
                    <w:jc w:val="center"/>
                    <w:rPr>
                      <w:rFonts w:hAnsi="宋体"/>
                      <w:color w:val="auto"/>
                      <w:kern w:val="2"/>
                      <w:sz w:val="21"/>
                      <w:szCs w:val="21"/>
                      <w:highlight w:val="none"/>
                      <w:lang w:bidi="ar-SA"/>
                    </w:rPr>
                  </w:pPr>
                </w:p>
              </w:tc>
              <w:tc>
                <w:tcPr>
                  <w:tcW w:w="878" w:type="dxa"/>
                  <w:vMerge w:val="continue"/>
                  <w:tcBorders>
                    <w:tl2br w:val="nil"/>
                    <w:tr2bl w:val="nil"/>
                  </w:tcBorders>
                  <w:noWrap w:val="0"/>
                  <w:vAlign w:val="center"/>
                </w:tcPr>
                <w:p>
                  <w:pPr>
                    <w:pStyle w:val="87"/>
                    <w:spacing w:line="240" w:lineRule="auto"/>
                    <w:ind w:firstLine="0" w:firstLineChars="0"/>
                    <w:jc w:val="center"/>
                    <w:rPr>
                      <w:rFonts w:hAnsi="宋体"/>
                      <w:color w:val="auto"/>
                      <w:kern w:val="2"/>
                      <w:sz w:val="21"/>
                      <w:szCs w:val="21"/>
                      <w:highlight w:val="none"/>
                      <w:lang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exact"/>
                <w:jc w:val="center"/>
              </w:trPr>
              <w:tc>
                <w:tcPr>
                  <w:tcW w:w="1415" w:type="dxa"/>
                  <w:tcBorders>
                    <w:tl2br w:val="nil"/>
                    <w:tr2bl w:val="nil"/>
                  </w:tcBorders>
                  <w:noWrap/>
                  <w:vAlign w:val="center"/>
                </w:tcPr>
                <w:p>
                  <w:pPr>
                    <w:pStyle w:val="87"/>
                    <w:spacing w:line="240" w:lineRule="auto"/>
                    <w:ind w:firstLine="0" w:firstLineChars="0"/>
                    <w:jc w:val="center"/>
                    <w:rPr>
                      <w:rFonts w:hint="default" w:hAnsi="宋体" w:eastAsia="宋体"/>
                      <w:color w:val="auto"/>
                      <w:kern w:val="2"/>
                      <w:sz w:val="21"/>
                      <w:szCs w:val="21"/>
                      <w:highlight w:val="none"/>
                      <w:lang w:val="en-US" w:eastAsia="zh-CN" w:bidi="ar-SA"/>
                    </w:rPr>
                  </w:pPr>
                  <w:r>
                    <w:rPr>
                      <w:rFonts w:hint="eastAsia" w:hAnsi="宋体" w:eastAsia="宋体"/>
                      <w:color w:val="auto"/>
                      <w:kern w:val="2"/>
                      <w:sz w:val="21"/>
                      <w:szCs w:val="21"/>
                      <w:highlight w:val="none"/>
                      <w:lang w:val="en-US" w:eastAsia="zh-CN" w:bidi="ar-SA"/>
                    </w:rPr>
                    <w:t>颗粒物</w:t>
                  </w:r>
                </w:p>
              </w:tc>
              <w:tc>
                <w:tcPr>
                  <w:tcW w:w="1067" w:type="dxa"/>
                  <w:tcBorders>
                    <w:tl2br w:val="nil"/>
                    <w:tr2bl w:val="nil"/>
                  </w:tcBorders>
                  <w:noWrap w:val="0"/>
                  <w:vAlign w:val="center"/>
                </w:tcPr>
                <w:p>
                  <w:pPr>
                    <w:pStyle w:val="87"/>
                    <w:spacing w:line="240" w:lineRule="auto"/>
                    <w:ind w:firstLine="0" w:firstLineChars="0"/>
                    <w:jc w:val="center"/>
                    <w:rPr>
                      <w:rFonts w:hint="eastAsia"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生产车间</w:t>
                  </w:r>
                </w:p>
              </w:tc>
              <w:tc>
                <w:tcPr>
                  <w:tcW w:w="1224" w:type="dxa"/>
                  <w:tcBorders>
                    <w:tl2br w:val="nil"/>
                    <w:tr2bl w:val="nil"/>
                  </w:tcBorders>
                  <w:noWrap/>
                  <w:vAlign w:val="center"/>
                </w:tcPr>
                <w:p>
                  <w:pPr>
                    <w:pStyle w:val="87"/>
                    <w:spacing w:line="240" w:lineRule="auto"/>
                    <w:ind w:firstLine="0" w:firstLine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0.1109</w:t>
                  </w:r>
                </w:p>
              </w:tc>
              <w:tc>
                <w:tcPr>
                  <w:tcW w:w="576" w:type="dxa"/>
                  <w:tcBorders>
                    <w:tl2br w:val="nil"/>
                    <w:tr2bl w:val="nil"/>
                  </w:tcBorders>
                  <w:noWrap/>
                  <w:vAlign w:val="center"/>
                </w:tcPr>
                <w:p>
                  <w:pPr>
                    <w:spacing w:line="240" w:lineRule="auto"/>
                    <w:ind w:firstLine="0" w:firstLineChars="0"/>
                    <w:jc w:val="center"/>
                    <w:rPr>
                      <w:rFonts w:hAnsi="宋体"/>
                      <w:color w:val="auto"/>
                      <w:kern w:val="2"/>
                      <w:sz w:val="21"/>
                      <w:szCs w:val="21"/>
                      <w:highlight w:val="none"/>
                      <w:lang w:bidi="ar-SA"/>
                    </w:rPr>
                  </w:pPr>
                  <w:r>
                    <w:rPr>
                      <w:rFonts w:hint="eastAsia"/>
                      <w:color w:val="auto"/>
                      <w:highlight w:val="none"/>
                    </w:rPr>
                    <w:t>470</w:t>
                  </w:r>
                </w:p>
              </w:tc>
              <w:tc>
                <w:tcPr>
                  <w:tcW w:w="767" w:type="dxa"/>
                  <w:tcBorders>
                    <w:tl2br w:val="nil"/>
                    <w:tr2bl w:val="nil"/>
                  </w:tcBorders>
                  <w:noWrap/>
                  <w:vAlign w:val="center"/>
                </w:tcPr>
                <w:p>
                  <w:pPr>
                    <w:spacing w:line="240" w:lineRule="auto"/>
                    <w:ind w:firstLine="0" w:firstLineChars="0"/>
                    <w:jc w:val="center"/>
                    <w:rPr>
                      <w:rFonts w:hAnsi="宋体"/>
                      <w:color w:val="auto"/>
                      <w:kern w:val="2"/>
                      <w:sz w:val="21"/>
                      <w:szCs w:val="21"/>
                      <w:highlight w:val="none"/>
                      <w:lang w:bidi="ar-SA"/>
                    </w:rPr>
                  </w:pPr>
                  <w:r>
                    <w:rPr>
                      <w:rFonts w:hint="eastAsia"/>
                      <w:color w:val="auto"/>
                      <w:highlight w:val="none"/>
                    </w:rPr>
                    <w:t>0.021</w:t>
                  </w:r>
                </w:p>
              </w:tc>
              <w:tc>
                <w:tcPr>
                  <w:tcW w:w="767" w:type="dxa"/>
                  <w:tcBorders>
                    <w:tl2br w:val="nil"/>
                    <w:tr2bl w:val="nil"/>
                  </w:tcBorders>
                  <w:noWrap/>
                  <w:vAlign w:val="center"/>
                </w:tcPr>
                <w:p>
                  <w:pPr>
                    <w:spacing w:line="240" w:lineRule="auto"/>
                    <w:ind w:firstLine="0" w:firstLineChars="0"/>
                    <w:jc w:val="center"/>
                    <w:rPr>
                      <w:rFonts w:hAnsi="宋体"/>
                      <w:color w:val="auto"/>
                      <w:kern w:val="2"/>
                      <w:sz w:val="21"/>
                      <w:szCs w:val="21"/>
                      <w:highlight w:val="none"/>
                      <w:lang w:bidi="ar-SA"/>
                    </w:rPr>
                  </w:pPr>
                  <w:r>
                    <w:rPr>
                      <w:rFonts w:hint="eastAsia"/>
                      <w:color w:val="auto"/>
                      <w:highlight w:val="none"/>
                    </w:rPr>
                    <w:t>1.85</w:t>
                  </w:r>
                </w:p>
              </w:tc>
              <w:tc>
                <w:tcPr>
                  <w:tcW w:w="690" w:type="dxa"/>
                  <w:tcBorders>
                    <w:tl2br w:val="nil"/>
                    <w:tr2bl w:val="nil"/>
                  </w:tcBorders>
                  <w:noWrap/>
                  <w:vAlign w:val="center"/>
                </w:tcPr>
                <w:p>
                  <w:pPr>
                    <w:spacing w:line="240" w:lineRule="auto"/>
                    <w:ind w:firstLine="0" w:firstLineChars="0"/>
                    <w:jc w:val="center"/>
                    <w:rPr>
                      <w:rFonts w:hAnsi="宋体"/>
                      <w:color w:val="auto"/>
                      <w:kern w:val="2"/>
                      <w:sz w:val="21"/>
                      <w:szCs w:val="21"/>
                      <w:highlight w:val="none"/>
                      <w:lang w:bidi="ar-SA"/>
                    </w:rPr>
                  </w:pPr>
                  <w:r>
                    <w:rPr>
                      <w:rFonts w:hint="eastAsia"/>
                      <w:color w:val="auto"/>
                      <w:highlight w:val="none"/>
                    </w:rPr>
                    <w:t>0.84</w:t>
                  </w:r>
                </w:p>
              </w:tc>
              <w:tc>
                <w:tcPr>
                  <w:tcW w:w="1074" w:type="dxa"/>
                  <w:tcBorders>
                    <w:tl2br w:val="nil"/>
                    <w:tr2bl w:val="nil"/>
                  </w:tcBorders>
                  <w:noWrap/>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宋体" w:eastAsia="宋体" w:cs="Times New Roman"/>
                      <w:color w:val="auto"/>
                      <w:kern w:val="2"/>
                      <w:sz w:val="21"/>
                      <w:szCs w:val="21"/>
                      <w:highlight w:val="none"/>
                      <w:lang w:val="en-US" w:eastAsia="zh-CN" w:bidi="ar-SA"/>
                    </w:rPr>
                  </w:pPr>
                  <w:r>
                    <w:rPr>
                      <w:rFonts w:hint="eastAsia"/>
                      <w:color w:val="auto"/>
                      <w:highlight w:val="none"/>
                    </w:rPr>
                    <w:t>2.</w:t>
                  </w:r>
                  <w:r>
                    <w:rPr>
                      <w:rFonts w:hint="eastAsia"/>
                      <w:color w:val="auto"/>
                      <w:highlight w:val="none"/>
                      <w:lang w:val="en-US" w:eastAsia="zh-CN"/>
                    </w:rPr>
                    <w:t>875</w:t>
                  </w:r>
                </w:p>
              </w:tc>
              <w:tc>
                <w:tcPr>
                  <w:tcW w:w="878" w:type="dxa"/>
                  <w:tcBorders>
                    <w:tl2br w:val="nil"/>
                    <w:tr2bl w:val="nil"/>
                  </w:tcBorders>
                  <w:noWrap/>
                  <w:vAlign w:val="center"/>
                </w:tcPr>
                <w:p>
                  <w:pPr>
                    <w:pStyle w:val="87"/>
                    <w:spacing w:line="240" w:lineRule="auto"/>
                    <w:ind w:firstLine="0" w:firstLineChars="0"/>
                    <w:jc w:val="center"/>
                    <w:rPr>
                      <w:rFonts w:hint="default" w:hAnsi="宋体" w:eastAsia="宋体"/>
                      <w:color w:val="auto"/>
                      <w:kern w:val="2"/>
                      <w:sz w:val="21"/>
                      <w:szCs w:val="21"/>
                      <w:highlight w:val="none"/>
                      <w:lang w:val="en-US" w:eastAsia="zh-CN" w:bidi="ar-SA"/>
                    </w:rPr>
                  </w:pPr>
                  <w:r>
                    <w:rPr>
                      <w:rFonts w:hint="eastAsia" w:hAnsi="宋体"/>
                      <w:color w:val="auto"/>
                      <w:kern w:val="2"/>
                      <w:sz w:val="21"/>
                      <w:szCs w:val="21"/>
                      <w:highlight w:val="none"/>
                      <w:lang w:val="en-US" w:eastAsia="zh-CN" w:bidi="ar-SA"/>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exact"/>
                <w:jc w:val="center"/>
              </w:trPr>
              <w:tc>
                <w:tcPr>
                  <w:tcW w:w="1415" w:type="dxa"/>
                  <w:tcBorders>
                    <w:tl2br w:val="nil"/>
                    <w:tr2bl w:val="nil"/>
                  </w:tcBorders>
                  <w:noWrap/>
                  <w:vAlign w:val="center"/>
                </w:tcPr>
                <w:p>
                  <w:pPr>
                    <w:pStyle w:val="87"/>
                    <w:spacing w:line="240" w:lineRule="auto"/>
                    <w:ind w:firstLine="0" w:firstLineChars="0"/>
                    <w:jc w:val="center"/>
                    <w:rPr>
                      <w:rFonts w:hint="default" w:hAnsi="宋体" w:eastAsia="宋体"/>
                      <w:color w:val="auto"/>
                      <w:kern w:val="2"/>
                      <w:sz w:val="21"/>
                      <w:szCs w:val="21"/>
                      <w:highlight w:val="none"/>
                      <w:lang w:val="en-US" w:eastAsia="zh-CN" w:bidi="ar-SA"/>
                    </w:rPr>
                  </w:pPr>
                  <w:r>
                    <w:rPr>
                      <w:rFonts w:hint="eastAsia" w:hAnsi="宋体" w:eastAsia="宋体"/>
                      <w:color w:val="auto"/>
                      <w:kern w:val="2"/>
                      <w:sz w:val="21"/>
                      <w:szCs w:val="21"/>
                      <w:highlight w:val="none"/>
                      <w:lang w:val="en-US" w:eastAsia="zh-CN" w:bidi="ar-SA"/>
                    </w:rPr>
                    <w:t>非甲烷总烃</w:t>
                  </w:r>
                </w:p>
              </w:tc>
              <w:tc>
                <w:tcPr>
                  <w:tcW w:w="1067" w:type="dxa"/>
                  <w:tcBorders>
                    <w:tl2br w:val="nil"/>
                    <w:tr2bl w:val="nil"/>
                  </w:tcBorders>
                  <w:noWrap w:val="0"/>
                  <w:vAlign w:val="center"/>
                </w:tcPr>
                <w:p>
                  <w:pPr>
                    <w:pStyle w:val="87"/>
                    <w:spacing w:line="240" w:lineRule="auto"/>
                    <w:ind w:firstLine="0" w:firstLineChars="0"/>
                    <w:jc w:val="center"/>
                    <w:rPr>
                      <w:rFonts w:hint="eastAsia" w:hAnsi="宋体"/>
                      <w:color w:val="auto"/>
                      <w:kern w:val="2"/>
                      <w:sz w:val="21"/>
                      <w:szCs w:val="21"/>
                      <w:highlight w:val="none"/>
                      <w:lang w:val="en-US" w:eastAsia="zh-CN" w:bidi="ar-SA"/>
                    </w:rPr>
                  </w:pPr>
                  <w:r>
                    <w:rPr>
                      <w:rFonts w:hint="eastAsia" w:hAnsi="宋体"/>
                      <w:color w:val="auto"/>
                      <w:kern w:val="2"/>
                      <w:sz w:val="21"/>
                      <w:szCs w:val="21"/>
                      <w:highlight w:val="none"/>
                      <w:lang w:val="en-US" w:eastAsia="zh-CN" w:bidi="ar-SA"/>
                    </w:rPr>
                    <w:t>生产车间</w:t>
                  </w:r>
                </w:p>
              </w:tc>
              <w:tc>
                <w:tcPr>
                  <w:tcW w:w="1224" w:type="dxa"/>
                  <w:tcBorders>
                    <w:tl2br w:val="nil"/>
                    <w:tr2bl w:val="nil"/>
                  </w:tcBorders>
                  <w:noWrap/>
                  <w:vAlign w:val="center"/>
                </w:tcPr>
                <w:p>
                  <w:pPr>
                    <w:pStyle w:val="87"/>
                    <w:spacing w:line="240" w:lineRule="auto"/>
                    <w:ind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0.0897</w:t>
                  </w:r>
                </w:p>
              </w:tc>
              <w:tc>
                <w:tcPr>
                  <w:tcW w:w="576" w:type="dxa"/>
                  <w:tcBorders>
                    <w:tl2br w:val="nil"/>
                    <w:tr2bl w:val="nil"/>
                  </w:tcBorders>
                  <w:noWrap/>
                  <w:vAlign w:val="center"/>
                </w:tcPr>
                <w:p>
                  <w:pPr>
                    <w:spacing w:line="240" w:lineRule="auto"/>
                    <w:ind w:firstLine="0" w:firstLineChars="0"/>
                    <w:jc w:val="center"/>
                    <w:rPr>
                      <w:rFonts w:hAnsi="宋体"/>
                      <w:color w:val="auto"/>
                      <w:kern w:val="2"/>
                      <w:sz w:val="21"/>
                      <w:szCs w:val="21"/>
                      <w:highlight w:val="none"/>
                      <w:lang w:bidi="ar-SA"/>
                    </w:rPr>
                  </w:pPr>
                  <w:r>
                    <w:rPr>
                      <w:rFonts w:hint="eastAsia"/>
                      <w:color w:val="auto"/>
                      <w:highlight w:val="none"/>
                    </w:rPr>
                    <w:t>470</w:t>
                  </w:r>
                </w:p>
              </w:tc>
              <w:tc>
                <w:tcPr>
                  <w:tcW w:w="767" w:type="dxa"/>
                  <w:tcBorders>
                    <w:tl2br w:val="nil"/>
                    <w:tr2bl w:val="nil"/>
                  </w:tcBorders>
                  <w:noWrap/>
                  <w:vAlign w:val="center"/>
                </w:tcPr>
                <w:p>
                  <w:pPr>
                    <w:spacing w:line="240" w:lineRule="auto"/>
                    <w:ind w:firstLine="0" w:firstLineChars="0"/>
                    <w:jc w:val="center"/>
                    <w:rPr>
                      <w:rFonts w:hAnsi="宋体"/>
                      <w:color w:val="auto"/>
                      <w:kern w:val="2"/>
                      <w:sz w:val="21"/>
                      <w:szCs w:val="21"/>
                      <w:highlight w:val="none"/>
                      <w:lang w:bidi="ar-SA"/>
                    </w:rPr>
                  </w:pPr>
                  <w:r>
                    <w:rPr>
                      <w:rFonts w:hint="eastAsia"/>
                      <w:color w:val="auto"/>
                      <w:highlight w:val="none"/>
                    </w:rPr>
                    <w:t>0.021</w:t>
                  </w:r>
                </w:p>
              </w:tc>
              <w:tc>
                <w:tcPr>
                  <w:tcW w:w="767" w:type="dxa"/>
                  <w:tcBorders>
                    <w:tl2br w:val="nil"/>
                    <w:tr2bl w:val="nil"/>
                  </w:tcBorders>
                  <w:noWrap/>
                  <w:vAlign w:val="center"/>
                </w:tcPr>
                <w:p>
                  <w:pPr>
                    <w:spacing w:line="240" w:lineRule="auto"/>
                    <w:ind w:firstLine="0" w:firstLineChars="0"/>
                    <w:jc w:val="center"/>
                    <w:rPr>
                      <w:rFonts w:hAnsi="宋体"/>
                      <w:color w:val="auto"/>
                      <w:kern w:val="2"/>
                      <w:sz w:val="21"/>
                      <w:szCs w:val="21"/>
                      <w:highlight w:val="none"/>
                      <w:lang w:bidi="ar-SA"/>
                    </w:rPr>
                  </w:pPr>
                  <w:r>
                    <w:rPr>
                      <w:rFonts w:hint="eastAsia"/>
                      <w:color w:val="auto"/>
                      <w:highlight w:val="none"/>
                    </w:rPr>
                    <w:t>1.85</w:t>
                  </w:r>
                </w:p>
              </w:tc>
              <w:tc>
                <w:tcPr>
                  <w:tcW w:w="690" w:type="dxa"/>
                  <w:tcBorders>
                    <w:tl2br w:val="nil"/>
                    <w:tr2bl w:val="nil"/>
                  </w:tcBorders>
                  <w:noWrap/>
                  <w:vAlign w:val="center"/>
                </w:tcPr>
                <w:p>
                  <w:pPr>
                    <w:spacing w:line="240" w:lineRule="auto"/>
                    <w:ind w:firstLine="0" w:firstLineChars="0"/>
                    <w:jc w:val="center"/>
                    <w:rPr>
                      <w:rFonts w:hAnsi="宋体"/>
                      <w:color w:val="auto"/>
                      <w:kern w:val="2"/>
                      <w:sz w:val="21"/>
                      <w:szCs w:val="21"/>
                      <w:highlight w:val="none"/>
                      <w:lang w:bidi="ar-SA"/>
                    </w:rPr>
                  </w:pPr>
                  <w:r>
                    <w:rPr>
                      <w:rFonts w:hint="eastAsia"/>
                      <w:color w:val="auto"/>
                      <w:highlight w:val="none"/>
                    </w:rPr>
                    <w:t>0.84</w:t>
                  </w:r>
                </w:p>
              </w:tc>
              <w:tc>
                <w:tcPr>
                  <w:tcW w:w="1074" w:type="dxa"/>
                  <w:tcBorders>
                    <w:tl2br w:val="nil"/>
                    <w:tr2bl w:val="nil"/>
                  </w:tcBorders>
                  <w:noWrap/>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color w:val="auto"/>
                      <w:highlight w:val="none"/>
                    </w:rPr>
                    <w:t>3.550</w:t>
                  </w:r>
                </w:p>
              </w:tc>
              <w:tc>
                <w:tcPr>
                  <w:tcW w:w="878" w:type="dxa"/>
                  <w:tcBorders>
                    <w:tl2br w:val="nil"/>
                    <w:tr2bl w:val="nil"/>
                  </w:tcBorders>
                  <w:noWrap/>
                  <w:vAlign w:val="center"/>
                </w:tcPr>
                <w:p>
                  <w:pPr>
                    <w:pStyle w:val="87"/>
                    <w:spacing w:line="240" w:lineRule="auto"/>
                    <w:ind w:firstLine="0" w:firstLineChars="0"/>
                    <w:jc w:val="center"/>
                    <w:rPr>
                      <w:rFonts w:hint="default" w:hAnsi="宋体"/>
                      <w:color w:val="auto"/>
                      <w:kern w:val="2"/>
                      <w:sz w:val="21"/>
                      <w:szCs w:val="21"/>
                      <w:highlight w:val="none"/>
                      <w:lang w:val="en-US" w:eastAsia="zh-CN" w:bidi="ar-SA"/>
                    </w:rPr>
                  </w:pPr>
                  <w:r>
                    <w:rPr>
                      <w:rFonts w:hint="eastAsia" w:hAnsi="宋体"/>
                      <w:color w:val="auto"/>
                      <w:kern w:val="2"/>
                      <w:sz w:val="21"/>
                      <w:szCs w:val="21"/>
                      <w:highlight w:val="none"/>
                      <w:lang w:val="en-US" w:eastAsia="zh-CN" w:bidi="ar-SA"/>
                    </w:rPr>
                    <w:t>50</w:t>
                  </w:r>
                </w:p>
              </w:tc>
            </w:tr>
          </w:tbl>
          <w:p>
            <w:pPr>
              <w:keepNext w:val="0"/>
              <w:keepLines w:val="0"/>
              <w:pageBreakBefore w:val="0"/>
              <w:widowControl/>
              <w:suppressLineNumbers w:val="0"/>
              <w:kinsoku/>
              <w:wordWrap/>
              <w:overflowPunct/>
              <w:topLinePunct w:val="0"/>
              <w:autoSpaceDE/>
              <w:autoSpaceDN/>
              <w:bidi w:val="0"/>
              <w:adjustRightInd w:val="0"/>
              <w:snapToGrid w:val="0"/>
              <w:spacing w:before="157" w:beforeLines="50" w:line="360" w:lineRule="auto"/>
              <w:ind w:firstLine="480" w:firstLineChars="200"/>
              <w:jc w:val="left"/>
              <w:textAlignment w:val="auto"/>
              <w:rPr>
                <w:color w:val="auto"/>
                <w:highlight w:val="none"/>
              </w:rPr>
            </w:pPr>
            <w:r>
              <w:rPr>
                <w:rFonts w:hint="default" w:ascii="Times New Roman" w:hAnsi="Times New Roman" w:eastAsia="宋体" w:cs="Times New Roman"/>
                <w:color w:val="auto"/>
                <w:sz w:val="24"/>
                <w:highlight w:val="none"/>
                <w:shd w:val="clear" w:color="auto" w:fill="auto"/>
              </w:rPr>
              <w:t>由表4</w:t>
            </w:r>
            <w:r>
              <w:rPr>
                <w:rFonts w:hint="eastAsia" w:ascii="Times New Roman" w:hAnsi="Times New Roman" w:eastAsia="宋体" w:cs="Times New Roman"/>
                <w:color w:val="auto"/>
                <w:sz w:val="24"/>
                <w:highlight w:val="none"/>
                <w:shd w:val="clear" w:color="auto" w:fill="auto"/>
                <w:lang w:val="en-US" w:eastAsia="zh-CN"/>
              </w:rPr>
              <w:t>.2-</w:t>
            </w:r>
            <w:r>
              <w:rPr>
                <w:rFonts w:hint="eastAsia" w:cs="Times New Roman"/>
                <w:color w:val="auto"/>
                <w:sz w:val="24"/>
                <w:highlight w:val="none"/>
                <w:shd w:val="clear" w:color="auto" w:fill="auto"/>
                <w:lang w:val="en-US" w:eastAsia="zh-CN"/>
              </w:rPr>
              <w:t>14</w:t>
            </w:r>
            <w:r>
              <w:rPr>
                <w:rFonts w:hint="default" w:ascii="Times New Roman" w:hAnsi="Times New Roman" w:eastAsia="宋体" w:cs="Times New Roman"/>
                <w:color w:val="auto"/>
                <w:sz w:val="24"/>
                <w:highlight w:val="none"/>
                <w:shd w:val="clear" w:color="auto" w:fill="auto"/>
              </w:rPr>
              <w:t>可知，</w:t>
            </w:r>
            <w:r>
              <w:rPr>
                <w:rFonts w:hint="eastAsia" w:ascii="宋体" w:hAnsi="宋体" w:eastAsia="宋体" w:cs="宋体"/>
                <w:color w:val="auto"/>
                <w:kern w:val="0"/>
                <w:sz w:val="24"/>
                <w:szCs w:val="24"/>
                <w:highlight w:val="none"/>
                <w:lang w:val="en-US" w:eastAsia="zh-CN" w:bidi="ar"/>
              </w:rPr>
              <w:t>依据《大气有害物质无组织排放卫生防护距离推导技术导则》（</w:t>
            </w:r>
            <w:r>
              <w:rPr>
                <w:rFonts w:hint="default" w:ascii="Times New Roman" w:hAnsi="Times New Roman" w:eastAsia="宋体" w:cs="Times New Roman"/>
                <w:color w:val="auto"/>
                <w:kern w:val="0"/>
                <w:sz w:val="24"/>
                <w:szCs w:val="24"/>
                <w:highlight w:val="none"/>
                <w:lang w:val="en-US" w:eastAsia="zh-CN" w:bidi="ar"/>
              </w:rPr>
              <w:t>GB/T39499-2020</w:t>
            </w:r>
            <w:r>
              <w:rPr>
                <w:rFonts w:hint="eastAsia" w:ascii="宋体" w:hAnsi="宋体" w:eastAsia="宋体" w:cs="宋体"/>
                <w:color w:val="auto"/>
                <w:kern w:val="0"/>
                <w:sz w:val="24"/>
                <w:szCs w:val="24"/>
                <w:highlight w:val="none"/>
                <w:lang w:val="en-US" w:eastAsia="zh-CN" w:bidi="ar"/>
              </w:rPr>
              <w:t>），卫生防护距离在</w:t>
            </w:r>
            <w:r>
              <w:rPr>
                <w:rFonts w:hint="default" w:ascii="Times New Roman" w:hAnsi="Times New Roman" w:eastAsia="宋体" w:cs="Times New Roman"/>
                <w:color w:val="auto"/>
                <w:kern w:val="0"/>
                <w:sz w:val="24"/>
                <w:szCs w:val="24"/>
                <w:highlight w:val="none"/>
                <w:lang w:val="en-US" w:eastAsia="zh-CN" w:bidi="ar"/>
              </w:rPr>
              <w:t>100m</w:t>
            </w:r>
            <w:r>
              <w:rPr>
                <w:rFonts w:hint="eastAsia" w:ascii="宋体" w:hAnsi="宋体" w:eastAsia="宋体" w:cs="宋体"/>
                <w:color w:val="auto"/>
                <w:kern w:val="0"/>
                <w:sz w:val="24"/>
                <w:szCs w:val="24"/>
                <w:highlight w:val="none"/>
                <w:lang w:val="en-US" w:eastAsia="zh-CN" w:bidi="ar"/>
              </w:rPr>
              <w:t>以内时，级差为</w:t>
            </w:r>
            <w:r>
              <w:rPr>
                <w:rFonts w:hint="default" w:ascii="Times New Roman" w:hAnsi="Times New Roman" w:eastAsia="宋体" w:cs="Times New Roman"/>
                <w:color w:val="auto"/>
                <w:kern w:val="0"/>
                <w:sz w:val="24"/>
                <w:szCs w:val="24"/>
                <w:highlight w:val="none"/>
                <w:lang w:val="en-US" w:eastAsia="zh-CN" w:bidi="ar"/>
              </w:rPr>
              <w:t>50m</w:t>
            </w:r>
            <w:r>
              <w:rPr>
                <w:rFonts w:hint="eastAsia" w:ascii="宋体" w:hAnsi="宋体" w:eastAsia="宋体" w:cs="宋体"/>
                <w:color w:val="auto"/>
                <w:kern w:val="0"/>
                <w:sz w:val="24"/>
                <w:szCs w:val="24"/>
                <w:highlight w:val="none"/>
                <w:lang w:val="en-US" w:eastAsia="zh-CN" w:bidi="ar"/>
              </w:rPr>
              <w:t>；超过</w:t>
            </w:r>
            <w:r>
              <w:rPr>
                <w:rFonts w:hint="default" w:ascii="Times New Roman" w:hAnsi="Times New Roman" w:eastAsia="宋体" w:cs="Times New Roman"/>
                <w:color w:val="auto"/>
                <w:kern w:val="0"/>
                <w:sz w:val="24"/>
                <w:szCs w:val="24"/>
                <w:highlight w:val="none"/>
                <w:lang w:val="en-US" w:eastAsia="zh-CN" w:bidi="ar"/>
              </w:rPr>
              <w:t>100m</w:t>
            </w:r>
            <w:r>
              <w:rPr>
                <w:rFonts w:hint="eastAsia" w:ascii="宋体" w:hAnsi="宋体" w:eastAsia="宋体" w:cs="宋体"/>
                <w:color w:val="auto"/>
                <w:kern w:val="0"/>
                <w:sz w:val="24"/>
                <w:szCs w:val="24"/>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但小于或等于</w:t>
            </w:r>
            <w:r>
              <w:rPr>
                <w:rFonts w:hint="default" w:ascii="Times New Roman" w:hAnsi="Times New Roman" w:eastAsia="宋体" w:cs="Times New Roman"/>
                <w:color w:val="auto"/>
                <w:kern w:val="0"/>
                <w:sz w:val="24"/>
                <w:szCs w:val="24"/>
                <w:highlight w:val="none"/>
                <w:lang w:val="en-US" w:eastAsia="zh-CN" w:bidi="ar"/>
              </w:rPr>
              <w:t>1000m</w:t>
            </w:r>
            <w:r>
              <w:rPr>
                <w:rFonts w:hint="eastAsia" w:ascii="宋体" w:hAnsi="宋体" w:eastAsia="宋体" w:cs="宋体"/>
                <w:color w:val="auto"/>
                <w:kern w:val="0"/>
                <w:sz w:val="24"/>
                <w:szCs w:val="24"/>
                <w:highlight w:val="none"/>
                <w:lang w:val="en-US" w:eastAsia="zh-CN" w:bidi="ar"/>
              </w:rPr>
              <w:t>时，级差为</w:t>
            </w:r>
            <w:r>
              <w:rPr>
                <w:rFonts w:hint="default" w:ascii="Times New Roman" w:hAnsi="Times New Roman" w:eastAsia="宋体" w:cs="Times New Roman"/>
                <w:color w:val="auto"/>
                <w:kern w:val="0"/>
                <w:sz w:val="24"/>
                <w:szCs w:val="24"/>
                <w:highlight w:val="none"/>
                <w:lang w:val="en-US" w:eastAsia="zh-CN" w:bidi="ar"/>
              </w:rPr>
              <w:t>100m</w:t>
            </w:r>
            <w:r>
              <w:rPr>
                <w:rFonts w:hint="eastAsia" w:ascii="宋体" w:hAnsi="宋体" w:eastAsia="宋体" w:cs="宋体"/>
                <w:color w:val="auto"/>
                <w:kern w:val="0"/>
                <w:sz w:val="24"/>
                <w:szCs w:val="24"/>
                <w:highlight w:val="none"/>
                <w:lang w:val="en-US" w:eastAsia="zh-CN" w:bidi="ar"/>
              </w:rPr>
              <w:t>；超过</w:t>
            </w:r>
            <w:r>
              <w:rPr>
                <w:rFonts w:hint="default" w:ascii="Times New Roman" w:hAnsi="Times New Roman" w:eastAsia="宋体" w:cs="Times New Roman"/>
                <w:color w:val="auto"/>
                <w:kern w:val="0"/>
                <w:sz w:val="24"/>
                <w:szCs w:val="24"/>
                <w:highlight w:val="none"/>
                <w:lang w:val="en-US" w:eastAsia="zh-CN" w:bidi="ar"/>
              </w:rPr>
              <w:t>1000m</w:t>
            </w:r>
            <w:r>
              <w:rPr>
                <w:rFonts w:hint="eastAsia" w:ascii="宋体" w:hAnsi="宋体" w:eastAsia="宋体" w:cs="宋体"/>
                <w:color w:val="auto"/>
                <w:kern w:val="0"/>
                <w:sz w:val="24"/>
                <w:szCs w:val="24"/>
                <w:highlight w:val="none"/>
                <w:lang w:val="en-US" w:eastAsia="zh-CN" w:bidi="ar"/>
              </w:rPr>
              <w:t>以上，级差为</w:t>
            </w:r>
            <w:r>
              <w:rPr>
                <w:rFonts w:hint="default" w:ascii="Times New Roman" w:hAnsi="Times New Roman" w:eastAsia="宋体" w:cs="Times New Roman"/>
                <w:color w:val="auto"/>
                <w:kern w:val="0"/>
                <w:sz w:val="24"/>
                <w:szCs w:val="24"/>
                <w:highlight w:val="none"/>
                <w:lang w:val="en-US" w:eastAsia="zh-CN" w:bidi="ar"/>
              </w:rPr>
              <w:t>200m</w:t>
            </w:r>
            <w:r>
              <w:rPr>
                <w:rFonts w:hint="eastAsia" w:ascii="宋体" w:hAnsi="宋体" w:eastAsia="宋体" w:cs="宋体"/>
                <w:color w:val="auto"/>
                <w:kern w:val="0"/>
                <w:sz w:val="24"/>
                <w:szCs w:val="24"/>
                <w:highlight w:val="none"/>
                <w:lang w:val="en-US" w:eastAsia="zh-CN" w:bidi="ar"/>
              </w:rPr>
              <w:t>。当按两种或两种以上的有害气体的</w:t>
            </w:r>
            <w:r>
              <w:rPr>
                <w:rFonts w:hint="default" w:ascii="Times New Roman" w:hAnsi="Times New Roman" w:eastAsia="宋体" w:cs="Times New Roman"/>
                <w:color w:val="auto"/>
                <w:kern w:val="0"/>
                <w:sz w:val="24"/>
                <w:szCs w:val="24"/>
                <w:highlight w:val="none"/>
                <w:lang w:val="en-US" w:eastAsia="zh-CN" w:bidi="ar"/>
              </w:rPr>
              <w:t xml:space="preserve">Qc/Cm </w:t>
            </w:r>
            <w:r>
              <w:rPr>
                <w:rFonts w:hint="eastAsia" w:ascii="宋体" w:hAnsi="宋体" w:eastAsia="宋体" w:cs="宋体"/>
                <w:color w:val="auto"/>
                <w:kern w:val="0"/>
                <w:sz w:val="24"/>
                <w:szCs w:val="24"/>
                <w:highlight w:val="none"/>
                <w:lang w:val="en-US" w:eastAsia="zh-CN" w:bidi="ar"/>
              </w:rPr>
              <w:t>值计算的卫生防护距离在同一级别时，该类工业企业的卫生防护距离级别应该高一级。由上表分析结果，本项目卫生防护距离设置为</w:t>
            </w:r>
            <w:r>
              <w:rPr>
                <w:rFonts w:hint="default" w:ascii="Times New Roman" w:hAnsi="Times New Roman" w:eastAsia="宋体" w:cs="Times New Roman"/>
                <w:color w:val="auto"/>
                <w:kern w:val="0"/>
                <w:sz w:val="24"/>
                <w:szCs w:val="24"/>
                <w:highlight w:val="none"/>
                <w:lang w:val="en-US" w:eastAsia="zh-CN" w:bidi="ar"/>
              </w:rPr>
              <w:t>100m</w:t>
            </w:r>
            <w:r>
              <w:rPr>
                <w:rFonts w:hint="eastAsia" w:ascii="宋体" w:hAnsi="宋体" w:eastAsia="宋体" w:cs="宋体"/>
                <w:color w:val="auto"/>
                <w:kern w:val="0"/>
                <w:sz w:val="24"/>
                <w:szCs w:val="24"/>
                <w:highlight w:val="none"/>
                <w:lang w:val="en-US" w:eastAsia="zh-CN" w:bidi="ar"/>
              </w:rPr>
              <w:t>，卫生防护范围包络</w:t>
            </w:r>
            <w:r>
              <w:rPr>
                <w:rFonts w:hint="eastAsia" w:ascii="宋体" w:hAnsi="宋体" w:cs="宋体"/>
                <w:color w:val="auto"/>
                <w:kern w:val="0"/>
                <w:sz w:val="24"/>
                <w:szCs w:val="24"/>
                <w:highlight w:val="none"/>
                <w:lang w:val="en-US" w:eastAsia="zh-CN" w:bidi="ar"/>
              </w:rPr>
              <w:t>图</w:t>
            </w:r>
            <w:r>
              <w:rPr>
                <w:rFonts w:hint="eastAsia" w:ascii="宋体" w:hAnsi="宋体" w:eastAsia="宋体" w:cs="宋体"/>
                <w:color w:val="auto"/>
                <w:kern w:val="0"/>
                <w:sz w:val="24"/>
                <w:szCs w:val="24"/>
                <w:highlight w:val="none"/>
                <w:lang w:val="en-US" w:eastAsia="zh-CN" w:bidi="ar"/>
              </w:rPr>
              <w:t>见附图</w:t>
            </w:r>
            <w:r>
              <w:rPr>
                <w:rFonts w:hint="eastAsia" w:cs="Times New Roman"/>
                <w:color w:val="auto"/>
                <w:kern w:val="0"/>
                <w:sz w:val="24"/>
                <w:szCs w:val="24"/>
                <w:highlight w:val="none"/>
                <w:lang w:val="en-US" w:eastAsia="zh-CN" w:bidi="ar"/>
              </w:rPr>
              <w:t>11</w:t>
            </w:r>
            <w:r>
              <w:rPr>
                <w:rFonts w:hint="eastAsia" w:ascii="宋体" w:hAnsi="宋体" w:eastAsia="宋体" w:cs="宋体"/>
                <w:color w:val="auto"/>
                <w:kern w:val="0"/>
                <w:sz w:val="24"/>
                <w:szCs w:val="24"/>
                <w:highlight w:val="none"/>
                <w:lang w:val="en-US" w:eastAsia="zh-CN" w:bidi="ar"/>
              </w:rPr>
              <w:t>。本</w:t>
            </w:r>
            <w:r>
              <w:rPr>
                <w:rFonts w:hint="default" w:ascii="Times New Roman" w:hAnsi="Times New Roman" w:eastAsia="宋体" w:cs="Times New Roman"/>
                <w:color w:val="auto"/>
                <w:sz w:val="24"/>
                <w:highlight w:val="none"/>
                <w:shd w:val="clear" w:color="auto" w:fill="auto"/>
              </w:rPr>
              <w:t>项目卫生防护距离范围内主要为</w:t>
            </w:r>
            <w:r>
              <w:rPr>
                <w:rFonts w:hint="eastAsia" w:cs="Times New Roman"/>
                <w:color w:val="auto"/>
                <w:sz w:val="24"/>
                <w:highlight w:val="none"/>
                <w:shd w:val="clear" w:color="auto" w:fill="auto"/>
                <w:lang w:val="en-US" w:eastAsia="zh-CN"/>
              </w:rPr>
              <w:t>鸿乾五金</w:t>
            </w:r>
            <w:r>
              <w:rPr>
                <w:rFonts w:hint="eastAsia" w:ascii="Times New Roman" w:hAnsi="Times New Roman" w:eastAsia="宋体" w:cs="Times New Roman"/>
                <w:color w:val="auto"/>
                <w:sz w:val="24"/>
                <w:highlight w:val="none"/>
                <w:shd w:val="clear" w:color="auto" w:fill="auto"/>
                <w:lang w:val="en-US" w:eastAsia="zh-CN"/>
              </w:rPr>
              <w:t>用地</w:t>
            </w:r>
            <w:r>
              <w:rPr>
                <w:rFonts w:hint="eastAsia" w:ascii="Times New Roman" w:eastAsia="宋体" w:cs="Times New Roman"/>
                <w:color w:val="auto"/>
                <w:kern w:val="0"/>
                <w:sz w:val="24"/>
                <w:highlight w:val="none"/>
                <w:lang w:val="en-US" w:eastAsia="zh-CN"/>
              </w:rPr>
              <w:t>、九牧生活活动区、特一阀门用地和科牧卫浴集团用地</w:t>
            </w:r>
            <w:r>
              <w:rPr>
                <w:rFonts w:hint="default" w:ascii="Times New Roman" w:hAnsi="Times New Roman" w:eastAsia="宋体" w:cs="Times New Roman"/>
                <w:color w:val="auto"/>
                <w:sz w:val="24"/>
                <w:highlight w:val="none"/>
                <w:shd w:val="clear" w:color="auto" w:fill="auto"/>
              </w:rPr>
              <w:t>，</w:t>
            </w:r>
            <w:r>
              <w:rPr>
                <w:rFonts w:hint="eastAsia" w:ascii="宋体" w:hAnsi="宋体" w:eastAsia="宋体" w:cs="宋体"/>
                <w:color w:val="auto"/>
                <w:kern w:val="0"/>
                <w:sz w:val="24"/>
                <w:szCs w:val="24"/>
                <w:highlight w:val="none"/>
                <w:lang w:val="en-US" w:eastAsia="zh-CN" w:bidi="ar"/>
              </w:rPr>
              <w:t>不涉及居民区、学校和医院等大气环境敏感目标，项目建设满足环境防护距离的划定要求。</w:t>
            </w:r>
          </w:p>
          <w:p>
            <w:pPr>
              <w:pStyle w:val="95"/>
              <w:keepNext w:val="0"/>
              <w:keepLines w:val="0"/>
              <w:pageBreakBefore w:val="0"/>
              <w:kinsoku/>
              <w:wordWrap/>
              <w:overflowPunct/>
              <w:topLinePunct w:val="0"/>
              <w:autoSpaceDE/>
              <w:autoSpaceDN/>
              <w:bidi w:val="0"/>
              <w:adjustRightInd w:val="0"/>
              <w:snapToGrid w:val="0"/>
              <w:spacing w:before="0" w:beforeLines="0" w:after="0" w:afterLines="0" w:line="360" w:lineRule="auto"/>
              <w:textAlignment w:val="auto"/>
              <w:rPr>
                <w:rFonts w:hint="eastAsia" w:ascii="宋体" w:hAnsi="宋体" w:eastAsia="宋体" w:cs="宋体"/>
                <w:color w:val="auto"/>
                <w:kern w:val="0"/>
                <w:sz w:val="24"/>
                <w:szCs w:val="24"/>
                <w:highlight w:val="none"/>
                <w:lang w:val="en-US" w:eastAsia="zh-CN" w:bidi="ar"/>
              </w:rPr>
            </w:pPr>
            <w:r>
              <w:rPr>
                <w:rFonts w:hint="eastAsia"/>
                <w:color w:val="auto"/>
                <w:highlight w:val="none"/>
                <w:lang w:val="en-US" w:eastAsia="zh-CN"/>
              </w:rPr>
              <w:t>4.2.1.7</w:t>
            </w:r>
            <w:r>
              <w:rPr>
                <w:rFonts w:hint="eastAsia"/>
                <w:color w:val="auto"/>
                <w:highlight w:val="none"/>
              </w:rPr>
              <w:t>非正常情况排放</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非正常排放是指生产过程中开停车（工、炉）、设备检修、工艺设备运转异常等非正常工况下的污染物排放，以及污染物排放控制措施达不到应有效率等情况下的排放。项目废气非正常工况排放主要为</w:t>
            </w:r>
            <w:r>
              <w:rPr>
                <w:rFonts w:hint="eastAsia" w:cs="Times New Roman"/>
                <w:color w:val="auto"/>
                <w:kern w:val="0"/>
                <w:sz w:val="24"/>
                <w:szCs w:val="24"/>
                <w:highlight w:val="none"/>
                <w:lang w:val="en-US" w:eastAsia="zh-CN" w:bidi="ar"/>
              </w:rPr>
              <w:t>二级</w:t>
            </w:r>
            <w:r>
              <w:rPr>
                <w:rFonts w:hint="default" w:ascii="Times New Roman" w:hAnsi="Times New Roman" w:eastAsia="宋体" w:cs="Times New Roman"/>
                <w:color w:val="auto"/>
                <w:kern w:val="0"/>
                <w:sz w:val="24"/>
                <w:szCs w:val="24"/>
                <w:highlight w:val="none"/>
                <w:lang w:val="en-US" w:eastAsia="zh-CN" w:bidi="ar"/>
              </w:rPr>
              <w:t>活性炭吸附装置吸附接近饱和或布袋除尘器布袋受损</w:t>
            </w:r>
            <w:r>
              <w:rPr>
                <w:rFonts w:hint="eastAsia" w:cs="Times New Roman"/>
                <w:color w:val="auto"/>
                <w:kern w:val="0"/>
                <w:sz w:val="24"/>
                <w:szCs w:val="24"/>
                <w:highlight w:val="none"/>
                <w:lang w:val="en-US" w:eastAsia="zh-CN" w:bidi="ar"/>
              </w:rPr>
              <w:t>、二级</w:t>
            </w:r>
            <w:r>
              <w:rPr>
                <w:rFonts w:hint="default" w:ascii="Times New Roman" w:hAnsi="Times New Roman" w:eastAsia="宋体" w:cs="Times New Roman"/>
                <w:color w:val="auto"/>
                <w:kern w:val="0"/>
                <w:sz w:val="24"/>
                <w:szCs w:val="24"/>
                <w:highlight w:val="none"/>
                <w:lang w:val="en-US" w:eastAsia="zh-CN" w:bidi="ar"/>
              </w:rPr>
              <w:t>活性炭吸附装置处理效率、布袋除尘器效率均0，但废气收集系统可以正常运行，废气通过排气筒排放等情况，废气处理设施出现故障不能正常运行时，应立即停产进行维修，避免对周围环境造成污染。</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废气非正常排放量核算见表4.2-</w:t>
            </w:r>
            <w:r>
              <w:rPr>
                <w:rFonts w:hint="eastAsia" w:cs="Times New Roman"/>
                <w:color w:val="auto"/>
                <w:kern w:val="0"/>
                <w:sz w:val="24"/>
                <w:szCs w:val="24"/>
                <w:highlight w:val="none"/>
                <w:lang w:val="en-US" w:eastAsia="zh-CN" w:bidi="ar"/>
              </w:rPr>
              <w:t>15</w:t>
            </w:r>
            <w:r>
              <w:rPr>
                <w:rFonts w:hint="default"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 4.2-</w:t>
            </w:r>
            <w:r>
              <w:rPr>
                <w:rFonts w:hint="eastAsia" w:cs="Times New Roman"/>
                <w:b/>
                <w:bCs/>
                <w:color w:val="auto"/>
                <w:sz w:val="24"/>
                <w:szCs w:val="24"/>
                <w:highlight w:val="none"/>
                <w:lang w:val="en-US" w:eastAsia="zh-CN"/>
              </w:rPr>
              <w:t>15</w:t>
            </w:r>
            <w:r>
              <w:rPr>
                <w:rFonts w:hint="default" w:ascii="Times New Roman" w:hAnsi="Times New Roman" w:eastAsia="宋体" w:cs="Times New Roman"/>
                <w:b/>
                <w:bCs/>
                <w:color w:val="auto"/>
                <w:sz w:val="24"/>
                <w:szCs w:val="24"/>
                <w:highlight w:val="none"/>
                <w:lang w:val="en-US" w:eastAsia="zh-CN"/>
              </w:rPr>
              <w:t xml:space="preserve"> 非正常工况下废气排放情况</w:t>
            </w:r>
          </w:p>
          <w:tbl>
            <w:tblPr>
              <w:tblStyle w:val="29"/>
              <w:tblW w:w="841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1"/>
              <w:gridCol w:w="1561"/>
              <w:gridCol w:w="541"/>
              <w:gridCol w:w="665"/>
              <w:gridCol w:w="1091"/>
              <w:gridCol w:w="1023"/>
              <w:gridCol w:w="694"/>
              <w:gridCol w:w="743"/>
              <w:gridCol w:w="14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611" w:type="dxa"/>
                  <w:tcBorders>
                    <w:tl2br w:val="nil"/>
                    <w:tr2bl w:val="nil"/>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污染源</w:t>
                  </w:r>
                </w:p>
              </w:tc>
              <w:tc>
                <w:tcPr>
                  <w:tcW w:w="1561" w:type="dxa"/>
                  <w:tcBorders>
                    <w:tl2br w:val="nil"/>
                    <w:tr2bl w:val="nil"/>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非正常排放原因</w:t>
                  </w:r>
                </w:p>
              </w:tc>
              <w:tc>
                <w:tcPr>
                  <w:tcW w:w="541" w:type="dxa"/>
                  <w:tcBorders>
                    <w:tl2br w:val="nil"/>
                    <w:tr2bl w:val="nil"/>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排放</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形式</w:t>
                  </w:r>
                </w:p>
              </w:tc>
              <w:tc>
                <w:tcPr>
                  <w:tcW w:w="665" w:type="dxa"/>
                  <w:tcBorders>
                    <w:tl2br w:val="nil"/>
                    <w:tr2bl w:val="nil"/>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污染物</w:t>
                  </w:r>
                </w:p>
              </w:tc>
              <w:tc>
                <w:tcPr>
                  <w:tcW w:w="1091" w:type="dxa"/>
                  <w:tcBorders>
                    <w:tl2br w:val="nil"/>
                    <w:tr2bl w:val="nil"/>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非正常</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排放浓度</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（mg/m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lang w:val="en-US" w:eastAsia="zh-CN"/>
                    </w:rPr>
                    <w:t>）</w:t>
                  </w:r>
                </w:p>
              </w:tc>
              <w:tc>
                <w:tcPr>
                  <w:tcW w:w="1023" w:type="dxa"/>
                  <w:tcBorders>
                    <w:tl2br w:val="nil"/>
                    <w:tr2bl w:val="nil"/>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非正常排放速率</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(kg/h)</w:t>
                  </w:r>
                </w:p>
              </w:tc>
              <w:tc>
                <w:tcPr>
                  <w:tcW w:w="694" w:type="dxa"/>
                  <w:tcBorders>
                    <w:tl2br w:val="nil"/>
                    <w:tr2bl w:val="nil"/>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单次持续时间</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（h）</w:t>
                  </w:r>
                </w:p>
              </w:tc>
              <w:tc>
                <w:tcPr>
                  <w:tcW w:w="743" w:type="dxa"/>
                  <w:tcBorders>
                    <w:tl2br w:val="nil"/>
                    <w:tr2bl w:val="nil"/>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年发生</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频次</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（次）</w:t>
                  </w:r>
                </w:p>
              </w:tc>
              <w:tc>
                <w:tcPr>
                  <w:tcW w:w="1487" w:type="dxa"/>
                  <w:tcBorders>
                    <w:tl2br w:val="nil"/>
                    <w:tr2bl w:val="nil"/>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应对措施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611" w:type="dxa"/>
                  <w:vMerge w:val="restart"/>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w:t>
                  </w:r>
                </w:p>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01</w:t>
                  </w:r>
                </w:p>
              </w:tc>
              <w:tc>
                <w:tcPr>
                  <w:tcW w:w="1561"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布袋除尘器受损</w:t>
                  </w:r>
                </w:p>
              </w:tc>
              <w:tc>
                <w:tcPr>
                  <w:tcW w:w="541"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有组织</w:t>
                  </w:r>
                </w:p>
              </w:tc>
              <w:tc>
                <w:tcPr>
                  <w:tcW w:w="665"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091"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kern w:val="0"/>
                      <w:sz w:val="21"/>
                      <w:szCs w:val="21"/>
                      <w:highlight w:val="none"/>
                      <w:vertAlign w:val="baseline"/>
                      <w:lang w:val="en-US" w:eastAsia="zh-CN" w:bidi="ar"/>
                    </w:rPr>
                    <w:t>69.975</w:t>
                  </w:r>
                </w:p>
              </w:tc>
              <w:tc>
                <w:tcPr>
                  <w:tcW w:w="1023"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kern w:val="0"/>
                      <w:sz w:val="21"/>
                      <w:szCs w:val="21"/>
                      <w:highlight w:val="none"/>
                      <w:lang w:val="en-US" w:eastAsia="zh-CN"/>
                    </w:rPr>
                    <w:t>1.3995</w:t>
                  </w:r>
                </w:p>
              </w:tc>
              <w:tc>
                <w:tcPr>
                  <w:tcW w:w="694"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w:t>
                  </w:r>
                </w:p>
              </w:tc>
              <w:tc>
                <w:tcPr>
                  <w:tcW w:w="743"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487" w:type="dxa"/>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rPr>
                      <w:rFonts w:hint="default" w:ascii="宋体" w:hAnsi="宋体" w:eastAsia="宋体" w:cs="宋体"/>
                      <w:color w:val="auto"/>
                      <w:kern w:val="0"/>
                      <w:sz w:val="21"/>
                      <w:szCs w:val="21"/>
                      <w:highlight w:val="none"/>
                      <w:lang w:val="en-US" w:eastAsia="zh-CN" w:bidi="ar"/>
                    </w:rPr>
                  </w:pPr>
                  <w:r>
                    <w:rPr>
                      <w:rFonts w:hint="default" w:ascii="宋体" w:hAnsi="宋体" w:eastAsia="宋体" w:cs="宋体"/>
                      <w:color w:val="auto"/>
                      <w:kern w:val="0"/>
                      <w:sz w:val="21"/>
                      <w:szCs w:val="21"/>
                      <w:highlight w:val="none"/>
                      <w:lang w:val="en-US" w:eastAsia="zh-CN" w:bidi="ar"/>
                    </w:rPr>
                    <w:t>立即停止作业，</w:t>
                  </w:r>
                </w:p>
                <w:p>
                  <w:pPr>
                    <w:keepNext w:val="0"/>
                    <w:keepLines w:val="0"/>
                    <w:widowControl/>
                    <w:suppressLineNumbers w:val="0"/>
                    <w:jc w:val="center"/>
                    <w:rPr>
                      <w:rFonts w:hint="default" w:ascii="宋体" w:hAnsi="宋体" w:eastAsia="宋体" w:cs="宋体"/>
                      <w:color w:val="auto"/>
                      <w:kern w:val="0"/>
                      <w:sz w:val="21"/>
                      <w:szCs w:val="21"/>
                      <w:highlight w:val="none"/>
                      <w:lang w:val="en-US" w:eastAsia="zh-CN" w:bidi="ar"/>
                    </w:rPr>
                  </w:pPr>
                  <w:r>
                    <w:rPr>
                      <w:rFonts w:hint="default" w:ascii="宋体" w:hAnsi="宋体" w:eastAsia="宋体" w:cs="宋体"/>
                      <w:color w:val="auto"/>
                      <w:kern w:val="0"/>
                      <w:sz w:val="21"/>
                      <w:szCs w:val="21"/>
                      <w:highlight w:val="none"/>
                      <w:lang w:val="en-US" w:eastAsia="zh-CN" w:bidi="ar"/>
                    </w:rPr>
                    <w:t>及时更换布袋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11" w:type="dxa"/>
                  <w:vMerge w:val="continue"/>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p>
              </w:tc>
              <w:tc>
                <w:tcPr>
                  <w:tcW w:w="1561"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二级</w:t>
                  </w:r>
                  <w:r>
                    <w:rPr>
                      <w:rFonts w:hint="default" w:ascii="Times New Roman" w:hAnsi="Times New Roman" w:eastAsia="宋体" w:cs="Times New Roman"/>
                      <w:color w:val="auto"/>
                      <w:sz w:val="21"/>
                      <w:szCs w:val="21"/>
                      <w:highlight w:val="none"/>
                      <w:lang w:val="en-US" w:eastAsia="zh-CN"/>
                    </w:rPr>
                    <w:t>活性炭吸附装置吸附接近饱和</w:t>
                  </w:r>
                </w:p>
              </w:tc>
              <w:tc>
                <w:tcPr>
                  <w:tcW w:w="541"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有组织</w:t>
                  </w:r>
                </w:p>
              </w:tc>
              <w:tc>
                <w:tcPr>
                  <w:tcW w:w="665"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非甲烷</w:t>
                  </w:r>
                </w:p>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总烃</w:t>
                  </w:r>
                </w:p>
              </w:tc>
              <w:tc>
                <w:tcPr>
                  <w:tcW w:w="1091"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kern w:val="0"/>
                      <w:sz w:val="21"/>
                      <w:szCs w:val="21"/>
                      <w:highlight w:val="none"/>
                      <w:vertAlign w:val="baseline"/>
                      <w:lang w:val="en-US" w:eastAsia="zh-CN" w:bidi="ar"/>
                    </w:rPr>
                    <w:t>22.275</w:t>
                  </w:r>
                </w:p>
              </w:tc>
              <w:tc>
                <w:tcPr>
                  <w:tcW w:w="1023"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0"/>
                      <w:sz w:val="21"/>
                      <w:szCs w:val="21"/>
                      <w:highlight w:val="none"/>
                      <w:lang w:val="en-US" w:eastAsia="zh-CN"/>
                    </w:rPr>
                    <w:t>0.4455</w:t>
                  </w:r>
                </w:p>
              </w:tc>
              <w:tc>
                <w:tcPr>
                  <w:tcW w:w="694"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0.5</w:t>
                  </w:r>
                </w:p>
              </w:tc>
              <w:tc>
                <w:tcPr>
                  <w:tcW w:w="743"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487" w:type="dxa"/>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立即停止作业，</w:t>
                  </w:r>
                </w:p>
                <w:p>
                  <w:pPr>
                    <w:keepNext w:val="0"/>
                    <w:keepLines w:val="0"/>
                    <w:widowControl/>
                    <w:suppressLineNumbers w:val="0"/>
                    <w:jc w:val="center"/>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及时更换活性炭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11"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w:t>
                  </w:r>
                </w:p>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02</w:t>
                  </w:r>
                </w:p>
              </w:tc>
              <w:tc>
                <w:tcPr>
                  <w:tcW w:w="1561"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二级</w:t>
                  </w:r>
                  <w:r>
                    <w:rPr>
                      <w:rFonts w:hint="default" w:ascii="Times New Roman" w:hAnsi="Times New Roman" w:eastAsia="宋体" w:cs="Times New Roman"/>
                      <w:color w:val="auto"/>
                      <w:sz w:val="21"/>
                      <w:szCs w:val="21"/>
                      <w:highlight w:val="none"/>
                      <w:lang w:val="en-US" w:eastAsia="zh-CN"/>
                    </w:rPr>
                    <w:t>活性炭吸附装置吸附接近饱和</w:t>
                  </w:r>
                </w:p>
              </w:tc>
              <w:tc>
                <w:tcPr>
                  <w:tcW w:w="541" w:type="dxa"/>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有组织</w:t>
                  </w:r>
                </w:p>
              </w:tc>
              <w:tc>
                <w:tcPr>
                  <w:tcW w:w="665"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非甲烷</w:t>
                  </w:r>
                </w:p>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总烃</w:t>
                  </w:r>
                </w:p>
              </w:tc>
              <w:tc>
                <w:tcPr>
                  <w:tcW w:w="1091" w:type="dxa"/>
                  <w:tcBorders>
                    <w:tl2br w:val="nil"/>
                    <w:tr2bl w:val="nil"/>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color w:val="auto"/>
                      <w:kern w:val="0"/>
                      <w:sz w:val="21"/>
                      <w:szCs w:val="21"/>
                      <w:highlight w:val="none"/>
                      <w:lang w:val="en-US" w:eastAsia="zh-CN"/>
                    </w:rPr>
                    <w:t>4.5</w:t>
                  </w:r>
                </w:p>
              </w:tc>
              <w:tc>
                <w:tcPr>
                  <w:tcW w:w="1023" w:type="dxa"/>
                  <w:tcBorders>
                    <w:tl2br w:val="nil"/>
                    <w:tr2bl w:val="nil"/>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bidi="ar"/>
                    </w:rPr>
                    <w:t>0.045</w:t>
                  </w:r>
                </w:p>
              </w:tc>
              <w:tc>
                <w:tcPr>
                  <w:tcW w:w="694"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0.5</w:t>
                  </w:r>
                </w:p>
              </w:tc>
              <w:tc>
                <w:tcPr>
                  <w:tcW w:w="743"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487" w:type="dxa"/>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立即停止作业，</w:t>
                  </w:r>
                </w:p>
                <w:p>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及时更换活性炭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611"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w:t>
                  </w:r>
                </w:p>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03</w:t>
                  </w:r>
                </w:p>
              </w:tc>
              <w:tc>
                <w:tcPr>
                  <w:tcW w:w="1561"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布袋除尘器受损</w:t>
                  </w:r>
                </w:p>
              </w:tc>
              <w:tc>
                <w:tcPr>
                  <w:tcW w:w="541" w:type="dxa"/>
                  <w:tcBorders>
                    <w:tl2br w:val="nil"/>
                    <w:tr2bl w:val="nil"/>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有组织</w:t>
                  </w:r>
                </w:p>
              </w:tc>
              <w:tc>
                <w:tcPr>
                  <w:tcW w:w="665" w:type="dxa"/>
                  <w:tcBorders>
                    <w:tl2br w:val="nil"/>
                    <w:tr2bl w:val="nil"/>
                  </w:tcBorders>
                  <w:noWrap w:val="0"/>
                  <w:tcMar>
                    <w:top w:w="0" w:type="dxa"/>
                    <w:left w:w="0" w:type="dxa"/>
                    <w:bottom w:w="0" w:type="dxa"/>
                    <w:right w:w="0" w:type="dxa"/>
                  </w:tcMar>
                  <w:vAlign w:val="center"/>
                </w:tcPr>
                <w:p>
                  <w:pPr>
                    <w:jc w:val="center"/>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颗粒物</w:t>
                  </w:r>
                </w:p>
              </w:tc>
              <w:tc>
                <w:tcPr>
                  <w:tcW w:w="1091" w:type="dxa"/>
                  <w:tcBorders>
                    <w:tl2br w:val="nil"/>
                    <w:tr2bl w:val="nil"/>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387.47</w:t>
                  </w:r>
                </w:p>
              </w:tc>
              <w:tc>
                <w:tcPr>
                  <w:tcW w:w="1023" w:type="dxa"/>
                  <w:tcBorders>
                    <w:tl2br w:val="nil"/>
                    <w:tr2bl w:val="nil"/>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17.436</w:t>
                  </w:r>
                </w:p>
              </w:tc>
              <w:tc>
                <w:tcPr>
                  <w:tcW w:w="694"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0.5</w:t>
                  </w:r>
                </w:p>
              </w:tc>
              <w:tc>
                <w:tcPr>
                  <w:tcW w:w="743"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487" w:type="dxa"/>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rPr>
                      <w:rFonts w:hint="default" w:ascii="宋体" w:hAnsi="宋体" w:eastAsia="宋体" w:cs="宋体"/>
                      <w:color w:val="auto"/>
                      <w:kern w:val="0"/>
                      <w:sz w:val="21"/>
                      <w:szCs w:val="21"/>
                      <w:highlight w:val="none"/>
                      <w:lang w:val="en-US" w:eastAsia="zh-CN" w:bidi="ar"/>
                    </w:rPr>
                  </w:pPr>
                  <w:r>
                    <w:rPr>
                      <w:rFonts w:hint="default" w:ascii="宋体" w:hAnsi="宋体" w:eastAsia="宋体" w:cs="宋体"/>
                      <w:color w:val="auto"/>
                      <w:kern w:val="0"/>
                      <w:sz w:val="21"/>
                      <w:szCs w:val="21"/>
                      <w:highlight w:val="none"/>
                      <w:lang w:val="en-US" w:eastAsia="zh-CN" w:bidi="ar"/>
                    </w:rPr>
                    <w:t>立即停止作业，</w:t>
                  </w:r>
                </w:p>
                <w:p>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r>
                    <w:rPr>
                      <w:rFonts w:hint="default" w:ascii="宋体" w:hAnsi="宋体" w:eastAsia="宋体" w:cs="宋体"/>
                      <w:color w:val="auto"/>
                      <w:kern w:val="0"/>
                      <w:sz w:val="21"/>
                      <w:szCs w:val="21"/>
                      <w:highlight w:val="none"/>
                      <w:lang w:val="en-US" w:eastAsia="zh-CN" w:bidi="ar"/>
                    </w:rPr>
                    <w:t>及时更换布袋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611"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w:t>
                  </w:r>
                </w:p>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04</w:t>
                  </w:r>
                </w:p>
              </w:tc>
              <w:tc>
                <w:tcPr>
                  <w:tcW w:w="1561"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布袋除尘器受损</w:t>
                  </w:r>
                </w:p>
              </w:tc>
              <w:tc>
                <w:tcPr>
                  <w:tcW w:w="541" w:type="dxa"/>
                  <w:tcBorders>
                    <w:tl2br w:val="nil"/>
                    <w:tr2bl w:val="nil"/>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有组织</w:t>
                  </w:r>
                </w:p>
              </w:tc>
              <w:tc>
                <w:tcPr>
                  <w:tcW w:w="665"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1091" w:type="dxa"/>
                  <w:tcBorders>
                    <w:tl2br w:val="nil"/>
                    <w:tr2bl w:val="nil"/>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344.56</w:t>
                  </w:r>
                </w:p>
              </w:tc>
              <w:tc>
                <w:tcPr>
                  <w:tcW w:w="1023" w:type="dxa"/>
                  <w:tcBorders>
                    <w:tl2br w:val="nil"/>
                    <w:tr2bl w:val="nil"/>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8.614</w:t>
                  </w:r>
                </w:p>
              </w:tc>
              <w:tc>
                <w:tcPr>
                  <w:tcW w:w="694"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0.5</w:t>
                  </w:r>
                </w:p>
              </w:tc>
              <w:tc>
                <w:tcPr>
                  <w:tcW w:w="743"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487" w:type="dxa"/>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rPr>
                      <w:rFonts w:hint="default" w:ascii="宋体" w:hAnsi="宋体" w:eastAsia="宋体" w:cs="宋体"/>
                      <w:color w:val="auto"/>
                      <w:kern w:val="0"/>
                      <w:sz w:val="21"/>
                      <w:szCs w:val="21"/>
                      <w:highlight w:val="none"/>
                      <w:lang w:val="en-US" w:eastAsia="zh-CN" w:bidi="ar"/>
                    </w:rPr>
                  </w:pPr>
                  <w:r>
                    <w:rPr>
                      <w:rFonts w:hint="default" w:ascii="宋体" w:hAnsi="宋体" w:eastAsia="宋体" w:cs="宋体"/>
                      <w:color w:val="auto"/>
                      <w:kern w:val="0"/>
                      <w:sz w:val="21"/>
                      <w:szCs w:val="21"/>
                      <w:highlight w:val="none"/>
                      <w:lang w:val="en-US" w:eastAsia="zh-CN" w:bidi="ar"/>
                    </w:rPr>
                    <w:t>立即停止作业，</w:t>
                  </w:r>
                </w:p>
                <w:p>
                  <w:pPr>
                    <w:keepNext w:val="0"/>
                    <w:keepLines w:val="0"/>
                    <w:widowControl/>
                    <w:suppressLineNumbers w:val="0"/>
                    <w:jc w:val="center"/>
                    <w:rPr>
                      <w:rFonts w:hint="default" w:ascii="宋体" w:hAnsi="宋体" w:eastAsia="宋体" w:cs="宋体"/>
                      <w:color w:val="auto"/>
                      <w:kern w:val="0"/>
                      <w:sz w:val="21"/>
                      <w:szCs w:val="21"/>
                      <w:highlight w:val="none"/>
                      <w:lang w:val="en-US" w:eastAsia="zh-CN" w:bidi="ar"/>
                    </w:rPr>
                  </w:pPr>
                  <w:r>
                    <w:rPr>
                      <w:rFonts w:hint="default" w:ascii="宋体" w:hAnsi="宋体" w:eastAsia="宋体" w:cs="宋体"/>
                      <w:color w:val="auto"/>
                      <w:kern w:val="0"/>
                      <w:sz w:val="21"/>
                      <w:szCs w:val="21"/>
                      <w:highlight w:val="none"/>
                      <w:lang w:val="en-US" w:eastAsia="zh-CN" w:bidi="ar"/>
                    </w:rPr>
                    <w:t>及时更换布袋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11"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w:t>
                  </w:r>
                </w:p>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05</w:t>
                  </w:r>
                </w:p>
              </w:tc>
              <w:tc>
                <w:tcPr>
                  <w:tcW w:w="1561"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二级</w:t>
                  </w:r>
                  <w:r>
                    <w:rPr>
                      <w:rFonts w:hint="default" w:ascii="Times New Roman" w:hAnsi="Times New Roman" w:eastAsia="宋体" w:cs="Times New Roman"/>
                      <w:color w:val="auto"/>
                      <w:sz w:val="21"/>
                      <w:szCs w:val="21"/>
                      <w:highlight w:val="none"/>
                      <w:lang w:val="en-US" w:eastAsia="zh-CN"/>
                    </w:rPr>
                    <w:t>活性炭吸附装置吸附接近饱和</w:t>
                  </w:r>
                </w:p>
              </w:tc>
              <w:tc>
                <w:tcPr>
                  <w:tcW w:w="541" w:type="dxa"/>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有组织</w:t>
                  </w:r>
                </w:p>
              </w:tc>
              <w:tc>
                <w:tcPr>
                  <w:tcW w:w="665"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非甲烷</w:t>
                  </w:r>
                </w:p>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总烃</w:t>
                  </w:r>
                </w:p>
              </w:tc>
              <w:tc>
                <w:tcPr>
                  <w:tcW w:w="1091" w:type="dxa"/>
                  <w:tcBorders>
                    <w:tl2br w:val="nil"/>
                    <w:tr2bl w:val="nil"/>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63</w:t>
                  </w:r>
                </w:p>
              </w:tc>
              <w:tc>
                <w:tcPr>
                  <w:tcW w:w="1023" w:type="dxa"/>
                  <w:tcBorders>
                    <w:tl2br w:val="nil"/>
                    <w:tr2bl w:val="nil"/>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SA"/>
                    </w:rPr>
                    <w:t>0.315</w:t>
                  </w:r>
                </w:p>
              </w:tc>
              <w:tc>
                <w:tcPr>
                  <w:tcW w:w="694" w:type="dxa"/>
                  <w:tcBorders>
                    <w:tl2br w:val="nil"/>
                    <w:tr2bl w:val="nil"/>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0.5</w:t>
                  </w:r>
                </w:p>
              </w:tc>
              <w:tc>
                <w:tcPr>
                  <w:tcW w:w="743"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487" w:type="dxa"/>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立即停止作业，</w:t>
                  </w:r>
                </w:p>
                <w:p>
                  <w:pPr>
                    <w:keepNext w:val="0"/>
                    <w:keepLines w:val="0"/>
                    <w:widowControl/>
                    <w:suppressLineNumbers w:val="0"/>
                    <w:jc w:val="center"/>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及时更换活性炭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11" w:type="dxa"/>
                  <w:vMerge w:val="restart"/>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w:t>
                  </w:r>
                </w:p>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06</w:t>
                  </w:r>
                </w:p>
              </w:tc>
              <w:tc>
                <w:tcPr>
                  <w:tcW w:w="1561"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二级</w:t>
                  </w:r>
                  <w:r>
                    <w:rPr>
                      <w:rFonts w:hint="default" w:ascii="Times New Roman" w:hAnsi="Times New Roman" w:eastAsia="宋体" w:cs="Times New Roman"/>
                      <w:color w:val="auto"/>
                      <w:sz w:val="21"/>
                      <w:szCs w:val="21"/>
                      <w:highlight w:val="none"/>
                      <w:lang w:val="en-US" w:eastAsia="zh-CN"/>
                    </w:rPr>
                    <w:t>活性炭吸附装置吸附接近饱和</w:t>
                  </w:r>
                </w:p>
              </w:tc>
              <w:tc>
                <w:tcPr>
                  <w:tcW w:w="541" w:type="dxa"/>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有组织</w:t>
                  </w:r>
                </w:p>
              </w:tc>
              <w:tc>
                <w:tcPr>
                  <w:tcW w:w="665"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非甲烷</w:t>
                  </w:r>
                </w:p>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总烃</w:t>
                  </w:r>
                </w:p>
              </w:tc>
              <w:tc>
                <w:tcPr>
                  <w:tcW w:w="1091" w:type="dxa"/>
                  <w:tcBorders>
                    <w:tl2br w:val="nil"/>
                    <w:tr2bl w:val="nil"/>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0.19375</w:t>
                  </w:r>
                </w:p>
              </w:tc>
              <w:tc>
                <w:tcPr>
                  <w:tcW w:w="1023" w:type="dxa"/>
                  <w:tcBorders>
                    <w:tl2br w:val="nil"/>
                    <w:tr2bl w:val="nil"/>
                  </w:tcBorders>
                  <w:noWrap w:val="0"/>
                  <w:tcMar>
                    <w:top w:w="0" w:type="dxa"/>
                    <w:left w:w="0" w:type="dxa"/>
                    <w:bottom w:w="0" w:type="dxa"/>
                    <w:right w:w="0" w:type="dxa"/>
                  </w:tcMar>
                  <w:vAlign w:val="center"/>
                </w:tcPr>
                <w:p>
                  <w:pPr>
                    <w:pStyle w:val="34"/>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0.0031</w:t>
                  </w:r>
                </w:p>
              </w:tc>
              <w:tc>
                <w:tcPr>
                  <w:tcW w:w="694"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0.5</w:t>
                  </w:r>
                </w:p>
              </w:tc>
              <w:tc>
                <w:tcPr>
                  <w:tcW w:w="743"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487" w:type="dxa"/>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立即停止作业，</w:t>
                  </w:r>
                </w:p>
                <w:p>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及时更换活性炭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611" w:type="dxa"/>
                  <w:vMerge w:val="continue"/>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p>
              </w:tc>
              <w:tc>
                <w:tcPr>
                  <w:tcW w:w="1561"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布袋除尘器受损</w:t>
                  </w:r>
                </w:p>
              </w:tc>
              <w:tc>
                <w:tcPr>
                  <w:tcW w:w="541" w:type="dxa"/>
                  <w:tcBorders>
                    <w:tl2br w:val="nil"/>
                    <w:tr2bl w:val="nil"/>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有组织</w:t>
                  </w:r>
                </w:p>
              </w:tc>
              <w:tc>
                <w:tcPr>
                  <w:tcW w:w="665" w:type="dxa"/>
                  <w:tcBorders>
                    <w:tl2br w:val="nil"/>
                    <w:tr2bl w:val="nil"/>
                  </w:tcBorders>
                  <w:noWrap w:val="0"/>
                  <w:tcMar>
                    <w:top w:w="0" w:type="dxa"/>
                    <w:left w:w="0" w:type="dxa"/>
                    <w:bottom w:w="0" w:type="dxa"/>
                    <w:right w:w="0" w:type="dxa"/>
                  </w:tcMar>
                  <w:vAlign w:val="center"/>
                </w:tcPr>
                <w:p>
                  <w:pPr>
                    <w:jc w:val="center"/>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颗粒物</w:t>
                  </w:r>
                </w:p>
              </w:tc>
              <w:tc>
                <w:tcPr>
                  <w:tcW w:w="1091" w:type="dxa"/>
                  <w:tcBorders>
                    <w:tl2br w:val="nil"/>
                    <w:tr2bl w:val="nil"/>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2.4625</w:t>
                  </w:r>
                </w:p>
              </w:tc>
              <w:tc>
                <w:tcPr>
                  <w:tcW w:w="1023" w:type="dxa"/>
                  <w:tcBorders>
                    <w:tl2br w:val="nil"/>
                    <w:tr2bl w:val="nil"/>
                  </w:tcBorders>
                  <w:noWrap w:val="0"/>
                  <w:tcMar>
                    <w:top w:w="0" w:type="dxa"/>
                    <w:left w:w="0" w:type="dxa"/>
                    <w:bottom w:w="0" w:type="dxa"/>
                    <w:right w:w="0" w:type="dxa"/>
                  </w:tcMar>
                  <w:vAlign w:val="center"/>
                </w:tcPr>
                <w:p>
                  <w:pPr>
                    <w:pStyle w:val="34"/>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0.039</w:t>
                  </w:r>
                  <w:r>
                    <w:rPr>
                      <w:rFonts w:hint="eastAsia" w:ascii="Times New Roman" w:hAnsi="Times New Roman" w:cs="Times New Roman"/>
                      <w:color w:val="auto"/>
                      <w:kern w:val="0"/>
                      <w:sz w:val="21"/>
                      <w:szCs w:val="21"/>
                      <w:highlight w:val="none"/>
                      <w:lang w:val="en-US" w:eastAsia="zh-CN" w:bidi="ar-SA"/>
                    </w:rPr>
                    <w:t>4</w:t>
                  </w:r>
                </w:p>
              </w:tc>
              <w:tc>
                <w:tcPr>
                  <w:tcW w:w="694"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0.5</w:t>
                  </w:r>
                </w:p>
              </w:tc>
              <w:tc>
                <w:tcPr>
                  <w:tcW w:w="743"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487" w:type="dxa"/>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rPr>
                      <w:rFonts w:hint="default" w:ascii="宋体" w:hAnsi="宋体" w:eastAsia="宋体" w:cs="宋体"/>
                      <w:color w:val="auto"/>
                      <w:kern w:val="0"/>
                      <w:sz w:val="21"/>
                      <w:szCs w:val="21"/>
                      <w:highlight w:val="none"/>
                      <w:lang w:val="en-US" w:eastAsia="zh-CN" w:bidi="ar"/>
                    </w:rPr>
                  </w:pPr>
                  <w:r>
                    <w:rPr>
                      <w:rFonts w:hint="default" w:ascii="宋体" w:hAnsi="宋体" w:eastAsia="宋体" w:cs="宋体"/>
                      <w:color w:val="auto"/>
                      <w:kern w:val="0"/>
                      <w:sz w:val="21"/>
                      <w:szCs w:val="21"/>
                      <w:highlight w:val="none"/>
                      <w:lang w:val="en-US" w:eastAsia="zh-CN" w:bidi="ar"/>
                    </w:rPr>
                    <w:t>立即停止作业，</w:t>
                  </w:r>
                </w:p>
                <w:p>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r>
                    <w:rPr>
                      <w:rFonts w:hint="default" w:ascii="宋体" w:hAnsi="宋体" w:eastAsia="宋体" w:cs="宋体"/>
                      <w:color w:val="auto"/>
                      <w:kern w:val="0"/>
                      <w:sz w:val="21"/>
                      <w:szCs w:val="21"/>
                      <w:highlight w:val="none"/>
                      <w:lang w:val="en-US" w:eastAsia="zh-CN" w:bidi="ar"/>
                    </w:rPr>
                    <w:t>及时更换布袋</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b/>
                <w:bCs/>
                <w:color w:val="auto"/>
                <w:spacing w:val="-10"/>
                <w:sz w:val="24"/>
                <w:szCs w:val="24"/>
                <w:highlight w:val="none"/>
              </w:rPr>
            </w:pPr>
            <w:r>
              <w:rPr>
                <w:rFonts w:hint="eastAsia"/>
                <w:b/>
                <w:bCs/>
                <w:color w:val="auto"/>
                <w:spacing w:val="-10"/>
                <w:sz w:val="24"/>
                <w:highlight w:val="none"/>
                <w:lang w:val="en-US" w:eastAsia="zh-CN"/>
              </w:rPr>
              <w:t>4.2</w:t>
            </w:r>
            <w:r>
              <w:rPr>
                <w:rFonts w:hint="eastAsia"/>
                <w:b/>
                <w:bCs/>
                <w:color w:val="auto"/>
                <w:spacing w:val="-10"/>
                <w:sz w:val="24"/>
                <w:szCs w:val="24"/>
                <w:highlight w:val="none"/>
                <w:lang w:val="en-US" w:eastAsia="zh-CN"/>
              </w:rPr>
              <w:t>.2</w:t>
            </w:r>
            <w:r>
              <w:rPr>
                <w:rFonts w:hint="eastAsia"/>
                <w:b/>
                <w:bCs/>
                <w:color w:val="auto"/>
                <w:spacing w:val="-10"/>
                <w:sz w:val="24"/>
                <w:szCs w:val="24"/>
                <w:highlight w:val="none"/>
              </w:rPr>
              <w:t>、</w:t>
            </w:r>
            <w:r>
              <w:rPr>
                <w:b/>
                <w:bCs/>
                <w:color w:val="auto"/>
                <w:spacing w:val="-10"/>
                <w:sz w:val="24"/>
                <w:szCs w:val="24"/>
                <w:highlight w:val="none"/>
              </w:rPr>
              <w:t>废水</w:t>
            </w:r>
          </w:p>
          <w:p>
            <w:pPr>
              <w:spacing w:line="360" w:lineRule="auto"/>
              <w:rPr>
                <w:rFonts w:hint="default" w:ascii="Times New Roman" w:hAnsi="Times New Roman" w:eastAsia="宋体" w:cs="Times New Roman"/>
                <w:b/>
                <w:color w:val="auto"/>
                <w:sz w:val="24"/>
                <w:szCs w:val="24"/>
                <w:highlight w:val="none"/>
              </w:rPr>
            </w:pPr>
            <w:r>
              <w:rPr>
                <w:rFonts w:hint="eastAsia"/>
                <w:b/>
                <w:bCs/>
                <w:color w:val="auto"/>
                <w:spacing w:val="-10"/>
                <w:sz w:val="24"/>
                <w:highlight w:val="none"/>
                <w:lang w:val="en-US" w:eastAsia="zh-CN"/>
              </w:rPr>
              <w:t>4.2</w:t>
            </w:r>
            <w:r>
              <w:rPr>
                <w:rFonts w:hint="eastAsia"/>
                <w:b/>
                <w:bCs/>
                <w:color w:val="auto"/>
                <w:spacing w:val="-10"/>
                <w:sz w:val="24"/>
                <w:szCs w:val="24"/>
                <w:highlight w:val="none"/>
                <w:lang w:val="en-US" w:eastAsia="zh-CN"/>
              </w:rPr>
              <w:t>.2.1</w:t>
            </w:r>
            <w:r>
              <w:rPr>
                <w:rFonts w:hint="default" w:ascii="Times New Roman" w:hAnsi="Times New Roman" w:eastAsia="宋体" w:cs="Times New Roman"/>
                <w:b/>
                <w:color w:val="auto"/>
                <w:kern w:val="0"/>
                <w:sz w:val="24"/>
                <w:szCs w:val="24"/>
                <w:highlight w:val="none"/>
                <w:lang w:val="en-US" w:eastAsia="zh-CN" w:bidi="ar"/>
              </w:rPr>
              <w:t>、废</w:t>
            </w:r>
            <w:r>
              <w:rPr>
                <w:rFonts w:hint="eastAsia" w:cs="Times New Roman"/>
                <w:b/>
                <w:color w:val="auto"/>
                <w:kern w:val="0"/>
                <w:sz w:val="24"/>
                <w:szCs w:val="24"/>
                <w:highlight w:val="none"/>
                <w:lang w:val="en-US" w:eastAsia="zh-CN" w:bidi="ar"/>
              </w:rPr>
              <w:t>水</w:t>
            </w:r>
            <w:r>
              <w:rPr>
                <w:rFonts w:hint="default" w:ascii="Times New Roman" w:hAnsi="Times New Roman" w:eastAsia="宋体" w:cs="Times New Roman"/>
                <w:b/>
                <w:color w:val="auto"/>
                <w:kern w:val="0"/>
                <w:sz w:val="24"/>
                <w:szCs w:val="24"/>
                <w:highlight w:val="none"/>
                <w:lang w:val="en-US" w:eastAsia="zh-CN" w:bidi="ar"/>
              </w:rPr>
              <w:t>产排污情况</w:t>
            </w:r>
          </w:p>
          <w:p>
            <w:pPr>
              <w:pStyle w:val="34"/>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（1）生产废水</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color w:val="auto"/>
                <w:highlight w:val="none"/>
                <w:lang w:val="en-US"/>
              </w:rPr>
            </w:pPr>
            <w:r>
              <w:rPr>
                <w:rFonts w:hint="eastAsia"/>
                <w:color w:val="auto"/>
                <w:sz w:val="24"/>
                <w:highlight w:val="none"/>
                <w:lang w:val="en-US" w:eastAsia="zh-CN"/>
              </w:rPr>
              <w:t>由项目水平衡分析可知，项目生产用水主要是</w:t>
            </w:r>
            <w:r>
              <w:rPr>
                <w:rFonts w:hint="eastAsia" w:ascii="Times New Roman" w:eastAsia="宋体" w:cs="Times New Roman"/>
                <w:color w:val="auto"/>
                <w:kern w:val="0"/>
                <w:sz w:val="24"/>
                <w:szCs w:val="24"/>
                <w:highlight w:val="none"/>
                <w:lang w:val="en-US" w:eastAsia="zh-CN" w:bidi="ar"/>
              </w:rPr>
              <w:t>水性漆调漆用水、水帘柜喷淋用水</w:t>
            </w:r>
            <w:r>
              <w:rPr>
                <w:rFonts w:hint="eastAsia"/>
                <w:color w:val="auto"/>
                <w:sz w:val="24"/>
                <w:highlight w:val="none"/>
                <w:lang w:val="en-US" w:eastAsia="zh-CN"/>
              </w:rPr>
              <w:t>、</w:t>
            </w:r>
            <w:r>
              <w:rPr>
                <w:rFonts w:hint="eastAsia" w:ascii="宋体" w:hAnsi="宋体" w:eastAsia="宋体" w:cs="宋体"/>
                <w:color w:val="auto"/>
                <w:kern w:val="0"/>
                <w:sz w:val="24"/>
                <w:szCs w:val="24"/>
                <w:highlight w:val="none"/>
                <w:lang w:val="en-US" w:eastAsia="zh-CN" w:bidi="ar"/>
              </w:rPr>
              <w:t>冷却用水</w:t>
            </w:r>
            <w:r>
              <w:rPr>
                <w:rFonts w:hint="eastAsia"/>
                <w:color w:val="auto"/>
                <w:sz w:val="24"/>
                <w:highlight w:val="none"/>
                <w:lang w:val="en-US" w:eastAsia="zh-CN"/>
              </w:rPr>
              <w:t>、</w:t>
            </w:r>
            <w:r>
              <w:rPr>
                <w:rFonts w:hint="eastAsia" w:ascii="宋体" w:hAnsi="宋体" w:eastAsia="宋体" w:cs="宋体"/>
                <w:color w:val="auto"/>
                <w:kern w:val="0"/>
                <w:sz w:val="24"/>
                <w:szCs w:val="24"/>
                <w:highlight w:val="none"/>
                <w:lang w:val="en-US" w:eastAsia="zh-CN" w:bidi="ar"/>
              </w:rPr>
              <w:t>试压用水以及</w:t>
            </w:r>
            <w:r>
              <w:rPr>
                <w:rFonts w:hint="default" w:ascii="Times New Roman" w:hAnsi="Times New Roman" w:eastAsia="宋体" w:cs="Times New Roman"/>
                <w:color w:val="auto"/>
                <w:kern w:val="0"/>
                <w:sz w:val="24"/>
                <w:szCs w:val="24"/>
                <w:highlight w:val="none"/>
                <w:lang w:val="en-US" w:eastAsia="zh-CN" w:bidi="ar"/>
              </w:rPr>
              <w:t>喷淋塔用水</w:t>
            </w:r>
            <w:r>
              <w:rPr>
                <w:rFonts w:hint="eastAsia"/>
                <w:color w:val="auto"/>
                <w:sz w:val="24"/>
                <w:highlight w:val="none"/>
                <w:lang w:val="en-US" w:eastAsia="zh-CN"/>
              </w:rPr>
              <w:t>。</w:t>
            </w:r>
            <w:r>
              <w:rPr>
                <w:rFonts w:hint="eastAsia" w:ascii="Times New Roman" w:eastAsia="宋体" w:cs="Times New Roman"/>
                <w:color w:val="auto"/>
                <w:kern w:val="0"/>
                <w:sz w:val="24"/>
                <w:szCs w:val="24"/>
                <w:highlight w:val="none"/>
                <w:lang w:val="en-US" w:eastAsia="zh-CN" w:bidi="ar"/>
              </w:rPr>
              <w:t>水性漆调漆用水均进入产品；水帘柜喷淋用水</w:t>
            </w:r>
            <w:r>
              <w:rPr>
                <w:rFonts w:hint="eastAsia" w:ascii="宋体" w:hAnsi="宋体" w:eastAsia="宋体" w:cs="宋体"/>
                <w:color w:val="auto"/>
                <w:kern w:val="0"/>
                <w:sz w:val="24"/>
                <w:szCs w:val="24"/>
                <w:highlight w:val="none"/>
                <w:lang w:val="en-US" w:eastAsia="zh-CN" w:bidi="ar"/>
              </w:rPr>
              <w:t>循环使用，因蒸发需进行补充水量，补充水量约</w:t>
            </w:r>
            <w:r>
              <w:rPr>
                <w:rFonts w:hint="default" w:ascii="Times New Roman" w:hAnsi="Times New Roman" w:eastAsia="宋体" w:cs="Times New Roman"/>
                <w:color w:val="auto"/>
                <w:kern w:val="0"/>
                <w:sz w:val="24"/>
                <w:szCs w:val="24"/>
                <w:highlight w:val="none"/>
                <w:lang w:val="en-US" w:eastAsia="zh-CN" w:bidi="ar"/>
              </w:rPr>
              <w:t>0.</w:t>
            </w:r>
            <w:r>
              <w:rPr>
                <w:rFonts w:hint="eastAsia" w:cs="Times New Roman"/>
                <w:color w:val="auto"/>
                <w:kern w:val="0"/>
                <w:sz w:val="24"/>
                <w:szCs w:val="24"/>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t/d</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6</w:t>
            </w:r>
            <w:r>
              <w:rPr>
                <w:rFonts w:hint="eastAsia" w:ascii="Times New Roman" w:hAnsi="Times New Roman" w:eastAsia="宋体" w:cs="Times New Roman"/>
                <w:color w:val="auto"/>
                <w:kern w:val="0"/>
                <w:sz w:val="24"/>
                <w:szCs w:val="24"/>
                <w:highlight w:val="none"/>
                <w:lang w:val="en-US" w:eastAsia="zh-CN" w:bidi="ar"/>
              </w:rPr>
              <w:t>0t/a），</w:t>
            </w:r>
            <w:r>
              <w:rPr>
                <w:rFonts w:hint="eastAsia" w:ascii="Times New Roman" w:eastAsia="宋体" w:cs="Times New Roman"/>
                <w:color w:val="auto"/>
                <w:kern w:val="0"/>
                <w:sz w:val="24"/>
                <w:szCs w:val="24"/>
                <w:highlight w:val="none"/>
                <w:lang w:val="en-US" w:eastAsia="zh-CN" w:bidi="ar"/>
              </w:rPr>
              <w:t>水帘柜喷淋</w:t>
            </w:r>
            <w:r>
              <w:rPr>
                <w:rFonts w:hint="eastAsia" w:ascii="宋体" w:hAnsi="宋体" w:eastAsia="宋体" w:cs="宋体"/>
                <w:color w:val="auto"/>
                <w:kern w:val="0"/>
                <w:sz w:val="24"/>
                <w:szCs w:val="24"/>
                <w:highlight w:val="none"/>
                <w:lang w:val="en-US" w:eastAsia="zh-CN" w:bidi="ar"/>
              </w:rPr>
              <w:t>用水循环饱和后定期排入干化池中进行干化，无喷漆废液产生，干化后的漆渣集中收集至危废暂存间，定期交由具有危废处理资质的单位进行处理；冷却用水</w:t>
            </w:r>
            <w:r>
              <w:rPr>
                <w:rFonts w:hint="eastAsia"/>
                <w:color w:val="auto"/>
                <w:sz w:val="24"/>
                <w:highlight w:val="none"/>
                <w:lang w:val="en-US" w:eastAsia="zh-CN"/>
              </w:rPr>
              <w:t>、</w:t>
            </w:r>
            <w:r>
              <w:rPr>
                <w:rFonts w:hint="eastAsia" w:ascii="宋体" w:hAnsi="宋体" w:eastAsia="宋体" w:cs="宋体"/>
                <w:color w:val="auto"/>
                <w:kern w:val="0"/>
                <w:sz w:val="24"/>
                <w:szCs w:val="24"/>
                <w:highlight w:val="none"/>
                <w:lang w:val="en-US" w:eastAsia="zh-CN" w:bidi="ar"/>
              </w:rPr>
              <w:t>试压用水以及</w:t>
            </w:r>
            <w:r>
              <w:rPr>
                <w:rFonts w:hint="default" w:ascii="Times New Roman" w:hAnsi="Times New Roman" w:eastAsia="宋体" w:cs="Times New Roman"/>
                <w:color w:val="auto"/>
                <w:kern w:val="0"/>
                <w:sz w:val="24"/>
                <w:szCs w:val="24"/>
                <w:highlight w:val="none"/>
                <w:lang w:val="en-US" w:eastAsia="zh-CN" w:bidi="ar"/>
              </w:rPr>
              <w:t>喷淋塔用水</w:t>
            </w:r>
            <w:r>
              <w:rPr>
                <w:rFonts w:hint="eastAsia" w:ascii="Times New Roman" w:hAnsi="Times New Roman" w:eastAsia="宋体" w:cs="Times New Roman"/>
                <w:color w:val="auto"/>
                <w:kern w:val="0"/>
                <w:sz w:val="24"/>
                <w:szCs w:val="24"/>
                <w:highlight w:val="none"/>
                <w:lang w:val="en-US" w:eastAsia="zh-CN" w:bidi="ar"/>
              </w:rPr>
              <w:t>均循环使用，不外排。</w:t>
            </w:r>
          </w:p>
          <w:p>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480"/>
              <w:textAlignment w:val="auto"/>
              <w:rPr>
                <w:rFonts w:hint="default" w:ascii="Times New Roman" w:hAnsi="Times New Roman" w:eastAsia="宋体"/>
                <w:color w:val="auto"/>
                <w:szCs w:val="24"/>
                <w:highlight w:val="none"/>
                <w:lang w:val="en-US" w:eastAsia="zh-CN"/>
              </w:rPr>
            </w:pPr>
            <w:r>
              <w:rPr>
                <w:rFonts w:hint="eastAsia" w:ascii="Times New Roman" w:hAnsi="Times New Roman"/>
                <w:color w:val="auto"/>
                <w:szCs w:val="24"/>
                <w:highlight w:val="none"/>
                <w:lang w:eastAsia="zh-CN"/>
              </w:rPr>
              <w:t>（</w:t>
            </w:r>
            <w:r>
              <w:rPr>
                <w:rFonts w:hint="eastAsia" w:ascii="Times New Roman" w:hAnsi="Times New Roman"/>
                <w:color w:val="auto"/>
                <w:szCs w:val="24"/>
                <w:highlight w:val="none"/>
                <w:lang w:val="en-US" w:eastAsia="zh-CN"/>
              </w:rPr>
              <w:t>2</w:t>
            </w:r>
            <w:r>
              <w:rPr>
                <w:rFonts w:hint="eastAsia" w:ascii="Times New Roman" w:hAnsi="Times New Roman"/>
                <w:color w:val="auto"/>
                <w:szCs w:val="24"/>
                <w:highlight w:val="none"/>
                <w:lang w:eastAsia="zh-CN"/>
              </w:rPr>
              <w:t>）</w:t>
            </w:r>
            <w:r>
              <w:rPr>
                <w:rFonts w:hint="eastAsia" w:ascii="Times New Roman" w:hAnsi="Times New Roman"/>
                <w:color w:val="auto"/>
                <w:szCs w:val="24"/>
                <w:highlight w:val="none"/>
              </w:rPr>
              <w:t>生活污水</w:t>
            </w:r>
            <w:r>
              <w:rPr>
                <w:rFonts w:hint="eastAsia" w:ascii="Times New Roman" w:hAnsi="Times New Roman"/>
                <w:color w:val="auto"/>
                <w:szCs w:val="24"/>
                <w:highlight w:val="none"/>
                <w:lang w:eastAsia="zh-CN"/>
              </w:rPr>
              <w:t>（</w:t>
            </w:r>
            <w:r>
              <w:rPr>
                <w:rFonts w:hint="eastAsia" w:ascii="Times New Roman" w:hAnsi="Times New Roman"/>
                <w:color w:val="auto"/>
                <w:szCs w:val="24"/>
                <w:highlight w:val="none"/>
                <w:lang w:val="en-US" w:eastAsia="zh-CN"/>
              </w:rPr>
              <w:t>含食堂废水</w:t>
            </w:r>
            <w:r>
              <w:rPr>
                <w:rFonts w:hint="eastAsia" w:ascii="Times New Roman" w:hAnsi="Times New Roman"/>
                <w:color w:val="auto"/>
                <w:szCs w:val="24"/>
                <w:highlight w:val="none"/>
                <w:lang w:eastAsia="zh-CN"/>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highlight w:val="none"/>
                <w:lang w:val="en-US" w:eastAsia="zh-CN"/>
              </w:rPr>
            </w:pPr>
            <w:r>
              <w:rPr>
                <w:rFonts w:hint="eastAsia"/>
                <w:color w:val="auto"/>
                <w:sz w:val="24"/>
                <w:highlight w:val="none"/>
                <w:lang w:val="en-US" w:eastAsia="zh-CN"/>
              </w:rPr>
              <w:t>项目</w:t>
            </w:r>
            <w:r>
              <w:rPr>
                <w:color w:val="auto"/>
                <w:sz w:val="24"/>
                <w:highlight w:val="none"/>
              </w:rPr>
              <w:t>外排废水主要为职工生活污水</w:t>
            </w:r>
            <w:r>
              <w:rPr>
                <w:rFonts w:hint="eastAsia"/>
                <w:color w:val="auto"/>
                <w:sz w:val="24"/>
                <w:highlight w:val="none"/>
                <w:lang w:eastAsia="zh-CN"/>
              </w:rPr>
              <w:t>（</w:t>
            </w:r>
            <w:r>
              <w:rPr>
                <w:rFonts w:hint="eastAsia"/>
                <w:color w:val="auto"/>
                <w:sz w:val="24"/>
                <w:highlight w:val="none"/>
                <w:lang w:val="en-US" w:eastAsia="zh-CN"/>
              </w:rPr>
              <w:t>含食堂废水</w:t>
            </w:r>
            <w:r>
              <w:rPr>
                <w:rFonts w:hint="eastAsia"/>
                <w:color w:val="auto"/>
                <w:sz w:val="24"/>
                <w:highlight w:val="none"/>
                <w:lang w:eastAsia="zh-CN"/>
              </w:rPr>
              <w:t>）。</w:t>
            </w:r>
            <w:r>
              <w:rPr>
                <w:rFonts w:hint="default" w:ascii="Times New Roman" w:hAnsi="Times New Roman" w:eastAsia="宋体" w:cs="Times New Roman"/>
                <w:color w:val="auto"/>
                <w:sz w:val="24"/>
                <w:highlight w:val="none"/>
              </w:rPr>
              <w:t>项目职工生活污水</w:t>
            </w:r>
            <w:r>
              <w:rPr>
                <w:rFonts w:hint="eastAsia" w:ascii="Times New Roman" w:hAnsi="Times New Roman" w:eastAsia="宋体" w:cs="Times New Roman"/>
                <w:color w:val="auto"/>
                <w:sz w:val="24"/>
                <w:highlight w:val="none"/>
                <w:lang w:val="en-US" w:eastAsia="zh-CN"/>
              </w:rPr>
              <w:t>排放</w:t>
            </w:r>
            <w:r>
              <w:rPr>
                <w:rFonts w:hint="default" w:ascii="Times New Roman" w:hAnsi="Times New Roman" w:eastAsia="宋体" w:cs="Times New Roman"/>
                <w:color w:val="auto"/>
                <w:sz w:val="24"/>
                <w:highlight w:val="none"/>
              </w:rPr>
              <w:t>量为</w:t>
            </w:r>
            <w:r>
              <w:rPr>
                <w:rFonts w:hint="default" w:ascii="Times New Roman" w:hAnsi="Times New Roman" w:cs="Times New Roman"/>
                <w:color w:val="auto"/>
                <w:sz w:val="24"/>
                <w:szCs w:val="24"/>
                <w:highlight w:val="none"/>
                <w:lang w:val="en-US" w:eastAsia="zh-CN"/>
              </w:rPr>
              <w:t>2040</w:t>
            </w:r>
            <w:r>
              <w:rPr>
                <w:rFonts w:hint="default" w:ascii="Times New Roman" w:hAnsi="Times New Roman" w:cs="Times New Roman"/>
                <w:color w:val="auto"/>
                <w:sz w:val="24"/>
                <w:szCs w:val="24"/>
                <w:highlight w:val="none"/>
              </w:rPr>
              <w:t>t/a（</w:t>
            </w:r>
            <w:r>
              <w:rPr>
                <w:rFonts w:hint="default" w:ascii="Times New Roman" w:hAnsi="Times New Roman" w:cs="Times New Roman"/>
                <w:color w:val="auto"/>
                <w:sz w:val="24"/>
                <w:szCs w:val="24"/>
                <w:highlight w:val="none"/>
                <w:lang w:val="en-US" w:eastAsia="zh-CN"/>
              </w:rPr>
              <w:t>6.8</w:t>
            </w:r>
            <w:r>
              <w:rPr>
                <w:rFonts w:hint="default" w:ascii="Times New Roman" w:hAnsi="Times New Roman" w:cs="Times New Roman"/>
                <w:color w:val="auto"/>
                <w:sz w:val="24"/>
                <w:szCs w:val="24"/>
                <w:highlight w:val="none"/>
              </w:rPr>
              <w:t>t/d）</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kern w:val="0"/>
                <w:sz w:val="24"/>
                <w:szCs w:val="24"/>
                <w:highlight w:val="none"/>
                <w:lang w:val="en-US" w:eastAsia="zh-CN" w:bidi="ar"/>
              </w:rPr>
              <w:t>食堂废水排放量为</w:t>
            </w:r>
            <w:r>
              <w:rPr>
                <w:rFonts w:hint="eastAsia" w:cs="Times New Roman"/>
                <w:color w:val="auto"/>
                <w:kern w:val="0"/>
                <w:sz w:val="24"/>
                <w:szCs w:val="24"/>
                <w:highlight w:val="none"/>
                <w:lang w:val="en-US" w:eastAsia="zh-CN" w:bidi="ar"/>
              </w:rPr>
              <w:t>420</w:t>
            </w:r>
            <w:r>
              <w:rPr>
                <w:rFonts w:hint="default" w:ascii="Times New Roman" w:hAnsi="Times New Roman" w:eastAsia="宋体" w:cs="Times New Roman"/>
                <w:color w:val="auto"/>
                <w:kern w:val="0"/>
                <w:sz w:val="24"/>
                <w:szCs w:val="24"/>
                <w:highlight w:val="none"/>
                <w:lang w:val="en-US" w:eastAsia="zh-CN" w:bidi="ar"/>
              </w:rPr>
              <w:t>t/a（1</w:t>
            </w:r>
            <w:r>
              <w:rPr>
                <w:rFonts w:hint="eastAsia" w:cs="Times New Roman"/>
                <w:color w:val="auto"/>
                <w:kern w:val="0"/>
                <w:sz w:val="24"/>
                <w:szCs w:val="24"/>
                <w:highlight w:val="none"/>
                <w:lang w:val="en-US" w:eastAsia="zh-CN" w:bidi="ar"/>
              </w:rPr>
              <w:t>.4</w:t>
            </w:r>
            <w:r>
              <w:rPr>
                <w:rFonts w:hint="default" w:ascii="Times New Roman" w:hAnsi="Times New Roman" w:eastAsia="宋体" w:cs="Times New Roman"/>
                <w:color w:val="auto"/>
                <w:kern w:val="0"/>
                <w:sz w:val="24"/>
                <w:szCs w:val="24"/>
                <w:highlight w:val="none"/>
                <w:lang w:val="en-US" w:eastAsia="zh-CN" w:bidi="ar"/>
              </w:rPr>
              <w:t>t/d）</w:t>
            </w:r>
            <w:r>
              <w:rPr>
                <w:rFonts w:hint="eastAsia" w:cs="Times New Roman"/>
                <w:color w:val="auto"/>
                <w:kern w:val="0"/>
                <w:sz w:val="24"/>
                <w:szCs w:val="24"/>
                <w:highlight w:val="none"/>
                <w:lang w:val="en-US" w:eastAsia="zh-CN" w:bidi="ar"/>
              </w:rPr>
              <w:t>，</w:t>
            </w:r>
            <w:r>
              <w:rPr>
                <w:rFonts w:hint="eastAsia" w:ascii="Times New Roman" w:hAnsi="Times New Roman" w:eastAsia="宋体" w:cs="Times New Roman"/>
                <w:color w:val="auto"/>
                <w:sz w:val="24"/>
                <w:highlight w:val="none"/>
                <w:lang w:val="en-US" w:eastAsia="zh-CN"/>
              </w:rPr>
              <w:t>经查阅《给排水设计手册》（第五册城镇排水（第二版）典型生活污水水质实例，氨氮参考总氮数据）（详见附图4</w:t>
            </w:r>
            <w:r>
              <w:rPr>
                <w:rFonts w:hint="eastAsia" w:cs="Times New Roman"/>
                <w:color w:val="auto"/>
                <w:sz w:val="24"/>
                <w:highlight w:val="none"/>
                <w:lang w:val="en-US" w:eastAsia="zh-CN"/>
              </w:rPr>
              <w:t>.2</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2</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项目</w:t>
            </w:r>
            <w:r>
              <w:rPr>
                <w:rFonts w:hint="eastAsia" w:ascii="Times New Roman" w:hAnsi="Times New Roman" w:eastAsia="宋体" w:cs="Times New Roman"/>
                <w:color w:val="auto"/>
                <w:sz w:val="24"/>
                <w:highlight w:val="none"/>
                <w:lang w:val="en-US" w:eastAsia="zh-CN"/>
              </w:rPr>
              <w:t>生活污水</w:t>
            </w:r>
            <w:r>
              <w:rPr>
                <w:rFonts w:hint="eastAsia" w:cs="Times New Roman"/>
                <w:color w:val="auto"/>
                <w:sz w:val="24"/>
                <w:highlight w:val="none"/>
                <w:lang w:val="en-US" w:eastAsia="zh-CN"/>
              </w:rPr>
              <w:t>（含食堂废水）</w:t>
            </w:r>
            <w:r>
              <w:rPr>
                <w:rFonts w:hint="eastAsia" w:ascii="Times New Roman" w:hAnsi="Times New Roman" w:eastAsia="宋体" w:cs="Times New Roman"/>
                <w:color w:val="auto"/>
                <w:sz w:val="24"/>
                <w:highlight w:val="none"/>
                <w:lang w:val="en-US" w:eastAsia="zh-CN"/>
              </w:rPr>
              <w:t xml:space="preserve">水质情况大体为 </w:t>
            </w:r>
            <w:r>
              <w:rPr>
                <w:rFonts w:hint="default" w:ascii="Times New Roman" w:hAnsi="Times New Roman" w:eastAsia="宋体" w:cs="Times New Roman"/>
                <w:color w:val="auto"/>
                <w:sz w:val="24"/>
                <w:highlight w:val="none"/>
                <w:lang w:val="en-US" w:eastAsia="zh-CN"/>
              </w:rPr>
              <w:t>COD</w:t>
            </w:r>
            <w:r>
              <w:rPr>
                <w:rFonts w:hint="eastAsia" w:ascii="Times New Roman" w:hAnsi="Times New Roman" w:eastAsia="宋体" w:cs="Times New Roman"/>
                <w:color w:val="auto"/>
                <w:sz w:val="24"/>
                <w:highlight w:val="none"/>
                <w:lang w:val="en-US" w:eastAsia="zh-CN"/>
              </w:rPr>
              <w:t>cr：</w:t>
            </w:r>
            <w:r>
              <w:rPr>
                <w:rFonts w:hint="default" w:ascii="Times New Roman" w:hAnsi="Times New Roman" w:eastAsia="宋体" w:cs="Times New Roman"/>
                <w:color w:val="auto"/>
                <w:sz w:val="24"/>
                <w:highlight w:val="none"/>
                <w:lang w:val="en-US" w:eastAsia="zh-CN"/>
              </w:rPr>
              <w:t>400mg/L</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BOD</w:t>
            </w:r>
            <w:r>
              <w:rPr>
                <w:rFonts w:hint="default" w:ascii="Times New Roman" w:hAnsi="Times New Roman" w:eastAsia="宋体" w:cs="Times New Roman"/>
                <w:color w:val="auto"/>
                <w:sz w:val="24"/>
                <w:highlight w:val="none"/>
                <w:vertAlign w:val="subscript"/>
                <w:lang w:val="en-US" w:eastAsia="zh-CN"/>
              </w:rPr>
              <w:t>5</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2</w:t>
            </w:r>
            <w:r>
              <w:rPr>
                <w:rFonts w:hint="eastAsia"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0mg/L</w:t>
            </w:r>
            <w:r>
              <w:rPr>
                <w:rFonts w:hint="eastAsia" w:ascii="Times New Roman" w:hAnsi="Times New Roman" w:eastAsia="宋体"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lang w:val="en-US" w:eastAsia="zh-CN"/>
              </w:rPr>
              <w:t>SS</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2</w:t>
            </w:r>
            <w:r>
              <w:rPr>
                <w:rFonts w:hint="eastAsia" w:ascii="Times New Roman" w:hAnsi="Times New Roman" w:eastAsia="宋体" w:cs="Times New Roman"/>
                <w:color w:val="auto"/>
                <w:sz w:val="24"/>
                <w:highlight w:val="none"/>
                <w:lang w:val="en-US" w:eastAsia="zh-CN"/>
              </w:rPr>
              <w:t>0</w:t>
            </w:r>
            <w:r>
              <w:rPr>
                <w:rFonts w:hint="default" w:ascii="Times New Roman" w:hAnsi="Times New Roman" w:eastAsia="宋体" w:cs="Times New Roman"/>
                <w:color w:val="auto"/>
                <w:sz w:val="24"/>
                <w:highlight w:val="none"/>
                <w:lang w:val="en-US" w:eastAsia="zh-CN"/>
              </w:rPr>
              <w:t>0mg/L</w:t>
            </w:r>
            <w:r>
              <w:rPr>
                <w:rFonts w:hint="eastAsia" w:ascii="Times New Roman" w:hAnsi="Times New Roman" w:eastAsia="宋体" w:cs="Times New Roman"/>
                <w:color w:val="auto"/>
                <w:sz w:val="24"/>
                <w:highlight w:val="none"/>
                <w:lang w:val="en-US" w:eastAsia="zh-CN"/>
              </w:rPr>
              <w:t>，氨氮：</w:t>
            </w:r>
            <w:r>
              <w:rPr>
                <w:rFonts w:hint="default" w:ascii="Times New Roman" w:hAnsi="Times New Roman" w:eastAsia="宋体" w:cs="Times New Roman"/>
                <w:color w:val="auto"/>
                <w:sz w:val="24"/>
                <w:highlight w:val="none"/>
                <w:lang w:val="en-US" w:eastAsia="zh-CN"/>
              </w:rPr>
              <w:t>40mg/L</w:t>
            </w:r>
            <w:r>
              <w:rPr>
                <w:rFonts w:hint="eastAsia" w:cs="Times New Roman"/>
                <w:color w:val="auto"/>
                <w:sz w:val="24"/>
                <w:highlight w:val="none"/>
                <w:lang w:val="en-US" w:eastAsia="zh-CN"/>
              </w:rPr>
              <w:t>、动植物油（参照油脂）100</w:t>
            </w:r>
            <w:r>
              <w:rPr>
                <w:rFonts w:hint="default" w:ascii="Times New Roman" w:hAnsi="Times New Roman" w:eastAsia="宋体" w:cs="Times New Roman"/>
                <w:color w:val="auto"/>
                <w:sz w:val="24"/>
                <w:highlight w:val="none"/>
                <w:lang w:val="en-US" w:eastAsia="zh-CN"/>
              </w:rPr>
              <w:t>mg/L</w:t>
            </w:r>
            <w:r>
              <w:rPr>
                <w:rFonts w:hint="eastAsia" w:cs="Times New Roman"/>
                <w:color w:val="auto"/>
                <w:sz w:val="24"/>
                <w:highlight w:val="none"/>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color w:val="auto"/>
                <w:sz w:val="24"/>
                <w:szCs w:val="24"/>
                <w:highlight w:val="none"/>
                <w:lang w:eastAsia="zh-CN"/>
              </w:rPr>
            </w:pPr>
            <w:r>
              <w:rPr>
                <w:color w:val="auto"/>
                <w:highlight w:val="none"/>
              </w:rPr>
              <w:drawing>
                <wp:inline distT="0" distB="0" distL="114300" distR="114300">
                  <wp:extent cx="5033645" cy="5514340"/>
                  <wp:effectExtent l="0" t="0" r="14605" b="10160"/>
                  <wp:docPr id="4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9"/>
                          <pic:cNvPicPr>
                            <a:picLocks noChangeAspect="1"/>
                          </pic:cNvPicPr>
                        </pic:nvPicPr>
                        <pic:blipFill>
                          <a:blip r:embed="rId24"/>
                          <a:stretch>
                            <a:fillRect/>
                          </a:stretch>
                        </pic:blipFill>
                        <pic:spPr>
                          <a:xfrm>
                            <a:off x="0" y="0"/>
                            <a:ext cx="5033645" cy="5514340"/>
                          </a:xfrm>
                          <a:prstGeom prst="rect">
                            <a:avLst/>
                          </a:prstGeom>
                          <a:noFill/>
                          <a:ln>
                            <a:noFill/>
                          </a:ln>
                        </pic:spPr>
                      </pic:pic>
                    </a:graphicData>
                  </a:graphic>
                </wp:inline>
              </w:drawing>
            </w:r>
          </w:p>
          <w:p>
            <w:pPr>
              <w:pStyle w:val="34"/>
              <w:spacing w:after="0"/>
              <w:ind w:left="0" w:leftChars="0" w:firstLine="0" w:firstLineChars="0"/>
              <w:jc w:val="center"/>
              <w:rPr>
                <w:rFonts w:hint="default" w:ascii="Times New Roman" w:hAnsi="Times New Roman" w:eastAsia="黑体" w:cs="Times New Roman"/>
                <w:color w:val="auto"/>
                <w:highlight w:val="none"/>
                <w:lang w:val="en-US" w:eastAsia="zh-CN"/>
              </w:rPr>
            </w:pPr>
            <w:r>
              <w:rPr>
                <w:rFonts w:hint="eastAsia" w:ascii="Times New Roman" w:hAnsi="Times New Roman" w:eastAsia="黑体" w:cs="Times New Roman"/>
                <w:color w:val="auto"/>
                <w:highlight w:val="none"/>
                <w:lang w:val="en-US" w:eastAsia="zh-CN"/>
              </w:rPr>
              <w:t>图4.2-2：生活污水水质参数图</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项目</w:t>
            </w:r>
            <w:r>
              <w:rPr>
                <w:rFonts w:hint="default" w:ascii="Times New Roman" w:hAnsi="Times New Roman" w:eastAsia="宋体" w:cs="Times New Roman"/>
                <w:color w:val="auto"/>
                <w:sz w:val="24"/>
                <w:highlight w:val="none"/>
              </w:rPr>
              <w:t>食堂废水经隔油池处理后，汇同职工日常生活污水一起纳入化粪池</w:t>
            </w:r>
            <w:r>
              <w:rPr>
                <w:rFonts w:hint="default" w:ascii="Times New Roman" w:hAnsi="Times New Roman" w:eastAsia="宋体" w:cs="Times New Roman"/>
                <w:color w:val="auto"/>
                <w:sz w:val="24"/>
                <w:highlight w:val="none"/>
                <w:lang w:val="en-US" w:eastAsia="zh-CN"/>
              </w:rPr>
              <w:t>预处理达《污水综合排放标准》（GB8978-1996）表4三级标准（其中未规定NH</w:t>
            </w:r>
            <w:r>
              <w:rPr>
                <w:rFonts w:hint="default" w:ascii="Times New Roman" w:hAnsi="Times New Roman" w:eastAsia="宋体" w:cs="Times New Roman"/>
                <w:color w:val="auto"/>
                <w:sz w:val="24"/>
                <w:highlight w:val="none"/>
                <w:vertAlign w:val="subscript"/>
                <w:lang w:val="en-US" w:eastAsia="zh-CN"/>
              </w:rPr>
              <w:t>3</w:t>
            </w:r>
            <w:r>
              <w:rPr>
                <w:rFonts w:hint="default" w:ascii="Times New Roman" w:hAnsi="Times New Roman" w:eastAsia="宋体" w:cs="Times New Roman"/>
                <w:color w:val="auto"/>
                <w:sz w:val="24"/>
                <w:highlight w:val="none"/>
                <w:lang w:val="en-US" w:eastAsia="zh-CN"/>
              </w:rPr>
              <w:t>-N排放指标，NH</w:t>
            </w:r>
            <w:r>
              <w:rPr>
                <w:rFonts w:hint="default" w:ascii="Times New Roman" w:hAnsi="Times New Roman" w:eastAsia="宋体" w:cs="Times New Roman"/>
                <w:color w:val="auto"/>
                <w:sz w:val="24"/>
                <w:highlight w:val="none"/>
                <w:vertAlign w:val="subscript"/>
                <w:lang w:val="en-US" w:eastAsia="zh-CN"/>
              </w:rPr>
              <w:t>3</w:t>
            </w:r>
            <w:r>
              <w:rPr>
                <w:rFonts w:hint="default" w:ascii="Times New Roman" w:hAnsi="Times New Roman" w:eastAsia="宋体" w:cs="Times New Roman"/>
                <w:color w:val="auto"/>
                <w:sz w:val="24"/>
                <w:highlight w:val="none"/>
                <w:lang w:val="en-US" w:eastAsia="zh-CN"/>
              </w:rPr>
              <w:t>-N指标参照《污水排入城镇下水道水质标准》（GB/T31962-2015）表1中B等级标准（NH</w:t>
            </w:r>
            <w:r>
              <w:rPr>
                <w:rFonts w:hint="default" w:ascii="Times New Roman" w:hAnsi="Times New Roman" w:eastAsia="宋体" w:cs="Times New Roman"/>
                <w:color w:val="auto"/>
                <w:sz w:val="24"/>
                <w:highlight w:val="none"/>
                <w:vertAlign w:val="subscript"/>
                <w:lang w:val="en-US" w:eastAsia="zh-CN"/>
              </w:rPr>
              <w:t>3</w:t>
            </w:r>
            <w:r>
              <w:rPr>
                <w:rFonts w:hint="default" w:ascii="Times New Roman" w:hAnsi="Times New Roman" w:eastAsia="宋体" w:cs="Times New Roman"/>
                <w:color w:val="auto"/>
                <w:sz w:val="24"/>
                <w:highlight w:val="none"/>
                <w:lang w:val="en-US" w:eastAsia="zh-CN"/>
              </w:rPr>
              <w:t>-N≤45mg/L））后，通过市政污水管网纳入南安市污水处理厂处理达《城镇污水处理厂污染物排放标准》（GB18918-2002）表1中一级A标准后排入西溪。</w:t>
            </w:r>
          </w:p>
          <w:p>
            <w:pPr>
              <w:pStyle w:val="2"/>
              <w:rPr>
                <w:vertAlign w:val="baseline"/>
              </w:rPr>
            </w:pPr>
            <w:r>
              <w:rPr>
                <w:rFonts w:hint="default" w:ascii="Times New Roman" w:hAnsi="Times New Roman" w:eastAsia="宋体" w:cs="Times New Roman"/>
                <w:color w:val="auto"/>
                <w:sz w:val="24"/>
                <w:highlight w:val="none"/>
                <w:lang w:val="en-US" w:eastAsia="zh-CN"/>
              </w:rPr>
              <w:t>项目生活污水（含食堂废水）污染源源强核算结果见表4.2-1</w:t>
            </w:r>
            <w:r>
              <w:rPr>
                <w:rFonts w:hint="eastAsia"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lang w:val="en-US" w:eastAsia="zh-CN"/>
              </w:rPr>
              <w:t>、废水类别、污染物及污染治理设施信息表见4.2-1</w:t>
            </w:r>
            <w:r>
              <w:rPr>
                <w:rFonts w:hint="eastAsia"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highlight w:val="none"/>
                <w:lang w:val="en-US" w:eastAsia="zh-CN"/>
              </w:rPr>
              <w:t>、废水间接排放口基本情况表见4.2-1</w:t>
            </w:r>
            <w:r>
              <w:rPr>
                <w:rFonts w:hint="eastAsia"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lang w:val="en-US" w:eastAsia="zh-CN"/>
              </w:rPr>
              <w:t>、 废水污染物排放执行标准见4.2-1</w:t>
            </w:r>
            <w:r>
              <w:rPr>
                <w:rFonts w:hint="eastAsia" w:ascii="Times New Roman" w:hAnsi="Times New Roman" w:eastAsia="宋体" w:cs="Times New Roman"/>
                <w:color w:val="auto"/>
                <w:sz w:val="24"/>
                <w:highlight w:val="none"/>
                <w:lang w:val="en-US" w:eastAsia="zh-CN"/>
              </w:rPr>
              <w:t>9</w:t>
            </w:r>
            <w:r>
              <w:rPr>
                <w:rFonts w:hint="default" w:ascii="Times New Roman" w:hAnsi="Times New Roman" w:eastAsia="宋体" w:cs="Times New Roman"/>
                <w:color w:val="auto"/>
                <w:sz w:val="24"/>
                <w:highlight w:val="none"/>
                <w:lang w:val="en-US" w:eastAsia="zh-CN"/>
              </w:rPr>
              <w:t>。</w:t>
            </w:r>
          </w:p>
        </w:tc>
      </w:tr>
    </w:tbl>
    <w:p>
      <w:pPr>
        <w:pStyle w:val="2"/>
        <w:sectPr>
          <w:pgSz w:w="11907" w:h="16840"/>
          <w:pgMar w:top="1134" w:right="1531" w:bottom="1134"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94"/>
        <w:gridCol w:w="143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69" w:hRule="atLeast"/>
          <w:jc w:val="center"/>
        </w:trPr>
        <w:tc>
          <w:tcPr>
            <w:tcW w:w="134" w:type="pct"/>
            <w:tcMar>
              <w:left w:w="28" w:type="dxa"/>
              <w:right w:w="28" w:type="dxa"/>
            </w:tcMar>
            <w:vAlign w:val="center"/>
          </w:tcPr>
          <w:p>
            <w:pPr>
              <w:adjustRightInd w:val="0"/>
              <w:snapToGrid w:val="0"/>
              <w:jc w:val="center"/>
              <w:rPr>
                <w:bCs/>
                <w:color w:val="auto"/>
                <w:szCs w:val="21"/>
                <w:highlight w:val="none"/>
              </w:rPr>
            </w:pPr>
            <w:r>
              <w:rPr>
                <w:bCs/>
                <w:color w:val="auto"/>
                <w:szCs w:val="21"/>
                <w:highlight w:val="none"/>
              </w:rPr>
              <w:t>运营</w:t>
            </w:r>
          </w:p>
          <w:p>
            <w:pPr>
              <w:adjustRightInd w:val="0"/>
              <w:snapToGrid w:val="0"/>
              <w:jc w:val="center"/>
              <w:rPr>
                <w:bCs/>
                <w:color w:val="auto"/>
                <w:szCs w:val="21"/>
                <w:highlight w:val="none"/>
              </w:rPr>
            </w:pPr>
            <w:r>
              <w:rPr>
                <w:bCs/>
                <w:color w:val="auto"/>
                <w:szCs w:val="21"/>
                <w:highlight w:val="none"/>
              </w:rPr>
              <w:t>期环</w:t>
            </w:r>
          </w:p>
          <w:p>
            <w:pPr>
              <w:adjustRightInd w:val="0"/>
              <w:snapToGrid w:val="0"/>
              <w:jc w:val="center"/>
              <w:rPr>
                <w:bCs/>
                <w:color w:val="auto"/>
                <w:szCs w:val="21"/>
                <w:highlight w:val="none"/>
              </w:rPr>
            </w:pPr>
            <w:r>
              <w:rPr>
                <w:bCs/>
                <w:color w:val="auto"/>
                <w:szCs w:val="21"/>
                <w:highlight w:val="none"/>
              </w:rPr>
              <w:t>境影</w:t>
            </w:r>
          </w:p>
          <w:p>
            <w:pPr>
              <w:adjustRightInd w:val="0"/>
              <w:snapToGrid w:val="0"/>
              <w:jc w:val="center"/>
              <w:rPr>
                <w:bCs/>
                <w:color w:val="auto"/>
                <w:szCs w:val="21"/>
                <w:highlight w:val="none"/>
              </w:rPr>
            </w:pPr>
            <w:r>
              <w:rPr>
                <w:bCs/>
                <w:color w:val="auto"/>
                <w:szCs w:val="21"/>
                <w:highlight w:val="none"/>
              </w:rPr>
              <w:t>响和</w:t>
            </w:r>
          </w:p>
          <w:p>
            <w:pPr>
              <w:adjustRightInd w:val="0"/>
              <w:snapToGrid w:val="0"/>
              <w:jc w:val="center"/>
              <w:rPr>
                <w:bCs/>
                <w:color w:val="auto"/>
                <w:szCs w:val="21"/>
                <w:highlight w:val="none"/>
              </w:rPr>
            </w:pPr>
            <w:r>
              <w:rPr>
                <w:bCs/>
                <w:color w:val="auto"/>
                <w:szCs w:val="21"/>
                <w:highlight w:val="none"/>
              </w:rPr>
              <w:t>保护</w:t>
            </w:r>
          </w:p>
          <w:p>
            <w:pPr>
              <w:adjustRightInd w:val="0"/>
              <w:snapToGrid w:val="0"/>
              <w:jc w:val="center"/>
              <w:rPr>
                <w:rFonts w:ascii="宋体" w:hAnsi="宋体" w:cs="宋体"/>
                <w:bCs/>
                <w:color w:val="auto"/>
                <w:szCs w:val="21"/>
                <w:highlight w:val="none"/>
              </w:rPr>
            </w:pPr>
            <w:r>
              <w:rPr>
                <w:bCs/>
                <w:color w:val="auto"/>
                <w:szCs w:val="21"/>
                <w:highlight w:val="none"/>
              </w:rPr>
              <w:t>措施</w:t>
            </w:r>
          </w:p>
        </w:tc>
        <w:tc>
          <w:tcPr>
            <w:tcW w:w="4866" w:type="pct"/>
          </w:tcPr>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jc w:val="center"/>
              <w:textAlignment w:val="auto"/>
              <w:rPr>
                <w:rFonts w:hint="eastAsia"/>
                <w:b/>
                <w:bCs w:val="0"/>
                <w:color w:val="auto"/>
                <w:sz w:val="24"/>
                <w:highlight w:val="none"/>
              </w:rPr>
            </w:pPr>
            <w:r>
              <w:rPr>
                <w:rFonts w:hint="default" w:ascii="Times New Roman" w:hAnsi="Times New Roman" w:eastAsia="宋体" w:cs="Times New Roman"/>
                <w:b/>
                <w:bCs w:val="0"/>
                <w:color w:val="auto"/>
                <w:kern w:val="0"/>
                <w:sz w:val="24"/>
                <w:szCs w:val="24"/>
                <w:highlight w:val="none"/>
                <w:lang w:val="en-US" w:eastAsia="zh-CN" w:bidi="ar"/>
              </w:rPr>
              <w:t xml:space="preserve">表 </w:t>
            </w:r>
            <w:r>
              <w:rPr>
                <w:rFonts w:hint="eastAsia" w:cs="Times New Roman"/>
                <w:b/>
                <w:bCs w:val="0"/>
                <w:color w:val="auto"/>
                <w:kern w:val="0"/>
                <w:sz w:val="24"/>
                <w:szCs w:val="24"/>
                <w:highlight w:val="none"/>
                <w:lang w:val="en-US" w:eastAsia="zh-CN" w:bidi="ar"/>
              </w:rPr>
              <w:t>4.2-16</w:t>
            </w:r>
            <w:r>
              <w:rPr>
                <w:rFonts w:hint="default" w:ascii="Times New Roman" w:hAnsi="Times New Roman" w:eastAsia="宋体" w:cs="Times New Roman"/>
                <w:b/>
                <w:bCs w:val="0"/>
                <w:color w:val="auto"/>
                <w:kern w:val="0"/>
                <w:sz w:val="24"/>
                <w:szCs w:val="24"/>
                <w:highlight w:val="none"/>
                <w:lang w:val="en-US" w:eastAsia="zh-CN" w:bidi="ar"/>
              </w:rPr>
              <w:t xml:space="preserve"> 废水污染源源强核算结果一览表</w:t>
            </w:r>
          </w:p>
          <w:tbl>
            <w:tblPr>
              <w:tblStyle w:val="29"/>
              <w:tblW w:w="1418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155"/>
              <w:gridCol w:w="840"/>
              <w:gridCol w:w="1050"/>
              <w:gridCol w:w="960"/>
              <w:gridCol w:w="870"/>
              <w:gridCol w:w="825"/>
              <w:gridCol w:w="907"/>
              <w:gridCol w:w="998"/>
              <w:gridCol w:w="1155"/>
              <w:gridCol w:w="825"/>
              <w:gridCol w:w="900"/>
              <w:gridCol w:w="1013"/>
              <w:gridCol w:w="1147"/>
              <w:gridCol w:w="7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834"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kern w:val="0"/>
                      <w:sz w:val="21"/>
                      <w:szCs w:val="21"/>
                      <w:highlight w:val="none"/>
                      <w:lang w:val="en-US" w:eastAsia="zh-CN" w:bidi="ar"/>
                    </w:rPr>
                    <w:t>废水</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类别</w:t>
                  </w:r>
                </w:p>
              </w:tc>
              <w:tc>
                <w:tcPr>
                  <w:tcW w:w="115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kern w:val="0"/>
                      <w:sz w:val="21"/>
                      <w:szCs w:val="21"/>
                      <w:highlight w:val="none"/>
                      <w:lang w:val="en-US" w:eastAsia="zh-CN" w:bidi="ar"/>
                    </w:rPr>
                    <w:t>主要</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污染物种类</w:t>
                  </w:r>
                </w:p>
              </w:tc>
              <w:tc>
                <w:tcPr>
                  <w:tcW w:w="84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kern w:val="0"/>
                      <w:sz w:val="21"/>
                      <w:szCs w:val="21"/>
                      <w:highlight w:val="none"/>
                      <w:lang w:val="en-US" w:eastAsia="zh-CN" w:bidi="ar"/>
                    </w:rPr>
                    <w:t>水量</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（t/a）</w:t>
                  </w:r>
                </w:p>
              </w:tc>
              <w:tc>
                <w:tcPr>
                  <w:tcW w:w="105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kern w:val="0"/>
                      <w:sz w:val="21"/>
                      <w:szCs w:val="21"/>
                      <w:highlight w:val="none"/>
                      <w:lang w:val="en-US" w:eastAsia="zh-CN" w:bidi="ar"/>
                    </w:rPr>
                    <w:t>产生</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kern w:val="0"/>
                      <w:sz w:val="21"/>
                      <w:szCs w:val="21"/>
                      <w:highlight w:val="none"/>
                      <w:lang w:val="en-US" w:eastAsia="zh-CN" w:bidi="ar"/>
                    </w:rPr>
                    <w:t>浓度</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（mg/L）</w:t>
                  </w:r>
                </w:p>
              </w:tc>
              <w:tc>
                <w:tcPr>
                  <w:tcW w:w="96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kern w:val="0"/>
                      <w:sz w:val="21"/>
                      <w:szCs w:val="21"/>
                      <w:highlight w:val="none"/>
                      <w:lang w:val="en-US" w:eastAsia="zh-CN" w:bidi="ar"/>
                    </w:rPr>
                    <w:t>产生量</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（t/a）</w:t>
                  </w:r>
                </w:p>
              </w:tc>
              <w:tc>
                <w:tcPr>
                  <w:tcW w:w="4755" w:type="dxa"/>
                  <w:gridSpan w:val="5"/>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治理设施信息</w:t>
                  </w:r>
                </w:p>
              </w:tc>
              <w:tc>
                <w:tcPr>
                  <w:tcW w:w="82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kern w:val="0"/>
                      <w:sz w:val="21"/>
                      <w:szCs w:val="21"/>
                      <w:highlight w:val="none"/>
                      <w:lang w:val="en-US" w:eastAsia="zh-CN" w:bidi="ar"/>
                    </w:rPr>
                    <w:t>削减</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kern w:val="0"/>
                      <w:sz w:val="21"/>
                      <w:szCs w:val="21"/>
                      <w:highlight w:val="none"/>
                      <w:lang w:val="en-US" w:eastAsia="zh-CN" w:bidi="ar"/>
                    </w:rPr>
                    <w:t>量</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(t/a)</w:t>
                  </w:r>
                </w:p>
              </w:tc>
              <w:tc>
                <w:tcPr>
                  <w:tcW w:w="90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kern w:val="0"/>
                      <w:sz w:val="21"/>
                      <w:szCs w:val="21"/>
                      <w:highlight w:val="none"/>
                      <w:lang w:val="en-US" w:eastAsia="zh-CN" w:bidi="ar"/>
                    </w:rPr>
                    <w:t>标准排放浓度</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(mg/L)</w:t>
                  </w:r>
                </w:p>
              </w:tc>
              <w:tc>
                <w:tcPr>
                  <w:tcW w:w="1013"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kern w:val="0"/>
                      <w:sz w:val="21"/>
                      <w:szCs w:val="21"/>
                      <w:highlight w:val="none"/>
                      <w:lang w:val="en-US" w:eastAsia="zh-CN" w:bidi="ar"/>
                    </w:rPr>
                    <w:t>标准排放量</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（t/a）</w:t>
                  </w:r>
                </w:p>
              </w:tc>
              <w:tc>
                <w:tcPr>
                  <w:tcW w:w="114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kern w:val="0"/>
                      <w:sz w:val="21"/>
                      <w:szCs w:val="21"/>
                      <w:highlight w:val="none"/>
                      <w:lang w:val="en-US" w:eastAsia="zh-CN" w:bidi="ar"/>
                    </w:rPr>
                    <w:t>排放方式/</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排放规律</w:t>
                  </w:r>
                </w:p>
              </w:tc>
              <w:tc>
                <w:tcPr>
                  <w:tcW w:w="70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34"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1155"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840"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1050"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960"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87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治理设施名称</w:t>
                  </w:r>
                </w:p>
              </w:tc>
              <w:tc>
                <w:tcPr>
                  <w:tcW w:w="82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b/>
                      <w:color w:val="auto"/>
                      <w:kern w:val="0"/>
                      <w:sz w:val="21"/>
                      <w:szCs w:val="21"/>
                      <w:highlight w:val="none"/>
                      <w:lang w:val="en-US" w:eastAsia="zh-CN" w:bidi="ar"/>
                    </w:rPr>
                  </w:pPr>
                  <w:r>
                    <w:rPr>
                      <w:rFonts w:hint="default" w:ascii="Times New Roman" w:hAnsi="Times New Roman" w:eastAsia="宋体" w:cs="Times New Roman"/>
                      <w:b/>
                      <w:color w:val="auto"/>
                      <w:kern w:val="0"/>
                      <w:sz w:val="21"/>
                      <w:szCs w:val="21"/>
                      <w:highlight w:val="none"/>
                      <w:lang w:val="en-US" w:eastAsia="zh-CN" w:bidi="ar"/>
                    </w:rPr>
                    <w:t>处理</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kern w:val="0"/>
                      <w:sz w:val="21"/>
                      <w:szCs w:val="21"/>
                      <w:highlight w:val="none"/>
                      <w:lang w:val="en-US" w:eastAsia="zh-CN" w:bidi="ar"/>
                    </w:rPr>
                    <w:t>能力</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（t/a）</w:t>
                  </w:r>
                </w:p>
              </w:tc>
              <w:tc>
                <w:tcPr>
                  <w:tcW w:w="9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kern w:val="0"/>
                      <w:sz w:val="21"/>
                      <w:szCs w:val="21"/>
                      <w:highlight w:val="none"/>
                      <w:lang w:val="en-US" w:eastAsia="zh-CN" w:bidi="ar"/>
                    </w:rPr>
                    <w:t>治理</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工艺</w:t>
                  </w:r>
                </w:p>
              </w:tc>
              <w:tc>
                <w:tcPr>
                  <w:tcW w:w="9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b/>
                      <w:color w:val="auto"/>
                      <w:kern w:val="0"/>
                      <w:sz w:val="21"/>
                      <w:szCs w:val="21"/>
                      <w:highlight w:val="none"/>
                      <w:lang w:val="en-US" w:eastAsia="zh-CN" w:bidi="ar"/>
                    </w:rPr>
                  </w:pPr>
                  <w:r>
                    <w:rPr>
                      <w:rFonts w:hint="default" w:ascii="Times New Roman" w:hAnsi="Times New Roman" w:eastAsia="宋体" w:cs="Times New Roman"/>
                      <w:b/>
                      <w:color w:val="auto"/>
                      <w:kern w:val="0"/>
                      <w:sz w:val="21"/>
                      <w:szCs w:val="21"/>
                      <w:highlight w:val="none"/>
                      <w:lang w:val="en-US" w:eastAsia="zh-CN" w:bidi="ar"/>
                    </w:rPr>
                    <w:t>治理</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kern w:val="0"/>
                      <w:sz w:val="21"/>
                      <w:szCs w:val="21"/>
                      <w:highlight w:val="none"/>
                      <w:lang w:val="en-US" w:eastAsia="zh-CN" w:bidi="ar"/>
                    </w:rPr>
                    <w:t>效率</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w:t>
                  </w:r>
                </w:p>
              </w:tc>
              <w:tc>
                <w:tcPr>
                  <w:tcW w:w="11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kern w:val="0"/>
                      <w:sz w:val="21"/>
                      <w:szCs w:val="21"/>
                      <w:highlight w:val="none"/>
                      <w:lang w:val="en-US" w:eastAsia="zh-CN" w:bidi="ar"/>
                    </w:rPr>
                    <w:t>是否为可</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行性技术</w:t>
                  </w:r>
                </w:p>
              </w:tc>
              <w:tc>
                <w:tcPr>
                  <w:tcW w:w="825"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900"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1013"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1147"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709"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834"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生活</w:t>
                  </w:r>
                </w:p>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rPr>
                  </w:pPr>
                  <w:r>
                    <w:rPr>
                      <w:rFonts w:hint="default" w:ascii="Times New Roman" w:hAnsi="Times New Roman" w:eastAsia="宋体" w:cs="Times New Roman"/>
                      <w:color w:val="auto"/>
                      <w:kern w:val="0"/>
                      <w:sz w:val="21"/>
                      <w:szCs w:val="21"/>
                      <w:highlight w:val="none"/>
                      <w:lang w:val="en-US" w:eastAsia="zh-CN" w:bidi="ar"/>
                    </w:rPr>
                    <w:t>污水</w:t>
                  </w:r>
                  <w:r>
                    <w:rPr>
                      <w:rFonts w:hint="eastAsia" w:cs="Times New Roman"/>
                      <w:color w:val="auto"/>
                      <w:kern w:val="0"/>
                      <w:sz w:val="21"/>
                      <w:szCs w:val="21"/>
                      <w:highlight w:val="none"/>
                      <w:lang w:val="en-US" w:eastAsia="zh-CN" w:bidi="ar"/>
                    </w:rPr>
                    <w:t>(含食堂废水)</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rPr>
                    <w:t>COD</w:t>
                  </w:r>
                </w:p>
              </w:tc>
              <w:tc>
                <w:tcPr>
                  <w:tcW w:w="840" w:type="dxa"/>
                  <w:vMerge w:val="restart"/>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2460</w:t>
                  </w:r>
                </w:p>
              </w:tc>
              <w:tc>
                <w:tcPr>
                  <w:tcW w:w="1050"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eastAsia" w:ascii="Times New Roman" w:hAnsi="Times New Roman" w:eastAsia="宋体" w:cs="Times New Roman"/>
                      <w:color w:val="auto"/>
                      <w:sz w:val="21"/>
                      <w:szCs w:val="21"/>
                      <w:highlight w:val="none"/>
                      <w:vertAlign w:val="baseline"/>
                      <w:lang w:val="en-US" w:eastAsia="zh-CN"/>
                    </w:rPr>
                    <w:t>400</w:t>
                  </w:r>
                </w:p>
              </w:tc>
              <w:tc>
                <w:tcPr>
                  <w:tcW w:w="960"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0.984</w:t>
                  </w:r>
                </w:p>
              </w:tc>
              <w:tc>
                <w:tcPr>
                  <w:tcW w:w="870" w:type="dxa"/>
                  <w:vMerge w:val="restart"/>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lang w:val="en-US" w:eastAsia="zh-CN"/>
                    </w:rPr>
                    <w:t>隔油池+</w:t>
                  </w:r>
                  <w:r>
                    <w:rPr>
                      <w:rFonts w:hint="default" w:ascii="Times New Roman" w:hAnsi="Times New Roman" w:eastAsia="宋体" w:cs="Times New Roman"/>
                      <w:color w:val="auto"/>
                      <w:sz w:val="21"/>
                      <w:szCs w:val="21"/>
                      <w:highlight w:val="none"/>
                    </w:rPr>
                    <w:t>化粪池+</w:t>
                  </w:r>
                  <w:r>
                    <w:rPr>
                      <w:rFonts w:hint="default" w:ascii="Times New Roman" w:hAnsi="Times New Roman" w:eastAsia="宋体" w:cs="Times New Roman"/>
                      <w:color w:val="auto"/>
                      <w:sz w:val="21"/>
                      <w:szCs w:val="21"/>
                      <w:highlight w:val="none"/>
                      <w:lang w:val="en-US" w:eastAsia="zh-CN"/>
                    </w:rPr>
                    <w:t>接入市政管网</w:t>
                  </w:r>
                </w:p>
              </w:tc>
              <w:tc>
                <w:tcPr>
                  <w:tcW w:w="825" w:type="dxa"/>
                  <w:vMerge w:val="restart"/>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化粪池</w:t>
                  </w:r>
                  <w:r>
                    <w:rPr>
                      <w:rFonts w:hint="eastAsia" w:cs="Times New Roman"/>
                      <w:color w:val="auto"/>
                      <w:sz w:val="21"/>
                      <w:szCs w:val="21"/>
                      <w:highlight w:val="none"/>
                      <w:vertAlign w:val="baseline"/>
                      <w:lang w:val="en-US" w:eastAsia="zh-CN"/>
                    </w:rPr>
                    <w:t>15</w:t>
                  </w:r>
                  <w:r>
                    <w:rPr>
                      <w:rFonts w:hint="default" w:ascii="Times New Roman" w:hAnsi="Times New Roman" w:eastAsia="宋体" w:cs="Times New Roman"/>
                      <w:color w:val="auto"/>
                      <w:sz w:val="21"/>
                      <w:szCs w:val="21"/>
                      <w:highlight w:val="none"/>
                      <w:vertAlign w:val="baseli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vertAlign w:val="baseline"/>
                      <w:lang w:val="en-US" w:eastAsia="zh-CN"/>
                    </w:rPr>
                    <w:t>/d</w:t>
                  </w:r>
                </w:p>
              </w:tc>
              <w:tc>
                <w:tcPr>
                  <w:tcW w:w="907" w:type="dxa"/>
                  <w:vMerge w:val="restart"/>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化粪池：厌氧工艺；</w:t>
                  </w:r>
                </w:p>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隔油池：隔油工艺</w:t>
                  </w:r>
                </w:p>
              </w:tc>
              <w:tc>
                <w:tcPr>
                  <w:tcW w:w="998"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15</w:t>
                  </w:r>
                </w:p>
              </w:tc>
              <w:tc>
                <w:tcPr>
                  <w:tcW w:w="1155" w:type="dxa"/>
                  <w:vMerge w:val="restart"/>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是</w:t>
                  </w:r>
                </w:p>
              </w:tc>
              <w:tc>
                <w:tcPr>
                  <w:tcW w:w="825"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0.1476</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50</w:t>
                  </w:r>
                </w:p>
              </w:tc>
              <w:tc>
                <w:tcPr>
                  <w:tcW w:w="1013"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0.123</w:t>
                  </w:r>
                </w:p>
              </w:tc>
              <w:tc>
                <w:tcPr>
                  <w:tcW w:w="1147" w:type="dxa"/>
                  <w:vMerge w:val="restart"/>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间接</w:t>
                  </w:r>
                </w:p>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排放</w:t>
                  </w:r>
                </w:p>
              </w:tc>
              <w:tc>
                <w:tcPr>
                  <w:tcW w:w="70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南安市水处理厂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p>
              </w:tc>
              <w:tc>
                <w:tcPr>
                  <w:tcW w:w="840"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1050"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eastAsia" w:ascii="Times New Roman" w:hAnsi="Times New Roman" w:eastAsia="宋体" w:cs="Times New Roman"/>
                      <w:color w:val="auto"/>
                      <w:sz w:val="21"/>
                      <w:szCs w:val="21"/>
                      <w:highlight w:val="none"/>
                      <w:vertAlign w:val="baseline"/>
                      <w:lang w:val="en-US" w:eastAsia="zh-CN"/>
                    </w:rPr>
                    <w:t>220</w:t>
                  </w:r>
                </w:p>
              </w:tc>
              <w:tc>
                <w:tcPr>
                  <w:tcW w:w="960"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0.5412</w:t>
                  </w:r>
                </w:p>
              </w:tc>
              <w:tc>
                <w:tcPr>
                  <w:tcW w:w="870"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825"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907"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998"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9</w:t>
                  </w:r>
                </w:p>
              </w:tc>
              <w:tc>
                <w:tcPr>
                  <w:tcW w:w="1155"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825"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0.0487</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10</w:t>
                  </w:r>
                </w:p>
              </w:tc>
              <w:tc>
                <w:tcPr>
                  <w:tcW w:w="1013"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0.0246</w:t>
                  </w:r>
                </w:p>
              </w:tc>
              <w:tc>
                <w:tcPr>
                  <w:tcW w:w="1147"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709"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rPr>
                    <w:t>SS</w:t>
                  </w:r>
                </w:p>
              </w:tc>
              <w:tc>
                <w:tcPr>
                  <w:tcW w:w="840"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1050"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eastAsia" w:ascii="Times New Roman" w:hAnsi="Times New Roman" w:eastAsia="宋体" w:cs="Times New Roman"/>
                      <w:color w:val="auto"/>
                      <w:sz w:val="21"/>
                      <w:szCs w:val="21"/>
                      <w:highlight w:val="none"/>
                      <w:vertAlign w:val="baseline"/>
                      <w:lang w:val="en-US" w:eastAsia="zh-CN"/>
                    </w:rPr>
                    <w:t>2</w:t>
                  </w:r>
                  <w:r>
                    <w:rPr>
                      <w:rFonts w:hint="eastAsia" w:cs="Times New Roman"/>
                      <w:color w:val="auto"/>
                      <w:sz w:val="21"/>
                      <w:szCs w:val="21"/>
                      <w:highlight w:val="none"/>
                      <w:vertAlign w:val="baseline"/>
                      <w:lang w:val="en-US" w:eastAsia="zh-CN"/>
                    </w:rPr>
                    <w:t>0</w:t>
                  </w:r>
                  <w:r>
                    <w:rPr>
                      <w:rFonts w:hint="eastAsia" w:ascii="Times New Roman" w:hAnsi="Times New Roman" w:eastAsia="宋体" w:cs="Times New Roman"/>
                      <w:color w:val="auto"/>
                      <w:sz w:val="21"/>
                      <w:szCs w:val="21"/>
                      <w:highlight w:val="none"/>
                      <w:vertAlign w:val="baseline"/>
                      <w:lang w:val="en-US" w:eastAsia="zh-CN"/>
                    </w:rPr>
                    <w:t>0</w:t>
                  </w:r>
                </w:p>
              </w:tc>
              <w:tc>
                <w:tcPr>
                  <w:tcW w:w="960"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rPr>
                    <w:t>0.492</w:t>
                  </w:r>
                  <w:r>
                    <w:rPr>
                      <w:rFonts w:hint="eastAsia" w:cs="Times New Roman"/>
                      <w:color w:val="auto"/>
                      <w:sz w:val="21"/>
                      <w:szCs w:val="21"/>
                      <w:highlight w:val="none"/>
                      <w:vertAlign w:val="baseline"/>
                      <w:lang w:val="en-US" w:eastAsia="zh-CN"/>
                    </w:rPr>
                    <w:t>0</w:t>
                  </w:r>
                </w:p>
              </w:tc>
              <w:tc>
                <w:tcPr>
                  <w:tcW w:w="870"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825"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907"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998"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30</w:t>
                  </w:r>
                </w:p>
              </w:tc>
              <w:tc>
                <w:tcPr>
                  <w:tcW w:w="1155"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825"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0.1476</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10</w:t>
                  </w:r>
                </w:p>
              </w:tc>
              <w:tc>
                <w:tcPr>
                  <w:tcW w:w="1013"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0.0246</w:t>
                  </w:r>
                </w:p>
              </w:tc>
              <w:tc>
                <w:tcPr>
                  <w:tcW w:w="1147"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709"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834"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p>
              </w:tc>
              <w:tc>
                <w:tcPr>
                  <w:tcW w:w="840"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1050"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eastAsia" w:ascii="Times New Roman" w:hAnsi="Times New Roman" w:eastAsia="宋体" w:cs="Times New Roman"/>
                      <w:color w:val="auto"/>
                      <w:sz w:val="21"/>
                      <w:szCs w:val="21"/>
                      <w:highlight w:val="none"/>
                      <w:vertAlign w:val="baseline"/>
                      <w:lang w:val="en-US" w:eastAsia="zh-CN"/>
                    </w:rPr>
                    <w:t>40</w:t>
                  </w:r>
                </w:p>
              </w:tc>
              <w:tc>
                <w:tcPr>
                  <w:tcW w:w="960"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0.0984</w:t>
                  </w:r>
                </w:p>
              </w:tc>
              <w:tc>
                <w:tcPr>
                  <w:tcW w:w="870"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825"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907"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998"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w:t>
                  </w:r>
                </w:p>
              </w:tc>
              <w:tc>
                <w:tcPr>
                  <w:tcW w:w="1155"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825"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0.00</w:t>
                  </w:r>
                  <w:r>
                    <w:rPr>
                      <w:rFonts w:hint="eastAsia" w:cs="Times New Roman"/>
                      <w:color w:val="auto"/>
                      <w:sz w:val="21"/>
                      <w:szCs w:val="21"/>
                      <w:highlight w:val="none"/>
                      <w:vertAlign w:val="baseline"/>
                      <w:lang w:val="en-US" w:eastAsia="zh-CN"/>
                    </w:rPr>
                    <w:t>30</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lang w:val="en-US" w:eastAsia="zh-CN"/>
                    </w:rPr>
                    <w:t>5</w:t>
                  </w:r>
                </w:p>
              </w:tc>
              <w:tc>
                <w:tcPr>
                  <w:tcW w:w="1013"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0.0123</w:t>
                  </w:r>
                </w:p>
              </w:tc>
              <w:tc>
                <w:tcPr>
                  <w:tcW w:w="1147"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709"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34"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动植物油</w:t>
                  </w:r>
                </w:p>
              </w:tc>
              <w:tc>
                <w:tcPr>
                  <w:tcW w:w="840"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1050"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100</w:t>
                  </w:r>
                </w:p>
              </w:tc>
              <w:tc>
                <w:tcPr>
                  <w:tcW w:w="960"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0.246</w:t>
                  </w:r>
                </w:p>
              </w:tc>
              <w:tc>
                <w:tcPr>
                  <w:tcW w:w="870"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825"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907"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998"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90</w:t>
                  </w:r>
                </w:p>
              </w:tc>
              <w:tc>
                <w:tcPr>
                  <w:tcW w:w="1155"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825"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0.2214</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013"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0.00246</w:t>
                  </w:r>
                </w:p>
              </w:tc>
              <w:tc>
                <w:tcPr>
                  <w:tcW w:w="1147"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709"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4188" w:type="dxa"/>
                  <w:gridSpan w:val="15"/>
                  <w:tcBorders>
                    <w:tl2br w:val="nil"/>
                    <w:tr2bl w:val="nil"/>
                  </w:tcBorders>
                  <w:noWrap w:val="0"/>
                  <w:vAlign w:val="center"/>
                </w:tcPr>
                <w:p>
                  <w:pPr>
                    <w:keepNext w:val="0"/>
                    <w:keepLines w:val="0"/>
                    <w:widowControl/>
                    <w:suppressLineNumbers w:val="0"/>
                    <w:jc w:val="left"/>
                    <w:rPr>
                      <w:rFonts w:hint="default" w:ascii="Times New Roman" w:hAnsi="Times New Roman" w:eastAsia="宋体" w:cs="Times New Roman"/>
                      <w:color w:val="auto"/>
                      <w:sz w:val="21"/>
                      <w:szCs w:val="21"/>
                      <w:highlight w:val="none"/>
                      <w:vertAlign w:val="baseline"/>
                    </w:rPr>
                  </w:pPr>
                  <w:r>
                    <w:rPr>
                      <w:rFonts w:hint="eastAsia" w:ascii="Times New Roman" w:hAnsi="Times New Roman" w:eastAsia="宋体" w:cs="Times New Roman"/>
                      <w:color w:val="auto"/>
                      <w:sz w:val="21"/>
                      <w:szCs w:val="21"/>
                      <w:highlight w:val="none"/>
                      <w:lang w:val="en-US" w:eastAsia="zh-CN"/>
                    </w:rPr>
                    <w:t>根据</w:t>
                  </w:r>
                  <w:r>
                    <w:rPr>
                      <w:rFonts w:hint="default" w:ascii="Times New Roman" w:hAnsi="Times New Roman" w:eastAsia="宋体" w:cs="Times New Roman"/>
                      <w:color w:val="auto"/>
                      <w:sz w:val="21"/>
                      <w:szCs w:val="21"/>
                      <w:highlight w:val="none"/>
                      <w:lang w:val="en-US" w:eastAsia="zh-CN"/>
                    </w:rPr>
                    <w:t>《化粪池原理及水污染物去除率》中数据，化粪池</w:t>
                  </w:r>
                  <w:r>
                    <w:rPr>
                      <w:rFonts w:hint="eastAsia" w:ascii="Times New Roman" w:hAnsi="Times New Roman" w:eastAsia="宋体" w:cs="Times New Roman"/>
                      <w:color w:val="auto"/>
                      <w:sz w:val="21"/>
                      <w:szCs w:val="21"/>
                      <w:highlight w:val="none"/>
                      <w:lang w:val="en-US" w:eastAsia="zh-CN"/>
                    </w:rPr>
                    <w:t>对</w:t>
                  </w:r>
                  <w:r>
                    <w:rPr>
                      <w:rFonts w:hint="default" w:ascii="Times New Roman" w:hAnsi="Times New Roman" w:eastAsia="宋体" w:cs="Times New Roman"/>
                      <w:color w:val="auto"/>
                      <w:sz w:val="21"/>
                      <w:szCs w:val="21"/>
                      <w:highlight w:val="none"/>
                      <w:lang w:val="en-US" w:eastAsia="zh-CN"/>
                    </w:rPr>
                    <w:t>主要水污染物 COD、BOD</w:t>
                  </w:r>
                  <w:r>
                    <w:rPr>
                      <w:rFonts w:hint="default" w:ascii="Times New Roman" w:hAnsi="Times New Roman" w:eastAsia="宋体" w:cs="Times New Roman"/>
                      <w:color w:val="auto"/>
                      <w:sz w:val="21"/>
                      <w:szCs w:val="21"/>
                      <w:highlight w:val="none"/>
                      <w:vertAlign w:val="subscript"/>
                      <w:lang w:val="en-US" w:eastAsia="zh-CN"/>
                    </w:rPr>
                    <w:t>5</w:t>
                  </w:r>
                  <w:r>
                    <w:rPr>
                      <w:rFonts w:hint="default" w:ascii="Times New Roman" w:hAnsi="Times New Roman" w:eastAsia="宋体" w:cs="Times New Roman"/>
                      <w:color w:val="auto"/>
                      <w:sz w:val="21"/>
                      <w:szCs w:val="21"/>
                      <w:highlight w:val="none"/>
                      <w:lang w:val="en-US" w:eastAsia="zh-CN"/>
                    </w:rPr>
                    <w:t>、SS、</w:t>
                  </w: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r>
                    <w:rPr>
                      <w:rFonts w:hint="default" w:ascii="Times New Roman" w:hAnsi="Times New Roman" w:eastAsia="宋体" w:cs="Times New Roman"/>
                      <w:color w:val="auto"/>
                      <w:sz w:val="21"/>
                      <w:szCs w:val="21"/>
                      <w:highlight w:val="none"/>
                      <w:lang w:val="en-US" w:eastAsia="zh-CN"/>
                    </w:rPr>
                    <w:t>的去除率分别为15%、9%、30%、3%，根据《给水排水设计手册》（中国建筑工业出版社）生活污水处理设施对主要水污染物 COD、BOD</w:t>
                  </w:r>
                  <w:r>
                    <w:rPr>
                      <w:rFonts w:hint="default" w:ascii="Times New Roman" w:hAnsi="Times New Roman" w:eastAsia="宋体" w:cs="Times New Roman"/>
                      <w:color w:val="auto"/>
                      <w:sz w:val="21"/>
                      <w:szCs w:val="21"/>
                      <w:highlight w:val="none"/>
                      <w:vertAlign w:val="subscript"/>
                      <w:lang w:val="en-US" w:eastAsia="zh-CN"/>
                    </w:rPr>
                    <w:t>5</w:t>
                  </w:r>
                  <w:r>
                    <w:rPr>
                      <w:rFonts w:hint="default" w:ascii="Times New Roman" w:hAnsi="Times New Roman" w:eastAsia="宋体" w:cs="Times New Roman"/>
                      <w:color w:val="auto"/>
                      <w:sz w:val="21"/>
                      <w:szCs w:val="21"/>
                      <w:highlight w:val="none"/>
                      <w:lang w:val="en-US" w:eastAsia="zh-CN"/>
                    </w:rPr>
                    <w:t>、SS、</w:t>
                  </w: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r>
                    <w:rPr>
                      <w:rFonts w:hint="default" w:ascii="Times New Roman" w:hAnsi="Times New Roman" w:eastAsia="宋体" w:cs="Times New Roman"/>
                      <w:color w:val="auto"/>
                      <w:sz w:val="21"/>
                      <w:szCs w:val="21"/>
                      <w:highlight w:val="none"/>
                      <w:lang w:val="en-US" w:eastAsia="zh-CN"/>
                    </w:rPr>
                    <w:t>的去除率分别为 75%、90%、90%、50%</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隔油池对动植物油的去除率按</w:t>
                  </w:r>
                  <w:r>
                    <w:rPr>
                      <w:rFonts w:hint="default" w:ascii="Times New Roman" w:hAnsi="Times New Roman" w:eastAsia="宋体" w:cs="Times New Roman"/>
                      <w:color w:val="auto"/>
                      <w:sz w:val="21"/>
                      <w:szCs w:val="21"/>
                      <w:highlight w:val="none"/>
                      <w:lang w:val="en-US" w:eastAsia="zh-CN"/>
                    </w:rPr>
                    <w:t>90%</w:t>
                  </w:r>
                  <w:r>
                    <w:rPr>
                      <w:rFonts w:hint="eastAsia" w:ascii="Times New Roman" w:hAnsi="Times New Roman" w:eastAsia="宋体" w:cs="Times New Roman"/>
                      <w:color w:val="auto"/>
                      <w:sz w:val="21"/>
                      <w:szCs w:val="21"/>
                      <w:highlight w:val="none"/>
                      <w:lang w:val="en-US" w:eastAsia="zh-CN"/>
                    </w:rPr>
                    <w:t>计</w:t>
                  </w:r>
                  <w:r>
                    <w:rPr>
                      <w:rFonts w:hint="eastAsia" w:cs="Times New Roman"/>
                      <w:color w:val="auto"/>
                      <w:sz w:val="21"/>
                      <w:szCs w:val="21"/>
                      <w:highlight w:val="none"/>
                      <w:lang w:val="en-US" w:eastAsia="zh-CN"/>
                    </w:rPr>
                    <w:t>。</w:t>
                  </w:r>
                </w:p>
              </w:tc>
            </w:tr>
          </w:tbl>
          <w:p>
            <w:pPr>
              <w:keepNext w:val="0"/>
              <w:keepLines w:val="0"/>
              <w:pageBreakBefore w:val="0"/>
              <w:widowControl/>
              <w:suppressLineNumbers w:val="0"/>
              <w:kinsoku/>
              <w:wordWrap/>
              <w:overflowPunct/>
              <w:topLinePunct w:val="0"/>
              <w:autoSpaceDE/>
              <w:autoSpaceDN/>
              <w:bidi w:val="0"/>
              <w:adjustRightInd w:val="0"/>
              <w:snapToGrid w:val="0"/>
              <w:spacing w:before="157" w:beforeLines="50" w:line="360" w:lineRule="auto"/>
              <w:ind w:left="0" w:leftChars="0"/>
              <w:jc w:val="center"/>
              <w:textAlignment w:val="auto"/>
              <w:rPr>
                <w:rFonts w:hint="default" w:ascii="Times New Roman" w:hAnsi="Times New Roman" w:eastAsia="宋体" w:cs="Times New Roman"/>
                <w:b/>
                <w:bCs w:val="0"/>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before="157" w:beforeLines="50" w:line="360" w:lineRule="auto"/>
              <w:ind w:left="0" w:leftChars="0"/>
              <w:jc w:val="center"/>
              <w:textAlignment w:val="auto"/>
              <w:rPr>
                <w:rFonts w:hint="default" w:ascii="Times New Roman" w:hAnsi="Times New Roman" w:eastAsia="宋体" w:cs="Times New Roman"/>
                <w:b/>
                <w:bCs w:val="0"/>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before="157" w:beforeLines="50" w:line="360" w:lineRule="auto"/>
              <w:ind w:left="0" w:leftChars="0"/>
              <w:jc w:val="center"/>
              <w:textAlignment w:val="auto"/>
              <w:rPr>
                <w:rFonts w:hint="default" w:ascii="Times New Roman" w:hAnsi="Times New Roman" w:eastAsia="宋体" w:cs="Times New Roman"/>
                <w:b/>
                <w:bCs w:val="0"/>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before="157" w:beforeLines="50" w:line="360" w:lineRule="auto"/>
              <w:ind w:left="0" w:leftChars="0"/>
              <w:jc w:val="center"/>
              <w:textAlignment w:val="auto"/>
              <w:rPr>
                <w:rFonts w:hint="default" w:ascii="Times New Roman" w:hAnsi="Times New Roman" w:eastAsia="宋体" w:cs="Times New Roman"/>
                <w:b/>
                <w:bCs w:val="0"/>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before="157" w:beforeLines="50" w:line="360" w:lineRule="auto"/>
              <w:ind w:left="0" w:leftChars="0"/>
              <w:jc w:val="center"/>
              <w:textAlignment w:val="auto"/>
              <w:rPr>
                <w:rFonts w:hint="default" w:ascii="Times New Roman" w:hAnsi="Times New Roman" w:eastAsia="宋体" w:cs="Times New Roman"/>
                <w:b/>
                <w:bCs w:val="0"/>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before="157" w:beforeLines="50" w:line="360" w:lineRule="auto"/>
              <w:ind w:left="0" w:leftChars="0"/>
              <w:jc w:val="center"/>
              <w:textAlignment w:val="auto"/>
              <w:rPr>
                <w:rFonts w:hint="default" w:ascii="Times New Roman" w:hAnsi="Times New Roman" w:eastAsia="宋体" w:cs="Times New Roman"/>
                <w:b/>
                <w:bCs w:val="0"/>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before="157" w:beforeLines="50" w:line="360" w:lineRule="auto"/>
              <w:ind w:left="0" w:leftChars="0"/>
              <w:jc w:val="center"/>
              <w:textAlignment w:val="auto"/>
              <w:rPr>
                <w:rFonts w:hint="default" w:ascii="Times New Roman" w:hAnsi="Times New Roman" w:eastAsia="宋体" w:cs="Times New Roman"/>
                <w:b/>
                <w:bCs w:val="0"/>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before="157" w:beforeLines="50" w:line="360" w:lineRule="auto"/>
              <w:ind w:left="0" w:leftChars="0"/>
              <w:jc w:val="center"/>
              <w:textAlignment w:val="auto"/>
              <w:rPr>
                <w:rFonts w:hint="default" w:ascii="Times New Roman" w:hAnsi="Times New Roman" w:eastAsia="宋体" w:cs="Times New Roman"/>
                <w:b/>
                <w:bCs w:val="0"/>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before="157" w:beforeLines="50" w:line="360" w:lineRule="auto"/>
              <w:ind w:left="0" w:leftChars="0"/>
              <w:jc w:val="center"/>
              <w:textAlignment w:val="auto"/>
              <w:rPr>
                <w:rFonts w:hint="default" w:ascii="Times New Roman" w:hAnsi="Times New Roman" w:eastAsia="宋体" w:cs="Times New Roman"/>
                <w:b/>
                <w:bCs w:val="0"/>
                <w:color w:val="auto"/>
                <w:kern w:val="0"/>
                <w:sz w:val="24"/>
                <w:szCs w:val="24"/>
                <w:highlight w:val="none"/>
                <w:lang w:val="en-US" w:eastAsia="zh-CN" w:bidi="ar"/>
              </w:rPr>
            </w:pPr>
            <w:r>
              <w:rPr>
                <w:rFonts w:hint="default" w:ascii="Times New Roman" w:hAnsi="Times New Roman" w:eastAsia="宋体" w:cs="Times New Roman"/>
                <w:b/>
                <w:bCs w:val="0"/>
                <w:color w:val="auto"/>
                <w:kern w:val="0"/>
                <w:sz w:val="24"/>
                <w:szCs w:val="24"/>
                <w:highlight w:val="none"/>
                <w:lang w:val="en-US" w:eastAsia="zh-CN" w:bidi="ar"/>
              </w:rPr>
              <w:t xml:space="preserve">表 </w:t>
            </w:r>
            <w:r>
              <w:rPr>
                <w:rFonts w:hint="eastAsia" w:cs="Times New Roman"/>
                <w:b/>
                <w:bCs w:val="0"/>
                <w:color w:val="auto"/>
                <w:kern w:val="0"/>
                <w:sz w:val="24"/>
                <w:szCs w:val="24"/>
                <w:highlight w:val="none"/>
                <w:lang w:val="en-US" w:eastAsia="zh-CN" w:bidi="ar"/>
              </w:rPr>
              <w:t>4.2-17</w:t>
            </w:r>
            <w:r>
              <w:rPr>
                <w:rFonts w:hint="default" w:ascii="Times New Roman" w:hAnsi="Times New Roman" w:eastAsia="宋体" w:cs="Times New Roman"/>
                <w:b/>
                <w:bCs w:val="0"/>
                <w:color w:val="auto"/>
                <w:kern w:val="0"/>
                <w:sz w:val="24"/>
                <w:szCs w:val="24"/>
                <w:highlight w:val="none"/>
                <w:lang w:val="en-US" w:eastAsia="zh-CN" w:bidi="ar"/>
              </w:rPr>
              <w:t xml:space="preserve"> 废水类别、污染物及污染治理设施信息表</w:t>
            </w:r>
          </w:p>
          <w:tbl>
            <w:tblPr>
              <w:tblStyle w:val="29"/>
              <w:tblW w:w="1339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252"/>
              <w:gridCol w:w="838"/>
              <w:gridCol w:w="1092"/>
              <w:gridCol w:w="1280"/>
              <w:gridCol w:w="1804"/>
              <w:gridCol w:w="1043"/>
              <w:gridCol w:w="1778"/>
              <w:gridCol w:w="910"/>
              <w:gridCol w:w="956"/>
              <w:gridCol w:w="1000"/>
              <w:gridCol w:w="8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52"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序号</w:t>
                  </w:r>
                </w:p>
              </w:tc>
              <w:tc>
                <w:tcPr>
                  <w:tcW w:w="1252"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kern w:val="0"/>
                      <w:sz w:val="21"/>
                      <w:szCs w:val="21"/>
                      <w:highlight w:val="none"/>
                      <w:lang w:val="en-US" w:eastAsia="zh-CN" w:bidi="ar"/>
                    </w:rPr>
                    <w:t>废水</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类别</w:t>
                  </w:r>
                </w:p>
              </w:tc>
              <w:tc>
                <w:tcPr>
                  <w:tcW w:w="838"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污染物种类</w:t>
                  </w:r>
                </w:p>
              </w:tc>
              <w:tc>
                <w:tcPr>
                  <w:tcW w:w="1092" w:type="dxa"/>
                  <w:vMerge w:val="restart"/>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color w:val="auto"/>
                      <w:kern w:val="0"/>
                      <w:sz w:val="21"/>
                      <w:szCs w:val="21"/>
                      <w:highlight w:val="none"/>
                      <w:lang w:val="en-US" w:eastAsia="zh-CN" w:bidi="ar"/>
                    </w:rPr>
                  </w:pPr>
                  <w:r>
                    <w:rPr>
                      <w:rFonts w:hint="default" w:ascii="Times New Roman" w:hAnsi="Times New Roman" w:eastAsia="宋体" w:cs="Times New Roman"/>
                      <w:b/>
                      <w:color w:val="auto"/>
                      <w:kern w:val="0"/>
                      <w:sz w:val="21"/>
                      <w:szCs w:val="21"/>
                      <w:highlight w:val="none"/>
                      <w:lang w:val="en-US" w:eastAsia="zh-CN" w:bidi="ar"/>
                    </w:rPr>
                    <w:t>排放</w:t>
                  </w:r>
                </w:p>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去向</w:t>
                  </w:r>
                </w:p>
              </w:tc>
              <w:tc>
                <w:tcPr>
                  <w:tcW w:w="128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排放规律</w:t>
                  </w:r>
                </w:p>
              </w:tc>
              <w:tc>
                <w:tcPr>
                  <w:tcW w:w="4625"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污染治理措施</w:t>
                  </w:r>
                </w:p>
              </w:tc>
              <w:tc>
                <w:tcPr>
                  <w:tcW w:w="91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排放口编号</w:t>
                  </w:r>
                </w:p>
              </w:tc>
              <w:tc>
                <w:tcPr>
                  <w:tcW w:w="956"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排放口设置是否符合要求</w:t>
                  </w:r>
                </w:p>
              </w:tc>
              <w:tc>
                <w:tcPr>
                  <w:tcW w:w="100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kern w:val="0"/>
                      <w:sz w:val="21"/>
                      <w:szCs w:val="21"/>
                      <w:highlight w:val="none"/>
                      <w:lang w:val="en-US" w:eastAsia="zh-CN" w:bidi="ar"/>
                    </w:rPr>
                    <w:t>排放口</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类型</w:t>
                  </w:r>
                </w:p>
              </w:tc>
              <w:tc>
                <w:tcPr>
                  <w:tcW w:w="88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kern w:val="0"/>
                      <w:sz w:val="21"/>
                      <w:szCs w:val="21"/>
                      <w:highlight w:val="none"/>
                      <w:lang w:val="en-US" w:eastAsia="zh-CN" w:bidi="ar"/>
                    </w:rPr>
                    <w:t>是否为</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kern w:val="0"/>
                      <w:sz w:val="21"/>
                      <w:szCs w:val="21"/>
                      <w:highlight w:val="none"/>
                      <w:lang w:val="en-US" w:eastAsia="zh-CN" w:bidi="ar"/>
                    </w:rPr>
                    <w:t>可行性</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技术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552"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1252"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838"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1092"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1280"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18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kern w:val="0"/>
                      <w:sz w:val="21"/>
                      <w:szCs w:val="21"/>
                      <w:highlight w:val="none"/>
                      <w:lang w:val="en-US" w:eastAsia="zh-CN" w:bidi="ar"/>
                    </w:rPr>
                    <w:t>污染治理</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设施编号</w:t>
                  </w:r>
                </w:p>
              </w:tc>
              <w:tc>
                <w:tcPr>
                  <w:tcW w:w="104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kern w:val="0"/>
                      <w:sz w:val="21"/>
                      <w:szCs w:val="21"/>
                      <w:highlight w:val="none"/>
                      <w:lang w:val="en-US" w:eastAsia="zh-CN" w:bidi="ar"/>
                    </w:rPr>
                    <w:t>污染治</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kern w:val="0"/>
                      <w:sz w:val="21"/>
                      <w:szCs w:val="21"/>
                      <w:highlight w:val="none"/>
                      <w:lang w:val="en-US" w:eastAsia="zh-CN" w:bidi="ar"/>
                    </w:rPr>
                    <w:t>理设施</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名称</w:t>
                  </w:r>
                </w:p>
              </w:tc>
              <w:tc>
                <w:tcPr>
                  <w:tcW w:w="17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kern w:val="0"/>
                      <w:sz w:val="21"/>
                      <w:szCs w:val="21"/>
                      <w:highlight w:val="none"/>
                      <w:lang w:val="en-US" w:eastAsia="zh-CN" w:bidi="ar"/>
                    </w:rPr>
                    <w:t>污染治</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kern w:val="0"/>
                      <w:sz w:val="21"/>
                      <w:szCs w:val="21"/>
                      <w:highlight w:val="none"/>
                      <w:lang w:val="en-US" w:eastAsia="zh-CN" w:bidi="ar"/>
                    </w:rPr>
                    <w:t>理设施</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工艺</w:t>
                  </w:r>
                </w:p>
              </w:tc>
              <w:tc>
                <w:tcPr>
                  <w:tcW w:w="910"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956"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1000"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889"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68" w:hRule="atLeast"/>
                <w:jc w:val="center"/>
              </w:trPr>
              <w:tc>
                <w:tcPr>
                  <w:tcW w:w="552"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w:t>
                  </w:r>
                </w:p>
              </w:tc>
              <w:tc>
                <w:tcPr>
                  <w:tcW w:w="125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生活</w:t>
                  </w:r>
                </w:p>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污水</w:t>
                  </w:r>
                  <w:r>
                    <w:rPr>
                      <w:rFonts w:hint="eastAsia" w:cs="Times New Roman"/>
                      <w:color w:val="auto"/>
                      <w:kern w:val="0"/>
                      <w:sz w:val="21"/>
                      <w:szCs w:val="21"/>
                      <w:highlight w:val="none"/>
                      <w:lang w:val="en-US" w:eastAsia="zh-CN" w:bidi="ar"/>
                    </w:rPr>
                    <w:t>(含食堂废水)</w:t>
                  </w:r>
                </w:p>
              </w:tc>
              <w:tc>
                <w:tcPr>
                  <w:tcW w:w="8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pH、</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COD、</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BOD</w:t>
                  </w:r>
                  <w:r>
                    <w:rPr>
                      <w:rFonts w:hint="default" w:ascii="Times New Roman" w:hAnsi="Times New Roman" w:eastAsia="宋体" w:cs="Times New Roman"/>
                      <w:color w:val="auto"/>
                      <w:kern w:val="0"/>
                      <w:sz w:val="21"/>
                      <w:szCs w:val="21"/>
                      <w:highlight w:val="none"/>
                      <w:vertAlign w:val="subscript"/>
                      <w:lang w:val="en-US" w:eastAsia="zh-CN" w:bidi="ar"/>
                    </w:rPr>
                    <w:t>5</w:t>
                  </w:r>
                  <w:r>
                    <w:rPr>
                      <w:rFonts w:hint="default" w:ascii="Times New Roman" w:hAnsi="Times New Roman" w:eastAsia="宋体" w:cs="Times New Roman"/>
                      <w:color w:val="auto"/>
                      <w:kern w:val="0"/>
                      <w:sz w:val="21"/>
                      <w:szCs w:val="21"/>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rPr>
                  </w:pPr>
                  <w:r>
                    <w:rPr>
                      <w:rFonts w:hint="default" w:ascii="Times New Roman" w:hAnsi="Times New Roman" w:eastAsia="宋体" w:cs="Times New Roman"/>
                      <w:color w:val="auto"/>
                      <w:kern w:val="0"/>
                      <w:sz w:val="21"/>
                      <w:szCs w:val="21"/>
                      <w:highlight w:val="none"/>
                      <w:lang w:val="en-US" w:eastAsia="zh-CN" w:bidi="ar"/>
                    </w:rPr>
                    <w:t>SS、NH</w:t>
                  </w:r>
                  <w:r>
                    <w:rPr>
                      <w:rFonts w:hint="default" w:ascii="Times New Roman" w:hAnsi="Times New Roman" w:eastAsia="宋体" w:cs="Times New Roman"/>
                      <w:color w:val="auto"/>
                      <w:kern w:val="0"/>
                      <w:sz w:val="21"/>
                      <w:szCs w:val="21"/>
                      <w:highlight w:val="none"/>
                      <w:vertAlign w:val="sub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-N</w:t>
                  </w:r>
                  <w:r>
                    <w:rPr>
                      <w:rFonts w:hint="eastAsia" w:cs="Times New Roman"/>
                      <w:color w:val="auto"/>
                      <w:kern w:val="0"/>
                      <w:sz w:val="21"/>
                      <w:szCs w:val="21"/>
                      <w:highlight w:val="none"/>
                      <w:lang w:val="en-US" w:eastAsia="zh-CN" w:bidi="ar"/>
                    </w:rPr>
                    <w:t>、动植物油</w:t>
                  </w:r>
                </w:p>
              </w:tc>
              <w:tc>
                <w:tcPr>
                  <w:tcW w:w="10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排入南安市污水处理厂</w:t>
                  </w:r>
                </w:p>
              </w:tc>
              <w:tc>
                <w:tcPr>
                  <w:tcW w:w="12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间断排放，</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排放期间流</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量不稳定且</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无规律，但</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不属于冲击</w:t>
                  </w:r>
                </w:p>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型排放</w:t>
                  </w:r>
                </w:p>
              </w:tc>
              <w:tc>
                <w:tcPr>
                  <w:tcW w:w="1804"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lang w:val="en-US" w:eastAsia="zh-CN"/>
                    </w:rPr>
                    <w:t>TW00</w:t>
                  </w:r>
                  <w:r>
                    <w:rPr>
                      <w:rFonts w:hint="eastAsia" w:cs="Times New Roman"/>
                      <w:color w:val="auto"/>
                      <w:sz w:val="21"/>
                      <w:szCs w:val="21"/>
                      <w:highlight w:val="none"/>
                      <w:lang w:val="en-US" w:eastAsia="zh-CN"/>
                    </w:rPr>
                    <w:t>1</w:t>
                  </w:r>
                </w:p>
              </w:tc>
              <w:tc>
                <w:tcPr>
                  <w:tcW w:w="1043"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rPr>
                  </w:pPr>
                  <w:r>
                    <w:rPr>
                      <w:rFonts w:hint="default" w:ascii="Times New Roman" w:hAnsi="Times New Roman" w:eastAsia="宋体" w:cs="Times New Roman"/>
                      <w:color w:val="auto"/>
                      <w:sz w:val="21"/>
                      <w:szCs w:val="21"/>
                      <w:highlight w:val="none"/>
                      <w:vertAlign w:val="baseline"/>
                      <w:lang w:val="en-US" w:eastAsia="zh-CN"/>
                    </w:rPr>
                    <w:t>化粪池</w:t>
                  </w:r>
                  <w:r>
                    <w:rPr>
                      <w:rFonts w:hint="eastAsia" w:cs="Times New Roman"/>
                      <w:color w:val="auto"/>
                      <w:sz w:val="21"/>
                      <w:szCs w:val="21"/>
                      <w:highlight w:val="none"/>
                      <w:vertAlign w:val="baseline"/>
                      <w:lang w:val="en-US" w:eastAsia="zh-CN"/>
                    </w:rPr>
                    <w:t>+隔油池</w:t>
                  </w:r>
                </w:p>
              </w:tc>
              <w:tc>
                <w:tcPr>
                  <w:tcW w:w="1778"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厌氧发酵</w:t>
                  </w:r>
                  <w:r>
                    <w:rPr>
                      <w:rFonts w:hint="eastAsia" w:cs="Times New Roman"/>
                      <w:color w:val="auto"/>
                      <w:sz w:val="21"/>
                      <w:szCs w:val="21"/>
                      <w:highlight w:val="none"/>
                      <w:vertAlign w:val="baseline"/>
                      <w:lang w:val="en-US" w:eastAsia="zh-CN"/>
                    </w:rPr>
                    <w:t>；隔油</w:t>
                  </w:r>
                </w:p>
              </w:tc>
              <w:tc>
                <w:tcPr>
                  <w:tcW w:w="910"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DW001</w:t>
                  </w:r>
                </w:p>
              </w:tc>
              <w:tc>
                <w:tcPr>
                  <w:tcW w:w="9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是</w:t>
                  </w:r>
                </w:p>
              </w:tc>
              <w:tc>
                <w:tcPr>
                  <w:tcW w:w="1000"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一般排放口</w:t>
                  </w:r>
                </w:p>
              </w:tc>
              <w:tc>
                <w:tcPr>
                  <w:tcW w:w="889"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13394" w:type="dxa"/>
                  <w:gridSpan w:val="12"/>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left"/>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宋体" w:hAnsi="宋体" w:eastAsia="宋体" w:cs="宋体"/>
                      <w:b w:val="0"/>
                      <w:bCs w:val="0"/>
                      <w:color w:val="auto"/>
                      <w:kern w:val="0"/>
                      <w:sz w:val="21"/>
                      <w:szCs w:val="21"/>
                      <w:highlight w:val="none"/>
                      <w:lang w:val="en-US" w:eastAsia="zh-CN" w:bidi="ar"/>
                    </w:rPr>
                    <w:t>备注：根据《排污许可证申请与核发技术规范 金属铸造工业》，项目生活污水采用厌氧发酵处理为可行性技术</w:t>
                  </w:r>
                </w:p>
              </w:tc>
            </w:tr>
          </w:tbl>
          <w:p>
            <w:pPr>
              <w:keepNext w:val="0"/>
              <w:keepLines w:val="0"/>
              <w:pageBreakBefore w:val="0"/>
              <w:widowControl/>
              <w:suppressLineNumbers w:val="0"/>
              <w:kinsoku/>
              <w:wordWrap/>
              <w:overflowPunct/>
              <w:topLinePunct w:val="0"/>
              <w:autoSpaceDE/>
              <w:autoSpaceDN/>
              <w:bidi w:val="0"/>
              <w:adjustRightInd w:val="0"/>
              <w:snapToGrid w:val="0"/>
              <w:spacing w:before="157" w:beforeLines="50" w:line="360" w:lineRule="auto"/>
              <w:ind w:left="0" w:leftChars="0"/>
              <w:jc w:val="center"/>
              <w:textAlignment w:val="auto"/>
              <w:rPr>
                <w:rFonts w:hint="default" w:ascii="Times New Roman" w:hAnsi="Times New Roman" w:eastAsia="宋体" w:cs="Times New Roman"/>
                <w:b/>
                <w:bCs w:val="0"/>
                <w:color w:val="auto"/>
                <w:kern w:val="0"/>
                <w:sz w:val="24"/>
                <w:szCs w:val="24"/>
                <w:highlight w:val="none"/>
                <w:lang w:val="en-US" w:eastAsia="zh-CN" w:bidi="ar"/>
              </w:rPr>
            </w:pPr>
            <w:r>
              <w:rPr>
                <w:rFonts w:hint="default" w:ascii="Times New Roman" w:hAnsi="Times New Roman" w:eastAsia="宋体" w:cs="Times New Roman"/>
                <w:b/>
                <w:bCs w:val="0"/>
                <w:color w:val="auto"/>
                <w:kern w:val="0"/>
                <w:sz w:val="24"/>
                <w:szCs w:val="24"/>
                <w:highlight w:val="none"/>
                <w:lang w:val="en-US" w:eastAsia="zh-CN" w:bidi="ar"/>
              </w:rPr>
              <w:t xml:space="preserve">表 </w:t>
            </w:r>
            <w:r>
              <w:rPr>
                <w:rFonts w:hint="eastAsia" w:cs="Times New Roman"/>
                <w:b/>
                <w:bCs w:val="0"/>
                <w:color w:val="auto"/>
                <w:kern w:val="0"/>
                <w:sz w:val="24"/>
                <w:szCs w:val="24"/>
                <w:highlight w:val="none"/>
                <w:lang w:val="en-US" w:eastAsia="zh-CN" w:bidi="ar"/>
              </w:rPr>
              <w:t>4.2-18</w:t>
            </w:r>
            <w:r>
              <w:rPr>
                <w:rFonts w:hint="default" w:ascii="Times New Roman" w:hAnsi="Times New Roman" w:eastAsia="宋体" w:cs="Times New Roman"/>
                <w:b/>
                <w:bCs w:val="0"/>
                <w:color w:val="auto"/>
                <w:kern w:val="0"/>
                <w:sz w:val="24"/>
                <w:szCs w:val="24"/>
                <w:highlight w:val="none"/>
                <w:lang w:val="en-US" w:eastAsia="zh-CN" w:bidi="ar"/>
              </w:rPr>
              <w:t xml:space="preserve"> 废水间接排放口</w:t>
            </w:r>
            <w:r>
              <w:rPr>
                <w:rFonts w:hint="eastAsia" w:cs="Times New Roman"/>
                <w:b/>
                <w:bCs w:val="0"/>
                <w:color w:val="auto"/>
                <w:kern w:val="0"/>
                <w:sz w:val="24"/>
                <w:szCs w:val="24"/>
                <w:highlight w:val="none"/>
                <w:lang w:val="en-US" w:eastAsia="zh-CN" w:bidi="ar"/>
              </w:rPr>
              <w:t>（远期）</w:t>
            </w:r>
            <w:r>
              <w:rPr>
                <w:rFonts w:hint="default" w:ascii="Times New Roman" w:hAnsi="Times New Roman" w:eastAsia="宋体" w:cs="Times New Roman"/>
                <w:b/>
                <w:bCs w:val="0"/>
                <w:color w:val="auto"/>
                <w:kern w:val="0"/>
                <w:sz w:val="24"/>
                <w:szCs w:val="24"/>
                <w:highlight w:val="none"/>
                <w:lang w:val="en-US" w:eastAsia="zh-CN" w:bidi="ar"/>
              </w:rPr>
              <w:t>基本情况表</w:t>
            </w:r>
          </w:p>
          <w:tbl>
            <w:tblPr>
              <w:tblStyle w:val="29"/>
              <w:tblW w:w="1395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8"/>
              <w:gridCol w:w="1255"/>
              <w:gridCol w:w="1139"/>
              <w:gridCol w:w="1399"/>
              <w:gridCol w:w="961"/>
              <w:gridCol w:w="1879"/>
              <w:gridCol w:w="1643"/>
              <w:gridCol w:w="1296"/>
              <w:gridCol w:w="947"/>
              <w:gridCol w:w="1457"/>
              <w:gridCol w:w="15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468"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b/>
                      <w:bCs w:val="0"/>
                      <w:color w:val="auto"/>
                      <w:sz w:val="21"/>
                      <w:szCs w:val="21"/>
                      <w:highlight w:val="none"/>
                      <w:vertAlign w:val="baseline"/>
                    </w:rPr>
                  </w:pPr>
                  <w:r>
                    <w:rPr>
                      <w:rFonts w:hint="default" w:ascii="Times New Roman" w:hAnsi="Times New Roman" w:eastAsia="宋体" w:cs="Times New Roman"/>
                      <w:b/>
                      <w:bCs w:val="0"/>
                      <w:color w:val="auto"/>
                      <w:kern w:val="0"/>
                      <w:sz w:val="21"/>
                      <w:szCs w:val="21"/>
                      <w:highlight w:val="none"/>
                      <w:lang w:val="en-US" w:eastAsia="zh-CN" w:bidi="ar"/>
                    </w:rPr>
                    <w:t>排放口编号</w:t>
                  </w:r>
                </w:p>
              </w:tc>
              <w:tc>
                <w:tcPr>
                  <w:tcW w:w="2394"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b/>
                      <w:bCs w:val="0"/>
                      <w:color w:val="auto"/>
                      <w:sz w:val="21"/>
                      <w:szCs w:val="21"/>
                      <w:highlight w:val="none"/>
                      <w:vertAlign w:val="baseline"/>
                    </w:rPr>
                  </w:pPr>
                  <w:r>
                    <w:rPr>
                      <w:rFonts w:hint="default" w:ascii="Times New Roman" w:hAnsi="Times New Roman" w:eastAsia="宋体" w:cs="Times New Roman"/>
                      <w:b/>
                      <w:bCs w:val="0"/>
                      <w:color w:val="auto"/>
                      <w:kern w:val="0"/>
                      <w:sz w:val="21"/>
                      <w:szCs w:val="21"/>
                      <w:highlight w:val="none"/>
                      <w:lang w:val="en-US" w:eastAsia="zh-CN" w:bidi="ar"/>
                    </w:rPr>
                    <w:t>排放口地理坐标</w:t>
                  </w:r>
                </w:p>
              </w:tc>
              <w:tc>
                <w:tcPr>
                  <w:tcW w:w="139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kern w:val="0"/>
                      <w:sz w:val="21"/>
                      <w:szCs w:val="21"/>
                      <w:highlight w:val="none"/>
                      <w:lang w:val="en-US" w:eastAsia="zh-CN" w:bidi="ar"/>
                    </w:rPr>
                    <w:t>废水排放量/</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b/>
                      <w:bCs w:val="0"/>
                      <w:color w:val="auto"/>
                      <w:sz w:val="21"/>
                      <w:szCs w:val="21"/>
                      <w:highlight w:val="none"/>
                      <w:vertAlign w:val="baseline"/>
                    </w:rPr>
                  </w:pPr>
                  <w:r>
                    <w:rPr>
                      <w:rFonts w:hint="default" w:ascii="Times New Roman" w:hAnsi="Times New Roman" w:eastAsia="宋体" w:cs="Times New Roman"/>
                      <w:b/>
                      <w:bCs w:val="0"/>
                      <w:color w:val="auto"/>
                      <w:kern w:val="0"/>
                      <w:sz w:val="21"/>
                      <w:szCs w:val="21"/>
                      <w:highlight w:val="none"/>
                      <w:lang w:val="en-US" w:eastAsia="zh-CN" w:bidi="ar"/>
                    </w:rPr>
                    <w:t>（万t/a）</w:t>
                  </w:r>
                </w:p>
              </w:tc>
              <w:tc>
                <w:tcPr>
                  <w:tcW w:w="96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b/>
                      <w:bCs w:val="0"/>
                      <w:color w:val="auto"/>
                      <w:kern w:val="0"/>
                      <w:sz w:val="21"/>
                      <w:szCs w:val="21"/>
                      <w:highlight w:val="none"/>
                      <w:lang w:val="en-US" w:eastAsia="zh-CN" w:bidi="ar"/>
                    </w:rPr>
                  </w:pPr>
                  <w:r>
                    <w:rPr>
                      <w:rFonts w:hint="default" w:ascii="Times New Roman" w:hAnsi="Times New Roman" w:eastAsia="宋体" w:cs="Times New Roman"/>
                      <w:b/>
                      <w:bCs w:val="0"/>
                      <w:color w:val="auto"/>
                      <w:kern w:val="0"/>
                      <w:sz w:val="21"/>
                      <w:szCs w:val="21"/>
                      <w:highlight w:val="none"/>
                      <w:lang w:val="en-US" w:eastAsia="zh-CN" w:bidi="ar"/>
                    </w:rPr>
                    <w:t>排放</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b/>
                      <w:bCs w:val="0"/>
                      <w:color w:val="auto"/>
                      <w:sz w:val="21"/>
                      <w:szCs w:val="21"/>
                      <w:highlight w:val="none"/>
                      <w:vertAlign w:val="baseline"/>
                    </w:rPr>
                  </w:pPr>
                  <w:r>
                    <w:rPr>
                      <w:rFonts w:hint="default" w:ascii="Times New Roman" w:hAnsi="Times New Roman" w:eastAsia="宋体" w:cs="Times New Roman"/>
                      <w:b/>
                      <w:bCs w:val="0"/>
                      <w:color w:val="auto"/>
                      <w:kern w:val="0"/>
                      <w:sz w:val="21"/>
                      <w:szCs w:val="21"/>
                      <w:highlight w:val="none"/>
                      <w:lang w:val="en-US" w:eastAsia="zh-CN" w:bidi="ar"/>
                    </w:rPr>
                    <w:t>去向</w:t>
                  </w:r>
                </w:p>
              </w:tc>
              <w:tc>
                <w:tcPr>
                  <w:tcW w:w="187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b/>
                      <w:bCs w:val="0"/>
                      <w:color w:val="auto"/>
                      <w:sz w:val="21"/>
                      <w:szCs w:val="21"/>
                      <w:highlight w:val="none"/>
                      <w:vertAlign w:val="baseline"/>
                    </w:rPr>
                  </w:pPr>
                  <w:r>
                    <w:rPr>
                      <w:rFonts w:hint="default" w:ascii="Times New Roman" w:hAnsi="Times New Roman" w:eastAsia="宋体" w:cs="Times New Roman"/>
                      <w:b/>
                      <w:bCs w:val="0"/>
                      <w:color w:val="auto"/>
                      <w:kern w:val="0"/>
                      <w:sz w:val="21"/>
                      <w:szCs w:val="21"/>
                      <w:highlight w:val="none"/>
                      <w:lang w:val="en-US" w:eastAsia="zh-CN" w:bidi="ar"/>
                    </w:rPr>
                    <w:t>排放规律</w:t>
                  </w:r>
                </w:p>
              </w:tc>
              <w:tc>
                <w:tcPr>
                  <w:tcW w:w="1643"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b/>
                      <w:bCs w:val="0"/>
                      <w:color w:val="auto"/>
                      <w:kern w:val="0"/>
                      <w:sz w:val="21"/>
                      <w:szCs w:val="21"/>
                      <w:highlight w:val="none"/>
                      <w:lang w:val="en-US" w:eastAsia="zh-CN" w:bidi="ar"/>
                    </w:rPr>
                  </w:pPr>
                  <w:r>
                    <w:rPr>
                      <w:rFonts w:hint="default" w:ascii="Times New Roman" w:hAnsi="Times New Roman" w:eastAsia="宋体" w:cs="Times New Roman"/>
                      <w:b/>
                      <w:bCs w:val="0"/>
                      <w:color w:val="auto"/>
                      <w:kern w:val="0"/>
                      <w:sz w:val="21"/>
                      <w:szCs w:val="21"/>
                      <w:highlight w:val="none"/>
                      <w:lang w:val="en-US" w:eastAsia="zh-CN" w:bidi="ar"/>
                    </w:rPr>
                    <w:t>间歇排放时段</w:t>
                  </w:r>
                </w:p>
              </w:tc>
              <w:tc>
                <w:tcPr>
                  <w:tcW w:w="5213"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b/>
                      <w:bCs w:val="0"/>
                      <w:color w:val="auto"/>
                      <w:sz w:val="21"/>
                      <w:szCs w:val="21"/>
                      <w:highlight w:val="none"/>
                      <w:vertAlign w:val="baseline"/>
                    </w:rPr>
                  </w:pPr>
                  <w:r>
                    <w:rPr>
                      <w:rFonts w:hint="default" w:ascii="Times New Roman" w:hAnsi="Times New Roman" w:eastAsia="宋体" w:cs="Times New Roman"/>
                      <w:b/>
                      <w:bCs w:val="0"/>
                      <w:color w:val="auto"/>
                      <w:kern w:val="0"/>
                      <w:sz w:val="21"/>
                      <w:szCs w:val="21"/>
                      <w:highlight w:val="none"/>
                      <w:lang w:val="en-US" w:eastAsia="zh-CN" w:bidi="ar"/>
                    </w:rPr>
                    <w:t>受纳污水处理厂信息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2" w:hRule="atLeast"/>
                <w:jc w:val="center"/>
              </w:trPr>
              <w:tc>
                <w:tcPr>
                  <w:tcW w:w="468"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bCs w:val="0"/>
                      <w:color w:val="auto"/>
                      <w:sz w:val="21"/>
                      <w:szCs w:val="21"/>
                      <w:highlight w:val="none"/>
                    </w:rPr>
                  </w:pPr>
                </w:p>
              </w:tc>
              <w:tc>
                <w:tcPr>
                  <w:tcW w:w="12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kern w:val="0"/>
                      <w:sz w:val="21"/>
                      <w:szCs w:val="21"/>
                      <w:highlight w:val="none"/>
                      <w:lang w:val="en-US" w:eastAsia="zh-CN" w:bidi="ar"/>
                    </w:rPr>
                    <w:t>经度</w:t>
                  </w:r>
                </w:p>
              </w:tc>
              <w:tc>
                <w:tcPr>
                  <w:tcW w:w="1139"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纬度</w:t>
                  </w:r>
                </w:p>
              </w:tc>
              <w:tc>
                <w:tcPr>
                  <w:tcW w:w="1399"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bCs w:val="0"/>
                      <w:color w:val="auto"/>
                      <w:sz w:val="21"/>
                      <w:szCs w:val="21"/>
                      <w:highlight w:val="none"/>
                    </w:rPr>
                  </w:pPr>
                </w:p>
              </w:tc>
              <w:tc>
                <w:tcPr>
                  <w:tcW w:w="961"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bCs w:val="0"/>
                      <w:color w:val="auto"/>
                      <w:sz w:val="21"/>
                      <w:szCs w:val="21"/>
                      <w:highlight w:val="none"/>
                    </w:rPr>
                  </w:pPr>
                </w:p>
              </w:tc>
              <w:tc>
                <w:tcPr>
                  <w:tcW w:w="187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b/>
                      <w:bCs w:val="0"/>
                      <w:color w:val="auto"/>
                      <w:sz w:val="21"/>
                      <w:szCs w:val="21"/>
                      <w:highlight w:val="none"/>
                      <w:vertAlign w:val="baseline"/>
                    </w:rPr>
                  </w:pPr>
                </w:p>
              </w:tc>
              <w:tc>
                <w:tcPr>
                  <w:tcW w:w="164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b/>
                      <w:bCs w:val="0"/>
                      <w:color w:val="auto"/>
                      <w:sz w:val="21"/>
                      <w:szCs w:val="21"/>
                      <w:highlight w:val="none"/>
                      <w:vertAlign w:val="baseline"/>
                    </w:rPr>
                  </w:pPr>
                </w:p>
              </w:tc>
              <w:tc>
                <w:tcPr>
                  <w:tcW w:w="12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b/>
                      <w:bCs w:val="0"/>
                      <w:color w:val="auto"/>
                      <w:sz w:val="21"/>
                      <w:szCs w:val="21"/>
                      <w:highlight w:val="none"/>
                      <w:vertAlign w:val="baseline"/>
                    </w:rPr>
                  </w:pPr>
                  <w:r>
                    <w:rPr>
                      <w:rFonts w:hint="default" w:ascii="Times New Roman" w:hAnsi="Times New Roman" w:eastAsia="宋体" w:cs="Times New Roman"/>
                      <w:b/>
                      <w:bCs w:val="0"/>
                      <w:color w:val="auto"/>
                      <w:kern w:val="0"/>
                      <w:sz w:val="21"/>
                      <w:szCs w:val="21"/>
                      <w:highlight w:val="none"/>
                      <w:lang w:val="en-US" w:eastAsia="zh-CN" w:bidi="ar"/>
                    </w:rPr>
                    <w:t>名称</w:t>
                  </w:r>
                </w:p>
              </w:tc>
              <w:tc>
                <w:tcPr>
                  <w:tcW w:w="9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b/>
                      <w:bCs w:val="0"/>
                      <w:color w:val="auto"/>
                      <w:sz w:val="21"/>
                      <w:szCs w:val="21"/>
                      <w:highlight w:val="none"/>
                      <w:vertAlign w:val="baseline"/>
                    </w:rPr>
                  </w:pPr>
                  <w:r>
                    <w:rPr>
                      <w:rFonts w:hint="default" w:ascii="Times New Roman" w:hAnsi="Times New Roman" w:eastAsia="宋体" w:cs="Times New Roman"/>
                      <w:b/>
                      <w:bCs w:val="0"/>
                      <w:color w:val="auto"/>
                      <w:kern w:val="0"/>
                      <w:sz w:val="21"/>
                      <w:szCs w:val="21"/>
                      <w:highlight w:val="none"/>
                      <w:lang w:val="en-US" w:eastAsia="zh-CN" w:bidi="ar"/>
                    </w:rPr>
                    <w:t>污染物种类</w:t>
                  </w:r>
                </w:p>
              </w:tc>
              <w:tc>
                <w:tcPr>
                  <w:tcW w:w="297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kern w:val="0"/>
                      <w:sz w:val="21"/>
                      <w:szCs w:val="21"/>
                      <w:highlight w:val="none"/>
                      <w:lang w:val="en-US" w:eastAsia="zh-CN" w:bidi="ar"/>
                    </w:rPr>
                    <w:t>国家或地方污染</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kern w:val="0"/>
                      <w:sz w:val="21"/>
                      <w:szCs w:val="21"/>
                      <w:highlight w:val="none"/>
                      <w:lang w:val="en-US" w:eastAsia="zh-CN" w:bidi="ar"/>
                    </w:rPr>
                    <w:t>物排放标准浓度</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b/>
                      <w:bCs w:val="0"/>
                      <w:color w:val="auto"/>
                      <w:sz w:val="21"/>
                      <w:szCs w:val="21"/>
                      <w:highlight w:val="none"/>
                      <w:vertAlign w:val="baseline"/>
                    </w:rPr>
                  </w:pPr>
                  <w:r>
                    <w:rPr>
                      <w:rFonts w:hint="default" w:ascii="Times New Roman" w:hAnsi="Times New Roman" w:eastAsia="宋体" w:cs="Times New Roman"/>
                      <w:b/>
                      <w:bCs w:val="0"/>
                      <w:color w:val="auto"/>
                      <w:kern w:val="0"/>
                      <w:sz w:val="21"/>
                      <w:szCs w:val="21"/>
                      <w:highlight w:val="none"/>
                      <w:lang w:val="en-US" w:eastAsia="zh-CN" w:bidi="ar"/>
                    </w:rPr>
                    <w:t>限值/（mg/L）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68" w:type="dxa"/>
                  <w:vMerge w:val="restart"/>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DW0</w:t>
                  </w:r>
                </w:p>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w:t>
                  </w:r>
                </w:p>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c>
                <w:tcPr>
                  <w:tcW w:w="1255" w:type="dxa"/>
                  <w:vMerge w:val="restart"/>
                  <w:tcBorders>
                    <w:tl2br w:val="nil"/>
                    <w:tr2bl w:val="nil"/>
                  </w:tcBorders>
                  <w:noWrap w:val="0"/>
                  <w:vAlign w:val="center"/>
                </w:tcPr>
                <w:p>
                  <w:pPr>
                    <w:pStyle w:val="24"/>
                    <w:keepNext w:val="0"/>
                    <w:keepLines w:val="0"/>
                    <w:widowControl/>
                    <w:suppressLineNumbers w:val="0"/>
                    <w:spacing w:before="0" w:beforeAutospacing="0" w:after="0" w:afterAutospacing="0"/>
                    <w:ind w:left="0" w:right="0" w:firstLine="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118.35127115°</w:t>
                  </w:r>
                </w:p>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13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25.01596034°</w:t>
                  </w:r>
                </w:p>
              </w:tc>
              <w:tc>
                <w:tcPr>
                  <w:tcW w:w="139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0.246</w:t>
                  </w:r>
                </w:p>
              </w:tc>
              <w:tc>
                <w:tcPr>
                  <w:tcW w:w="96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排入南安市污水处理厂</w:t>
                  </w:r>
                </w:p>
              </w:tc>
              <w:tc>
                <w:tcPr>
                  <w:tcW w:w="187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间断排放，排</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放期间流量不</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稳定且无规</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律，但不属于</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冲击型排放</w:t>
                  </w:r>
                </w:p>
              </w:tc>
              <w:tc>
                <w:tcPr>
                  <w:tcW w:w="1643"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0:00-24:00</w:t>
                  </w:r>
                </w:p>
              </w:tc>
              <w:tc>
                <w:tcPr>
                  <w:tcW w:w="1296"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南安市</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污水处理</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厂</w:t>
                  </w:r>
                </w:p>
              </w:tc>
              <w:tc>
                <w:tcPr>
                  <w:tcW w:w="94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pH、</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COD、</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BOD</w:t>
                  </w:r>
                  <w:r>
                    <w:rPr>
                      <w:rFonts w:hint="default" w:ascii="Times New Roman" w:hAnsi="Times New Roman" w:eastAsia="宋体" w:cs="Times New Roman"/>
                      <w:color w:val="auto"/>
                      <w:kern w:val="0"/>
                      <w:sz w:val="13"/>
                      <w:szCs w:val="13"/>
                      <w:highlight w:val="none"/>
                      <w:lang w:val="en-US" w:eastAsia="zh-CN" w:bidi="ar"/>
                    </w:rPr>
                    <w:t>5</w:t>
                  </w:r>
                  <w:r>
                    <w:rPr>
                      <w:rFonts w:hint="default" w:ascii="Times New Roman" w:hAnsi="Times New Roman" w:eastAsia="宋体" w:cs="Times New Roman"/>
                      <w:color w:val="auto"/>
                      <w:kern w:val="0"/>
                      <w:sz w:val="21"/>
                      <w:szCs w:val="21"/>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SS、NH</w:t>
                  </w:r>
                  <w:r>
                    <w:rPr>
                      <w:rFonts w:hint="default" w:ascii="Times New Roman" w:hAnsi="Times New Roman" w:eastAsia="宋体" w:cs="Times New Roman"/>
                      <w:color w:val="auto"/>
                      <w:kern w:val="0"/>
                      <w:sz w:val="13"/>
                      <w:szCs w:val="13"/>
                      <w:highlight w:val="none"/>
                      <w:lang w:val="en-US" w:eastAsia="zh-CN" w:bidi="ar"/>
                    </w:rPr>
                    <w:t>3</w:t>
                  </w:r>
                  <w:r>
                    <w:rPr>
                      <w:rFonts w:hint="default" w:ascii="Times New Roman" w:hAnsi="Times New Roman" w:eastAsia="宋体" w:cs="Times New Roman"/>
                      <w:color w:val="auto"/>
                      <w:kern w:val="0"/>
                      <w:sz w:val="21"/>
                      <w:szCs w:val="21"/>
                      <w:highlight w:val="none"/>
                      <w:lang w:val="en-US" w:eastAsia="zh-CN" w:bidi="ar"/>
                    </w:rPr>
                    <w:t>-N</w:t>
                  </w:r>
                </w:p>
              </w:tc>
              <w:tc>
                <w:tcPr>
                  <w:tcW w:w="14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pH</w:t>
                  </w:r>
                </w:p>
              </w:tc>
              <w:tc>
                <w:tcPr>
                  <w:tcW w:w="1513"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468"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255"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113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left"/>
                    <w:textAlignment w:val="auto"/>
                    <w:rPr>
                      <w:rFonts w:hint="default" w:ascii="Times New Roman" w:hAnsi="Times New Roman" w:eastAsia="宋体" w:cs="Times New Roman"/>
                      <w:color w:val="auto"/>
                      <w:sz w:val="21"/>
                      <w:szCs w:val="21"/>
                      <w:highlight w:val="none"/>
                      <w:vertAlign w:val="baseline"/>
                    </w:rPr>
                  </w:pPr>
                </w:p>
              </w:tc>
              <w:tc>
                <w:tcPr>
                  <w:tcW w:w="139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6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left"/>
                    <w:textAlignment w:val="auto"/>
                    <w:rPr>
                      <w:rFonts w:hint="default" w:ascii="Times New Roman" w:hAnsi="Times New Roman" w:eastAsia="宋体" w:cs="Times New Roman"/>
                      <w:color w:val="auto"/>
                      <w:kern w:val="0"/>
                      <w:sz w:val="21"/>
                      <w:szCs w:val="21"/>
                      <w:highlight w:val="none"/>
                      <w:lang w:val="en-US" w:eastAsia="zh-CN" w:bidi="ar"/>
                    </w:rPr>
                  </w:pPr>
                </w:p>
              </w:tc>
              <w:tc>
                <w:tcPr>
                  <w:tcW w:w="187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left"/>
                    <w:textAlignment w:val="auto"/>
                    <w:rPr>
                      <w:rFonts w:hint="default" w:ascii="Times New Roman" w:hAnsi="Times New Roman" w:eastAsia="宋体" w:cs="Times New Roman"/>
                      <w:color w:val="auto"/>
                      <w:kern w:val="0"/>
                      <w:sz w:val="21"/>
                      <w:szCs w:val="21"/>
                      <w:highlight w:val="none"/>
                      <w:lang w:val="en-US" w:eastAsia="zh-CN" w:bidi="ar"/>
                    </w:rPr>
                  </w:pPr>
                </w:p>
              </w:tc>
              <w:tc>
                <w:tcPr>
                  <w:tcW w:w="164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left"/>
                    <w:textAlignment w:val="auto"/>
                    <w:rPr>
                      <w:rFonts w:hint="default" w:ascii="Times New Roman" w:hAnsi="Times New Roman" w:eastAsia="宋体" w:cs="Times New Roman"/>
                      <w:color w:val="auto"/>
                      <w:kern w:val="0"/>
                      <w:sz w:val="21"/>
                      <w:szCs w:val="21"/>
                      <w:highlight w:val="none"/>
                      <w:lang w:val="en-US" w:eastAsia="zh-CN" w:bidi="ar"/>
                    </w:rPr>
                  </w:pPr>
                </w:p>
              </w:tc>
              <w:tc>
                <w:tcPr>
                  <w:tcW w:w="129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left"/>
                    <w:textAlignment w:val="auto"/>
                    <w:rPr>
                      <w:rFonts w:hint="default" w:ascii="Times New Roman" w:hAnsi="Times New Roman" w:eastAsia="宋体" w:cs="Times New Roman"/>
                      <w:color w:val="auto"/>
                      <w:kern w:val="0"/>
                      <w:sz w:val="21"/>
                      <w:szCs w:val="21"/>
                      <w:highlight w:val="none"/>
                      <w:lang w:val="en-US" w:eastAsia="zh-CN" w:bidi="ar"/>
                    </w:rPr>
                  </w:pPr>
                </w:p>
              </w:tc>
              <w:tc>
                <w:tcPr>
                  <w:tcW w:w="94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4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COD</w:t>
                  </w:r>
                </w:p>
              </w:tc>
              <w:tc>
                <w:tcPr>
                  <w:tcW w:w="1513"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468"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255"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113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left"/>
                    <w:textAlignment w:val="auto"/>
                    <w:rPr>
                      <w:rFonts w:hint="default" w:ascii="Times New Roman" w:hAnsi="Times New Roman" w:eastAsia="宋体" w:cs="Times New Roman"/>
                      <w:color w:val="auto"/>
                      <w:sz w:val="21"/>
                      <w:szCs w:val="21"/>
                      <w:highlight w:val="none"/>
                      <w:vertAlign w:val="baseline"/>
                    </w:rPr>
                  </w:pPr>
                </w:p>
              </w:tc>
              <w:tc>
                <w:tcPr>
                  <w:tcW w:w="139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6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left"/>
                    <w:textAlignment w:val="auto"/>
                    <w:rPr>
                      <w:rFonts w:hint="default" w:ascii="Times New Roman" w:hAnsi="Times New Roman" w:eastAsia="宋体" w:cs="Times New Roman"/>
                      <w:color w:val="auto"/>
                      <w:kern w:val="0"/>
                      <w:sz w:val="21"/>
                      <w:szCs w:val="21"/>
                      <w:highlight w:val="none"/>
                      <w:lang w:val="en-US" w:eastAsia="zh-CN" w:bidi="ar"/>
                    </w:rPr>
                  </w:pPr>
                </w:p>
              </w:tc>
              <w:tc>
                <w:tcPr>
                  <w:tcW w:w="187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left"/>
                    <w:textAlignment w:val="auto"/>
                    <w:rPr>
                      <w:rFonts w:hint="default" w:ascii="Times New Roman" w:hAnsi="Times New Roman" w:eastAsia="宋体" w:cs="Times New Roman"/>
                      <w:color w:val="auto"/>
                      <w:kern w:val="0"/>
                      <w:sz w:val="21"/>
                      <w:szCs w:val="21"/>
                      <w:highlight w:val="none"/>
                      <w:lang w:val="en-US" w:eastAsia="zh-CN" w:bidi="ar"/>
                    </w:rPr>
                  </w:pPr>
                </w:p>
              </w:tc>
              <w:tc>
                <w:tcPr>
                  <w:tcW w:w="164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left"/>
                    <w:textAlignment w:val="auto"/>
                    <w:rPr>
                      <w:rFonts w:hint="default" w:ascii="Times New Roman" w:hAnsi="Times New Roman" w:eastAsia="宋体" w:cs="Times New Roman"/>
                      <w:color w:val="auto"/>
                      <w:kern w:val="0"/>
                      <w:sz w:val="21"/>
                      <w:szCs w:val="21"/>
                      <w:highlight w:val="none"/>
                      <w:lang w:val="en-US" w:eastAsia="zh-CN" w:bidi="ar"/>
                    </w:rPr>
                  </w:pPr>
                </w:p>
              </w:tc>
              <w:tc>
                <w:tcPr>
                  <w:tcW w:w="129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left"/>
                    <w:textAlignment w:val="auto"/>
                    <w:rPr>
                      <w:rFonts w:hint="default" w:ascii="Times New Roman" w:hAnsi="Times New Roman" w:eastAsia="宋体" w:cs="Times New Roman"/>
                      <w:color w:val="auto"/>
                      <w:kern w:val="0"/>
                      <w:sz w:val="21"/>
                      <w:szCs w:val="21"/>
                      <w:highlight w:val="none"/>
                      <w:lang w:val="en-US" w:eastAsia="zh-CN" w:bidi="ar"/>
                    </w:rPr>
                  </w:pPr>
                </w:p>
              </w:tc>
              <w:tc>
                <w:tcPr>
                  <w:tcW w:w="94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4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BOD</w:t>
                  </w:r>
                  <w:r>
                    <w:rPr>
                      <w:rFonts w:hint="default" w:ascii="Times New Roman" w:hAnsi="Times New Roman" w:eastAsia="宋体" w:cs="Times New Roman"/>
                      <w:color w:val="auto"/>
                      <w:kern w:val="0"/>
                      <w:sz w:val="13"/>
                      <w:szCs w:val="13"/>
                      <w:highlight w:val="none"/>
                      <w:lang w:val="en-US" w:eastAsia="zh-CN" w:bidi="ar"/>
                    </w:rPr>
                    <w:t>5</w:t>
                  </w:r>
                </w:p>
              </w:tc>
              <w:tc>
                <w:tcPr>
                  <w:tcW w:w="1513"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468"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255"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113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left"/>
                    <w:textAlignment w:val="auto"/>
                    <w:rPr>
                      <w:rFonts w:hint="default" w:ascii="Times New Roman" w:hAnsi="Times New Roman" w:eastAsia="宋体" w:cs="Times New Roman"/>
                      <w:color w:val="auto"/>
                      <w:sz w:val="21"/>
                      <w:szCs w:val="21"/>
                      <w:highlight w:val="none"/>
                      <w:vertAlign w:val="baseline"/>
                    </w:rPr>
                  </w:pPr>
                </w:p>
              </w:tc>
              <w:tc>
                <w:tcPr>
                  <w:tcW w:w="139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6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left"/>
                    <w:textAlignment w:val="auto"/>
                    <w:rPr>
                      <w:rFonts w:hint="default" w:ascii="Times New Roman" w:hAnsi="Times New Roman" w:eastAsia="宋体" w:cs="Times New Roman"/>
                      <w:color w:val="auto"/>
                      <w:kern w:val="0"/>
                      <w:sz w:val="21"/>
                      <w:szCs w:val="21"/>
                      <w:highlight w:val="none"/>
                      <w:lang w:val="en-US" w:eastAsia="zh-CN" w:bidi="ar"/>
                    </w:rPr>
                  </w:pPr>
                </w:p>
              </w:tc>
              <w:tc>
                <w:tcPr>
                  <w:tcW w:w="187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left"/>
                    <w:textAlignment w:val="auto"/>
                    <w:rPr>
                      <w:rFonts w:hint="default" w:ascii="Times New Roman" w:hAnsi="Times New Roman" w:eastAsia="宋体" w:cs="Times New Roman"/>
                      <w:color w:val="auto"/>
                      <w:kern w:val="0"/>
                      <w:sz w:val="21"/>
                      <w:szCs w:val="21"/>
                      <w:highlight w:val="none"/>
                      <w:lang w:val="en-US" w:eastAsia="zh-CN" w:bidi="ar"/>
                    </w:rPr>
                  </w:pPr>
                </w:p>
              </w:tc>
              <w:tc>
                <w:tcPr>
                  <w:tcW w:w="164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left"/>
                    <w:textAlignment w:val="auto"/>
                    <w:rPr>
                      <w:rFonts w:hint="default" w:ascii="Times New Roman" w:hAnsi="Times New Roman" w:eastAsia="宋体" w:cs="Times New Roman"/>
                      <w:color w:val="auto"/>
                      <w:kern w:val="0"/>
                      <w:sz w:val="21"/>
                      <w:szCs w:val="21"/>
                      <w:highlight w:val="none"/>
                      <w:lang w:val="en-US" w:eastAsia="zh-CN" w:bidi="ar"/>
                    </w:rPr>
                  </w:pPr>
                </w:p>
              </w:tc>
              <w:tc>
                <w:tcPr>
                  <w:tcW w:w="129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left"/>
                    <w:textAlignment w:val="auto"/>
                    <w:rPr>
                      <w:rFonts w:hint="default" w:ascii="Times New Roman" w:hAnsi="Times New Roman" w:eastAsia="宋体" w:cs="Times New Roman"/>
                      <w:color w:val="auto"/>
                      <w:kern w:val="0"/>
                      <w:sz w:val="21"/>
                      <w:szCs w:val="21"/>
                      <w:highlight w:val="none"/>
                      <w:lang w:val="en-US" w:eastAsia="zh-CN" w:bidi="ar"/>
                    </w:rPr>
                  </w:pPr>
                </w:p>
              </w:tc>
              <w:tc>
                <w:tcPr>
                  <w:tcW w:w="94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4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SS</w:t>
                  </w:r>
                </w:p>
              </w:tc>
              <w:tc>
                <w:tcPr>
                  <w:tcW w:w="1513"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68"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255"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113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left"/>
                    <w:textAlignment w:val="auto"/>
                    <w:rPr>
                      <w:rFonts w:hint="default" w:ascii="Times New Roman" w:hAnsi="Times New Roman" w:eastAsia="宋体" w:cs="Times New Roman"/>
                      <w:color w:val="auto"/>
                      <w:sz w:val="21"/>
                      <w:szCs w:val="21"/>
                      <w:highlight w:val="none"/>
                      <w:vertAlign w:val="baseline"/>
                    </w:rPr>
                  </w:pPr>
                </w:p>
              </w:tc>
              <w:tc>
                <w:tcPr>
                  <w:tcW w:w="139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6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left"/>
                    <w:textAlignment w:val="auto"/>
                    <w:rPr>
                      <w:rFonts w:hint="default" w:ascii="Times New Roman" w:hAnsi="Times New Roman" w:eastAsia="宋体" w:cs="Times New Roman"/>
                      <w:color w:val="auto"/>
                      <w:kern w:val="0"/>
                      <w:sz w:val="21"/>
                      <w:szCs w:val="21"/>
                      <w:highlight w:val="none"/>
                      <w:lang w:val="en-US" w:eastAsia="zh-CN" w:bidi="ar"/>
                    </w:rPr>
                  </w:pPr>
                </w:p>
              </w:tc>
              <w:tc>
                <w:tcPr>
                  <w:tcW w:w="187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left"/>
                    <w:textAlignment w:val="auto"/>
                    <w:rPr>
                      <w:rFonts w:hint="default" w:ascii="Times New Roman" w:hAnsi="Times New Roman" w:eastAsia="宋体" w:cs="Times New Roman"/>
                      <w:color w:val="auto"/>
                      <w:kern w:val="0"/>
                      <w:sz w:val="21"/>
                      <w:szCs w:val="21"/>
                      <w:highlight w:val="none"/>
                      <w:lang w:val="en-US" w:eastAsia="zh-CN" w:bidi="ar"/>
                    </w:rPr>
                  </w:pPr>
                </w:p>
              </w:tc>
              <w:tc>
                <w:tcPr>
                  <w:tcW w:w="164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left"/>
                    <w:textAlignment w:val="auto"/>
                    <w:rPr>
                      <w:rFonts w:hint="default" w:ascii="Times New Roman" w:hAnsi="Times New Roman" w:eastAsia="宋体" w:cs="Times New Roman"/>
                      <w:color w:val="auto"/>
                      <w:kern w:val="0"/>
                      <w:sz w:val="21"/>
                      <w:szCs w:val="21"/>
                      <w:highlight w:val="none"/>
                      <w:lang w:val="en-US" w:eastAsia="zh-CN" w:bidi="ar"/>
                    </w:rPr>
                  </w:pPr>
                </w:p>
              </w:tc>
              <w:tc>
                <w:tcPr>
                  <w:tcW w:w="129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left"/>
                    <w:textAlignment w:val="auto"/>
                    <w:rPr>
                      <w:rFonts w:hint="default" w:ascii="Times New Roman" w:hAnsi="Times New Roman" w:eastAsia="宋体" w:cs="Times New Roman"/>
                      <w:color w:val="auto"/>
                      <w:kern w:val="0"/>
                      <w:sz w:val="21"/>
                      <w:szCs w:val="21"/>
                      <w:highlight w:val="none"/>
                      <w:lang w:val="en-US" w:eastAsia="zh-CN" w:bidi="ar"/>
                    </w:rPr>
                  </w:pPr>
                </w:p>
              </w:tc>
              <w:tc>
                <w:tcPr>
                  <w:tcW w:w="94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4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NH</w:t>
                  </w:r>
                  <w:r>
                    <w:rPr>
                      <w:rFonts w:hint="default" w:ascii="Times New Roman" w:hAnsi="Times New Roman" w:eastAsia="宋体" w:cs="Times New Roman"/>
                      <w:color w:val="auto"/>
                      <w:kern w:val="0"/>
                      <w:sz w:val="13"/>
                      <w:szCs w:val="13"/>
                      <w:highlight w:val="none"/>
                      <w:lang w:val="en-US" w:eastAsia="zh-CN" w:bidi="ar"/>
                    </w:rPr>
                    <w:t>3</w:t>
                  </w:r>
                  <w:r>
                    <w:rPr>
                      <w:rFonts w:hint="default" w:ascii="Times New Roman" w:hAnsi="Times New Roman" w:eastAsia="宋体" w:cs="Times New Roman"/>
                      <w:color w:val="auto"/>
                      <w:kern w:val="0"/>
                      <w:sz w:val="21"/>
                      <w:szCs w:val="21"/>
                      <w:highlight w:val="none"/>
                      <w:lang w:val="en-US" w:eastAsia="zh-CN" w:bidi="ar"/>
                    </w:rPr>
                    <w:t>-N</w:t>
                  </w:r>
                </w:p>
              </w:tc>
              <w:tc>
                <w:tcPr>
                  <w:tcW w:w="1513"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68"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255"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113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left"/>
                    <w:textAlignment w:val="auto"/>
                    <w:rPr>
                      <w:rFonts w:hint="default" w:ascii="Times New Roman" w:hAnsi="Times New Roman" w:eastAsia="宋体" w:cs="Times New Roman"/>
                      <w:color w:val="auto"/>
                      <w:sz w:val="21"/>
                      <w:szCs w:val="21"/>
                      <w:highlight w:val="none"/>
                      <w:vertAlign w:val="baseline"/>
                    </w:rPr>
                  </w:pPr>
                </w:p>
              </w:tc>
              <w:tc>
                <w:tcPr>
                  <w:tcW w:w="139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6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left"/>
                    <w:textAlignment w:val="auto"/>
                    <w:rPr>
                      <w:rFonts w:hint="default" w:ascii="Times New Roman" w:hAnsi="Times New Roman" w:eastAsia="宋体" w:cs="Times New Roman"/>
                      <w:color w:val="auto"/>
                      <w:kern w:val="0"/>
                      <w:sz w:val="21"/>
                      <w:szCs w:val="21"/>
                      <w:highlight w:val="none"/>
                      <w:lang w:val="en-US" w:eastAsia="zh-CN" w:bidi="ar"/>
                    </w:rPr>
                  </w:pPr>
                </w:p>
              </w:tc>
              <w:tc>
                <w:tcPr>
                  <w:tcW w:w="187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left"/>
                    <w:textAlignment w:val="auto"/>
                    <w:rPr>
                      <w:rFonts w:hint="default" w:ascii="Times New Roman" w:hAnsi="Times New Roman" w:eastAsia="宋体" w:cs="Times New Roman"/>
                      <w:color w:val="auto"/>
                      <w:kern w:val="0"/>
                      <w:sz w:val="21"/>
                      <w:szCs w:val="21"/>
                      <w:highlight w:val="none"/>
                      <w:lang w:val="en-US" w:eastAsia="zh-CN" w:bidi="ar"/>
                    </w:rPr>
                  </w:pPr>
                </w:p>
              </w:tc>
              <w:tc>
                <w:tcPr>
                  <w:tcW w:w="164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left"/>
                    <w:textAlignment w:val="auto"/>
                    <w:rPr>
                      <w:rFonts w:hint="default" w:ascii="Times New Roman" w:hAnsi="Times New Roman" w:eastAsia="宋体" w:cs="Times New Roman"/>
                      <w:color w:val="auto"/>
                      <w:kern w:val="0"/>
                      <w:sz w:val="21"/>
                      <w:szCs w:val="21"/>
                      <w:highlight w:val="none"/>
                      <w:lang w:val="en-US" w:eastAsia="zh-CN" w:bidi="ar"/>
                    </w:rPr>
                  </w:pPr>
                </w:p>
              </w:tc>
              <w:tc>
                <w:tcPr>
                  <w:tcW w:w="129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left"/>
                    <w:textAlignment w:val="auto"/>
                    <w:rPr>
                      <w:rFonts w:hint="default" w:ascii="Times New Roman" w:hAnsi="Times New Roman" w:eastAsia="宋体" w:cs="Times New Roman"/>
                      <w:color w:val="auto"/>
                      <w:kern w:val="0"/>
                      <w:sz w:val="21"/>
                      <w:szCs w:val="21"/>
                      <w:highlight w:val="none"/>
                      <w:lang w:val="en-US" w:eastAsia="zh-CN" w:bidi="ar"/>
                    </w:rPr>
                  </w:pPr>
                </w:p>
              </w:tc>
              <w:tc>
                <w:tcPr>
                  <w:tcW w:w="94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4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动植物油</w:t>
                  </w:r>
                </w:p>
              </w:tc>
              <w:tc>
                <w:tcPr>
                  <w:tcW w:w="1513"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w:t>
                  </w:r>
                </w:p>
              </w:tc>
            </w:tr>
          </w:tbl>
          <w:p>
            <w:pPr>
              <w:keepNext w:val="0"/>
              <w:keepLines w:val="0"/>
              <w:pageBreakBefore w:val="0"/>
              <w:widowControl/>
              <w:suppressLineNumbers w:val="0"/>
              <w:kinsoku/>
              <w:wordWrap/>
              <w:overflowPunct/>
              <w:topLinePunct w:val="0"/>
              <w:autoSpaceDE/>
              <w:autoSpaceDN/>
              <w:bidi w:val="0"/>
              <w:adjustRightInd w:val="0"/>
              <w:snapToGrid w:val="0"/>
              <w:spacing w:before="157" w:beforeLines="50" w:line="360" w:lineRule="auto"/>
              <w:ind w:left="0" w:leftChars="0"/>
              <w:jc w:val="center"/>
              <w:textAlignment w:val="auto"/>
              <w:rPr>
                <w:rFonts w:hint="default" w:ascii="Times New Roman" w:hAnsi="Times New Roman" w:eastAsia="宋体" w:cs="Times New Roman"/>
                <w:b/>
                <w:bCs w:val="0"/>
                <w:color w:val="auto"/>
                <w:kern w:val="0"/>
                <w:sz w:val="24"/>
                <w:szCs w:val="24"/>
                <w:highlight w:val="none"/>
                <w:lang w:val="en-US" w:eastAsia="zh-CN" w:bidi="ar"/>
              </w:rPr>
            </w:pPr>
            <w:r>
              <w:rPr>
                <w:rFonts w:hint="default" w:ascii="Times New Roman" w:hAnsi="Times New Roman" w:eastAsia="宋体" w:cs="Times New Roman"/>
                <w:b/>
                <w:bCs w:val="0"/>
                <w:color w:val="auto"/>
                <w:kern w:val="0"/>
                <w:sz w:val="24"/>
                <w:szCs w:val="24"/>
                <w:highlight w:val="none"/>
                <w:lang w:val="en-US" w:eastAsia="zh-CN" w:bidi="ar"/>
              </w:rPr>
              <w:t>表 4</w:t>
            </w:r>
            <w:r>
              <w:rPr>
                <w:rFonts w:hint="eastAsia" w:cs="Times New Roman"/>
                <w:b/>
                <w:bCs w:val="0"/>
                <w:color w:val="auto"/>
                <w:kern w:val="0"/>
                <w:sz w:val="24"/>
                <w:szCs w:val="24"/>
                <w:highlight w:val="none"/>
                <w:lang w:val="en-US" w:eastAsia="zh-CN" w:bidi="ar"/>
              </w:rPr>
              <w:t>.2-19</w:t>
            </w:r>
            <w:r>
              <w:rPr>
                <w:rFonts w:hint="default" w:ascii="Times New Roman" w:hAnsi="Times New Roman" w:eastAsia="宋体" w:cs="Times New Roman"/>
                <w:b/>
                <w:bCs w:val="0"/>
                <w:color w:val="auto"/>
                <w:kern w:val="0"/>
                <w:sz w:val="24"/>
                <w:szCs w:val="24"/>
                <w:highlight w:val="none"/>
                <w:lang w:val="en-US" w:eastAsia="zh-CN" w:bidi="ar"/>
              </w:rPr>
              <w:t>废水污染物排放执行标准</w:t>
            </w:r>
          </w:p>
          <w:tbl>
            <w:tblPr>
              <w:tblStyle w:val="29"/>
              <w:tblW w:w="140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35"/>
              <w:gridCol w:w="2335"/>
              <w:gridCol w:w="2336"/>
              <w:gridCol w:w="2336"/>
              <w:gridCol w:w="2336"/>
              <w:gridCol w:w="23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335" w:type="dxa"/>
                  <w:vMerge w:val="restart"/>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bCs/>
                      <w:color w:val="auto"/>
                      <w:highlight w:val="none"/>
                      <w:vertAlign w:val="baseline"/>
                      <w:lang w:val="en-US" w:eastAsia="zh-CN"/>
                    </w:rPr>
                  </w:pPr>
                  <w:r>
                    <w:rPr>
                      <w:rFonts w:hint="default" w:ascii="Times New Roman" w:hAnsi="Times New Roman" w:eastAsia="宋体" w:cs="Times New Roman"/>
                      <w:b/>
                      <w:bCs/>
                      <w:color w:val="auto"/>
                      <w:highlight w:val="none"/>
                      <w:vertAlign w:val="baseline"/>
                      <w:lang w:val="en-US" w:eastAsia="zh-CN"/>
                    </w:rPr>
                    <w:t>项目</w:t>
                  </w:r>
                </w:p>
              </w:tc>
              <w:tc>
                <w:tcPr>
                  <w:tcW w:w="2335" w:type="dxa"/>
                  <w:vMerge w:val="restart"/>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bCs/>
                      <w:color w:val="auto"/>
                      <w:highlight w:val="none"/>
                      <w:vertAlign w:val="baseline"/>
                      <w:lang w:val="en-US" w:eastAsia="zh-CN"/>
                    </w:rPr>
                  </w:pPr>
                  <w:r>
                    <w:rPr>
                      <w:rFonts w:hint="default" w:ascii="Times New Roman" w:hAnsi="Times New Roman" w:eastAsia="宋体" w:cs="Times New Roman"/>
                      <w:b/>
                      <w:bCs/>
                      <w:color w:val="auto"/>
                      <w:highlight w:val="none"/>
                      <w:vertAlign w:val="baseline"/>
                      <w:lang w:val="en-US" w:eastAsia="zh-CN"/>
                    </w:rPr>
                    <w:t>排放口编号</w:t>
                  </w:r>
                </w:p>
              </w:tc>
              <w:tc>
                <w:tcPr>
                  <w:tcW w:w="2336" w:type="dxa"/>
                  <w:vMerge w:val="restart"/>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bCs/>
                      <w:color w:val="auto"/>
                      <w:highlight w:val="none"/>
                      <w:vertAlign w:val="baseline"/>
                      <w:lang w:val="en-US" w:eastAsia="zh-CN"/>
                    </w:rPr>
                  </w:pPr>
                  <w:r>
                    <w:rPr>
                      <w:rFonts w:hint="default" w:ascii="Times New Roman" w:hAnsi="Times New Roman" w:eastAsia="宋体" w:cs="Times New Roman"/>
                      <w:b/>
                      <w:bCs/>
                      <w:color w:val="auto"/>
                      <w:highlight w:val="none"/>
                      <w:vertAlign w:val="baseline"/>
                      <w:lang w:val="en-US" w:eastAsia="zh-CN"/>
                    </w:rPr>
                    <w:t>污染物种类</w:t>
                  </w:r>
                </w:p>
              </w:tc>
              <w:tc>
                <w:tcPr>
                  <w:tcW w:w="7011"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国家或地方污染物种类排放标准及其他按规定商定的排放协议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335"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rPr>
                  </w:pPr>
                </w:p>
              </w:tc>
              <w:tc>
                <w:tcPr>
                  <w:tcW w:w="2335"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rPr>
                  </w:pPr>
                </w:p>
              </w:tc>
              <w:tc>
                <w:tcPr>
                  <w:tcW w:w="2336"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rPr>
                  </w:pPr>
                </w:p>
              </w:tc>
              <w:tc>
                <w:tcPr>
                  <w:tcW w:w="233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名称</w:t>
                  </w:r>
                </w:p>
              </w:tc>
              <w:tc>
                <w:tcPr>
                  <w:tcW w:w="4675"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浓度限值/（mg/L）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335" w:type="dxa"/>
                  <w:vMerge w:val="restart"/>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vertAlign w:val="baseline"/>
                    </w:rPr>
                  </w:pP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highlight w:val="none"/>
                      <w:vertAlign w:val="baseline"/>
                    </w:rPr>
                  </w:pPr>
                  <w:r>
                    <w:rPr>
                      <w:rFonts w:hint="default" w:ascii="Times New Roman" w:hAnsi="Times New Roman" w:eastAsia="宋体" w:cs="Times New Roman"/>
                      <w:color w:val="auto"/>
                      <w:kern w:val="0"/>
                      <w:sz w:val="21"/>
                      <w:szCs w:val="21"/>
                      <w:highlight w:val="none"/>
                      <w:lang w:val="en-US" w:eastAsia="zh-CN" w:bidi="ar"/>
                    </w:rPr>
                    <w:t>生活污水</w:t>
                  </w:r>
                </w:p>
              </w:tc>
              <w:tc>
                <w:tcPr>
                  <w:tcW w:w="2335" w:type="dxa"/>
                  <w:vMerge w:val="restart"/>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DW001</w:t>
                  </w:r>
                </w:p>
              </w:tc>
              <w:tc>
                <w:tcPr>
                  <w:tcW w:w="2336"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pH、</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COD、</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BOD</w:t>
                  </w:r>
                  <w:r>
                    <w:rPr>
                      <w:rFonts w:hint="default" w:ascii="Times New Roman" w:hAnsi="Times New Roman" w:eastAsia="宋体" w:cs="Times New Roman"/>
                      <w:color w:val="auto"/>
                      <w:kern w:val="0"/>
                      <w:sz w:val="13"/>
                      <w:szCs w:val="13"/>
                      <w:highlight w:val="none"/>
                      <w:lang w:val="en-US" w:eastAsia="zh-CN" w:bidi="ar"/>
                    </w:rPr>
                    <w:t>5</w:t>
                  </w:r>
                  <w:r>
                    <w:rPr>
                      <w:rFonts w:hint="default" w:ascii="Times New Roman" w:hAnsi="Times New Roman" w:eastAsia="宋体" w:cs="Times New Roman"/>
                      <w:color w:val="auto"/>
                      <w:kern w:val="0"/>
                      <w:sz w:val="21"/>
                      <w:szCs w:val="21"/>
                      <w:highlight w:val="none"/>
                      <w:lang w:val="en-US" w:eastAsia="zh-CN" w:bidi="ar"/>
                    </w:rPr>
                    <w:t>、</w:t>
                  </w:r>
                </w:p>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SS、</w:t>
                  </w:r>
                </w:p>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eastAsia"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NH</w:t>
                  </w:r>
                  <w:r>
                    <w:rPr>
                      <w:rFonts w:hint="default" w:ascii="Times New Roman" w:hAnsi="Times New Roman" w:eastAsia="宋体" w:cs="Times New Roman"/>
                      <w:color w:val="auto"/>
                      <w:kern w:val="0"/>
                      <w:sz w:val="13"/>
                      <w:szCs w:val="13"/>
                      <w:highlight w:val="none"/>
                      <w:lang w:val="en-US" w:eastAsia="zh-CN" w:bidi="ar"/>
                    </w:rPr>
                    <w:t>3</w:t>
                  </w:r>
                  <w:r>
                    <w:rPr>
                      <w:rFonts w:hint="default" w:ascii="Times New Roman" w:hAnsi="Times New Roman" w:eastAsia="宋体" w:cs="Times New Roman"/>
                      <w:color w:val="auto"/>
                      <w:kern w:val="0"/>
                      <w:sz w:val="21"/>
                      <w:szCs w:val="21"/>
                      <w:highlight w:val="none"/>
                      <w:lang w:val="en-US" w:eastAsia="zh-CN" w:bidi="ar"/>
                    </w:rPr>
                    <w:t>-N</w:t>
                  </w:r>
                  <w:r>
                    <w:rPr>
                      <w:rFonts w:hint="eastAsia" w:cs="Times New Roman"/>
                      <w:color w:val="auto"/>
                      <w:kern w:val="0"/>
                      <w:sz w:val="21"/>
                      <w:szCs w:val="21"/>
                      <w:highlight w:val="none"/>
                      <w:lang w:val="en-US" w:eastAsia="zh-CN" w:bidi="ar"/>
                    </w:rPr>
                    <w:t>、</w:t>
                  </w:r>
                </w:p>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vertAlign w:val="baseline"/>
                      <w:lang w:val="en-US"/>
                    </w:rPr>
                  </w:pPr>
                  <w:r>
                    <w:rPr>
                      <w:rFonts w:hint="eastAsia" w:cs="Times New Roman"/>
                      <w:color w:val="auto"/>
                      <w:kern w:val="0"/>
                      <w:sz w:val="21"/>
                      <w:szCs w:val="21"/>
                      <w:highlight w:val="none"/>
                      <w:lang w:val="en-US" w:eastAsia="zh-CN" w:bidi="ar"/>
                    </w:rPr>
                    <w:t>动植物油</w:t>
                  </w:r>
                </w:p>
              </w:tc>
              <w:tc>
                <w:tcPr>
                  <w:tcW w:w="2336"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《污水综合排放标准》（GB8978-1996）表 4 三级标准；</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highlight w:val="none"/>
                      <w:vertAlign w:val="baseline"/>
                    </w:rPr>
                  </w:pPr>
                  <w:r>
                    <w:rPr>
                      <w:rFonts w:hint="default" w:ascii="Times New Roman" w:hAnsi="Times New Roman" w:eastAsia="宋体" w:cs="Times New Roman"/>
                      <w:color w:val="auto"/>
                      <w:kern w:val="0"/>
                      <w:sz w:val="21"/>
                      <w:szCs w:val="21"/>
                      <w:highlight w:val="none"/>
                      <w:lang w:val="en-US" w:eastAsia="zh-CN" w:bidi="ar"/>
                    </w:rPr>
                    <w:t>《污水排入城镇下水道水质标准》（GB/T31962-2015）表1中B级标准</w:t>
                  </w:r>
                </w:p>
              </w:tc>
              <w:tc>
                <w:tcPr>
                  <w:tcW w:w="23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highlight w:val="none"/>
                      <w:vertAlign w:val="baseline"/>
                    </w:rPr>
                  </w:pPr>
                  <w:r>
                    <w:rPr>
                      <w:rFonts w:hint="default" w:ascii="Times New Roman" w:hAnsi="Times New Roman" w:eastAsia="宋体" w:cs="Times New Roman"/>
                      <w:color w:val="auto"/>
                      <w:kern w:val="0"/>
                      <w:sz w:val="21"/>
                      <w:szCs w:val="21"/>
                      <w:highlight w:val="none"/>
                      <w:lang w:val="en-US" w:eastAsia="zh-CN" w:bidi="ar"/>
                    </w:rPr>
                    <w:t>pH</w:t>
                  </w:r>
                </w:p>
              </w:tc>
              <w:tc>
                <w:tcPr>
                  <w:tcW w:w="2339"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335"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vertAlign w:val="baseline"/>
                    </w:rPr>
                  </w:pPr>
                </w:p>
              </w:tc>
              <w:tc>
                <w:tcPr>
                  <w:tcW w:w="2335"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vertAlign w:val="baseline"/>
                    </w:rPr>
                  </w:pPr>
                </w:p>
              </w:tc>
              <w:tc>
                <w:tcPr>
                  <w:tcW w:w="2336"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vertAlign w:val="baseline"/>
                    </w:rPr>
                  </w:pPr>
                </w:p>
              </w:tc>
              <w:tc>
                <w:tcPr>
                  <w:tcW w:w="2336"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vertAlign w:val="baseline"/>
                    </w:rPr>
                  </w:pPr>
                </w:p>
              </w:tc>
              <w:tc>
                <w:tcPr>
                  <w:tcW w:w="23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highlight w:val="none"/>
                      <w:vertAlign w:val="baseline"/>
                    </w:rPr>
                  </w:pPr>
                  <w:r>
                    <w:rPr>
                      <w:rFonts w:hint="default" w:ascii="Times New Roman" w:hAnsi="Times New Roman" w:eastAsia="宋体" w:cs="Times New Roman"/>
                      <w:color w:val="auto"/>
                      <w:kern w:val="0"/>
                      <w:sz w:val="21"/>
                      <w:szCs w:val="21"/>
                      <w:highlight w:val="none"/>
                      <w:lang w:val="en-US" w:eastAsia="zh-CN" w:bidi="ar"/>
                    </w:rPr>
                    <w:t>COD</w:t>
                  </w:r>
                </w:p>
              </w:tc>
              <w:tc>
                <w:tcPr>
                  <w:tcW w:w="2339"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vertAlign w:val="baseline"/>
                      <w:lang w:val="en-US"/>
                    </w:rPr>
                  </w:pPr>
                  <w:r>
                    <w:rPr>
                      <w:rFonts w:hint="default" w:ascii="Times New Roman" w:hAnsi="Times New Roman" w:eastAsia="宋体" w:cs="Times New Roman"/>
                      <w:color w:val="auto"/>
                      <w:sz w:val="21"/>
                      <w:szCs w:val="21"/>
                      <w:highlight w:val="none"/>
                      <w:vertAlign w:val="baseline"/>
                      <w:lang w:val="en-US" w:eastAsia="zh-CN"/>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335"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vertAlign w:val="baseline"/>
                    </w:rPr>
                  </w:pPr>
                </w:p>
              </w:tc>
              <w:tc>
                <w:tcPr>
                  <w:tcW w:w="2335"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vertAlign w:val="baseline"/>
                    </w:rPr>
                  </w:pPr>
                </w:p>
              </w:tc>
              <w:tc>
                <w:tcPr>
                  <w:tcW w:w="2336"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vertAlign w:val="baseline"/>
                    </w:rPr>
                  </w:pPr>
                </w:p>
              </w:tc>
              <w:tc>
                <w:tcPr>
                  <w:tcW w:w="2336"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vertAlign w:val="baseline"/>
                    </w:rPr>
                  </w:pPr>
                </w:p>
              </w:tc>
              <w:tc>
                <w:tcPr>
                  <w:tcW w:w="23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highlight w:val="none"/>
                      <w:vertAlign w:val="baseline"/>
                    </w:rPr>
                  </w:pPr>
                  <w:r>
                    <w:rPr>
                      <w:rFonts w:hint="default" w:ascii="Times New Roman" w:hAnsi="Times New Roman" w:eastAsia="宋体" w:cs="Times New Roman"/>
                      <w:color w:val="auto"/>
                      <w:kern w:val="0"/>
                      <w:sz w:val="21"/>
                      <w:szCs w:val="21"/>
                      <w:highlight w:val="none"/>
                      <w:lang w:val="en-US" w:eastAsia="zh-CN" w:bidi="ar"/>
                    </w:rPr>
                    <w:t>BOD</w:t>
                  </w:r>
                  <w:r>
                    <w:rPr>
                      <w:rFonts w:hint="default" w:ascii="Times New Roman" w:hAnsi="Times New Roman" w:eastAsia="宋体" w:cs="Times New Roman"/>
                      <w:color w:val="auto"/>
                      <w:kern w:val="0"/>
                      <w:sz w:val="13"/>
                      <w:szCs w:val="13"/>
                      <w:highlight w:val="none"/>
                      <w:lang w:val="en-US" w:eastAsia="zh-CN" w:bidi="ar"/>
                    </w:rPr>
                    <w:t>5</w:t>
                  </w:r>
                </w:p>
              </w:tc>
              <w:tc>
                <w:tcPr>
                  <w:tcW w:w="2339"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vertAlign w:val="baseline"/>
                      <w:lang w:val="en-US"/>
                    </w:rPr>
                  </w:pPr>
                  <w:r>
                    <w:rPr>
                      <w:rFonts w:hint="default" w:ascii="Times New Roman" w:hAnsi="Times New Roman" w:eastAsia="宋体" w:cs="Times New Roman"/>
                      <w:color w:val="auto"/>
                      <w:sz w:val="21"/>
                      <w:szCs w:val="21"/>
                      <w:highlight w:val="none"/>
                      <w:vertAlign w:val="baseline"/>
                      <w:lang w:val="en-US" w:eastAsia="zh-CN"/>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335"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vertAlign w:val="baseline"/>
                    </w:rPr>
                  </w:pPr>
                </w:p>
              </w:tc>
              <w:tc>
                <w:tcPr>
                  <w:tcW w:w="2335"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vertAlign w:val="baseline"/>
                    </w:rPr>
                  </w:pPr>
                </w:p>
              </w:tc>
              <w:tc>
                <w:tcPr>
                  <w:tcW w:w="2336"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vertAlign w:val="baseline"/>
                    </w:rPr>
                  </w:pPr>
                </w:p>
              </w:tc>
              <w:tc>
                <w:tcPr>
                  <w:tcW w:w="2336"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vertAlign w:val="baseline"/>
                    </w:rPr>
                  </w:pPr>
                </w:p>
              </w:tc>
              <w:tc>
                <w:tcPr>
                  <w:tcW w:w="23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highlight w:val="none"/>
                      <w:vertAlign w:val="baseline"/>
                    </w:rPr>
                  </w:pPr>
                  <w:r>
                    <w:rPr>
                      <w:rFonts w:hint="default" w:ascii="Times New Roman" w:hAnsi="Times New Roman" w:eastAsia="宋体" w:cs="Times New Roman"/>
                      <w:color w:val="auto"/>
                      <w:kern w:val="0"/>
                      <w:sz w:val="21"/>
                      <w:szCs w:val="21"/>
                      <w:highlight w:val="none"/>
                      <w:lang w:val="en-US" w:eastAsia="zh-CN" w:bidi="ar"/>
                    </w:rPr>
                    <w:t>SS</w:t>
                  </w:r>
                </w:p>
              </w:tc>
              <w:tc>
                <w:tcPr>
                  <w:tcW w:w="2339"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vertAlign w:val="baseline"/>
                      <w:lang w:val="en-US"/>
                    </w:rPr>
                  </w:pPr>
                  <w:r>
                    <w:rPr>
                      <w:rFonts w:hint="default" w:ascii="Times New Roman" w:hAnsi="Times New Roman" w:eastAsia="宋体" w:cs="Times New Roman"/>
                      <w:color w:val="auto"/>
                      <w:sz w:val="21"/>
                      <w:szCs w:val="21"/>
                      <w:highlight w:val="none"/>
                      <w:vertAlign w:val="baseline"/>
                      <w:lang w:val="en-US" w:eastAsia="zh-CN"/>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335"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vertAlign w:val="baseline"/>
                    </w:rPr>
                  </w:pPr>
                </w:p>
              </w:tc>
              <w:tc>
                <w:tcPr>
                  <w:tcW w:w="2335"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vertAlign w:val="baseline"/>
                    </w:rPr>
                  </w:pPr>
                </w:p>
              </w:tc>
              <w:tc>
                <w:tcPr>
                  <w:tcW w:w="2336"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vertAlign w:val="baseline"/>
                    </w:rPr>
                  </w:pPr>
                </w:p>
              </w:tc>
              <w:tc>
                <w:tcPr>
                  <w:tcW w:w="2336"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vertAlign w:val="baseline"/>
                    </w:rPr>
                  </w:pPr>
                </w:p>
              </w:tc>
              <w:tc>
                <w:tcPr>
                  <w:tcW w:w="23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highlight w:val="none"/>
                      <w:vertAlign w:val="baseline"/>
                    </w:rPr>
                  </w:pPr>
                  <w:r>
                    <w:rPr>
                      <w:rFonts w:hint="default" w:ascii="Times New Roman" w:hAnsi="Times New Roman" w:eastAsia="宋体" w:cs="Times New Roman"/>
                      <w:color w:val="auto"/>
                      <w:kern w:val="0"/>
                      <w:sz w:val="21"/>
                      <w:szCs w:val="21"/>
                      <w:highlight w:val="none"/>
                      <w:lang w:val="en-US" w:eastAsia="zh-CN" w:bidi="ar"/>
                    </w:rPr>
                    <w:t>NH</w:t>
                  </w:r>
                  <w:r>
                    <w:rPr>
                      <w:rFonts w:hint="default" w:ascii="Times New Roman" w:hAnsi="Times New Roman" w:eastAsia="宋体" w:cs="Times New Roman"/>
                      <w:color w:val="auto"/>
                      <w:kern w:val="0"/>
                      <w:sz w:val="13"/>
                      <w:szCs w:val="13"/>
                      <w:highlight w:val="none"/>
                      <w:lang w:val="en-US" w:eastAsia="zh-CN" w:bidi="ar"/>
                    </w:rPr>
                    <w:t>3</w:t>
                  </w:r>
                  <w:r>
                    <w:rPr>
                      <w:rFonts w:hint="default" w:ascii="Times New Roman" w:hAnsi="Times New Roman" w:eastAsia="宋体" w:cs="Times New Roman"/>
                      <w:color w:val="auto"/>
                      <w:kern w:val="0"/>
                      <w:sz w:val="21"/>
                      <w:szCs w:val="21"/>
                      <w:highlight w:val="none"/>
                      <w:lang w:val="en-US" w:eastAsia="zh-CN" w:bidi="ar"/>
                    </w:rPr>
                    <w:t>-N</w:t>
                  </w:r>
                </w:p>
              </w:tc>
              <w:tc>
                <w:tcPr>
                  <w:tcW w:w="2339"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vertAlign w:val="baseline"/>
                      <w:lang w:val="en-US"/>
                    </w:rPr>
                  </w:pPr>
                  <w:r>
                    <w:rPr>
                      <w:rFonts w:hint="eastAsia" w:cs="Times New Roman"/>
                      <w:color w:val="auto"/>
                      <w:sz w:val="21"/>
                      <w:szCs w:val="21"/>
                      <w:highlight w:val="none"/>
                      <w:vertAlign w:val="baseline"/>
                      <w:lang w:val="en-US" w:eastAsia="zh-CN"/>
                    </w:rPr>
                    <w:t>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335"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vertAlign w:val="baseline"/>
                    </w:rPr>
                  </w:pPr>
                </w:p>
              </w:tc>
              <w:tc>
                <w:tcPr>
                  <w:tcW w:w="2335"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vertAlign w:val="baseline"/>
                    </w:rPr>
                  </w:pPr>
                </w:p>
              </w:tc>
              <w:tc>
                <w:tcPr>
                  <w:tcW w:w="2336"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vertAlign w:val="baseline"/>
                    </w:rPr>
                  </w:pPr>
                </w:p>
              </w:tc>
              <w:tc>
                <w:tcPr>
                  <w:tcW w:w="2336"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vertAlign w:val="baseline"/>
                    </w:rPr>
                  </w:pPr>
                </w:p>
              </w:tc>
              <w:tc>
                <w:tcPr>
                  <w:tcW w:w="23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动植物油</w:t>
                  </w:r>
                </w:p>
              </w:tc>
              <w:tc>
                <w:tcPr>
                  <w:tcW w:w="2339"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100</w:t>
                  </w:r>
                </w:p>
              </w:tc>
            </w:tr>
          </w:tbl>
          <w:p>
            <w:pPr>
              <w:spacing w:line="360" w:lineRule="auto"/>
              <w:jc w:val="left"/>
              <w:rPr>
                <w:bCs/>
                <w:color w:val="auto"/>
                <w:kern w:val="0"/>
                <w:sz w:val="24"/>
                <w:highlight w:val="none"/>
              </w:rPr>
            </w:pPr>
          </w:p>
        </w:tc>
      </w:tr>
    </w:tbl>
    <w:p>
      <w:pPr>
        <w:adjustRightInd w:val="0"/>
        <w:snapToGrid w:val="0"/>
        <w:spacing w:line="360" w:lineRule="auto"/>
        <w:rPr>
          <w:rFonts w:ascii="宋体" w:cs="宋体"/>
          <w:b/>
          <w:color w:val="auto"/>
          <w:kern w:val="0"/>
          <w:sz w:val="28"/>
          <w:szCs w:val="28"/>
          <w:highlight w:val="none"/>
        </w:rPr>
        <w:sectPr>
          <w:pgSz w:w="16840" w:h="11907" w:orient="landscape"/>
          <w:pgMar w:top="1531" w:right="1134" w:bottom="1531" w:left="1134"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6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76" w:hRule="atLeast"/>
          <w:jc w:val="center"/>
        </w:trPr>
        <w:tc>
          <w:tcPr>
            <w:tcW w:w="426" w:type="dxa"/>
            <w:vAlign w:val="center"/>
          </w:tcPr>
          <w:p>
            <w:pPr>
              <w:adjustRightInd w:val="0"/>
              <w:snapToGrid w:val="0"/>
              <w:jc w:val="center"/>
              <w:rPr>
                <w:bCs/>
                <w:color w:val="auto"/>
                <w:szCs w:val="21"/>
                <w:highlight w:val="none"/>
              </w:rPr>
            </w:pPr>
            <w:r>
              <w:rPr>
                <w:bCs/>
                <w:color w:val="auto"/>
                <w:szCs w:val="21"/>
                <w:highlight w:val="none"/>
              </w:rPr>
              <w:t>运营</w:t>
            </w:r>
          </w:p>
          <w:p>
            <w:pPr>
              <w:adjustRightInd w:val="0"/>
              <w:snapToGrid w:val="0"/>
              <w:jc w:val="center"/>
              <w:rPr>
                <w:bCs/>
                <w:color w:val="auto"/>
                <w:szCs w:val="21"/>
                <w:highlight w:val="none"/>
              </w:rPr>
            </w:pPr>
            <w:r>
              <w:rPr>
                <w:bCs/>
                <w:color w:val="auto"/>
                <w:szCs w:val="21"/>
                <w:highlight w:val="none"/>
              </w:rPr>
              <w:t>期环</w:t>
            </w:r>
          </w:p>
          <w:p>
            <w:pPr>
              <w:adjustRightInd w:val="0"/>
              <w:snapToGrid w:val="0"/>
              <w:jc w:val="center"/>
              <w:rPr>
                <w:bCs/>
                <w:color w:val="auto"/>
                <w:szCs w:val="21"/>
                <w:highlight w:val="none"/>
              </w:rPr>
            </w:pPr>
            <w:r>
              <w:rPr>
                <w:bCs/>
                <w:color w:val="auto"/>
                <w:szCs w:val="21"/>
                <w:highlight w:val="none"/>
              </w:rPr>
              <w:t>境影</w:t>
            </w:r>
          </w:p>
          <w:p>
            <w:pPr>
              <w:adjustRightInd w:val="0"/>
              <w:snapToGrid w:val="0"/>
              <w:jc w:val="center"/>
              <w:rPr>
                <w:bCs/>
                <w:color w:val="auto"/>
                <w:szCs w:val="21"/>
                <w:highlight w:val="none"/>
              </w:rPr>
            </w:pPr>
            <w:r>
              <w:rPr>
                <w:bCs/>
                <w:color w:val="auto"/>
                <w:szCs w:val="21"/>
                <w:highlight w:val="none"/>
              </w:rPr>
              <w:t>响和</w:t>
            </w:r>
          </w:p>
          <w:p>
            <w:pPr>
              <w:adjustRightInd w:val="0"/>
              <w:snapToGrid w:val="0"/>
              <w:jc w:val="center"/>
              <w:rPr>
                <w:bCs/>
                <w:color w:val="auto"/>
                <w:szCs w:val="21"/>
                <w:highlight w:val="none"/>
              </w:rPr>
            </w:pPr>
            <w:r>
              <w:rPr>
                <w:bCs/>
                <w:color w:val="auto"/>
                <w:szCs w:val="21"/>
                <w:highlight w:val="none"/>
              </w:rPr>
              <w:t>保护</w:t>
            </w:r>
          </w:p>
          <w:p>
            <w:pPr>
              <w:adjustRightInd w:val="0"/>
              <w:snapToGrid w:val="0"/>
              <w:jc w:val="center"/>
              <w:rPr>
                <w:color w:val="auto"/>
                <w:szCs w:val="21"/>
                <w:highlight w:val="none"/>
              </w:rPr>
            </w:pPr>
            <w:r>
              <w:rPr>
                <w:bCs/>
                <w:color w:val="auto"/>
                <w:szCs w:val="21"/>
                <w:highlight w:val="none"/>
              </w:rPr>
              <w:t>措施</w:t>
            </w:r>
          </w:p>
        </w:tc>
        <w:tc>
          <w:tcPr>
            <w:tcW w:w="8634" w:type="dxa"/>
            <w:tcBorders>
              <w:bottom w:val="single" w:color="auto" w:sz="4" w:space="0"/>
            </w:tcBorders>
            <w:vAlign w:val="top"/>
          </w:tcPr>
          <w:p>
            <w:pPr>
              <w:pStyle w:val="34"/>
              <w:keepNext w:val="0"/>
              <w:keepLines w:val="0"/>
              <w:pageBreakBefore w:val="0"/>
              <w:widowControl w:val="0"/>
              <w:kinsoku/>
              <w:wordWrap/>
              <w:overflowPunct/>
              <w:topLinePunct w:val="0"/>
              <w:autoSpaceDE/>
              <w:autoSpaceDN/>
              <w:bidi w:val="0"/>
              <w:adjustRightInd w:val="0"/>
              <w:snapToGrid w:val="0"/>
              <w:spacing w:before="157" w:beforeLines="50" w:after="0" w:line="360" w:lineRule="auto"/>
              <w:ind w:left="0" w:leftChars="0" w:firstLine="0" w:firstLineChars="0"/>
              <w:textAlignment w:val="auto"/>
              <w:rPr>
                <w:rFonts w:hint="default" w:ascii="Times New Roman" w:hAnsi="Times New Roman" w:cs="Times New Roman"/>
                <w:b/>
                <w:bCs/>
                <w:color w:val="auto"/>
                <w:kern w:val="2"/>
                <w:highlight w:val="none"/>
              </w:rPr>
            </w:pPr>
            <w:r>
              <w:rPr>
                <w:rFonts w:hint="default" w:ascii="Times New Roman" w:hAnsi="Times New Roman" w:eastAsia="宋体" w:cs="Times New Roman"/>
                <w:b/>
                <w:bCs/>
                <w:color w:val="auto"/>
                <w:spacing w:val="-10"/>
                <w:sz w:val="24"/>
                <w:highlight w:val="none"/>
                <w:lang w:val="en-US" w:eastAsia="zh-CN"/>
              </w:rPr>
              <w:t>4.2</w:t>
            </w:r>
            <w:r>
              <w:rPr>
                <w:rFonts w:hint="default" w:ascii="Times New Roman" w:hAnsi="Times New Roman" w:eastAsia="宋体" w:cs="Times New Roman"/>
                <w:b/>
                <w:bCs/>
                <w:color w:val="auto"/>
                <w:spacing w:val="-10"/>
                <w:sz w:val="24"/>
                <w:szCs w:val="24"/>
                <w:highlight w:val="none"/>
                <w:lang w:val="en-US" w:eastAsia="zh-CN"/>
              </w:rPr>
              <w:t>.2.</w:t>
            </w:r>
            <w:r>
              <w:rPr>
                <w:rFonts w:hint="eastAsia" w:ascii="Times New Roman" w:hAnsi="Times New Roman" w:eastAsia="宋体" w:cs="Times New Roman"/>
                <w:b/>
                <w:bCs/>
                <w:color w:val="auto"/>
                <w:spacing w:val="-10"/>
                <w:sz w:val="24"/>
                <w:szCs w:val="24"/>
                <w:highlight w:val="none"/>
                <w:lang w:val="en-US" w:eastAsia="zh-CN"/>
              </w:rPr>
              <w:t>2</w:t>
            </w:r>
            <w:r>
              <w:rPr>
                <w:rFonts w:hint="default" w:ascii="Times New Roman" w:hAnsi="Times New Roman" w:eastAsia="宋体" w:cs="Times New Roman"/>
                <w:b/>
                <w:bCs/>
                <w:color w:val="auto"/>
                <w:spacing w:val="-10"/>
                <w:sz w:val="24"/>
                <w:szCs w:val="24"/>
                <w:highlight w:val="none"/>
                <w:lang w:val="en-US" w:eastAsia="zh-CN"/>
              </w:rPr>
              <w:t>、</w:t>
            </w:r>
            <w:r>
              <w:rPr>
                <w:rFonts w:hint="default" w:ascii="Times New Roman" w:hAnsi="Times New Roman" w:eastAsia="宋体" w:cs="Times New Roman"/>
                <w:b/>
                <w:bCs/>
                <w:color w:val="auto"/>
                <w:kern w:val="2"/>
                <w:highlight w:val="none"/>
              </w:rPr>
              <w:t>废</w:t>
            </w:r>
            <w:r>
              <w:rPr>
                <w:rFonts w:hint="default" w:ascii="Times New Roman" w:hAnsi="Times New Roman" w:eastAsia="宋体" w:cs="Times New Roman"/>
                <w:b/>
                <w:bCs/>
                <w:color w:val="auto"/>
                <w:kern w:val="2"/>
                <w:highlight w:val="none"/>
                <w:lang w:val="en-US" w:eastAsia="zh-CN"/>
              </w:rPr>
              <w:t>水</w:t>
            </w:r>
            <w:r>
              <w:rPr>
                <w:rFonts w:hint="default" w:ascii="Times New Roman" w:hAnsi="Times New Roman" w:cs="Times New Roman"/>
                <w:b/>
                <w:bCs/>
                <w:color w:val="auto"/>
                <w:kern w:val="2"/>
                <w:highlight w:val="none"/>
              </w:rPr>
              <w:t>污染治理措施</w:t>
            </w:r>
            <w:r>
              <w:rPr>
                <w:rFonts w:hint="default" w:ascii="Times New Roman" w:hAnsi="Times New Roman" w:cs="Times New Roman"/>
                <w:b/>
                <w:bCs/>
                <w:color w:val="auto"/>
                <w:kern w:val="2"/>
                <w:highlight w:val="none"/>
                <w:lang w:val="en-US" w:eastAsia="zh-CN"/>
              </w:rPr>
              <w:t>可行性分析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color w:val="auto"/>
                <w:sz w:val="24"/>
                <w:szCs w:val="24"/>
                <w:highlight w:val="none"/>
              </w:rPr>
              <w:t>项目</w:t>
            </w:r>
            <w:r>
              <w:rPr>
                <w:rFonts w:hint="default" w:ascii="Times New Roman" w:hAnsi="Times New Roman" w:cs="Times New Roman"/>
                <w:color w:val="auto"/>
                <w:sz w:val="24"/>
                <w:szCs w:val="24"/>
                <w:highlight w:val="none"/>
                <w:lang w:val="en-US" w:eastAsia="zh-CN"/>
              </w:rPr>
              <w:t>外排</w:t>
            </w:r>
            <w:r>
              <w:rPr>
                <w:rFonts w:hint="default" w:ascii="Times New Roman" w:hAnsi="Times New Roman" w:eastAsia="宋体" w:cs="Times New Roman"/>
                <w:color w:val="auto"/>
                <w:sz w:val="24"/>
                <w:szCs w:val="24"/>
                <w:highlight w:val="none"/>
              </w:rPr>
              <w:t>废水主要为职工生活污水，</w:t>
            </w:r>
            <w:r>
              <w:rPr>
                <w:rFonts w:hint="default" w:ascii="Times New Roman" w:hAnsi="Times New Roman" w:eastAsia="宋体" w:cs="Times New Roman"/>
                <w:color w:val="auto"/>
                <w:sz w:val="24"/>
                <w:szCs w:val="24"/>
                <w:highlight w:val="none"/>
                <w:lang w:val="en-US" w:eastAsia="zh-CN"/>
              </w:rPr>
              <w:t>产生</w:t>
            </w:r>
            <w:r>
              <w:rPr>
                <w:rFonts w:hint="default" w:ascii="Times New Roman" w:hAnsi="Times New Roman" w:eastAsia="宋体" w:cs="Times New Roman"/>
                <w:color w:val="auto"/>
                <w:sz w:val="24"/>
                <w:szCs w:val="24"/>
                <w:highlight w:val="none"/>
              </w:rPr>
              <w:t>量为</w:t>
            </w:r>
            <w:r>
              <w:rPr>
                <w:rFonts w:hint="eastAsia" w:cs="Times New Roman"/>
                <w:color w:val="auto"/>
                <w:sz w:val="24"/>
                <w:szCs w:val="24"/>
                <w:highlight w:val="none"/>
                <w:lang w:val="en-US" w:eastAsia="zh-CN"/>
              </w:rPr>
              <w:t>2460</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8.2</w:t>
            </w:r>
            <w:r>
              <w:rPr>
                <w:rFonts w:hint="default" w:ascii="Times New Roman" w:hAnsi="Times New Roman" w:eastAsia="宋体" w:cs="Times New Roman"/>
                <w:color w:val="auto"/>
                <w:sz w:val="24"/>
                <w:szCs w:val="24"/>
                <w:highlight w:val="none"/>
              </w:rPr>
              <w:t>t/</w:t>
            </w:r>
            <w:r>
              <w:rPr>
                <w:rFonts w:hint="default" w:ascii="Times New Roman" w:hAnsi="Times New Roman" w:eastAsia="宋体" w:cs="Times New Roman"/>
                <w:color w:val="auto"/>
                <w:sz w:val="24"/>
                <w:szCs w:val="24"/>
                <w:highlight w:val="none"/>
                <w:lang w:val="en-US" w:eastAsia="zh-CN"/>
              </w:rPr>
              <w:t>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，生活污水主要由卫生间废水组成，主要含有机物和悬浮物，</w:t>
            </w:r>
            <w:r>
              <w:rPr>
                <w:rFonts w:hint="default" w:ascii="Times New Roman" w:hAnsi="Times New Roman" w:eastAsia="宋体" w:cs="Times New Roman"/>
                <w:color w:val="auto"/>
                <w:sz w:val="24"/>
                <w:szCs w:val="24"/>
                <w:highlight w:val="none"/>
                <w:lang w:val="en-US" w:eastAsia="zh-CN"/>
              </w:rPr>
              <w:t>项目生活污水</w:t>
            </w:r>
            <w:r>
              <w:rPr>
                <w:rFonts w:hint="default" w:ascii="Times New Roman" w:hAnsi="Times New Roman" w:eastAsia="宋体" w:cs="Times New Roman"/>
                <w:color w:val="auto"/>
                <w:sz w:val="24"/>
                <w:szCs w:val="24"/>
                <w:highlight w:val="none"/>
              </w:rPr>
              <w:t>水量小，污染物浓度低，处理难度小。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项目</w:t>
            </w:r>
            <w:r>
              <w:rPr>
                <w:rFonts w:hint="eastAsia" w:ascii="Times New Roman" w:hAnsi="Times New Roman" w:eastAsia="宋体" w:cs="Times New Roman"/>
                <w:color w:val="auto"/>
                <w:sz w:val="24"/>
                <w:highlight w:val="none"/>
              </w:rPr>
              <w:t>食堂废水经隔油池处理后，汇同职工日常生活污水一起纳入化粪池</w:t>
            </w:r>
            <w:r>
              <w:rPr>
                <w:rFonts w:hint="default" w:ascii="Times New Roman" w:hAnsi="Times New Roman" w:eastAsia="宋体" w:cs="Times New Roman"/>
                <w:color w:val="auto"/>
                <w:sz w:val="24"/>
                <w:highlight w:val="none"/>
                <w:lang w:val="en-US" w:eastAsia="zh-CN"/>
              </w:rPr>
              <w:t>预处理达《污水综合排放标准》（GB8978-1996）表4三级标准（其中未规定NH</w:t>
            </w:r>
            <w:r>
              <w:rPr>
                <w:rFonts w:hint="default" w:ascii="Times New Roman" w:hAnsi="Times New Roman" w:eastAsia="宋体" w:cs="Times New Roman"/>
                <w:color w:val="auto"/>
                <w:sz w:val="24"/>
                <w:highlight w:val="none"/>
                <w:vertAlign w:val="subscript"/>
                <w:lang w:val="en-US" w:eastAsia="zh-CN"/>
              </w:rPr>
              <w:t>3</w:t>
            </w:r>
            <w:r>
              <w:rPr>
                <w:rFonts w:hint="default" w:ascii="Times New Roman" w:hAnsi="Times New Roman" w:eastAsia="宋体" w:cs="Times New Roman"/>
                <w:color w:val="auto"/>
                <w:sz w:val="24"/>
                <w:highlight w:val="none"/>
                <w:lang w:val="en-US" w:eastAsia="zh-CN"/>
              </w:rPr>
              <w:t>-N排放指标，NH</w:t>
            </w:r>
            <w:r>
              <w:rPr>
                <w:rFonts w:hint="default" w:ascii="Times New Roman" w:hAnsi="Times New Roman" w:eastAsia="宋体" w:cs="Times New Roman"/>
                <w:color w:val="auto"/>
                <w:sz w:val="24"/>
                <w:highlight w:val="none"/>
                <w:vertAlign w:val="subscript"/>
                <w:lang w:val="en-US" w:eastAsia="zh-CN"/>
              </w:rPr>
              <w:t>3</w:t>
            </w:r>
            <w:r>
              <w:rPr>
                <w:rFonts w:hint="default" w:ascii="Times New Roman" w:hAnsi="Times New Roman" w:eastAsia="宋体" w:cs="Times New Roman"/>
                <w:color w:val="auto"/>
                <w:sz w:val="24"/>
                <w:highlight w:val="none"/>
                <w:lang w:val="en-US" w:eastAsia="zh-CN"/>
              </w:rPr>
              <w:t>-N指标参照《污水排入城镇下水道水质标准》（GB/T31962-2015）表1中B等级标准（NH</w:t>
            </w:r>
            <w:r>
              <w:rPr>
                <w:rFonts w:hint="default" w:ascii="Times New Roman" w:hAnsi="Times New Roman" w:eastAsia="宋体" w:cs="Times New Roman"/>
                <w:color w:val="auto"/>
                <w:sz w:val="24"/>
                <w:highlight w:val="none"/>
                <w:vertAlign w:val="subscript"/>
                <w:lang w:val="en-US" w:eastAsia="zh-CN"/>
              </w:rPr>
              <w:t>3</w:t>
            </w:r>
            <w:r>
              <w:rPr>
                <w:rFonts w:hint="default" w:ascii="Times New Roman" w:hAnsi="Times New Roman" w:eastAsia="宋体" w:cs="Times New Roman"/>
                <w:color w:val="auto"/>
                <w:sz w:val="24"/>
                <w:highlight w:val="none"/>
                <w:lang w:val="en-US" w:eastAsia="zh-CN"/>
              </w:rPr>
              <w:t>-N≤45mg/L））后，通过市政污水管网纳入南安市污水处理厂处理达《城镇污水处理厂污染物排放标准》（GB18918-2002）表1中一级</w:t>
            </w:r>
            <w:r>
              <w:rPr>
                <w:rFonts w:hint="eastAsia" w:ascii="Times New Roman" w:hAnsi="Times New Roman" w:eastAsia="宋体" w:cs="Times New Roman"/>
                <w:color w:val="auto"/>
                <w:sz w:val="24"/>
                <w:highlight w:val="none"/>
                <w:lang w:val="en-US" w:eastAsia="zh-CN"/>
              </w:rPr>
              <w:t>A</w:t>
            </w:r>
            <w:r>
              <w:rPr>
                <w:rFonts w:hint="default" w:ascii="Times New Roman" w:hAnsi="Times New Roman" w:eastAsia="宋体" w:cs="Times New Roman"/>
                <w:color w:val="auto"/>
                <w:sz w:val="24"/>
                <w:highlight w:val="none"/>
                <w:lang w:val="en-US" w:eastAsia="zh-CN"/>
              </w:rPr>
              <w:t>标准后排入西溪。</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Cs/>
                <w:color w:val="auto"/>
                <w:sz w:val="24"/>
                <w:szCs w:val="24"/>
                <w:highlight w:val="none"/>
              </w:rPr>
              <w:t>根据建设单位提供资料，厂区</w:t>
            </w:r>
            <w:r>
              <w:rPr>
                <w:rFonts w:hint="default" w:ascii="Times New Roman" w:hAnsi="Times New Roman" w:eastAsia="宋体" w:cs="Times New Roman"/>
                <w:bCs/>
                <w:color w:val="auto"/>
                <w:sz w:val="24"/>
                <w:szCs w:val="24"/>
                <w:highlight w:val="none"/>
                <w:lang w:val="en-US" w:eastAsia="zh-CN"/>
              </w:rPr>
              <w:t>拟</w:t>
            </w:r>
            <w:r>
              <w:rPr>
                <w:rFonts w:hint="default" w:ascii="Times New Roman" w:hAnsi="Times New Roman" w:eastAsia="宋体" w:cs="Times New Roman"/>
                <w:bCs/>
                <w:color w:val="auto"/>
                <w:sz w:val="24"/>
                <w:szCs w:val="24"/>
                <w:highlight w:val="none"/>
              </w:rPr>
              <w:t>建</w:t>
            </w:r>
            <w:r>
              <w:rPr>
                <w:rFonts w:hint="default" w:ascii="Times New Roman" w:hAnsi="Times New Roman" w:eastAsia="宋体" w:cs="Times New Roman"/>
                <w:bCs/>
                <w:color w:val="auto"/>
                <w:sz w:val="24"/>
                <w:szCs w:val="24"/>
                <w:highlight w:val="none"/>
                <w:lang w:val="en-US" w:eastAsia="zh-CN"/>
              </w:rPr>
              <w:t>一个</w:t>
            </w:r>
            <w:r>
              <w:rPr>
                <w:rFonts w:hint="eastAsia" w:cs="Times New Roman"/>
                <w:bCs/>
                <w:color w:val="auto"/>
                <w:sz w:val="24"/>
                <w:szCs w:val="24"/>
                <w:highlight w:val="none"/>
                <w:lang w:val="en-US" w:eastAsia="zh-CN"/>
              </w:rPr>
              <w:t>15</w:t>
            </w:r>
            <w:r>
              <w:rPr>
                <w:rFonts w:hint="default" w:ascii="Times New Roman" w:hAnsi="Times New Roman" w:eastAsia="宋体" w:cs="Times New Roman"/>
                <w:bCs/>
                <w:color w:val="auto"/>
                <w:sz w:val="24"/>
                <w:szCs w:val="24"/>
                <w:highlight w:val="none"/>
              </w:rPr>
              <w:t>m</w:t>
            </w:r>
            <w:r>
              <w:rPr>
                <w:rFonts w:hint="default" w:ascii="Times New Roman" w:hAnsi="Times New Roman" w:eastAsia="宋体" w:cs="Times New Roman"/>
                <w:bCs/>
                <w:color w:val="auto"/>
                <w:sz w:val="24"/>
                <w:szCs w:val="24"/>
                <w:highlight w:val="none"/>
                <w:vertAlign w:val="superscript"/>
              </w:rPr>
              <w:t>3</w:t>
            </w:r>
            <w:r>
              <w:rPr>
                <w:rFonts w:hint="default" w:ascii="Times New Roman" w:hAnsi="Times New Roman" w:eastAsia="宋体" w:cs="Times New Roman"/>
                <w:color w:val="auto"/>
                <w:sz w:val="24"/>
                <w:szCs w:val="24"/>
                <w:highlight w:val="none"/>
              </w:rPr>
              <w:t>的</w:t>
            </w:r>
            <w:r>
              <w:rPr>
                <w:rFonts w:hint="default" w:ascii="Times New Roman" w:hAnsi="Times New Roman" w:eastAsia="宋体" w:cs="Times New Roman"/>
                <w:bCs/>
                <w:color w:val="auto"/>
                <w:sz w:val="24"/>
                <w:szCs w:val="24"/>
                <w:highlight w:val="none"/>
              </w:rPr>
              <w:t>化粪池</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可满足</w:t>
            </w:r>
            <w:r>
              <w:rPr>
                <w:rFonts w:hint="default" w:ascii="Times New Roman" w:hAnsi="Times New Roman" w:eastAsia="宋体" w:cs="Times New Roman"/>
                <w:color w:val="auto"/>
                <w:kern w:val="0"/>
                <w:sz w:val="24"/>
                <w:szCs w:val="24"/>
                <w:highlight w:val="none"/>
                <w:lang w:bidi="ar"/>
              </w:rPr>
              <w:t>项目生活污水</w:t>
            </w:r>
            <w:r>
              <w:rPr>
                <w:rFonts w:hint="default" w:ascii="Times New Roman" w:hAnsi="Times New Roman" w:eastAsia="宋体" w:cs="Times New Roman"/>
                <w:color w:val="auto"/>
                <w:kern w:val="0"/>
                <w:sz w:val="24"/>
                <w:szCs w:val="24"/>
                <w:highlight w:val="none"/>
                <w:lang w:val="en-US" w:eastAsia="zh-CN" w:bidi="ar"/>
              </w:rPr>
              <w:t>处理需求。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 1 \* GB3 \* MERGEFORMAT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①</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化粪池处理原理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三级化粪池由</w:t>
            </w:r>
            <w:r>
              <w:rPr>
                <w:rFonts w:hint="default" w:ascii="Times New Roman" w:hAnsi="Times New Roman" w:eastAsia="宋体" w:cs="Times New Roman"/>
                <w:color w:val="auto"/>
                <w:sz w:val="24"/>
                <w:szCs w:val="24"/>
                <w:highlight w:val="none"/>
                <w:lang w:eastAsia="zh-CN"/>
              </w:rPr>
              <w:t>相连</w:t>
            </w:r>
            <w:r>
              <w:rPr>
                <w:rFonts w:hint="default" w:ascii="Times New Roman" w:hAnsi="Times New Roman" w:eastAsia="宋体" w:cs="Times New Roman"/>
                <w:color w:val="auto"/>
                <w:sz w:val="24"/>
                <w:szCs w:val="24"/>
                <w:highlight w:val="none"/>
              </w:rPr>
              <w:t>的三个池子组成，中间由过粪管联通，主要是利用厌氧发酵、中层过粪和寄生虫卵比重大于一般混合液比重而易于沉淀的原理，粪便在池内经过30天以上的发酵分解，中层粪液依次由1池流至3池，以达到沉淀或杀灭粪便中寄生虫卵和肠道致病菌的目的，第三池粪液成为优质化肥。新鲜粪便由进粪口进入第一池，池内粪便开始发酵分解、因比重不同粪液可自然分为三层，上层为糊状粪皮，下层为块状或颗状粪渣，中层为比较澄清的粪液。在上层粪皮和下层粪渣中含细菌和寄生虫卵最多，中层含虫卵最少，初步发酵的中层粪液经过粪管溢流至第二池，而将大部分未经充分发酵的粪皮和粪渣阻留在第一池内继续发酵。流入第二池的粪液进一步发酵分解，虫卵继续下沉，病原体逐渐死亡，粪液得到进一步无害化，产生的粪皮和粪厚度比第一池显著减少。流入第三池的粪液一般已经腐熟，其中病菌和寄生虫卵已基本杀灭。第三池功能主要起储存已基本无害化的粪液作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 2 \* GB3 \* MERGEFORMAT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highlight w:val="none"/>
              </w:rPr>
              <w:t>②</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纳入</w:t>
            </w:r>
            <w:r>
              <w:rPr>
                <w:rFonts w:hint="default" w:ascii="Times New Roman" w:hAnsi="Times New Roman" w:eastAsia="宋体" w:cs="Times New Roman"/>
                <w:color w:val="auto"/>
                <w:sz w:val="24"/>
                <w:highlight w:val="none"/>
              </w:rPr>
              <w:t>污水处理厂</w:t>
            </w:r>
            <w:r>
              <w:rPr>
                <w:rFonts w:hint="default" w:ascii="Times New Roman" w:hAnsi="Times New Roman" w:eastAsia="宋体" w:cs="Times New Roman"/>
                <w:color w:val="auto"/>
                <w:sz w:val="24"/>
                <w:szCs w:val="24"/>
                <w:highlight w:val="none"/>
              </w:rPr>
              <w:t>可行性分析</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南安市污水处理厂位于南安市柳城街道办事处象山村，占地面积160亩，主要服务范围为南安市市区的城东和城南组团</w:t>
            </w:r>
            <w:r>
              <w:rPr>
                <w:rFonts w:hint="eastAsia" w:cs="Times New Roman"/>
                <w:color w:val="auto"/>
                <w:sz w:val="24"/>
                <w:szCs w:val="24"/>
                <w:highlight w:val="none"/>
                <w:lang w:eastAsia="zh-CN"/>
              </w:rPr>
              <w:t>，</w:t>
            </w:r>
            <w:r>
              <w:rPr>
                <w:color w:val="auto"/>
                <w:sz w:val="24"/>
                <w:highlight w:val="none"/>
              </w:rPr>
              <w:t>污水工程设计规模为近期（2005年）达2.5万m</w:t>
            </w:r>
            <w:r>
              <w:rPr>
                <w:color w:val="auto"/>
                <w:sz w:val="24"/>
                <w:highlight w:val="none"/>
                <w:vertAlign w:val="superscript"/>
              </w:rPr>
              <w:t>3</w:t>
            </w:r>
            <w:r>
              <w:rPr>
                <w:color w:val="auto"/>
                <w:sz w:val="24"/>
                <w:highlight w:val="none"/>
              </w:rPr>
              <w:t>/d，中期（2013年）达5万m</w:t>
            </w:r>
            <w:r>
              <w:rPr>
                <w:color w:val="auto"/>
                <w:sz w:val="24"/>
                <w:highlight w:val="none"/>
                <w:vertAlign w:val="superscript"/>
              </w:rPr>
              <w:t>3</w:t>
            </w:r>
            <w:r>
              <w:rPr>
                <w:color w:val="auto"/>
                <w:sz w:val="24"/>
                <w:highlight w:val="none"/>
              </w:rPr>
              <w:t>/d，远期（2020年）15</w:t>
            </w:r>
            <w:r>
              <w:rPr>
                <w:rFonts w:hint="eastAsia"/>
                <w:color w:val="auto"/>
                <w:sz w:val="24"/>
                <w:highlight w:val="none"/>
                <w:lang w:val="en-US" w:eastAsia="zh-CN"/>
              </w:rPr>
              <w:t>万</w:t>
            </w:r>
            <w:r>
              <w:rPr>
                <w:color w:val="auto"/>
                <w:sz w:val="24"/>
                <w:highlight w:val="none"/>
              </w:rPr>
              <w:t>m</w:t>
            </w:r>
            <w:r>
              <w:rPr>
                <w:color w:val="auto"/>
                <w:sz w:val="24"/>
                <w:highlight w:val="none"/>
                <w:vertAlign w:val="superscript"/>
              </w:rPr>
              <w:t>3</w:t>
            </w:r>
            <w:r>
              <w:rPr>
                <w:color w:val="auto"/>
                <w:sz w:val="24"/>
                <w:highlight w:val="none"/>
              </w:rPr>
              <w:t>/d</w:t>
            </w:r>
            <w:r>
              <w:rPr>
                <w:rFonts w:hint="eastAsia"/>
                <w:color w:val="auto"/>
                <w:sz w:val="24"/>
                <w:highlight w:val="none"/>
              </w:rPr>
              <w:t>，</w:t>
            </w:r>
            <w:r>
              <w:rPr>
                <w:color w:val="auto"/>
                <w:sz w:val="24"/>
                <w:highlight w:val="none"/>
              </w:rPr>
              <w:t>采用Morbal氧化沟及紫外线消毒工艺。</w:t>
            </w:r>
            <w:r>
              <w:rPr>
                <w:rFonts w:hint="default" w:ascii="Times New Roman" w:hAnsi="Times New Roman" w:eastAsia="宋体" w:cs="Times New Roman"/>
                <w:color w:val="auto"/>
                <w:sz w:val="24"/>
                <w:szCs w:val="24"/>
                <w:highlight w:val="none"/>
              </w:rPr>
              <w:t>项目位于</w:t>
            </w:r>
            <w:r>
              <w:rPr>
                <w:rFonts w:hint="eastAsia"/>
                <w:bCs/>
                <w:color w:val="auto"/>
                <w:sz w:val="24"/>
                <w:highlight w:val="none"/>
              </w:rPr>
              <w:t>福建省泉州市</w:t>
            </w:r>
            <w:r>
              <w:rPr>
                <w:rFonts w:hint="eastAsia"/>
                <w:bCs/>
                <w:color w:val="auto"/>
                <w:sz w:val="24"/>
                <w:highlight w:val="none"/>
                <w:lang w:eastAsia="zh-CN"/>
              </w:rPr>
              <w:t>福建省南安市美林街道茂盛路1288号</w:t>
            </w:r>
            <w:r>
              <w:rPr>
                <w:rFonts w:hint="eastAsia"/>
                <w:bCs/>
                <w:color w:val="auto"/>
                <w:sz w:val="24"/>
                <w:highlight w:val="none"/>
              </w:rPr>
              <w:t>（</w:t>
            </w:r>
            <w:r>
              <w:rPr>
                <w:rFonts w:hint="eastAsia"/>
                <w:bCs/>
                <w:color w:val="auto"/>
                <w:sz w:val="24"/>
                <w:highlight w:val="none"/>
                <w:lang w:eastAsia="zh-CN"/>
              </w:rPr>
              <w:t>南安经济开发区扶茂工业园中心片区内</w:t>
            </w:r>
            <w:r>
              <w:rPr>
                <w:rFonts w:hint="eastAsia"/>
                <w:bCs/>
                <w:color w:val="auto"/>
                <w:sz w:val="24"/>
                <w:highlight w:val="none"/>
              </w:rPr>
              <w: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所在区域</w:t>
            </w:r>
            <w:r>
              <w:rPr>
                <w:rFonts w:hint="default" w:ascii="Times New Roman" w:hAnsi="Times New Roman" w:eastAsia="宋体" w:cs="Times New Roman"/>
                <w:color w:val="auto"/>
                <w:sz w:val="24"/>
                <w:szCs w:val="24"/>
                <w:highlight w:val="none"/>
              </w:rPr>
              <w:t>污水可接入市政管网，属于南安市污水处理厂纳管范围内</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项目正式投产后能确保污水纳管排放。项目生活污水产生量不大且水质成分较简单，经三级化粪池处理后可符合污水处理厂的进水水质要求。项目生活污水产生量为</w:t>
            </w:r>
            <w:r>
              <w:rPr>
                <w:rFonts w:hint="eastAsia" w:cs="Times New Roman"/>
                <w:color w:val="auto"/>
                <w:sz w:val="24"/>
                <w:szCs w:val="24"/>
                <w:highlight w:val="none"/>
                <w:lang w:val="en-US" w:eastAsia="zh-CN"/>
              </w:rPr>
              <w:t>8.2</w:t>
            </w:r>
            <w:r>
              <w:rPr>
                <w:rFonts w:hint="default" w:ascii="Times New Roman" w:hAnsi="Times New Roman" w:eastAsia="宋体" w:cs="Times New Roman"/>
                <w:color w:val="auto"/>
                <w:sz w:val="24"/>
                <w:szCs w:val="24"/>
                <w:highlight w:val="none"/>
              </w:rPr>
              <w:t>t/d，仅占污水处理厂</w:t>
            </w:r>
            <w:r>
              <w:rPr>
                <w:rFonts w:hint="eastAsia" w:cs="Times New Roman"/>
                <w:color w:val="auto"/>
                <w:sz w:val="24"/>
                <w:szCs w:val="24"/>
                <w:highlight w:val="none"/>
                <w:lang w:val="en-US" w:eastAsia="zh-CN"/>
              </w:rPr>
              <w:t>近</w:t>
            </w:r>
            <w:r>
              <w:rPr>
                <w:rFonts w:hint="default" w:ascii="Times New Roman" w:hAnsi="Times New Roman" w:eastAsia="宋体" w:cs="Times New Roman"/>
                <w:color w:val="auto"/>
                <w:sz w:val="24"/>
                <w:szCs w:val="24"/>
                <w:highlight w:val="none"/>
              </w:rPr>
              <w:t>期处理量的0</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0</w:t>
            </w:r>
            <w:r>
              <w:rPr>
                <w:rFonts w:hint="eastAsia" w:cs="Times New Roman"/>
                <w:color w:val="auto"/>
                <w:sz w:val="24"/>
                <w:szCs w:val="24"/>
                <w:highlight w:val="none"/>
                <w:lang w:val="en-US" w:eastAsia="zh-CN"/>
              </w:rPr>
              <w:t>328</w:t>
            </w:r>
            <w:r>
              <w:rPr>
                <w:rFonts w:hint="default" w:ascii="Times New Roman" w:hAnsi="Times New Roman" w:eastAsia="宋体" w:cs="Times New Roman"/>
                <w:color w:val="auto"/>
                <w:sz w:val="24"/>
                <w:szCs w:val="24"/>
                <w:highlight w:val="none"/>
              </w:rPr>
              <w:t>%，污水处理厂</w:t>
            </w:r>
            <w:r>
              <w:rPr>
                <w:rFonts w:hint="default" w:ascii="Times New Roman" w:hAnsi="Times New Roman" w:cs="Times New Roman"/>
                <w:color w:val="auto"/>
                <w:sz w:val="24"/>
                <w:szCs w:val="24"/>
                <w:highlight w:val="none"/>
                <w:lang w:val="en-US" w:eastAsia="zh-CN"/>
              </w:rPr>
              <w:t>中</w:t>
            </w:r>
            <w:r>
              <w:rPr>
                <w:rFonts w:hint="default" w:ascii="Times New Roman" w:hAnsi="Times New Roman" w:eastAsia="宋体" w:cs="Times New Roman"/>
                <w:color w:val="auto"/>
                <w:sz w:val="24"/>
                <w:szCs w:val="24"/>
                <w:highlight w:val="none"/>
              </w:rPr>
              <w:t>期处理量的</w:t>
            </w:r>
            <w:r>
              <w:rPr>
                <w:rFonts w:hint="eastAsia" w:cs="Times New Roman"/>
                <w:color w:val="auto"/>
                <w:sz w:val="24"/>
                <w:szCs w:val="24"/>
                <w:highlight w:val="none"/>
                <w:lang w:val="en-US" w:eastAsia="zh-CN"/>
              </w:rPr>
              <w:t>0.0164</w:t>
            </w:r>
            <w:r>
              <w:rPr>
                <w:rFonts w:hint="default" w:ascii="Times New Roman" w:hAnsi="Times New Roman" w:eastAsia="宋体" w:cs="Times New Roman"/>
                <w:color w:val="auto"/>
                <w:sz w:val="24"/>
                <w:szCs w:val="24"/>
                <w:highlight w:val="none"/>
              </w:rPr>
              <w:t>%，污水处理厂</w:t>
            </w:r>
            <w:r>
              <w:rPr>
                <w:rFonts w:hint="eastAsia" w:cs="Times New Roman"/>
                <w:color w:val="auto"/>
                <w:sz w:val="24"/>
                <w:szCs w:val="24"/>
                <w:highlight w:val="none"/>
                <w:lang w:val="en-US" w:eastAsia="zh-CN"/>
              </w:rPr>
              <w:t>远</w:t>
            </w:r>
            <w:r>
              <w:rPr>
                <w:rFonts w:hint="default" w:ascii="Times New Roman" w:hAnsi="Times New Roman" w:eastAsia="宋体" w:cs="Times New Roman"/>
                <w:color w:val="auto"/>
                <w:sz w:val="24"/>
                <w:szCs w:val="24"/>
                <w:highlight w:val="none"/>
              </w:rPr>
              <w:t>期处理量的</w:t>
            </w:r>
            <w:r>
              <w:rPr>
                <w:rFonts w:hint="eastAsia" w:cs="Times New Roman"/>
                <w:color w:val="auto"/>
                <w:sz w:val="24"/>
                <w:szCs w:val="24"/>
                <w:highlight w:val="none"/>
                <w:lang w:val="en-US" w:eastAsia="zh-CN"/>
              </w:rPr>
              <w:t>0.0055</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对于</w:t>
            </w:r>
            <w:r>
              <w:rPr>
                <w:rFonts w:hint="default" w:ascii="Times New Roman" w:hAnsi="Times New Roman" w:eastAsia="宋体" w:cs="Times New Roman"/>
                <w:color w:val="auto"/>
                <w:sz w:val="24"/>
                <w:szCs w:val="24"/>
                <w:highlight w:val="none"/>
              </w:rPr>
              <w:t>增加污水处理厂的处理负荷</w:t>
            </w:r>
            <w:r>
              <w:rPr>
                <w:rFonts w:hint="default" w:ascii="Times New Roman" w:hAnsi="Times New Roman" w:cs="Times New Roman"/>
                <w:color w:val="auto"/>
                <w:sz w:val="24"/>
                <w:szCs w:val="24"/>
                <w:highlight w:val="none"/>
                <w:lang w:val="en-US" w:eastAsia="zh-CN"/>
              </w:rPr>
              <w:t>非常小</w:t>
            </w:r>
            <w:r>
              <w:rPr>
                <w:rFonts w:hint="default" w:ascii="Times New Roman" w:hAnsi="Times New Roman" w:eastAsia="宋体" w:cs="Times New Roman"/>
                <w:color w:val="auto"/>
                <w:sz w:val="24"/>
                <w:szCs w:val="24"/>
                <w:highlight w:val="none"/>
              </w:rPr>
              <w:t>；</w:t>
            </w:r>
            <w:r>
              <w:rPr>
                <w:rFonts w:hint="eastAsia" w:ascii="宋体" w:hAnsi="宋体" w:eastAsia="宋体" w:cs="宋体"/>
                <w:color w:val="auto"/>
                <w:kern w:val="0"/>
                <w:sz w:val="24"/>
                <w:szCs w:val="24"/>
                <w:highlight w:val="none"/>
                <w:lang w:val="en-US" w:eastAsia="zh-CN" w:bidi="ar"/>
              </w:rPr>
              <w:t>项目外排废水主要为生活污水（含食堂废水），根据工程分析可知：项目生活污水（含食堂废水）经化粪池进行预处理后浓度约</w:t>
            </w:r>
            <w:r>
              <w:rPr>
                <w:rFonts w:hint="default" w:ascii="Times New Roman" w:hAnsi="Times New Roman" w:eastAsia="宋体" w:cs="Times New Roman"/>
                <w:color w:val="auto"/>
                <w:kern w:val="0"/>
                <w:sz w:val="24"/>
                <w:szCs w:val="24"/>
                <w:highlight w:val="none"/>
                <w:lang w:val="en-US" w:eastAsia="zh-CN" w:bidi="ar"/>
              </w:rPr>
              <w:t>CODcr</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34</w:t>
            </w:r>
            <w:r>
              <w:rPr>
                <w:rFonts w:hint="eastAsia" w:ascii="Times New Roman" w:hAnsi="Times New Roman" w:eastAsia="宋体" w:cs="Times New Roman"/>
                <w:color w:val="auto"/>
                <w:kern w:val="0"/>
                <w:sz w:val="24"/>
                <w:szCs w:val="24"/>
                <w:highlight w:val="none"/>
                <w:lang w:val="en-US" w:eastAsia="zh-CN" w:bidi="ar"/>
              </w:rPr>
              <w:t>0</w:t>
            </w:r>
            <w:r>
              <w:rPr>
                <w:rFonts w:hint="default" w:ascii="Times New Roman" w:hAnsi="Times New Roman" w:eastAsia="宋体" w:cs="Times New Roman"/>
                <w:color w:val="auto"/>
                <w:kern w:val="0"/>
                <w:sz w:val="24"/>
                <w:szCs w:val="24"/>
                <w:highlight w:val="none"/>
                <w:lang w:val="en-US" w:eastAsia="zh-CN" w:bidi="ar"/>
              </w:rPr>
              <w:t>mg/L</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BODs</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200.2mg/L</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SS</w:t>
            </w:r>
            <w:r>
              <w:rPr>
                <w:rFonts w:hint="eastAsia" w:ascii="宋体" w:hAnsi="宋体" w:eastAsia="宋体" w:cs="宋体"/>
                <w:color w:val="auto"/>
                <w:kern w:val="0"/>
                <w:sz w:val="24"/>
                <w:szCs w:val="24"/>
                <w:highlight w:val="none"/>
                <w:lang w:val="en-US" w:eastAsia="zh-CN" w:bidi="ar"/>
              </w:rPr>
              <w:t>：140</w:t>
            </w:r>
            <w:r>
              <w:rPr>
                <w:rFonts w:hint="default" w:ascii="Times New Roman" w:hAnsi="Times New Roman" w:eastAsia="宋体" w:cs="Times New Roman"/>
                <w:color w:val="auto"/>
                <w:kern w:val="0"/>
                <w:sz w:val="24"/>
                <w:szCs w:val="24"/>
                <w:highlight w:val="none"/>
                <w:lang w:val="en-US" w:eastAsia="zh-CN" w:bidi="ar"/>
              </w:rPr>
              <w:t>mg/L</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NH</w:t>
            </w:r>
            <w:r>
              <w:rPr>
                <w:rFonts w:hint="default" w:ascii="Times New Roman" w:hAnsi="Times New Roman" w:eastAsia="宋体" w:cs="Times New Roman"/>
                <w:color w:val="auto"/>
                <w:kern w:val="0"/>
                <w:sz w:val="15"/>
                <w:szCs w:val="15"/>
                <w:highlight w:val="none"/>
                <w:lang w:val="en-US" w:eastAsia="zh-CN" w:bidi="ar"/>
              </w:rPr>
              <w:t>3</w:t>
            </w:r>
            <w:r>
              <w:rPr>
                <w:rFonts w:hint="default" w:ascii="Times New Roman" w:hAnsi="Times New Roman" w:eastAsia="宋体" w:cs="Times New Roman"/>
                <w:color w:val="auto"/>
                <w:kern w:val="0"/>
                <w:sz w:val="24"/>
                <w:szCs w:val="24"/>
                <w:highlight w:val="none"/>
                <w:lang w:val="en-US" w:eastAsia="zh-CN" w:bidi="ar"/>
              </w:rPr>
              <w:t>-N</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38.8mg/L</w:t>
            </w:r>
            <w:r>
              <w:rPr>
                <w:rFonts w:hint="eastAsia" w:ascii="宋体" w:hAnsi="宋体" w:eastAsia="宋体" w:cs="宋体"/>
                <w:color w:val="auto"/>
                <w:kern w:val="0"/>
                <w:sz w:val="24"/>
                <w:szCs w:val="24"/>
                <w:highlight w:val="none"/>
                <w:lang w:val="en-US" w:eastAsia="zh-CN" w:bidi="ar"/>
              </w:rPr>
              <w:t>、动植物油1</w:t>
            </w:r>
            <w:r>
              <w:rPr>
                <w:rFonts w:hint="default" w:ascii="Times New Roman" w:hAnsi="Times New Roman" w:eastAsia="宋体" w:cs="Times New Roman"/>
                <w:color w:val="auto"/>
                <w:kern w:val="0"/>
                <w:sz w:val="24"/>
                <w:szCs w:val="24"/>
                <w:highlight w:val="none"/>
                <w:lang w:val="en-US" w:eastAsia="zh-CN" w:bidi="ar"/>
              </w:rPr>
              <w:t>0mg/L</w:t>
            </w:r>
            <w:r>
              <w:rPr>
                <w:rFonts w:hint="eastAsia" w:ascii="宋体" w:hAnsi="宋体" w:eastAsia="宋体" w:cs="宋体"/>
                <w:color w:val="auto"/>
                <w:kern w:val="0"/>
                <w:sz w:val="24"/>
                <w:szCs w:val="24"/>
                <w:highlight w:val="none"/>
                <w:lang w:val="en-US" w:eastAsia="zh-CN" w:bidi="ar"/>
              </w:rPr>
              <w:t>， 可达《污水综合排放标准》（</w:t>
            </w:r>
            <w:r>
              <w:rPr>
                <w:rFonts w:hint="default" w:ascii="Times New Roman" w:hAnsi="Times New Roman" w:eastAsia="宋体" w:cs="Times New Roman"/>
                <w:color w:val="auto"/>
                <w:kern w:val="0"/>
                <w:sz w:val="24"/>
                <w:szCs w:val="24"/>
                <w:highlight w:val="none"/>
                <w:lang w:val="en-US" w:eastAsia="zh-CN" w:bidi="ar"/>
              </w:rPr>
              <w:t>GB8978-1996</w:t>
            </w:r>
            <w:r>
              <w:rPr>
                <w:rFonts w:hint="eastAsia" w:ascii="宋体" w:hAnsi="宋体" w:eastAsia="宋体" w:cs="宋体"/>
                <w:color w:val="auto"/>
                <w:kern w:val="0"/>
                <w:sz w:val="24"/>
                <w:szCs w:val="24"/>
                <w:highlight w:val="none"/>
                <w:lang w:val="en-US" w:eastAsia="zh-CN" w:bidi="ar"/>
              </w:rPr>
              <w:t>）表</w:t>
            </w:r>
            <w:r>
              <w:rPr>
                <w:rFonts w:hint="default" w:ascii="Times New Roman" w:hAnsi="Times New Roman" w:eastAsia="宋体" w:cs="Times New Roman"/>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val="en-US" w:eastAsia="zh-CN" w:bidi="ar"/>
              </w:rPr>
              <w:t>中三级标准，不会对污水处理厂的正常运行造成影响；污水处理厂</w:t>
            </w:r>
            <w:r>
              <w:rPr>
                <w:rFonts w:hint="default" w:ascii="Times New Roman" w:hAnsi="Times New Roman" w:eastAsia="宋体" w:cs="Times New Roman"/>
                <w:color w:val="auto"/>
                <w:sz w:val="24"/>
                <w:szCs w:val="24"/>
                <w:highlight w:val="none"/>
              </w:rPr>
              <w:t>处理后的废水可达GB 18918-2002《城镇污水处理厂污染物排放标准》表1中的一级A标准，对纳污水体西溪影响不大。从水质、水量等方面考虑，本项目生活污水纳入南安市污水处理厂统一处理是可行的。</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color w:val="auto"/>
                <w:sz w:val="24"/>
                <w:highlight w:val="none"/>
                <w:lang w:val="en-US" w:eastAsia="zh-CN"/>
              </w:rPr>
            </w:pPr>
            <w:r>
              <w:rPr>
                <w:rFonts w:hint="default" w:ascii="Times New Roman" w:hAnsi="Times New Roman" w:eastAsia="宋体" w:cs="Times New Roman"/>
                <w:b/>
                <w:bCs/>
                <w:color w:val="auto"/>
                <w:spacing w:val="-10"/>
                <w:sz w:val="24"/>
                <w:highlight w:val="none"/>
                <w:lang w:val="en-US" w:eastAsia="zh-CN"/>
              </w:rPr>
              <w:t>4.2</w:t>
            </w:r>
            <w:r>
              <w:rPr>
                <w:rFonts w:hint="default" w:ascii="Times New Roman" w:hAnsi="Times New Roman" w:eastAsia="宋体" w:cs="Times New Roman"/>
                <w:b/>
                <w:bCs/>
                <w:color w:val="auto"/>
                <w:spacing w:val="-10"/>
                <w:sz w:val="24"/>
                <w:szCs w:val="24"/>
                <w:highlight w:val="none"/>
                <w:lang w:val="en-US" w:eastAsia="zh-CN"/>
              </w:rPr>
              <w:t>.2.</w:t>
            </w:r>
            <w:r>
              <w:rPr>
                <w:rFonts w:hint="eastAsia" w:cs="Times New Roman"/>
                <w:b/>
                <w:bCs/>
                <w:color w:val="auto"/>
                <w:spacing w:val="-10"/>
                <w:sz w:val="24"/>
                <w:szCs w:val="24"/>
                <w:highlight w:val="none"/>
                <w:lang w:val="en-US" w:eastAsia="zh-CN"/>
              </w:rPr>
              <w:t>3</w:t>
            </w:r>
            <w:r>
              <w:rPr>
                <w:rFonts w:hint="default" w:ascii="Times New Roman" w:hAnsi="Times New Roman" w:eastAsia="宋体" w:cs="Times New Roman"/>
                <w:b/>
                <w:bCs/>
                <w:color w:val="auto"/>
                <w:spacing w:val="-10"/>
                <w:sz w:val="24"/>
                <w:szCs w:val="24"/>
                <w:highlight w:val="none"/>
                <w:lang w:val="en-US" w:eastAsia="zh-CN"/>
              </w:rPr>
              <w:t>、</w:t>
            </w:r>
            <w:r>
              <w:rPr>
                <w:rFonts w:hint="default" w:ascii="Times New Roman" w:hAnsi="Times New Roman" w:eastAsia="宋体" w:cs="Times New Roman"/>
                <w:b/>
                <w:color w:val="auto"/>
                <w:sz w:val="24"/>
                <w:highlight w:val="none"/>
                <w:lang w:val="en-US" w:eastAsia="zh-CN"/>
              </w:rPr>
              <w:t>达标情况分析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eastAsia="zh-CN"/>
              </w:rPr>
            </w:pPr>
            <w:r>
              <w:rPr>
                <w:rFonts w:hint="eastAsia" w:ascii="Times New Roman" w:hAnsi="Times New Roman" w:cs="Times New Roman"/>
                <w:color w:val="auto"/>
                <w:sz w:val="24"/>
                <w:highlight w:val="none"/>
                <w:lang w:val="en-US" w:eastAsia="zh-CN"/>
              </w:rPr>
              <w:t>项目</w:t>
            </w:r>
            <w:r>
              <w:rPr>
                <w:rFonts w:hint="eastAsia" w:ascii="Times New Roman" w:hAnsi="Times New Roman" w:eastAsia="宋体" w:cs="Times New Roman"/>
                <w:color w:val="auto"/>
                <w:sz w:val="24"/>
                <w:highlight w:val="none"/>
              </w:rPr>
              <w:t>食堂废水经隔油池处理后，汇同职工日常生活污水一起纳入化粪池</w:t>
            </w:r>
            <w:r>
              <w:rPr>
                <w:rFonts w:hint="default" w:ascii="Times New Roman" w:hAnsi="Times New Roman" w:eastAsia="宋体" w:cs="Times New Roman"/>
                <w:color w:val="auto"/>
                <w:sz w:val="24"/>
                <w:highlight w:val="none"/>
                <w:lang w:val="en-US" w:eastAsia="zh-CN"/>
              </w:rPr>
              <w:t>预处理</w:t>
            </w:r>
            <w:r>
              <w:rPr>
                <w:rFonts w:hint="eastAsia" w:cs="Times New Roman"/>
                <w:color w:val="auto"/>
                <w:sz w:val="24"/>
                <w:highlight w:val="none"/>
                <w:lang w:val="en-US" w:eastAsia="zh-CN"/>
              </w:rPr>
              <w:t>可</w:t>
            </w:r>
            <w:r>
              <w:rPr>
                <w:rFonts w:hint="default" w:ascii="Times New Roman" w:hAnsi="Times New Roman" w:eastAsia="宋体" w:cs="Times New Roman"/>
                <w:color w:val="auto"/>
                <w:sz w:val="24"/>
                <w:highlight w:val="none"/>
                <w:lang w:val="en-US" w:eastAsia="zh-CN"/>
              </w:rPr>
              <w:t>达《污水综合排放标准》（GB8978-1996）表4三级标准（其中未规定NH</w:t>
            </w:r>
            <w:r>
              <w:rPr>
                <w:rFonts w:hint="default" w:ascii="Times New Roman" w:hAnsi="Times New Roman" w:eastAsia="宋体" w:cs="Times New Roman"/>
                <w:color w:val="auto"/>
                <w:sz w:val="24"/>
                <w:highlight w:val="none"/>
                <w:vertAlign w:val="subscript"/>
                <w:lang w:val="en-US" w:eastAsia="zh-CN"/>
              </w:rPr>
              <w:t>3</w:t>
            </w:r>
            <w:r>
              <w:rPr>
                <w:rFonts w:hint="default" w:ascii="Times New Roman" w:hAnsi="Times New Roman" w:eastAsia="宋体" w:cs="Times New Roman"/>
                <w:color w:val="auto"/>
                <w:sz w:val="24"/>
                <w:highlight w:val="none"/>
                <w:lang w:val="en-US" w:eastAsia="zh-CN"/>
              </w:rPr>
              <w:t>-N排放指标，NH</w:t>
            </w:r>
            <w:r>
              <w:rPr>
                <w:rFonts w:hint="default" w:ascii="Times New Roman" w:hAnsi="Times New Roman" w:eastAsia="宋体" w:cs="Times New Roman"/>
                <w:color w:val="auto"/>
                <w:sz w:val="24"/>
                <w:highlight w:val="none"/>
                <w:vertAlign w:val="subscript"/>
                <w:lang w:val="en-US" w:eastAsia="zh-CN"/>
              </w:rPr>
              <w:t>3</w:t>
            </w:r>
            <w:r>
              <w:rPr>
                <w:rFonts w:hint="default" w:ascii="Times New Roman" w:hAnsi="Times New Roman" w:eastAsia="宋体" w:cs="Times New Roman"/>
                <w:color w:val="auto"/>
                <w:sz w:val="24"/>
                <w:highlight w:val="none"/>
                <w:lang w:val="en-US" w:eastAsia="zh-CN"/>
              </w:rPr>
              <w:t>-N指标参照《污水排入城镇下水道水质标准》（GB/T31962-2015）表1中B等级标准（NH</w:t>
            </w:r>
            <w:r>
              <w:rPr>
                <w:rFonts w:hint="default" w:ascii="Times New Roman" w:hAnsi="Times New Roman" w:eastAsia="宋体" w:cs="Times New Roman"/>
                <w:color w:val="auto"/>
                <w:sz w:val="24"/>
                <w:highlight w:val="none"/>
                <w:vertAlign w:val="subscript"/>
                <w:lang w:val="en-US" w:eastAsia="zh-CN"/>
              </w:rPr>
              <w:t>3</w:t>
            </w:r>
            <w:r>
              <w:rPr>
                <w:rFonts w:hint="default" w:ascii="Times New Roman" w:hAnsi="Times New Roman" w:eastAsia="宋体" w:cs="Times New Roman"/>
                <w:color w:val="auto"/>
                <w:sz w:val="24"/>
                <w:highlight w:val="none"/>
                <w:lang w:val="en-US" w:eastAsia="zh-CN"/>
              </w:rPr>
              <w:t>-N≤45mg/L））</w:t>
            </w:r>
            <w:r>
              <w:rPr>
                <w:rFonts w:hint="eastAsia" w:cs="Times New Roman"/>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b/>
                <w:color w:val="auto"/>
                <w:sz w:val="24"/>
                <w:highlight w:val="none"/>
                <w:lang w:val="en-US" w:eastAsia="zh-CN"/>
              </w:rPr>
            </w:pPr>
            <w:r>
              <w:rPr>
                <w:rFonts w:hint="default" w:ascii="Times New Roman" w:hAnsi="Times New Roman" w:eastAsia="宋体" w:cs="Times New Roman"/>
                <w:b/>
                <w:bCs/>
                <w:color w:val="auto"/>
                <w:spacing w:val="-10"/>
                <w:sz w:val="24"/>
                <w:highlight w:val="none"/>
                <w:lang w:val="en-US" w:eastAsia="zh-CN"/>
              </w:rPr>
              <w:t>4.2</w:t>
            </w:r>
            <w:r>
              <w:rPr>
                <w:rFonts w:hint="default" w:ascii="Times New Roman" w:hAnsi="Times New Roman" w:eastAsia="宋体" w:cs="Times New Roman"/>
                <w:b/>
                <w:bCs/>
                <w:color w:val="auto"/>
                <w:spacing w:val="-10"/>
                <w:sz w:val="24"/>
                <w:szCs w:val="24"/>
                <w:highlight w:val="none"/>
                <w:lang w:val="en-US" w:eastAsia="zh-CN"/>
              </w:rPr>
              <w:t>.2.</w:t>
            </w:r>
            <w:r>
              <w:rPr>
                <w:rFonts w:hint="eastAsia" w:cs="Times New Roman"/>
                <w:b/>
                <w:bCs/>
                <w:color w:val="auto"/>
                <w:spacing w:val="-10"/>
                <w:sz w:val="24"/>
                <w:szCs w:val="24"/>
                <w:highlight w:val="none"/>
                <w:lang w:val="en-US" w:eastAsia="zh-CN"/>
              </w:rPr>
              <w:t>4</w:t>
            </w:r>
            <w:r>
              <w:rPr>
                <w:rFonts w:hint="default" w:ascii="Times New Roman" w:hAnsi="Times New Roman" w:eastAsia="宋体" w:cs="Times New Roman"/>
                <w:b/>
                <w:bCs/>
                <w:color w:val="auto"/>
                <w:spacing w:val="-10"/>
                <w:sz w:val="24"/>
                <w:szCs w:val="24"/>
                <w:highlight w:val="none"/>
                <w:lang w:val="en-US" w:eastAsia="zh-CN"/>
              </w:rPr>
              <w:t>、</w:t>
            </w:r>
            <w:r>
              <w:rPr>
                <w:rFonts w:hint="default" w:ascii="Times New Roman" w:hAnsi="Times New Roman" w:eastAsia="宋体" w:cs="Times New Roman"/>
                <w:b/>
                <w:color w:val="auto"/>
                <w:sz w:val="24"/>
                <w:highlight w:val="none"/>
                <w:lang w:val="en-US" w:eastAsia="zh-CN"/>
              </w:rPr>
              <w:t>废水监测计划</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color w:val="auto"/>
                <w:kern w:val="0"/>
                <w:sz w:val="24"/>
                <w:szCs w:val="24"/>
                <w:highlight w:val="none"/>
                <w:lang w:val="en-US" w:eastAsia="zh-CN" w:bidi="ar"/>
              </w:rPr>
            </w:pPr>
            <w:r>
              <w:rPr>
                <w:rFonts w:hint="default" w:ascii="Times New Roman" w:hAnsi="Times New Roman" w:eastAsia="宋体" w:cs="Times New Roman"/>
                <w:color w:val="auto"/>
                <w:sz w:val="24"/>
                <w:highlight w:val="none"/>
                <w:lang w:val="en-US" w:eastAsia="zh-CN"/>
              </w:rPr>
              <w:t>对照中华人民共和国生态环境部令第11号《固定污染源排污许可分类管理名录（2019年版）》可知，本项目属于</w:t>
            </w:r>
            <w:r>
              <w:rPr>
                <w:rFonts w:hint="eastAsia" w:cs="Times New Roman"/>
                <w:color w:val="auto"/>
                <w:sz w:val="24"/>
                <w:highlight w:val="none"/>
                <w:lang w:val="en-US" w:eastAsia="zh-CN"/>
              </w:rPr>
              <w:t>登记管理类</w:t>
            </w:r>
            <w:r>
              <w:rPr>
                <w:rFonts w:hint="default" w:ascii="Times New Roman" w:hAnsi="Times New Roman" w:eastAsia="宋体" w:cs="Times New Roman"/>
                <w:color w:val="auto"/>
                <w:sz w:val="24"/>
                <w:highlight w:val="none"/>
                <w:lang w:val="en-US" w:eastAsia="zh-CN"/>
              </w:rPr>
              <w:t>，</w:t>
            </w:r>
            <w:r>
              <w:rPr>
                <w:rFonts w:hint="eastAsia" w:ascii="宋体" w:hAnsi="宋体" w:cs="宋体"/>
                <w:color w:val="auto"/>
                <w:kern w:val="0"/>
                <w:sz w:val="24"/>
                <w:szCs w:val="24"/>
                <w:highlight w:val="none"/>
                <w:lang w:val="en-US" w:eastAsia="zh-CN" w:bidi="ar"/>
              </w:rPr>
              <w:t>如有</w:t>
            </w:r>
            <w:r>
              <w:rPr>
                <w:rFonts w:hint="default" w:ascii="Times New Roman" w:hAnsi="Times New Roman" w:eastAsia="宋体" w:cs="Times New Roman"/>
                <w:color w:val="auto"/>
                <w:sz w:val="24"/>
                <w:highlight w:val="none"/>
                <w:lang w:val="en-US" w:eastAsia="zh-CN"/>
              </w:rPr>
              <w:t>要求</w:t>
            </w:r>
            <w:r>
              <w:rPr>
                <w:rFonts w:hint="eastAsia" w:cs="Times New Roman"/>
                <w:color w:val="auto"/>
                <w:sz w:val="24"/>
                <w:highlight w:val="none"/>
                <w:lang w:val="en-US" w:eastAsia="zh-CN"/>
              </w:rPr>
              <w:t>，</w:t>
            </w:r>
            <w:r>
              <w:rPr>
                <w:rFonts w:hint="eastAsia" w:ascii="宋体" w:hAnsi="宋体" w:cs="宋体"/>
                <w:color w:val="auto"/>
                <w:kern w:val="0"/>
                <w:sz w:val="24"/>
                <w:szCs w:val="24"/>
                <w:highlight w:val="none"/>
                <w:lang w:val="en-US" w:eastAsia="zh-CN" w:bidi="ar"/>
              </w:rPr>
              <w:t>建设单位应</w:t>
            </w:r>
            <w:r>
              <w:rPr>
                <w:rFonts w:hint="eastAsia" w:ascii="宋体" w:hAnsi="宋体" w:eastAsia="宋体" w:cs="宋体"/>
                <w:color w:val="auto"/>
                <w:kern w:val="0"/>
                <w:sz w:val="24"/>
                <w:szCs w:val="24"/>
                <w:highlight w:val="none"/>
                <w:lang w:val="en-US" w:eastAsia="zh-CN" w:bidi="ar"/>
              </w:rPr>
              <w:t>根据《排污单位自行监测技术指南 总则》（</w:t>
            </w:r>
            <w:r>
              <w:rPr>
                <w:rFonts w:hint="default" w:ascii="Times New Roman" w:hAnsi="Times New Roman" w:eastAsia="宋体" w:cs="Times New Roman"/>
                <w:color w:val="auto"/>
                <w:kern w:val="0"/>
                <w:sz w:val="24"/>
                <w:szCs w:val="24"/>
                <w:highlight w:val="none"/>
                <w:lang w:val="en-US" w:eastAsia="zh-CN" w:bidi="ar"/>
              </w:rPr>
              <w:t>HJ 819-2017</w:t>
            </w:r>
            <w:r>
              <w:rPr>
                <w:rFonts w:hint="eastAsia" w:ascii="宋体" w:hAnsi="宋体" w:eastAsia="宋体" w:cs="宋体"/>
                <w:color w:val="auto"/>
                <w:kern w:val="0"/>
                <w:sz w:val="24"/>
                <w:szCs w:val="24"/>
                <w:highlight w:val="none"/>
                <w:lang w:val="en-US" w:eastAsia="zh-CN" w:bidi="ar"/>
              </w:rPr>
              <w:t>）和相关行业技术规范</w:t>
            </w:r>
            <w:r>
              <w:rPr>
                <w:rFonts w:hint="default" w:ascii="Times New Roman" w:hAnsi="Times New Roman" w:eastAsia="宋体" w:cs="Times New Roman"/>
                <w:color w:val="auto"/>
                <w:sz w:val="24"/>
                <w:highlight w:val="none"/>
                <w:lang w:val="en-US" w:eastAsia="zh-CN"/>
              </w:rPr>
              <w:t>的要求制定监测计划</w:t>
            </w:r>
            <w:r>
              <w:rPr>
                <w:rFonts w:hint="eastAsia" w:ascii="宋体" w:hAnsi="宋体" w:eastAsia="宋体" w:cs="宋体"/>
                <w:color w:val="auto"/>
                <w:kern w:val="0"/>
                <w:sz w:val="24"/>
                <w:szCs w:val="24"/>
                <w:highlight w:val="none"/>
                <w:lang w:val="en-US" w:eastAsia="zh-CN" w:bidi="ar"/>
              </w:rPr>
              <w:t>，并结合项目运营期间污染物排放特点，制定本项目的污染源监测计划，建议建设</w:t>
            </w:r>
            <w:r>
              <w:rPr>
                <w:rFonts w:hint="default" w:ascii="Times New Roman" w:hAnsi="Times New Roman" w:eastAsia="宋体" w:cs="Times New Roman"/>
                <w:color w:val="auto"/>
                <w:kern w:val="0"/>
                <w:sz w:val="24"/>
                <w:szCs w:val="24"/>
                <w:highlight w:val="none"/>
                <w:lang w:val="en-US" w:eastAsia="zh-CN" w:bidi="ar"/>
              </w:rPr>
              <w:t>单位在投产后开展自行监测。监测分析方法按照现行国家、部颁标准和有关规定执行。本项目运营期</w:t>
            </w:r>
            <w:r>
              <w:rPr>
                <w:rFonts w:hint="eastAsia" w:cs="Times New Roman"/>
                <w:color w:val="auto"/>
                <w:kern w:val="0"/>
                <w:sz w:val="24"/>
                <w:szCs w:val="24"/>
                <w:highlight w:val="none"/>
                <w:lang w:val="en-US" w:eastAsia="zh-CN" w:bidi="ar"/>
              </w:rPr>
              <w:t>废水</w:t>
            </w:r>
            <w:r>
              <w:rPr>
                <w:rFonts w:hint="default" w:ascii="Times New Roman" w:hAnsi="Times New Roman" w:eastAsia="宋体" w:cs="Times New Roman"/>
                <w:color w:val="auto"/>
                <w:kern w:val="0"/>
                <w:sz w:val="24"/>
                <w:szCs w:val="24"/>
                <w:highlight w:val="none"/>
                <w:lang w:val="en-US" w:eastAsia="zh-CN" w:bidi="ar"/>
              </w:rPr>
              <w:t>自行监测内容如下</w:t>
            </w:r>
            <w:r>
              <w:rPr>
                <w:rFonts w:hint="default" w:ascii="Times New Roman" w:hAnsi="Times New Roman" w:cs="Times New Roman"/>
                <w:color w:val="auto"/>
                <w:kern w:val="0"/>
                <w:sz w:val="24"/>
                <w:szCs w:val="24"/>
                <w:highlight w:val="none"/>
                <w:lang w:val="en-US" w:eastAsia="zh-CN" w:bidi="ar"/>
              </w:rPr>
              <w:t>表</w:t>
            </w:r>
            <w:r>
              <w:rPr>
                <w:rFonts w:hint="eastAsia" w:cs="Times New Roman"/>
                <w:color w:val="auto"/>
                <w:kern w:val="0"/>
                <w:sz w:val="24"/>
                <w:szCs w:val="24"/>
                <w:highlight w:val="none"/>
                <w:lang w:val="en-US" w:eastAsia="zh-CN" w:bidi="ar"/>
              </w:rPr>
              <w:t>4.2-20</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 4</w:t>
            </w:r>
            <w:r>
              <w:rPr>
                <w:rFonts w:hint="eastAsia" w:cs="Times New Roman"/>
                <w:b/>
                <w:bCs/>
                <w:color w:val="auto"/>
                <w:kern w:val="0"/>
                <w:sz w:val="24"/>
                <w:szCs w:val="24"/>
                <w:highlight w:val="none"/>
                <w:lang w:val="en-US" w:eastAsia="zh-CN" w:bidi="ar"/>
              </w:rPr>
              <w:t>.2-20</w:t>
            </w:r>
            <w:r>
              <w:rPr>
                <w:rFonts w:hint="default" w:ascii="Times New Roman" w:hAnsi="Times New Roman" w:eastAsia="宋体" w:cs="Times New Roman"/>
                <w:b/>
                <w:bCs/>
                <w:color w:val="auto"/>
                <w:kern w:val="0"/>
                <w:sz w:val="24"/>
                <w:szCs w:val="24"/>
                <w:highlight w:val="none"/>
                <w:lang w:val="en-US" w:eastAsia="zh-CN" w:bidi="ar"/>
              </w:rPr>
              <w:t xml:space="preserve"> 远期项目生活污水监测计划一览表</w:t>
            </w:r>
          </w:p>
          <w:tbl>
            <w:tblPr>
              <w:tblStyle w:val="29"/>
              <w:tblW w:w="83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4"/>
              <w:gridCol w:w="1608"/>
              <w:gridCol w:w="1910"/>
              <w:gridCol w:w="1968"/>
              <w:gridCol w:w="16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1184"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项目</w:t>
                  </w:r>
                </w:p>
              </w:tc>
              <w:tc>
                <w:tcPr>
                  <w:tcW w:w="1608"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污染源名称</w:t>
                  </w:r>
                </w:p>
              </w:tc>
              <w:tc>
                <w:tcPr>
                  <w:tcW w:w="191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监测点位</w:t>
                  </w:r>
                </w:p>
              </w:tc>
              <w:tc>
                <w:tcPr>
                  <w:tcW w:w="1968"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监测因子项目</w:t>
                  </w:r>
                </w:p>
              </w:tc>
              <w:tc>
                <w:tcPr>
                  <w:tcW w:w="1668"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1184"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highlight w:val="none"/>
                      <w:vertAlign w:val="baseline"/>
                    </w:rPr>
                  </w:pPr>
                  <w:r>
                    <w:rPr>
                      <w:rFonts w:hint="default" w:ascii="Times New Roman" w:hAnsi="Times New Roman" w:eastAsia="宋体" w:cs="Times New Roman"/>
                      <w:color w:val="auto"/>
                      <w:kern w:val="0"/>
                      <w:sz w:val="21"/>
                      <w:szCs w:val="21"/>
                      <w:highlight w:val="none"/>
                      <w:lang w:val="en-US" w:eastAsia="zh-CN" w:bidi="ar"/>
                    </w:rPr>
                    <w:t>废水</w:t>
                  </w:r>
                </w:p>
              </w:tc>
              <w:tc>
                <w:tcPr>
                  <w:tcW w:w="1608"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highlight w:val="none"/>
                      <w:vertAlign w:val="baseline"/>
                    </w:rPr>
                  </w:pPr>
                  <w:r>
                    <w:rPr>
                      <w:rFonts w:hint="default" w:ascii="Times New Roman" w:hAnsi="Times New Roman" w:eastAsia="宋体" w:cs="Times New Roman"/>
                      <w:color w:val="auto"/>
                      <w:kern w:val="0"/>
                      <w:sz w:val="21"/>
                      <w:szCs w:val="21"/>
                      <w:highlight w:val="none"/>
                      <w:lang w:val="en-US" w:eastAsia="zh-CN" w:bidi="ar"/>
                    </w:rPr>
                    <w:t>生活污水</w:t>
                  </w:r>
                </w:p>
              </w:tc>
              <w:tc>
                <w:tcPr>
                  <w:tcW w:w="191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highlight w:val="none"/>
                      <w:vertAlign w:val="baseline"/>
                    </w:rPr>
                  </w:pPr>
                  <w:r>
                    <w:rPr>
                      <w:rFonts w:hint="default" w:ascii="Times New Roman" w:hAnsi="Times New Roman" w:eastAsia="宋体" w:cs="Times New Roman"/>
                      <w:color w:val="auto"/>
                      <w:kern w:val="0"/>
                      <w:sz w:val="21"/>
                      <w:szCs w:val="21"/>
                      <w:highlight w:val="none"/>
                      <w:lang w:val="en-US" w:eastAsia="zh-CN" w:bidi="ar"/>
                    </w:rPr>
                    <w:t>厂区污水排污口</w:t>
                  </w:r>
                </w:p>
              </w:tc>
              <w:tc>
                <w:tcPr>
                  <w:tcW w:w="1968"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highlight w:val="none"/>
                      <w:vertAlign w:val="baseline"/>
                      <w:lang w:val="en-US"/>
                    </w:rPr>
                  </w:pPr>
                  <w:r>
                    <w:rPr>
                      <w:rFonts w:hint="default" w:ascii="Times New Roman" w:hAnsi="Times New Roman" w:eastAsia="宋体" w:cs="Times New Roman"/>
                      <w:color w:val="auto"/>
                      <w:kern w:val="0"/>
                      <w:sz w:val="21"/>
                      <w:szCs w:val="21"/>
                      <w:highlight w:val="none"/>
                      <w:lang w:val="en-US" w:eastAsia="zh-CN" w:bidi="ar"/>
                    </w:rPr>
                    <w:t>废水量、SS、COD、 BOD</w:t>
                  </w:r>
                  <w:r>
                    <w:rPr>
                      <w:rFonts w:hint="default" w:ascii="Times New Roman" w:hAnsi="Times New Roman" w:eastAsia="宋体" w:cs="Times New Roman"/>
                      <w:color w:val="auto"/>
                      <w:kern w:val="0"/>
                      <w:sz w:val="13"/>
                      <w:szCs w:val="13"/>
                      <w:highlight w:val="none"/>
                      <w:lang w:val="en-US" w:eastAsia="zh-CN" w:bidi="ar"/>
                    </w:rPr>
                    <w:t>5</w:t>
                  </w:r>
                  <w:r>
                    <w:rPr>
                      <w:rFonts w:hint="default" w:ascii="Times New Roman" w:hAnsi="Times New Roman" w:eastAsia="宋体" w:cs="Times New Roman"/>
                      <w:color w:val="auto"/>
                      <w:kern w:val="0"/>
                      <w:sz w:val="21"/>
                      <w:szCs w:val="21"/>
                      <w:highlight w:val="none"/>
                      <w:lang w:val="en-US" w:eastAsia="zh-CN" w:bidi="ar"/>
                    </w:rPr>
                    <w:t>、氨氮</w:t>
                  </w:r>
                  <w:r>
                    <w:rPr>
                      <w:rFonts w:hint="eastAsia" w:cs="Times New Roman"/>
                      <w:color w:val="auto"/>
                      <w:kern w:val="0"/>
                      <w:sz w:val="21"/>
                      <w:szCs w:val="21"/>
                      <w:highlight w:val="none"/>
                      <w:lang w:val="en-US" w:eastAsia="zh-CN" w:bidi="ar"/>
                    </w:rPr>
                    <w:t>、动植物油</w:t>
                  </w:r>
                </w:p>
              </w:tc>
              <w:tc>
                <w:tcPr>
                  <w:tcW w:w="1668"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highlight w:val="none"/>
                      <w:vertAlign w:val="baseline"/>
                    </w:rPr>
                  </w:pPr>
                  <w:r>
                    <w:rPr>
                      <w:rFonts w:hint="default" w:ascii="Times New Roman" w:hAnsi="Times New Roman" w:eastAsia="宋体" w:cs="Times New Roman"/>
                      <w:color w:val="auto"/>
                      <w:kern w:val="0"/>
                      <w:sz w:val="21"/>
                      <w:szCs w:val="21"/>
                      <w:highlight w:val="none"/>
                      <w:lang w:val="en-US" w:eastAsia="zh-CN" w:bidi="ar"/>
                    </w:rPr>
                    <w:t>1 次/年</w:t>
                  </w:r>
                </w:p>
              </w:tc>
            </w:tr>
          </w:tbl>
          <w:p>
            <w:pPr>
              <w:keepNext/>
              <w:keepLines/>
              <w:pageBreakBefore w:val="0"/>
              <w:shd w:val="clear" w:color="auto" w:fill="auto"/>
              <w:kinsoku/>
              <w:wordWrap/>
              <w:overflowPunct/>
              <w:topLinePunct w:val="0"/>
              <w:autoSpaceDE/>
              <w:autoSpaceDN/>
              <w:bidi w:val="0"/>
              <w:spacing w:before="120" w:after="120" w:line="360" w:lineRule="auto"/>
              <w:textAlignment w:val="auto"/>
              <w:outlineLvl w:val="2"/>
              <w:rPr>
                <w:rFonts w:hint="eastAsia" w:eastAsia="宋体"/>
                <w:b/>
                <w:bCs/>
                <w:color w:val="auto"/>
                <w:sz w:val="24"/>
                <w:highlight w:val="none"/>
                <w:lang w:eastAsia="zh-CN"/>
              </w:rPr>
            </w:pPr>
            <w:r>
              <w:rPr>
                <w:rFonts w:hint="eastAsia"/>
                <w:b/>
                <w:bCs/>
                <w:color w:val="auto"/>
                <w:spacing w:val="-10"/>
                <w:sz w:val="24"/>
                <w:highlight w:val="none"/>
                <w:lang w:val="en-US" w:eastAsia="zh-CN"/>
              </w:rPr>
              <w:t>4.2</w:t>
            </w:r>
            <w:r>
              <w:rPr>
                <w:rFonts w:hint="eastAsia"/>
                <w:b/>
                <w:bCs/>
                <w:color w:val="auto"/>
                <w:spacing w:val="-10"/>
                <w:sz w:val="24"/>
                <w:szCs w:val="24"/>
                <w:highlight w:val="none"/>
                <w:lang w:val="en-US" w:eastAsia="zh-CN"/>
              </w:rPr>
              <w:t>.3</w:t>
            </w:r>
            <w:r>
              <w:rPr>
                <w:rFonts w:hint="eastAsia"/>
                <w:b/>
                <w:bCs/>
                <w:color w:val="auto"/>
                <w:spacing w:val="-10"/>
                <w:sz w:val="24"/>
                <w:szCs w:val="24"/>
                <w:highlight w:val="none"/>
              </w:rPr>
              <w:t>、</w:t>
            </w:r>
            <w:r>
              <w:rPr>
                <w:rFonts w:hint="eastAsia"/>
                <w:b/>
                <w:bCs/>
                <w:color w:val="auto"/>
                <w:sz w:val="24"/>
                <w:highlight w:val="none"/>
                <w:lang w:val="en-US" w:eastAsia="zh-CN"/>
              </w:rPr>
              <w:t>噪声</w:t>
            </w:r>
          </w:p>
          <w:p>
            <w:pPr>
              <w:pageBreakBefore w:val="0"/>
              <w:shd w:val="clear" w:color="auto" w:fill="auto"/>
              <w:kinsoku/>
              <w:wordWrap/>
              <w:overflowPunct/>
              <w:topLinePunct w:val="0"/>
              <w:autoSpaceDE/>
              <w:autoSpaceDN/>
              <w:bidi w:val="0"/>
              <w:spacing w:line="360" w:lineRule="auto"/>
              <w:textAlignment w:val="auto"/>
              <w:rPr>
                <w:b/>
                <w:bCs/>
                <w:color w:val="auto"/>
                <w:sz w:val="24"/>
                <w:highlight w:val="none"/>
              </w:rPr>
            </w:pPr>
            <w:r>
              <w:rPr>
                <w:rFonts w:hint="eastAsia"/>
                <w:b/>
                <w:bCs/>
                <w:color w:val="auto"/>
                <w:spacing w:val="-10"/>
                <w:sz w:val="24"/>
                <w:highlight w:val="none"/>
                <w:lang w:val="en-US" w:eastAsia="zh-CN"/>
              </w:rPr>
              <w:t>4.2</w:t>
            </w:r>
            <w:r>
              <w:rPr>
                <w:rFonts w:hint="eastAsia"/>
                <w:b/>
                <w:bCs/>
                <w:color w:val="auto"/>
                <w:spacing w:val="-10"/>
                <w:sz w:val="24"/>
                <w:szCs w:val="24"/>
                <w:highlight w:val="none"/>
                <w:lang w:val="en-US" w:eastAsia="zh-CN"/>
              </w:rPr>
              <w:t>.</w:t>
            </w:r>
            <w:r>
              <w:rPr>
                <w:rFonts w:hint="eastAsia"/>
                <w:b/>
                <w:bCs/>
                <w:color w:val="auto"/>
                <w:sz w:val="24"/>
                <w:highlight w:val="none"/>
                <w:lang w:val="en-US" w:eastAsia="zh-CN"/>
              </w:rPr>
              <w:t>3.1、</w:t>
            </w:r>
            <w:r>
              <w:rPr>
                <w:rFonts w:hint="eastAsia"/>
                <w:b/>
                <w:bCs/>
                <w:color w:val="auto"/>
                <w:sz w:val="24"/>
                <w:highlight w:val="none"/>
              </w:rPr>
              <w:t>噪声源强分析</w:t>
            </w:r>
          </w:p>
          <w:p>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color w:val="auto"/>
                <w:sz w:val="24"/>
                <w:highlight w:val="none"/>
                <w:lang w:val="en-GB"/>
              </w:rPr>
              <w:t>项目噪声主要来源于生产设备运行时产生的机械噪声，其噪声值约在</w:t>
            </w:r>
            <w:r>
              <w:rPr>
                <w:rFonts w:hint="eastAsia" w:cs="Times New Roman"/>
                <w:color w:val="auto"/>
                <w:sz w:val="24"/>
                <w:highlight w:val="none"/>
                <w:lang w:val="en-US" w:eastAsia="zh-CN"/>
              </w:rPr>
              <w:t>70-75</w:t>
            </w:r>
            <w:r>
              <w:rPr>
                <w:rFonts w:hint="default" w:ascii="Times New Roman" w:hAnsi="Times New Roman" w:cs="Times New Roman"/>
                <w:color w:val="auto"/>
                <w:sz w:val="24"/>
                <w:highlight w:val="none"/>
                <w:lang w:val="en-GB"/>
              </w:rPr>
              <w:t>dB（A）之间，主要设备噪声详见表</w:t>
            </w:r>
            <w:r>
              <w:rPr>
                <w:rFonts w:hint="eastAsia" w:cs="Times New Roman"/>
                <w:color w:val="auto"/>
                <w:kern w:val="0"/>
                <w:sz w:val="24"/>
                <w:szCs w:val="24"/>
                <w:highlight w:val="none"/>
                <w:lang w:val="en-US" w:eastAsia="zh-CN" w:bidi="ar"/>
              </w:rPr>
              <w:t>4.2-21</w:t>
            </w:r>
            <w:r>
              <w:rPr>
                <w:rFonts w:hint="eastAsia" w:cs="Times New Roman"/>
                <w:color w:val="auto"/>
                <w:sz w:val="24"/>
                <w:highlight w:val="none"/>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157" w:beforeLines="50" w:line="360" w:lineRule="auto"/>
              <w:jc w:val="center"/>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表4</w:t>
            </w:r>
            <w:r>
              <w:rPr>
                <w:rFonts w:hint="eastAsia" w:cs="Times New Roman"/>
                <w:b/>
                <w:bCs w:val="0"/>
                <w:color w:val="auto"/>
                <w:sz w:val="24"/>
                <w:szCs w:val="24"/>
                <w:highlight w:val="none"/>
                <w:lang w:val="en-US" w:eastAsia="zh-CN"/>
              </w:rPr>
              <w:t>.2</w:t>
            </w:r>
            <w:r>
              <w:rPr>
                <w:rFonts w:hint="eastAsia" w:ascii="Times New Roman" w:hAnsi="Times New Roman" w:eastAsia="宋体" w:cs="Times New Roman"/>
                <w:b/>
                <w:bCs w:val="0"/>
                <w:color w:val="auto"/>
                <w:sz w:val="24"/>
                <w:szCs w:val="24"/>
                <w:highlight w:val="none"/>
                <w:lang w:val="en-US" w:eastAsia="zh-CN"/>
              </w:rPr>
              <w:t>-</w:t>
            </w:r>
            <w:r>
              <w:rPr>
                <w:rFonts w:hint="eastAsia" w:cs="Times New Roman"/>
                <w:b/>
                <w:bCs w:val="0"/>
                <w:color w:val="auto"/>
                <w:sz w:val="24"/>
                <w:szCs w:val="24"/>
                <w:highlight w:val="none"/>
                <w:lang w:val="en-US" w:eastAsia="zh-CN"/>
              </w:rPr>
              <w:t>21</w:t>
            </w:r>
            <w:r>
              <w:rPr>
                <w:rFonts w:hint="default" w:ascii="Times New Roman" w:hAnsi="Times New Roman" w:eastAsia="宋体" w:cs="Times New Roman"/>
                <w:b/>
                <w:bCs w:val="0"/>
                <w:color w:val="auto"/>
                <w:sz w:val="24"/>
                <w:szCs w:val="24"/>
                <w:highlight w:val="none"/>
                <w:lang w:val="en-US" w:eastAsia="zh-CN"/>
              </w:rPr>
              <w:t xml:space="preserve">   项目</w:t>
            </w:r>
            <w:r>
              <w:rPr>
                <w:rFonts w:hint="eastAsia" w:ascii="Times New Roman" w:hAnsi="Times New Roman" w:eastAsia="宋体" w:cs="Times New Roman"/>
                <w:b/>
                <w:bCs w:val="0"/>
                <w:color w:val="auto"/>
                <w:sz w:val="24"/>
                <w:szCs w:val="24"/>
                <w:highlight w:val="none"/>
                <w:lang w:val="en-US" w:eastAsia="zh-CN"/>
              </w:rPr>
              <w:t>主要</w:t>
            </w:r>
            <w:r>
              <w:rPr>
                <w:rFonts w:hint="default" w:ascii="Times New Roman" w:hAnsi="Times New Roman" w:eastAsia="宋体" w:cs="Times New Roman"/>
                <w:b/>
                <w:bCs w:val="0"/>
                <w:color w:val="auto"/>
                <w:sz w:val="24"/>
                <w:szCs w:val="24"/>
                <w:highlight w:val="none"/>
                <w:lang w:val="en-US" w:eastAsia="zh-CN"/>
              </w:rPr>
              <w:t>噪声污染源源强核算结果及相关参数一览表</w:t>
            </w:r>
          </w:p>
          <w:tbl>
            <w:tblPr>
              <w:tblStyle w:val="28"/>
              <w:tblW w:w="490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33"/>
              <w:gridCol w:w="1106"/>
              <w:gridCol w:w="833"/>
              <w:gridCol w:w="433"/>
              <w:gridCol w:w="667"/>
              <w:gridCol w:w="748"/>
              <w:gridCol w:w="535"/>
              <w:gridCol w:w="594"/>
              <w:gridCol w:w="656"/>
              <w:gridCol w:w="825"/>
              <w:gridCol w:w="976"/>
              <w:gridCol w:w="5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201" w:type="pct"/>
                  <w:vMerge w:val="restart"/>
                  <w:noWrap w:val="0"/>
                  <w:vAlign w:val="center"/>
                </w:tcPr>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车间位置</w:t>
                  </w:r>
                </w:p>
              </w:tc>
              <w:tc>
                <w:tcPr>
                  <w:tcW w:w="670" w:type="pct"/>
                  <w:vMerge w:val="restart"/>
                  <w:noWrap w:val="0"/>
                  <w:vAlign w:val="center"/>
                </w:tcPr>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噪声源</w:t>
                  </w:r>
                </w:p>
              </w:tc>
              <w:tc>
                <w:tcPr>
                  <w:tcW w:w="504" w:type="pct"/>
                  <w:vMerge w:val="restart"/>
                  <w:noWrap w:val="0"/>
                  <w:vAlign w:val="center"/>
                </w:tcPr>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eastAsia"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数量</w:t>
                  </w:r>
                </w:p>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（台）</w:t>
                  </w:r>
                </w:p>
              </w:tc>
              <w:tc>
                <w:tcPr>
                  <w:tcW w:w="262" w:type="pct"/>
                  <w:vMerge w:val="restart"/>
                  <w:noWrap w:val="0"/>
                  <w:vAlign w:val="center"/>
                </w:tcPr>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声源类型</w:t>
                  </w:r>
                </w:p>
              </w:tc>
              <w:tc>
                <w:tcPr>
                  <w:tcW w:w="857" w:type="pct"/>
                  <w:gridSpan w:val="2"/>
                  <w:noWrap w:val="0"/>
                  <w:vAlign w:val="center"/>
                </w:tcPr>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b/>
                      <w:bCs/>
                      <w:color w:val="auto"/>
                      <w:sz w:val="21"/>
                      <w:szCs w:val="21"/>
                      <w:highlight w:val="none"/>
                    </w:rPr>
                  </w:pPr>
                  <w:r>
                    <w:rPr>
                      <w:rFonts w:hint="eastAsia" w:ascii="Times New Roman" w:hAnsi="Times New Roman" w:cs="Times New Roman"/>
                      <w:b/>
                      <w:bCs/>
                      <w:color w:val="auto"/>
                      <w:sz w:val="21"/>
                      <w:szCs w:val="21"/>
                      <w:highlight w:val="none"/>
                      <w:lang w:val="en-US" w:eastAsia="zh-CN"/>
                    </w:rPr>
                    <w:t>单台</w:t>
                  </w:r>
                  <w:r>
                    <w:rPr>
                      <w:rFonts w:hint="default" w:ascii="Times New Roman" w:hAnsi="Times New Roman" w:eastAsia="宋体" w:cs="Times New Roman"/>
                      <w:b/>
                      <w:bCs/>
                      <w:color w:val="auto"/>
                      <w:sz w:val="21"/>
                      <w:szCs w:val="21"/>
                      <w:highlight w:val="none"/>
                    </w:rPr>
                    <w:t>噪声源强dB（A）</w:t>
                  </w:r>
                </w:p>
              </w:tc>
              <w:tc>
                <w:tcPr>
                  <w:tcW w:w="683" w:type="pct"/>
                  <w:gridSpan w:val="2"/>
                  <w:noWrap w:val="0"/>
                  <w:vAlign w:val="center"/>
                </w:tcPr>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降噪措施dB（A）</w:t>
                  </w:r>
                </w:p>
              </w:tc>
              <w:tc>
                <w:tcPr>
                  <w:tcW w:w="897" w:type="pct"/>
                  <w:gridSpan w:val="2"/>
                  <w:noWrap w:val="0"/>
                  <w:vAlign w:val="center"/>
                </w:tcPr>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噪声排放值dB（A）</w:t>
                  </w:r>
                </w:p>
              </w:tc>
              <w:tc>
                <w:tcPr>
                  <w:tcW w:w="591" w:type="pct"/>
                  <w:vMerge w:val="restart"/>
                  <w:noWrap w:val="0"/>
                  <w:vAlign w:val="center"/>
                </w:tcPr>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b/>
                      <w:bCs/>
                      <w:color w:val="auto"/>
                      <w:sz w:val="21"/>
                      <w:szCs w:val="21"/>
                      <w:highlight w:val="none"/>
                      <w:lang w:val="en-US" w:eastAsia="zh-CN"/>
                    </w:rPr>
                    <w:t>降噪后叠加</w:t>
                  </w:r>
                  <w:r>
                    <w:rPr>
                      <w:rFonts w:hint="default" w:ascii="Times New Roman" w:hAnsi="Times New Roman" w:eastAsia="宋体" w:cs="Times New Roman"/>
                      <w:b/>
                      <w:bCs/>
                      <w:color w:val="auto"/>
                      <w:sz w:val="21"/>
                      <w:szCs w:val="21"/>
                      <w:highlight w:val="none"/>
                    </w:rPr>
                    <w:t>噪声排放值dB（A）</w:t>
                  </w:r>
                </w:p>
              </w:tc>
              <w:tc>
                <w:tcPr>
                  <w:tcW w:w="331" w:type="pct"/>
                  <w:vMerge w:val="restart"/>
                  <w:noWrap w:val="0"/>
                  <w:vAlign w:val="center"/>
                </w:tcPr>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持续</w:t>
                  </w:r>
                </w:p>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89" w:hRule="atLeast"/>
                <w:jc w:val="center"/>
              </w:trPr>
              <w:tc>
                <w:tcPr>
                  <w:tcW w:w="201"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b/>
                      <w:bCs/>
                      <w:color w:val="auto"/>
                      <w:sz w:val="21"/>
                      <w:szCs w:val="21"/>
                      <w:highlight w:val="none"/>
                    </w:rPr>
                  </w:pPr>
                </w:p>
              </w:tc>
              <w:tc>
                <w:tcPr>
                  <w:tcW w:w="670"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b/>
                      <w:bCs/>
                      <w:color w:val="auto"/>
                      <w:sz w:val="21"/>
                      <w:szCs w:val="21"/>
                      <w:highlight w:val="none"/>
                    </w:rPr>
                  </w:pPr>
                </w:p>
              </w:tc>
              <w:tc>
                <w:tcPr>
                  <w:tcW w:w="5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b/>
                      <w:bCs/>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b/>
                      <w:bCs/>
                      <w:color w:val="auto"/>
                      <w:sz w:val="21"/>
                      <w:szCs w:val="21"/>
                      <w:highlight w:val="none"/>
                    </w:rPr>
                  </w:pPr>
                </w:p>
              </w:tc>
              <w:tc>
                <w:tcPr>
                  <w:tcW w:w="404" w:type="pct"/>
                  <w:noWrap w:val="0"/>
                  <w:vAlign w:val="center"/>
                </w:tcPr>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核算</w:t>
                  </w:r>
                </w:p>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方法</w:t>
                  </w:r>
                </w:p>
              </w:tc>
              <w:tc>
                <w:tcPr>
                  <w:tcW w:w="453" w:type="pct"/>
                  <w:noWrap w:val="0"/>
                  <w:vAlign w:val="center"/>
                </w:tcPr>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噪声值</w:t>
                  </w:r>
                </w:p>
              </w:tc>
              <w:tc>
                <w:tcPr>
                  <w:tcW w:w="324" w:type="pct"/>
                  <w:noWrap w:val="0"/>
                  <w:vAlign w:val="center"/>
                </w:tcPr>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工艺</w:t>
                  </w:r>
                </w:p>
              </w:tc>
              <w:tc>
                <w:tcPr>
                  <w:tcW w:w="359" w:type="pct"/>
                  <w:noWrap w:val="0"/>
                  <w:vAlign w:val="center"/>
                </w:tcPr>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降噪</w:t>
                  </w:r>
                </w:p>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效果</w:t>
                  </w:r>
                </w:p>
              </w:tc>
              <w:tc>
                <w:tcPr>
                  <w:tcW w:w="397" w:type="pct"/>
                  <w:noWrap w:val="0"/>
                  <w:vAlign w:val="center"/>
                </w:tcPr>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核算</w:t>
                  </w:r>
                </w:p>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方法</w:t>
                  </w:r>
                </w:p>
              </w:tc>
              <w:tc>
                <w:tcPr>
                  <w:tcW w:w="499" w:type="pct"/>
                  <w:noWrap w:val="0"/>
                  <w:vAlign w:val="center"/>
                </w:tcPr>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最大</w:t>
                  </w:r>
                </w:p>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噪声值</w:t>
                  </w:r>
                </w:p>
              </w:tc>
              <w:tc>
                <w:tcPr>
                  <w:tcW w:w="591"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331"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6" w:hRule="atLeast"/>
                <w:jc w:val="center"/>
              </w:trPr>
              <w:tc>
                <w:tcPr>
                  <w:tcW w:w="201" w:type="pct"/>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厂房车间</w:t>
                  </w:r>
                </w:p>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50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p>
              </w:tc>
              <w:tc>
                <w:tcPr>
                  <w:tcW w:w="262" w:type="pct"/>
                  <w:vMerge w:val="restart"/>
                  <w:noWrap w:val="0"/>
                  <w:vAlign w:val="center"/>
                </w:tcPr>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频发</w:t>
                  </w:r>
                </w:p>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室内</w:t>
                  </w:r>
                </w:p>
              </w:tc>
              <w:tc>
                <w:tcPr>
                  <w:tcW w:w="404" w:type="pct"/>
                  <w:vMerge w:val="restart"/>
                  <w:noWrap w:val="0"/>
                  <w:vAlign w:val="center"/>
                </w:tcPr>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w:t>
                  </w:r>
                </w:p>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比</w:t>
                  </w:r>
                </w:p>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法</w:t>
                  </w: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olor w:val="auto"/>
                      <w:kern w:val="0"/>
                      <w:sz w:val="21"/>
                      <w:szCs w:val="21"/>
                      <w:highlight w:val="none"/>
                      <w:lang w:val="en-US" w:eastAsia="zh-CN"/>
                    </w:rPr>
                    <w:t>65</w:t>
                  </w:r>
                  <w:r>
                    <w:rPr>
                      <w:color w:val="auto"/>
                      <w:kern w:val="0"/>
                      <w:sz w:val="21"/>
                      <w:szCs w:val="21"/>
                      <w:highlight w:val="none"/>
                    </w:rPr>
                    <w:t>~</w:t>
                  </w:r>
                  <w:r>
                    <w:rPr>
                      <w:rFonts w:hint="eastAsia"/>
                      <w:color w:val="auto"/>
                      <w:kern w:val="0"/>
                      <w:sz w:val="21"/>
                      <w:szCs w:val="21"/>
                      <w:highlight w:val="none"/>
                    </w:rPr>
                    <w:t>7</w:t>
                  </w:r>
                  <w:r>
                    <w:rPr>
                      <w:rFonts w:hint="eastAsia"/>
                      <w:color w:val="auto"/>
                      <w:kern w:val="0"/>
                      <w:sz w:val="21"/>
                      <w:szCs w:val="21"/>
                      <w:highlight w:val="none"/>
                      <w:lang w:val="en-US" w:eastAsia="zh-CN"/>
                    </w:rPr>
                    <w:t>0</w:t>
                  </w:r>
                </w:p>
              </w:tc>
              <w:tc>
                <w:tcPr>
                  <w:tcW w:w="324" w:type="pct"/>
                  <w:vMerge w:val="restart"/>
                  <w:noWrap w:val="0"/>
                  <w:vAlign w:val="center"/>
                </w:tcPr>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减</w:t>
                  </w:r>
                </w:p>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振</w:t>
                  </w:r>
                </w:p>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隔</w:t>
                  </w:r>
                </w:p>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w:t>
                  </w:r>
                </w:p>
              </w:tc>
              <w:tc>
                <w:tcPr>
                  <w:tcW w:w="359" w:type="pct"/>
                  <w:noWrap w:val="0"/>
                  <w:vAlign w:val="center"/>
                </w:tcPr>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397" w:type="pct"/>
                  <w:vMerge w:val="restart"/>
                  <w:noWrap w:val="0"/>
                  <w:vAlign w:val="center"/>
                </w:tcPr>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w:t>
                  </w:r>
                </w:p>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比</w:t>
                  </w:r>
                </w:p>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法</w:t>
                  </w: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50-60</w:t>
                  </w:r>
                </w:p>
              </w:tc>
              <w:tc>
                <w:tcPr>
                  <w:tcW w:w="591" w:type="pct"/>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100.48</w:t>
                  </w:r>
                </w:p>
              </w:tc>
              <w:tc>
                <w:tcPr>
                  <w:tcW w:w="331" w:type="pct"/>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4800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05" w:hRule="atLeast"/>
                <w:jc w:val="center"/>
              </w:trPr>
              <w:tc>
                <w:tcPr>
                  <w:tcW w:w="20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olor w:val="auto"/>
                      <w:kern w:val="0"/>
                      <w:sz w:val="21"/>
                      <w:szCs w:val="21"/>
                      <w:highlight w:val="none"/>
                      <w:lang w:val="en-US" w:eastAsia="zh-CN"/>
                    </w:rPr>
                    <w:t>65</w:t>
                  </w:r>
                  <w:r>
                    <w:rPr>
                      <w:color w:val="auto"/>
                      <w:kern w:val="0"/>
                      <w:sz w:val="21"/>
                      <w:szCs w:val="21"/>
                      <w:highlight w:val="none"/>
                    </w:rPr>
                    <w:t>~</w:t>
                  </w:r>
                  <w:r>
                    <w:rPr>
                      <w:rFonts w:hint="eastAsia"/>
                      <w:color w:val="auto"/>
                      <w:kern w:val="0"/>
                      <w:sz w:val="21"/>
                      <w:szCs w:val="21"/>
                      <w:highlight w:val="none"/>
                    </w:rPr>
                    <w:t>7</w:t>
                  </w:r>
                  <w:r>
                    <w:rPr>
                      <w:rFonts w:hint="eastAsia"/>
                      <w:color w:val="auto"/>
                      <w:kern w:val="0"/>
                      <w:sz w:val="21"/>
                      <w:szCs w:val="21"/>
                      <w:highlight w:val="none"/>
                      <w:lang w:val="en-US" w:eastAsia="zh-CN"/>
                    </w:rPr>
                    <w:t>0</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50-55</w:t>
                  </w:r>
                </w:p>
              </w:tc>
              <w:tc>
                <w:tcPr>
                  <w:tcW w:w="59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6"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zh-CN" w:eastAsia="zh-CN"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55-60</w:t>
                  </w:r>
                </w:p>
              </w:tc>
              <w:tc>
                <w:tcPr>
                  <w:tcW w:w="59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4"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kern w:val="2"/>
                      <w:sz w:val="21"/>
                      <w:szCs w:val="21"/>
                      <w:highlight w:val="none"/>
                      <w:lang w:val="en-US" w:eastAsia="zh-CN" w:bidi="ar-SA"/>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55-60</w:t>
                  </w:r>
                </w:p>
              </w:tc>
              <w:tc>
                <w:tcPr>
                  <w:tcW w:w="59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9"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9"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9"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p>
              </w:tc>
              <w:tc>
                <w:tcPr>
                  <w:tcW w:w="50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val="en-US" w:eastAsia="zh-CN"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val="en-US" w:eastAsia="zh-CN"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60-65</w:t>
                  </w:r>
                </w:p>
              </w:tc>
              <w:tc>
                <w:tcPr>
                  <w:tcW w:w="59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3000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bl>
          <w:p>
            <w:pPr>
              <w:keepNext w:val="0"/>
              <w:keepLines w:val="0"/>
              <w:pageBreakBefore w:val="0"/>
              <w:widowControl w:val="0"/>
              <w:kinsoku/>
              <w:wordWrap/>
              <w:overflowPunct/>
              <w:topLinePunct w:val="0"/>
              <w:autoSpaceDE/>
              <w:autoSpaceDN/>
              <w:bidi w:val="0"/>
              <w:adjustRightInd/>
              <w:snapToGrid/>
              <w:spacing w:before="120" w:beforeLines="50" w:line="360" w:lineRule="auto"/>
              <w:textAlignment w:val="auto"/>
              <w:rPr>
                <w:rFonts w:hint="eastAsia"/>
                <w:b/>
                <w:bCs/>
                <w:color w:val="auto"/>
                <w:sz w:val="24"/>
                <w:highlight w:val="none"/>
                <w:lang w:val="zh-CN"/>
              </w:rPr>
            </w:pPr>
            <w:r>
              <w:rPr>
                <w:rFonts w:hint="eastAsia"/>
                <w:b/>
                <w:bCs/>
                <w:color w:val="auto"/>
                <w:spacing w:val="-10"/>
                <w:sz w:val="24"/>
                <w:highlight w:val="none"/>
                <w:lang w:val="en-US" w:eastAsia="zh-CN"/>
              </w:rPr>
              <w:t>4.2</w:t>
            </w:r>
            <w:r>
              <w:rPr>
                <w:rFonts w:hint="eastAsia"/>
                <w:b/>
                <w:bCs/>
                <w:color w:val="auto"/>
                <w:spacing w:val="-10"/>
                <w:sz w:val="24"/>
                <w:szCs w:val="24"/>
                <w:highlight w:val="none"/>
                <w:lang w:val="en-US" w:eastAsia="zh-CN"/>
              </w:rPr>
              <w:t>.</w:t>
            </w:r>
            <w:r>
              <w:rPr>
                <w:rFonts w:hint="eastAsia"/>
                <w:b/>
                <w:bCs/>
                <w:color w:val="auto"/>
                <w:sz w:val="24"/>
                <w:highlight w:val="none"/>
                <w:lang w:val="en-US" w:eastAsia="zh-CN"/>
              </w:rPr>
              <w:t>3.2、</w:t>
            </w:r>
            <w:r>
              <w:rPr>
                <w:rFonts w:hint="eastAsia"/>
                <w:b/>
                <w:bCs/>
                <w:color w:val="auto"/>
                <w:sz w:val="24"/>
                <w:highlight w:val="none"/>
                <w:lang w:val="zh-CN"/>
              </w:rPr>
              <w:t>噪声环境影响分析</w:t>
            </w:r>
          </w:p>
          <w:p>
            <w:pPr>
              <w:pStyle w:val="82"/>
              <w:spacing w:line="360" w:lineRule="auto"/>
              <w:ind w:firstLine="560"/>
              <w:rPr>
                <w:color w:val="auto"/>
                <w:sz w:val="24"/>
                <w:szCs w:val="24"/>
                <w:highlight w:val="none"/>
              </w:rPr>
            </w:pPr>
            <w:r>
              <w:rPr>
                <w:color w:val="auto"/>
                <w:sz w:val="24"/>
                <w:szCs w:val="24"/>
                <w:highlight w:val="none"/>
              </w:rPr>
              <w:t>为分析本项目噪声对</w:t>
            </w:r>
            <w:r>
              <w:rPr>
                <w:rFonts w:hint="eastAsia"/>
                <w:color w:val="auto"/>
                <w:sz w:val="24"/>
                <w:szCs w:val="24"/>
                <w:highlight w:val="none"/>
              </w:rPr>
              <w:t>厂</w:t>
            </w:r>
            <w:r>
              <w:rPr>
                <w:color w:val="auto"/>
                <w:sz w:val="24"/>
                <w:szCs w:val="24"/>
                <w:highlight w:val="none"/>
              </w:rPr>
              <w:t>界声环境的影响，本次评价采用《环境影响评价技术导则</w:t>
            </w:r>
            <w:r>
              <w:rPr>
                <w:rFonts w:hint="eastAsia"/>
                <w:color w:val="auto"/>
                <w:sz w:val="24"/>
                <w:szCs w:val="24"/>
                <w:highlight w:val="none"/>
              </w:rPr>
              <w:t xml:space="preserve"> </w:t>
            </w:r>
            <w:r>
              <w:rPr>
                <w:color w:val="auto"/>
                <w:sz w:val="24"/>
                <w:szCs w:val="24"/>
                <w:highlight w:val="none"/>
              </w:rPr>
              <w:t>声环境》（HJ2.4-</w:t>
            </w:r>
            <w:r>
              <w:rPr>
                <w:rFonts w:hint="eastAsia"/>
                <w:color w:val="auto"/>
                <w:sz w:val="24"/>
                <w:szCs w:val="24"/>
                <w:highlight w:val="none"/>
              </w:rPr>
              <w:t>2021</w:t>
            </w:r>
            <w:r>
              <w:rPr>
                <w:color w:val="auto"/>
                <w:sz w:val="24"/>
                <w:szCs w:val="24"/>
                <w:highlight w:val="none"/>
              </w:rPr>
              <w:t>）中的工业噪声预测计算模式。</w:t>
            </w:r>
          </w:p>
          <w:p>
            <w:pPr>
              <w:pStyle w:val="84"/>
              <w:keepNext w:val="0"/>
              <w:keepLines w:val="0"/>
              <w:pageBreakBefore w:val="0"/>
              <w:kinsoku/>
              <w:wordWrap/>
              <w:overflowPunct/>
              <w:topLinePunct w:val="0"/>
              <w:autoSpaceDE/>
              <w:autoSpaceDN/>
              <w:bidi w:val="0"/>
              <w:spacing w:line="360" w:lineRule="auto"/>
              <w:ind w:firstLine="420"/>
              <w:rPr>
                <w:bCs/>
                <w:color w:val="auto"/>
                <w:sz w:val="24"/>
                <w:szCs w:val="24"/>
                <w:highlight w:val="none"/>
                <w:lang w:val="en-US" w:eastAsia="zh-CN"/>
              </w:rPr>
            </w:pPr>
            <w:r>
              <w:rPr>
                <w:bCs/>
                <w:color w:val="auto"/>
                <w:sz w:val="24"/>
                <w:szCs w:val="24"/>
                <w:highlight w:val="none"/>
                <w:lang w:val="en-US" w:eastAsia="zh-CN"/>
              </w:rPr>
              <w:t>A</w:t>
            </w:r>
            <w:r>
              <w:rPr>
                <w:rFonts w:hint="eastAsia"/>
                <w:bCs/>
                <w:color w:val="auto"/>
                <w:sz w:val="24"/>
                <w:szCs w:val="24"/>
                <w:highlight w:val="none"/>
                <w:lang w:val="en-US" w:eastAsia="zh-CN"/>
              </w:rPr>
              <w:t>、</w:t>
            </w:r>
            <w:r>
              <w:rPr>
                <w:rFonts w:hAnsi="Calibri"/>
                <w:bCs/>
                <w:color w:val="auto"/>
                <w:sz w:val="24"/>
                <w:szCs w:val="24"/>
                <w:highlight w:val="none"/>
                <w:lang w:val="en-US" w:eastAsia="zh-CN"/>
              </w:rPr>
              <w:t>室内声源等效室外声源声功率级计算</w:t>
            </w:r>
          </w:p>
          <w:p>
            <w:pPr>
              <w:pStyle w:val="84"/>
              <w:keepNext w:val="0"/>
              <w:keepLines w:val="0"/>
              <w:pageBreakBefore w:val="0"/>
              <w:kinsoku/>
              <w:wordWrap/>
              <w:overflowPunct/>
              <w:topLinePunct w:val="0"/>
              <w:autoSpaceDE/>
              <w:autoSpaceDN/>
              <w:bidi w:val="0"/>
              <w:spacing w:line="360" w:lineRule="auto"/>
              <w:ind w:firstLine="420"/>
              <w:rPr>
                <w:bCs/>
                <w:color w:val="auto"/>
                <w:sz w:val="24"/>
                <w:szCs w:val="24"/>
                <w:highlight w:val="none"/>
                <w:lang w:val="en-US" w:eastAsia="zh-CN"/>
              </w:rPr>
            </w:pPr>
            <w:r>
              <w:rPr>
                <w:bCs/>
                <w:color w:val="auto"/>
                <w:sz w:val="24"/>
                <w:szCs w:val="24"/>
                <w:highlight w:val="none"/>
                <w:lang w:val="en-US" w:eastAsia="zh-CN"/>
              </w:rPr>
              <w:t>1</w:t>
            </w:r>
            <w:r>
              <w:rPr>
                <w:rFonts w:hAnsi="Calibri"/>
                <w:bCs/>
                <w:color w:val="auto"/>
                <w:sz w:val="24"/>
                <w:szCs w:val="24"/>
                <w:highlight w:val="none"/>
                <w:lang w:val="en-US" w:eastAsia="zh-CN"/>
              </w:rPr>
              <w:t>）计算出某个室内靠近围护结构处的倍频带声压级：</w:t>
            </w:r>
          </w:p>
          <w:p>
            <w:pPr>
              <w:pStyle w:val="84"/>
              <w:keepNext w:val="0"/>
              <w:keepLines w:val="0"/>
              <w:pageBreakBefore w:val="0"/>
              <w:kinsoku/>
              <w:wordWrap/>
              <w:overflowPunct/>
              <w:topLinePunct w:val="0"/>
              <w:autoSpaceDE/>
              <w:autoSpaceDN/>
              <w:bidi w:val="0"/>
              <w:spacing w:line="360" w:lineRule="auto"/>
              <w:ind w:firstLine="420"/>
              <w:jc w:val="center"/>
              <w:rPr>
                <w:bCs/>
                <w:color w:val="auto"/>
                <w:sz w:val="24"/>
                <w:szCs w:val="24"/>
                <w:highlight w:val="none"/>
                <w:lang w:val="en-US" w:eastAsia="zh-CN"/>
              </w:rPr>
            </w:pPr>
            <w:r>
              <w:rPr>
                <w:bCs/>
                <w:color w:val="auto"/>
                <w:sz w:val="24"/>
                <w:szCs w:val="24"/>
                <w:highlight w:val="none"/>
                <w:lang w:val="en-US" w:eastAsia="zh-CN"/>
              </w:rPr>
              <w:object>
                <v:shape id="_x0000_i1039" o:spt="75" type="#_x0000_t75" style="height:38.35pt;width:135.6pt;" o:ole="t" filled="f" o:preferrelative="t" stroked="f" coordsize="21600,21600">
                  <v:path/>
                  <v:fill on="f" focussize="0,0"/>
                  <v:stroke on="f"/>
                  <v:imagedata r:id="rId26" o:title=""/>
                  <o:lock v:ext="edit" grouping="f" rotation="f" text="f" aspectratio="t"/>
                  <w10:wrap type="none"/>
                  <w10:anchorlock/>
                </v:shape>
                <o:OLEObject Type="Embed" ProgID="Equation.3" ShapeID="_x0000_i1039" DrawAspect="Content" ObjectID="_1468075732" r:id="rId25">
                  <o:LockedField>false</o:LockedField>
                </o:OLEObject>
              </w:object>
            </w:r>
          </w:p>
          <w:p>
            <w:pPr>
              <w:pStyle w:val="84"/>
              <w:keepNext w:val="0"/>
              <w:keepLines w:val="0"/>
              <w:pageBreakBefore w:val="0"/>
              <w:kinsoku/>
              <w:wordWrap/>
              <w:overflowPunct/>
              <w:topLinePunct w:val="0"/>
              <w:autoSpaceDE/>
              <w:autoSpaceDN/>
              <w:bidi w:val="0"/>
              <w:spacing w:line="360" w:lineRule="auto"/>
              <w:ind w:firstLine="420"/>
              <w:rPr>
                <w:bCs/>
                <w:color w:val="auto"/>
                <w:sz w:val="24"/>
                <w:szCs w:val="24"/>
                <w:highlight w:val="none"/>
                <w:lang w:val="en-US" w:eastAsia="zh-CN"/>
              </w:rPr>
            </w:pPr>
            <w:r>
              <w:rPr>
                <w:rFonts w:hAnsi="Calibri"/>
                <w:bCs/>
                <w:color w:val="auto"/>
                <w:sz w:val="24"/>
                <w:szCs w:val="24"/>
                <w:highlight w:val="none"/>
                <w:lang w:val="en-US" w:eastAsia="zh-CN"/>
              </w:rPr>
              <w:t>式中：</w:t>
            </w:r>
            <w:r>
              <w:rPr>
                <w:bCs/>
                <w:color w:val="auto"/>
                <w:sz w:val="24"/>
                <w:szCs w:val="24"/>
                <w:highlight w:val="none"/>
                <w:lang w:val="en-US" w:eastAsia="zh-CN"/>
              </w:rPr>
              <w:t>L</w:t>
            </w:r>
            <w:r>
              <w:rPr>
                <w:bCs/>
                <w:color w:val="auto"/>
                <w:sz w:val="24"/>
                <w:szCs w:val="24"/>
                <w:highlight w:val="none"/>
                <w:vertAlign w:val="subscript"/>
                <w:lang w:val="en-US" w:eastAsia="zh-CN"/>
              </w:rPr>
              <w:t>P1</w:t>
            </w:r>
            <w:r>
              <w:rPr>
                <w:bCs/>
                <w:color w:val="auto"/>
                <w:sz w:val="24"/>
                <w:szCs w:val="24"/>
                <w:highlight w:val="none"/>
                <w:lang w:val="en-US" w:eastAsia="zh-CN"/>
              </w:rPr>
              <w:t>—</w:t>
            </w:r>
            <w:r>
              <w:rPr>
                <w:rFonts w:hAnsi="Calibri"/>
                <w:bCs/>
                <w:color w:val="auto"/>
                <w:sz w:val="24"/>
                <w:szCs w:val="24"/>
                <w:highlight w:val="none"/>
                <w:lang w:val="en-US" w:eastAsia="zh-CN"/>
              </w:rPr>
              <w:t>某个室内声源在靠近围护结构处产生的倍频带声压级；</w:t>
            </w:r>
          </w:p>
          <w:p>
            <w:pPr>
              <w:pStyle w:val="84"/>
              <w:keepNext w:val="0"/>
              <w:keepLines w:val="0"/>
              <w:pageBreakBefore w:val="0"/>
              <w:kinsoku/>
              <w:wordWrap/>
              <w:overflowPunct/>
              <w:topLinePunct w:val="0"/>
              <w:autoSpaceDE/>
              <w:autoSpaceDN/>
              <w:bidi w:val="0"/>
              <w:spacing w:line="360" w:lineRule="auto"/>
              <w:ind w:firstLine="420"/>
              <w:rPr>
                <w:bCs/>
                <w:color w:val="auto"/>
                <w:sz w:val="24"/>
                <w:szCs w:val="24"/>
                <w:highlight w:val="none"/>
                <w:lang w:val="en-US" w:eastAsia="zh-CN"/>
              </w:rPr>
            </w:pPr>
            <w:r>
              <w:rPr>
                <w:bCs/>
                <w:color w:val="auto"/>
                <w:sz w:val="24"/>
                <w:szCs w:val="24"/>
                <w:highlight w:val="none"/>
                <w:lang w:val="en-US" w:eastAsia="zh-CN"/>
              </w:rPr>
              <w:t xml:space="preserve">      L</w:t>
            </w:r>
            <w:r>
              <w:rPr>
                <w:bCs/>
                <w:color w:val="auto"/>
                <w:sz w:val="24"/>
                <w:szCs w:val="24"/>
                <w:highlight w:val="none"/>
                <w:vertAlign w:val="subscript"/>
                <w:lang w:val="en-US" w:eastAsia="zh-CN"/>
              </w:rPr>
              <w:t>w</w:t>
            </w:r>
            <w:r>
              <w:rPr>
                <w:bCs/>
                <w:color w:val="auto"/>
                <w:sz w:val="24"/>
                <w:szCs w:val="24"/>
                <w:highlight w:val="none"/>
                <w:lang w:val="en-US" w:eastAsia="zh-CN"/>
              </w:rPr>
              <w:t>—</w:t>
            </w:r>
            <w:r>
              <w:rPr>
                <w:rFonts w:hAnsi="Calibri"/>
                <w:bCs/>
                <w:color w:val="auto"/>
                <w:sz w:val="24"/>
                <w:szCs w:val="24"/>
                <w:highlight w:val="none"/>
                <w:lang w:val="en-US" w:eastAsia="zh-CN"/>
              </w:rPr>
              <w:t>某个声源的倍频带声功率级；</w:t>
            </w:r>
          </w:p>
          <w:p>
            <w:pPr>
              <w:pStyle w:val="84"/>
              <w:keepNext w:val="0"/>
              <w:keepLines w:val="0"/>
              <w:pageBreakBefore w:val="0"/>
              <w:kinsoku/>
              <w:wordWrap/>
              <w:overflowPunct/>
              <w:topLinePunct w:val="0"/>
              <w:autoSpaceDE/>
              <w:autoSpaceDN/>
              <w:bidi w:val="0"/>
              <w:spacing w:line="360" w:lineRule="auto"/>
              <w:ind w:firstLine="420"/>
              <w:rPr>
                <w:bCs/>
                <w:color w:val="auto"/>
                <w:sz w:val="24"/>
                <w:szCs w:val="24"/>
                <w:highlight w:val="none"/>
                <w:lang w:val="en-US" w:eastAsia="zh-CN"/>
              </w:rPr>
            </w:pPr>
            <w:r>
              <w:rPr>
                <w:bCs/>
                <w:color w:val="auto"/>
                <w:sz w:val="24"/>
                <w:szCs w:val="24"/>
                <w:highlight w:val="none"/>
                <w:lang w:val="en-US" w:eastAsia="zh-CN"/>
              </w:rPr>
              <w:t xml:space="preserve">      r—</w:t>
            </w:r>
            <w:r>
              <w:rPr>
                <w:rFonts w:hAnsi="Calibri"/>
                <w:bCs/>
                <w:color w:val="auto"/>
                <w:sz w:val="24"/>
                <w:szCs w:val="24"/>
                <w:highlight w:val="none"/>
                <w:lang w:val="en-US" w:eastAsia="zh-CN"/>
              </w:rPr>
              <w:t>室内某个声源与靠近围护结构处的距离；</w:t>
            </w:r>
          </w:p>
          <w:p>
            <w:pPr>
              <w:pStyle w:val="84"/>
              <w:keepNext w:val="0"/>
              <w:keepLines w:val="0"/>
              <w:pageBreakBefore w:val="0"/>
              <w:kinsoku/>
              <w:wordWrap/>
              <w:overflowPunct/>
              <w:topLinePunct w:val="0"/>
              <w:autoSpaceDE/>
              <w:autoSpaceDN/>
              <w:bidi w:val="0"/>
              <w:spacing w:line="360" w:lineRule="auto"/>
              <w:ind w:firstLine="420"/>
              <w:rPr>
                <w:bCs/>
                <w:color w:val="auto"/>
                <w:sz w:val="24"/>
                <w:szCs w:val="24"/>
                <w:highlight w:val="none"/>
                <w:lang w:val="en-US" w:eastAsia="zh-CN"/>
              </w:rPr>
            </w:pPr>
            <w:r>
              <w:rPr>
                <w:bCs/>
                <w:color w:val="auto"/>
                <w:sz w:val="24"/>
                <w:szCs w:val="24"/>
                <w:highlight w:val="none"/>
                <w:lang w:val="en-US" w:eastAsia="zh-CN"/>
              </w:rPr>
              <w:t xml:space="preserve">      R—</w:t>
            </w:r>
            <w:r>
              <w:rPr>
                <w:rFonts w:hAnsi="Calibri"/>
                <w:bCs/>
                <w:color w:val="auto"/>
                <w:sz w:val="24"/>
                <w:szCs w:val="24"/>
                <w:highlight w:val="none"/>
                <w:lang w:val="en-US" w:eastAsia="zh-CN"/>
              </w:rPr>
              <w:t>房间</w:t>
            </w:r>
            <w:r>
              <w:rPr>
                <w:rFonts w:hint="eastAsia" w:hAnsi="Calibri"/>
                <w:bCs/>
                <w:color w:val="auto"/>
                <w:sz w:val="24"/>
                <w:szCs w:val="24"/>
                <w:highlight w:val="none"/>
                <w:lang w:val="en-US" w:eastAsia="zh-CN"/>
              </w:rPr>
              <w:t>参</w:t>
            </w:r>
            <w:r>
              <w:rPr>
                <w:rFonts w:hAnsi="Calibri"/>
                <w:bCs/>
                <w:color w:val="auto"/>
                <w:sz w:val="24"/>
                <w:szCs w:val="24"/>
                <w:highlight w:val="none"/>
                <w:lang w:val="en-US" w:eastAsia="zh-CN"/>
              </w:rPr>
              <w:t>数；</w:t>
            </w:r>
          </w:p>
          <w:p>
            <w:pPr>
              <w:pStyle w:val="84"/>
              <w:keepNext w:val="0"/>
              <w:keepLines w:val="0"/>
              <w:pageBreakBefore w:val="0"/>
              <w:kinsoku/>
              <w:wordWrap/>
              <w:overflowPunct/>
              <w:topLinePunct w:val="0"/>
              <w:autoSpaceDE/>
              <w:autoSpaceDN/>
              <w:bidi w:val="0"/>
              <w:spacing w:line="360" w:lineRule="auto"/>
              <w:ind w:firstLine="1200" w:firstLineChars="500"/>
              <w:rPr>
                <w:bCs/>
                <w:color w:val="auto"/>
                <w:sz w:val="24"/>
                <w:szCs w:val="24"/>
                <w:highlight w:val="none"/>
                <w:lang w:val="en-US" w:eastAsia="zh-CN"/>
              </w:rPr>
            </w:pPr>
            <w:r>
              <w:rPr>
                <w:bCs/>
                <w:color w:val="auto"/>
                <w:sz w:val="24"/>
                <w:szCs w:val="24"/>
                <w:highlight w:val="none"/>
                <w:lang w:val="en-US" w:eastAsia="zh-CN"/>
              </w:rPr>
              <w:t>Q—</w:t>
            </w:r>
            <w:r>
              <w:rPr>
                <w:rFonts w:hAnsi="Calibri"/>
                <w:bCs/>
                <w:color w:val="auto"/>
                <w:sz w:val="24"/>
                <w:szCs w:val="24"/>
                <w:highlight w:val="none"/>
                <w:lang w:val="en-US" w:eastAsia="zh-CN"/>
              </w:rPr>
              <w:t>方向因子。</w:t>
            </w:r>
          </w:p>
          <w:p>
            <w:pPr>
              <w:pStyle w:val="84"/>
              <w:keepNext w:val="0"/>
              <w:keepLines w:val="0"/>
              <w:pageBreakBefore w:val="0"/>
              <w:kinsoku/>
              <w:wordWrap/>
              <w:overflowPunct/>
              <w:topLinePunct w:val="0"/>
              <w:autoSpaceDE/>
              <w:autoSpaceDN/>
              <w:bidi w:val="0"/>
              <w:spacing w:line="360" w:lineRule="auto"/>
              <w:ind w:firstLine="420"/>
              <w:rPr>
                <w:bCs/>
                <w:color w:val="auto"/>
                <w:sz w:val="24"/>
                <w:szCs w:val="24"/>
                <w:highlight w:val="none"/>
                <w:lang w:val="en-US" w:eastAsia="zh-CN"/>
              </w:rPr>
            </w:pPr>
            <w:r>
              <w:rPr>
                <w:bCs/>
                <w:color w:val="auto"/>
                <w:sz w:val="24"/>
                <w:szCs w:val="24"/>
                <w:highlight w:val="none"/>
                <w:lang w:val="en-US" w:eastAsia="zh-CN"/>
              </w:rPr>
              <w:t>2</w:t>
            </w:r>
            <w:r>
              <w:rPr>
                <w:rFonts w:hAnsi="Calibri"/>
                <w:bCs/>
                <w:color w:val="auto"/>
                <w:sz w:val="24"/>
                <w:szCs w:val="24"/>
                <w:highlight w:val="none"/>
                <w:lang w:val="en-US" w:eastAsia="zh-CN"/>
              </w:rPr>
              <w:t>）计算出所有室内声源在靠近围护结构处产生的总倍频带声压级：</w:t>
            </w:r>
          </w:p>
          <w:p>
            <w:pPr>
              <w:pStyle w:val="84"/>
              <w:keepNext w:val="0"/>
              <w:keepLines w:val="0"/>
              <w:pageBreakBefore w:val="0"/>
              <w:kinsoku/>
              <w:wordWrap/>
              <w:overflowPunct/>
              <w:topLinePunct w:val="0"/>
              <w:autoSpaceDE/>
              <w:autoSpaceDN/>
              <w:bidi w:val="0"/>
              <w:spacing w:line="360" w:lineRule="auto"/>
              <w:ind w:firstLine="420"/>
              <w:jc w:val="center"/>
              <w:rPr>
                <w:bCs/>
                <w:color w:val="auto"/>
                <w:sz w:val="24"/>
                <w:szCs w:val="24"/>
                <w:highlight w:val="none"/>
                <w:lang w:val="en-US" w:eastAsia="zh-CN"/>
              </w:rPr>
            </w:pPr>
            <w:r>
              <w:rPr>
                <w:bCs/>
                <w:color w:val="auto"/>
                <w:sz w:val="24"/>
                <w:szCs w:val="24"/>
                <w:highlight w:val="none"/>
                <w:lang w:val="en-US" w:eastAsia="zh-CN"/>
              </w:rPr>
              <w:object>
                <v:shape id="_x0000_i1040" o:spt="75" type="#_x0000_t75" style="height:38.35pt;width:132.8pt;" o:ole="t" filled="f" o:preferrelative="t" stroked="f" coordsize="21600,21600">
                  <v:path/>
                  <v:fill on="f" focussize="0,0"/>
                  <v:stroke on="f"/>
                  <v:imagedata r:id="rId28" o:title=""/>
                  <o:lock v:ext="edit" grouping="f" rotation="f" text="f" aspectratio="t"/>
                  <w10:wrap type="none"/>
                  <w10:anchorlock/>
                </v:shape>
                <o:OLEObject Type="Embed" ProgID="Equation.3" ShapeID="_x0000_i1040" DrawAspect="Content" ObjectID="_1468075733" r:id="rId27">
                  <o:LockedField>false</o:LockedField>
                </o:OLEObject>
              </w:object>
            </w:r>
          </w:p>
          <w:p>
            <w:pPr>
              <w:pStyle w:val="84"/>
              <w:keepNext w:val="0"/>
              <w:keepLines w:val="0"/>
              <w:pageBreakBefore w:val="0"/>
              <w:kinsoku/>
              <w:wordWrap/>
              <w:overflowPunct/>
              <w:topLinePunct w:val="0"/>
              <w:autoSpaceDE/>
              <w:autoSpaceDN/>
              <w:bidi w:val="0"/>
              <w:spacing w:line="360" w:lineRule="auto"/>
              <w:ind w:firstLine="420"/>
              <w:rPr>
                <w:bCs/>
                <w:color w:val="auto"/>
                <w:sz w:val="24"/>
                <w:szCs w:val="24"/>
                <w:highlight w:val="none"/>
                <w:lang w:val="en-US" w:eastAsia="zh-CN"/>
              </w:rPr>
            </w:pPr>
            <w:r>
              <w:rPr>
                <w:bCs/>
                <w:color w:val="auto"/>
                <w:sz w:val="24"/>
                <w:szCs w:val="24"/>
                <w:highlight w:val="none"/>
                <w:lang w:val="en-US" w:eastAsia="zh-CN"/>
              </w:rPr>
              <w:t>3</w:t>
            </w:r>
            <w:r>
              <w:rPr>
                <w:rFonts w:hAnsi="Calibri"/>
                <w:bCs/>
                <w:color w:val="auto"/>
                <w:sz w:val="24"/>
                <w:szCs w:val="24"/>
                <w:highlight w:val="none"/>
                <w:lang w:val="en-US" w:eastAsia="zh-CN"/>
              </w:rPr>
              <w:t>）计算出室外靠近围护结构处的声压级：</w:t>
            </w:r>
          </w:p>
          <w:p>
            <w:pPr>
              <w:pStyle w:val="84"/>
              <w:keepNext w:val="0"/>
              <w:keepLines w:val="0"/>
              <w:pageBreakBefore w:val="0"/>
              <w:kinsoku/>
              <w:wordWrap/>
              <w:overflowPunct/>
              <w:topLinePunct w:val="0"/>
              <w:autoSpaceDE/>
              <w:autoSpaceDN/>
              <w:bidi w:val="0"/>
              <w:spacing w:line="360" w:lineRule="auto"/>
              <w:ind w:firstLine="420"/>
              <w:jc w:val="center"/>
              <w:rPr>
                <w:bCs/>
                <w:color w:val="auto"/>
                <w:sz w:val="24"/>
                <w:szCs w:val="24"/>
                <w:highlight w:val="none"/>
                <w:lang w:val="en-US" w:eastAsia="zh-CN"/>
              </w:rPr>
            </w:pPr>
            <w:r>
              <w:rPr>
                <w:bCs/>
                <w:color w:val="auto"/>
                <w:sz w:val="24"/>
                <w:szCs w:val="24"/>
                <w:highlight w:val="none"/>
                <w:lang w:val="en-US" w:eastAsia="zh-CN"/>
              </w:rPr>
              <w:object>
                <v:shape id="_x0000_i1041" o:spt="75" type="#_x0000_t75" style="height:17.75pt;width:138.4pt;" o:ole="t" filled="f" o:preferrelative="t" stroked="f" coordsize="21600,21600">
                  <v:path/>
                  <v:fill on="f" focussize="0,0"/>
                  <v:stroke on="f"/>
                  <v:imagedata r:id="rId30" o:title=""/>
                  <o:lock v:ext="edit" grouping="f" rotation="f" text="f" aspectratio="t"/>
                  <w10:wrap type="none"/>
                  <w10:anchorlock/>
                </v:shape>
                <o:OLEObject Type="Embed" ProgID="Equation.3" ShapeID="_x0000_i1041" DrawAspect="Content" ObjectID="_1468075734" r:id="rId29">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 w:val="24"/>
                <w:szCs w:val="24"/>
                <w:highlight w:val="none"/>
              </w:rPr>
            </w:pPr>
            <w:r>
              <w:rPr>
                <w:color w:val="auto"/>
                <w:sz w:val="24"/>
                <w:szCs w:val="24"/>
                <w:highlight w:val="none"/>
              </w:rPr>
              <w:drawing>
                <wp:inline distT="0" distB="0" distL="114300" distR="114300">
                  <wp:extent cx="2408555" cy="1229360"/>
                  <wp:effectExtent l="0" t="0" r="10795" b="889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1"/>
                          <a:stretch>
                            <a:fillRect/>
                          </a:stretch>
                        </pic:blipFill>
                        <pic:spPr>
                          <a:xfrm>
                            <a:off x="0" y="0"/>
                            <a:ext cx="2408555" cy="12293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color w:val="auto"/>
                <w:sz w:val="24"/>
                <w:szCs w:val="24"/>
                <w:highlight w:val="none"/>
              </w:rPr>
            </w:pPr>
            <w:r>
              <w:rPr>
                <w:rFonts w:hint="default" w:ascii="Times New Roman" w:hAnsi="Times New Roman" w:eastAsia="黑体" w:cs="Times New Roman"/>
                <w:b w:val="0"/>
                <w:bCs/>
                <w:color w:val="auto"/>
                <w:sz w:val="24"/>
                <w:szCs w:val="24"/>
                <w:highlight w:val="none"/>
              </w:rPr>
              <w:t>图4-</w:t>
            </w:r>
            <w:r>
              <w:rPr>
                <w:rFonts w:hint="default" w:ascii="Times New Roman" w:hAnsi="Times New Roman" w:eastAsia="黑体" w:cs="Times New Roman"/>
                <w:b w:val="0"/>
                <w:bCs/>
                <w:color w:val="auto"/>
                <w:sz w:val="24"/>
                <w:szCs w:val="24"/>
                <w:highlight w:val="none"/>
                <w:lang w:val="en-US" w:eastAsia="zh-CN"/>
              </w:rPr>
              <w:t>2</w:t>
            </w:r>
            <w:r>
              <w:rPr>
                <w:rFonts w:hint="default" w:ascii="Times New Roman" w:hAnsi="Times New Roman" w:eastAsia="黑体" w:cs="Times New Roman"/>
                <w:b w:val="0"/>
                <w:bCs/>
                <w:color w:val="auto"/>
                <w:sz w:val="24"/>
                <w:szCs w:val="24"/>
                <w:highlight w:val="none"/>
              </w:rPr>
              <w:t xml:space="preserve">  室内声源等效为室外声源图例</w:t>
            </w:r>
          </w:p>
          <w:p>
            <w:pPr>
              <w:pStyle w:val="84"/>
              <w:keepNext w:val="0"/>
              <w:keepLines w:val="0"/>
              <w:pageBreakBefore w:val="0"/>
              <w:kinsoku/>
              <w:wordWrap/>
              <w:overflowPunct/>
              <w:topLinePunct w:val="0"/>
              <w:autoSpaceDE/>
              <w:autoSpaceDN/>
              <w:bidi w:val="0"/>
              <w:adjustRightInd/>
              <w:snapToGrid/>
              <w:spacing w:line="360" w:lineRule="auto"/>
              <w:ind w:firstLine="420"/>
              <w:rPr>
                <w:bCs/>
                <w:color w:val="auto"/>
                <w:sz w:val="24"/>
                <w:szCs w:val="24"/>
                <w:highlight w:val="none"/>
                <w:lang w:val="en-US" w:eastAsia="zh-CN"/>
              </w:rPr>
            </w:pPr>
            <w:r>
              <w:rPr>
                <w:bCs/>
                <w:color w:val="auto"/>
                <w:sz w:val="24"/>
                <w:szCs w:val="24"/>
                <w:highlight w:val="none"/>
                <w:lang w:val="en-US" w:eastAsia="zh-CN"/>
              </w:rPr>
              <w:t>4</w:t>
            </w:r>
            <w:r>
              <w:rPr>
                <w:rFonts w:hAnsi="Calibri"/>
                <w:bCs/>
                <w:color w:val="auto"/>
                <w:sz w:val="24"/>
                <w:szCs w:val="24"/>
                <w:highlight w:val="none"/>
                <w:lang w:val="en-US" w:eastAsia="zh-CN"/>
              </w:rPr>
              <w:t>）将室外声级和透声面积换算成等效的室外声源，计算出中心位置位于透声</w:t>
            </w:r>
            <w:r>
              <w:rPr>
                <w:bCs/>
                <w:color w:val="auto"/>
                <w:sz w:val="24"/>
                <w:szCs w:val="24"/>
                <w:highlight w:val="none"/>
                <w:lang w:val="en-US" w:eastAsia="zh-CN"/>
              </w:rPr>
              <w:t>(S)</w:t>
            </w:r>
            <w:r>
              <w:rPr>
                <w:rFonts w:hAnsi="Calibri"/>
                <w:bCs/>
                <w:color w:val="auto"/>
                <w:sz w:val="24"/>
                <w:szCs w:val="24"/>
                <w:highlight w:val="none"/>
                <w:lang w:val="en-US" w:eastAsia="zh-CN"/>
              </w:rPr>
              <w:t>处的等效声源的倍频带声功率级：</w:t>
            </w:r>
          </w:p>
          <w:p>
            <w:pPr>
              <w:pStyle w:val="84"/>
              <w:keepNext w:val="0"/>
              <w:keepLines w:val="0"/>
              <w:pageBreakBefore w:val="0"/>
              <w:kinsoku/>
              <w:wordWrap/>
              <w:overflowPunct/>
              <w:topLinePunct w:val="0"/>
              <w:autoSpaceDE/>
              <w:autoSpaceDN/>
              <w:bidi w:val="0"/>
              <w:spacing w:line="360" w:lineRule="auto"/>
              <w:ind w:firstLine="420"/>
              <w:jc w:val="center"/>
              <w:rPr>
                <w:bCs/>
                <w:color w:val="auto"/>
                <w:sz w:val="24"/>
                <w:szCs w:val="24"/>
                <w:highlight w:val="none"/>
                <w:lang w:val="en-US" w:eastAsia="zh-CN"/>
              </w:rPr>
            </w:pPr>
            <w:r>
              <w:rPr>
                <w:bCs/>
                <w:color w:val="auto"/>
                <w:sz w:val="24"/>
                <w:szCs w:val="24"/>
                <w:highlight w:val="none"/>
                <w:lang w:val="en-US" w:eastAsia="zh-CN"/>
              </w:rPr>
              <w:object>
                <v:shape id="_x0000_i1042" o:spt="75" type="#_x0000_t75" style="height:17.75pt;width:102.9pt;" o:ole="t" filled="f" o:preferrelative="t" stroked="f" coordsize="21600,21600">
                  <v:path/>
                  <v:fill on="f" focussize="0,0"/>
                  <v:stroke on="f"/>
                  <v:imagedata r:id="rId33" o:title=""/>
                  <o:lock v:ext="edit" grouping="f" rotation="f" text="f" aspectratio="t"/>
                  <w10:wrap type="none"/>
                  <w10:anchorlock/>
                </v:shape>
                <o:OLEObject Type="Embed" ProgID="Equation.3" ShapeID="_x0000_i1042" DrawAspect="Content" ObjectID="_1468075735" r:id="rId32">
                  <o:LockedField>false</o:LockedField>
                </o:OLEObject>
              </w:object>
            </w:r>
          </w:p>
          <w:p>
            <w:pPr>
              <w:pStyle w:val="84"/>
              <w:keepNext w:val="0"/>
              <w:keepLines w:val="0"/>
              <w:pageBreakBefore w:val="0"/>
              <w:kinsoku/>
              <w:wordWrap/>
              <w:overflowPunct/>
              <w:topLinePunct w:val="0"/>
              <w:autoSpaceDE/>
              <w:autoSpaceDN/>
              <w:bidi w:val="0"/>
              <w:spacing w:line="360" w:lineRule="auto"/>
              <w:ind w:firstLine="420"/>
              <w:rPr>
                <w:bCs/>
                <w:color w:val="auto"/>
                <w:sz w:val="24"/>
                <w:szCs w:val="24"/>
                <w:highlight w:val="none"/>
                <w:lang w:val="en-US" w:eastAsia="zh-CN"/>
              </w:rPr>
            </w:pPr>
            <w:r>
              <w:rPr>
                <w:rFonts w:hAnsi="Calibri"/>
                <w:bCs/>
                <w:color w:val="auto"/>
                <w:sz w:val="24"/>
                <w:szCs w:val="24"/>
                <w:highlight w:val="none"/>
                <w:lang w:val="en-US" w:eastAsia="zh-CN"/>
              </w:rPr>
              <w:t>式中：</w:t>
            </w:r>
            <w:r>
              <w:rPr>
                <w:bCs/>
                <w:color w:val="auto"/>
                <w:sz w:val="24"/>
                <w:szCs w:val="24"/>
                <w:highlight w:val="none"/>
                <w:lang w:val="en-US" w:eastAsia="zh-CN"/>
              </w:rPr>
              <w:t>S—</w:t>
            </w:r>
            <w:r>
              <w:rPr>
                <w:rFonts w:hAnsi="Calibri"/>
                <w:bCs/>
                <w:color w:val="auto"/>
                <w:sz w:val="24"/>
                <w:szCs w:val="24"/>
                <w:highlight w:val="none"/>
                <w:lang w:val="en-US" w:eastAsia="zh-CN"/>
              </w:rPr>
              <w:t>透声面积，</w:t>
            </w:r>
            <w:r>
              <w:rPr>
                <w:bCs/>
                <w:color w:val="auto"/>
                <w:sz w:val="24"/>
                <w:szCs w:val="24"/>
                <w:highlight w:val="none"/>
                <w:lang w:val="en-US" w:eastAsia="zh-CN"/>
              </w:rPr>
              <w:t>m</w:t>
            </w:r>
            <w:r>
              <w:rPr>
                <w:bCs/>
                <w:color w:val="auto"/>
                <w:sz w:val="24"/>
                <w:szCs w:val="24"/>
                <w:highlight w:val="none"/>
                <w:vertAlign w:val="superscript"/>
                <w:lang w:val="en-US" w:eastAsia="zh-CN"/>
              </w:rPr>
              <w:t>2</w:t>
            </w:r>
            <w:r>
              <w:rPr>
                <w:rFonts w:hAnsi="Calibri"/>
                <w:bCs/>
                <w:color w:val="auto"/>
                <w:sz w:val="24"/>
                <w:szCs w:val="24"/>
                <w:highlight w:val="none"/>
                <w:lang w:val="en-US" w:eastAsia="zh-CN"/>
              </w:rPr>
              <w:t>。</w:t>
            </w:r>
          </w:p>
          <w:p>
            <w:pPr>
              <w:pStyle w:val="84"/>
              <w:keepNext w:val="0"/>
              <w:keepLines w:val="0"/>
              <w:pageBreakBefore w:val="0"/>
              <w:kinsoku/>
              <w:wordWrap/>
              <w:overflowPunct/>
              <w:topLinePunct w:val="0"/>
              <w:autoSpaceDE/>
              <w:autoSpaceDN/>
              <w:bidi w:val="0"/>
              <w:spacing w:line="360" w:lineRule="auto"/>
              <w:ind w:firstLine="420"/>
              <w:rPr>
                <w:bCs/>
                <w:color w:val="auto"/>
                <w:sz w:val="24"/>
                <w:szCs w:val="24"/>
                <w:highlight w:val="none"/>
                <w:lang w:val="en-US" w:eastAsia="zh-CN"/>
              </w:rPr>
            </w:pPr>
            <w:r>
              <w:rPr>
                <w:bCs/>
                <w:color w:val="auto"/>
                <w:sz w:val="24"/>
                <w:szCs w:val="24"/>
                <w:highlight w:val="none"/>
                <w:lang w:val="en-US" w:eastAsia="zh-CN"/>
              </w:rPr>
              <w:t>5</w:t>
            </w:r>
            <w:r>
              <w:rPr>
                <w:rFonts w:hAnsi="Calibri"/>
                <w:bCs/>
                <w:color w:val="auto"/>
                <w:sz w:val="24"/>
                <w:szCs w:val="24"/>
                <w:highlight w:val="none"/>
                <w:lang w:val="en-US" w:eastAsia="zh-CN"/>
              </w:rPr>
              <w:t>）等效室外声源的位置为围护结构的位置，其倍频带声功率级为</w:t>
            </w:r>
            <w:r>
              <w:rPr>
                <w:bCs/>
                <w:color w:val="auto"/>
                <w:sz w:val="24"/>
                <w:szCs w:val="24"/>
                <w:highlight w:val="none"/>
                <w:lang w:val="en-US" w:eastAsia="zh-CN"/>
              </w:rPr>
              <w:t>Lw</w:t>
            </w:r>
            <w:r>
              <w:rPr>
                <w:rFonts w:hAnsi="Calibri"/>
                <w:bCs/>
                <w:color w:val="auto"/>
                <w:sz w:val="24"/>
                <w:szCs w:val="24"/>
                <w:highlight w:val="none"/>
                <w:lang w:val="en-US" w:eastAsia="zh-CN"/>
              </w:rPr>
              <w:t>，由此按室外声源方法计算等效室外声源在预测点产生的声级。</w:t>
            </w:r>
          </w:p>
          <w:p>
            <w:pPr>
              <w:pStyle w:val="84"/>
              <w:keepNext w:val="0"/>
              <w:keepLines w:val="0"/>
              <w:pageBreakBefore w:val="0"/>
              <w:kinsoku/>
              <w:wordWrap/>
              <w:overflowPunct/>
              <w:topLinePunct w:val="0"/>
              <w:autoSpaceDE/>
              <w:autoSpaceDN/>
              <w:bidi w:val="0"/>
              <w:spacing w:line="360" w:lineRule="auto"/>
              <w:ind w:firstLine="420"/>
              <w:rPr>
                <w:rFonts w:hAnsi="Calibri"/>
                <w:bCs/>
                <w:color w:val="auto"/>
                <w:sz w:val="24"/>
                <w:szCs w:val="24"/>
                <w:highlight w:val="none"/>
                <w:lang w:val="en-US" w:eastAsia="zh-CN"/>
              </w:rPr>
            </w:pPr>
            <w:r>
              <w:rPr>
                <w:bCs/>
                <w:color w:val="auto"/>
                <w:sz w:val="24"/>
                <w:szCs w:val="24"/>
                <w:highlight w:val="none"/>
                <w:lang w:val="en-US" w:eastAsia="zh-CN"/>
              </w:rPr>
              <w:t>B</w:t>
            </w:r>
            <w:r>
              <w:rPr>
                <w:rFonts w:hint="eastAsia"/>
                <w:bCs/>
                <w:color w:val="auto"/>
                <w:sz w:val="24"/>
                <w:szCs w:val="24"/>
                <w:highlight w:val="none"/>
                <w:lang w:val="en-US" w:eastAsia="zh-CN"/>
              </w:rPr>
              <w:t>、</w:t>
            </w:r>
            <w:r>
              <w:rPr>
                <w:rFonts w:hAnsi="Calibri"/>
                <w:bCs/>
                <w:color w:val="auto"/>
                <w:sz w:val="24"/>
                <w:szCs w:val="24"/>
                <w:highlight w:val="none"/>
                <w:lang w:val="en-US" w:eastAsia="zh-CN"/>
              </w:rPr>
              <w:t>点源衰减模式：</w:t>
            </w:r>
          </w:p>
          <w:p>
            <w:pPr>
              <w:keepNext w:val="0"/>
              <w:keepLines w:val="0"/>
              <w:pageBreakBefore w:val="0"/>
              <w:kinsoku/>
              <w:wordWrap/>
              <w:overflowPunct/>
              <w:topLinePunct w:val="0"/>
              <w:autoSpaceDE/>
              <w:autoSpaceDN/>
              <w:bidi w:val="0"/>
              <w:jc w:val="center"/>
              <w:rPr>
                <w:color w:val="auto"/>
                <w:sz w:val="24"/>
                <w:szCs w:val="24"/>
                <w:highlight w:val="none"/>
              </w:rPr>
            </w:pPr>
            <w:r>
              <w:rPr>
                <w:color w:val="auto"/>
                <w:sz w:val="24"/>
                <w:szCs w:val="24"/>
                <w:highlight w:val="none"/>
              </w:rPr>
              <w:drawing>
                <wp:inline distT="0" distB="0" distL="114300" distR="114300">
                  <wp:extent cx="1181100" cy="200025"/>
                  <wp:effectExtent l="0" t="0" r="0" b="9525"/>
                  <wp:docPr id="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pic:cNvPicPr>
                            <a:picLocks noChangeAspect="1"/>
                          </pic:cNvPicPr>
                        </pic:nvPicPr>
                        <pic:blipFill>
                          <a:blip r:embed="rId34">
                            <a:clrChange>
                              <a:clrFrom>
                                <a:srgbClr val="FFFFFF"/>
                              </a:clrFrom>
                              <a:clrTo>
                                <a:srgbClr val="FFFFFF">
                                  <a:alpha val="0"/>
                                </a:srgbClr>
                              </a:clrTo>
                            </a:clrChange>
                          </a:blip>
                          <a:stretch>
                            <a:fillRect/>
                          </a:stretch>
                        </pic:blipFill>
                        <pic:spPr>
                          <a:xfrm>
                            <a:off x="0" y="0"/>
                            <a:ext cx="1181100" cy="200025"/>
                          </a:xfrm>
                          <a:prstGeom prst="rect">
                            <a:avLst/>
                          </a:prstGeom>
                          <a:noFill/>
                          <a:ln>
                            <a:noFill/>
                          </a:ln>
                        </pic:spPr>
                      </pic:pic>
                    </a:graphicData>
                  </a:graphic>
                </wp:inline>
              </w:drawing>
            </w:r>
          </w:p>
          <w:p>
            <w:pPr>
              <w:pStyle w:val="84"/>
              <w:keepNext w:val="0"/>
              <w:keepLines w:val="0"/>
              <w:pageBreakBefore w:val="0"/>
              <w:kinsoku/>
              <w:wordWrap/>
              <w:overflowPunct/>
              <w:topLinePunct w:val="0"/>
              <w:autoSpaceDE/>
              <w:autoSpaceDN/>
              <w:bidi w:val="0"/>
              <w:spacing w:line="360" w:lineRule="auto"/>
              <w:ind w:firstLine="420"/>
              <w:rPr>
                <w:bCs/>
                <w:color w:val="auto"/>
                <w:sz w:val="24"/>
                <w:szCs w:val="24"/>
                <w:highlight w:val="none"/>
                <w:lang w:val="en-US" w:eastAsia="zh-CN"/>
              </w:rPr>
            </w:pPr>
            <w:r>
              <w:rPr>
                <w:rFonts w:hAnsi="Calibri"/>
                <w:bCs/>
                <w:color w:val="auto"/>
                <w:sz w:val="24"/>
                <w:szCs w:val="24"/>
                <w:highlight w:val="none"/>
                <w:lang w:val="en-US" w:eastAsia="zh-CN"/>
              </w:rPr>
              <w:t>式中：</w:t>
            </w:r>
            <w:r>
              <w:rPr>
                <w:bCs/>
                <w:color w:val="auto"/>
                <w:sz w:val="24"/>
                <w:szCs w:val="24"/>
                <w:highlight w:val="none"/>
                <w:lang w:val="en-US" w:eastAsia="zh-CN"/>
              </w:rPr>
              <w:t>L</w:t>
            </w:r>
            <w:r>
              <w:rPr>
                <w:bCs/>
                <w:color w:val="auto"/>
                <w:sz w:val="24"/>
                <w:szCs w:val="24"/>
                <w:highlight w:val="none"/>
                <w:vertAlign w:val="subscript"/>
                <w:lang w:val="en-US" w:eastAsia="zh-CN"/>
              </w:rPr>
              <w:t>r</w:t>
            </w:r>
            <w:r>
              <w:rPr>
                <w:bCs/>
                <w:color w:val="auto"/>
                <w:sz w:val="24"/>
                <w:szCs w:val="24"/>
                <w:highlight w:val="none"/>
                <w:lang w:val="en-US" w:eastAsia="zh-CN"/>
              </w:rPr>
              <w:t>—</w:t>
            </w:r>
            <w:r>
              <w:rPr>
                <w:rFonts w:hAnsi="Calibri"/>
                <w:bCs/>
                <w:color w:val="auto"/>
                <w:sz w:val="24"/>
                <w:szCs w:val="24"/>
                <w:highlight w:val="none"/>
                <w:lang w:val="en-US" w:eastAsia="zh-CN"/>
              </w:rPr>
              <w:t>距声源距离为</w:t>
            </w:r>
            <w:r>
              <w:rPr>
                <w:bCs/>
                <w:color w:val="auto"/>
                <w:sz w:val="24"/>
                <w:szCs w:val="24"/>
                <w:highlight w:val="none"/>
                <w:lang w:val="en-US" w:eastAsia="zh-CN"/>
              </w:rPr>
              <w:t>r</w:t>
            </w:r>
            <w:r>
              <w:rPr>
                <w:rFonts w:hAnsi="Calibri"/>
                <w:bCs/>
                <w:color w:val="auto"/>
                <w:sz w:val="24"/>
                <w:szCs w:val="24"/>
                <w:highlight w:val="none"/>
                <w:lang w:val="en-US" w:eastAsia="zh-CN"/>
              </w:rPr>
              <w:t>处的等效</w:t>
            </w:r>
            <w:r>
              <w:rPr>
                <w:bCs/>
                <w:color w:val="auto"/>
                <w:sz w:val="24"/>
                <w:szCs w:val="24"/>
                <w:highlight w:val="none"/>
                <w:lang w:val="en-US" w:eastAsia="zh-CN"/>
              </w:rPr>
              <w:t>A</w:t>
            </w:r>
            <w:r>
              <w:rPr>
                <w:rFonts w:hAnsi="Calibri"/>
                <w:bCs/>
                <w:color w:val="auto"/>
                <w:sz w:val="24"/>
                <w:szCs w:val="24"/>
                <w:highlight w:val="none"/>
                <w:lang w:val="en-US" w:eastAsia="zh-CN"/>
              </w:rPr>
              <w:t>声级值，</w:t>
            </w:r>
            <w:r>
              <w:rPr>
                <w:bCs/>
                <w:color w:val="auto"/>
                <w:sz w:val="24"/>
                <w:szCs w:val="24"/>
                <w:highlight w:val="none"/>
                <w:lang w:val="en-US" w:eastAsia="zh-CN"/>
              </w:rPr>
              <w:t>dB(A)</w:t>
            </w:r>
            <w:r>
              <w:rPr>
                <w:rFonts w:hAnsi="Calibri"/>
                <w:bCs/>
                <w:color w:val="auto"/>
                <w:sz w:val="24"/>
                <w:szCs w:val="24"/>
                <w:highlight w:val="none"/>
                <w:lang w:val="en-US" w:eastAsia="zh-CN"/>
              </w:rPr>
              <w:t>；</w:t>
            </w:r>
          </w:p>
          <w:p>
            <w:pPr>
              <w:pStyle w:val="84"/>
              <w:keepNext w:val="0"/>
              <w:keepLines w:val="0"/>
              <w:pageBreakBefore w:val="0"/>
              <w:kinsoku/>
              <w:wordWrap/>
              <w:overflowPunct/>
              <w:topLinePunct w:val="0"/>
              <w:autoSpaceDE/>
              <w:autoSpaceDN/>
              <w:bidi w:val="0"/>
              <w:spacing w:line="360" w:lineRule="auto"/>
              <w:ind w:firstLine="420"/>
              <w:rPr>
                <w:bCs/>
                <w:color w:val="auto"/>
                <w:sz w:val="24"/>
                <w:szCs w:val="24"/>
                <w:highlight w:val="none"/>
                <w:lang w:val="en-US" w:eastAsia="zh-CN"/>
              </w:rPr>
            </w:pPr>
            <w:r>
              <w:rPr>
                <w:bCs/>
                <w:color w:val="auto"/>
                <w:sz w:val="24"/>
                <w:szCs w:val="24"/>
                <w:highlight w:val="none"/>
                <w:lang w:val="en-US" w:eastAsia="zh-CN"/>
              </w:rPr>
              <w:t xml:space="preserve">      L</w:t>
            </w:r>
            <w:r>
              <w:rPr>
                <w:bCs/>
                <w:color w:val="auto"/>
                <w:sz w:val="24"/>
                <w:szCs w:val="24"/>
                <w:highlight w:val="none"/>
                <w:vertAlign w:val="subscript"/>
                <w:lang w:val="en-US" w:eastAsia="zh-CN"/>
              </w:rPr>
              <w:t>0</w:t>
            </w:r>
            <w:r>
              <w:rPr>
                <w:bCs/>
                <w:color w:val="auto"/>
                <w:sz w:val="24"/>
                <w:szCs w:val="24"/>
                <w:highlight w:val="none"/>
                <w:lang w:val="en-US" w:eastAsia="zh-CN"/>
              </w:rPr>
              <w:t>—</w:t>
            </w:r>
            <w:r>
              <w:rPr>
                <w:rFonts w:hAnsi="Calibri"/>
                <w:bCs/>
                <w:color w:val="auto"/>
                <w:sz w:val="24"/>
                <w:szCs w:val="24"/>
                <w:highlight w:val="none"/>
                <w:lang w:val="en-US" w:eastAsia="zh-CN"/>
              </w:rPr>
              <w:t>距声源距离为</w:t>
            </w:r>
            <w:r>
              <w:rPr>
                <w:bCs/>
                <w:color w:val="auto"/>
                <w:sz w:val="24"/>
                <w:szCs w:val="24"/>
                <w:highlight w:val="none"/>
                <w:lang w:val="en-US" w:eastAsia="zh-CN"/>
              </w:rPr>
              <w:t>r</w:t>
            </w:r>
            <w:r>
              <w:rPr>
                <w:bCs/>
                <w:color w:val="auto"/>
                <w:sz w:val="24"/>
                <w:szCs w:val="24"/>
                <w:highlight w:val="none"/>
                <w:vertAlign w:val="subscript"/>
                <w:lang w:val="en-US" w:eastAsia="zh-CN"/>
              </w:rPr>
              <w:t>0</w:t>
            </w:r>
            <w:r>
              <w:rPr>
                <w:rFonts w:hAnsi="Calibri"/>
                <w:bCs/>
                <w:color w:val="auto"/>
                <w:sz w:val="24"/>
                <w:szCs w:val="24"/>
                <w:highlight w:val="none"/>
                <w:lang w:val="en-US" w:eastAsia="zh-CN"/>
              </w:rPr>
              <w:t>处的等效</w:t>
            </w:r>
            <w:r>
              <w:rPr>
                <w:bCs/>
                <w:color w:val="auto"/>
                <w:sz w:val="24"/>
                <w:szCs w:val="24"/>
                <w:highlight w:val="none"/>
                <w:lang w:val="en-US" w:eastAsia="zh-CN"/>
              </w:rPr>
              <w:t>A</w:t>
            </w:r>
            <w:r>
              <w:rPr>
                <w:rFonts w:hAnsi="Calibri"/>
                <w:bCs/>
                <w:color w:val="auto"/>
                <w:sz w:val="24"/>
                <w:szCs w:val="24"/>
                <w:highlight w:val="none"/>
                <w:lang w:val="en-US" w:eastAsia="zh-CN"/>
              </w:rPr>
              <w:t>声级值，</w:t>
            </w:r>
            <w:r>
              <w:rPr>
                <w:bCs/>
                <w:color w:val="auto"/>
                <w:sz w:val="24"/>
                <w:szCs w:val="24"/>
                <w:highlight w:val="none"/>
                <w:lang w:val="en-US" w:eastAsia="zh-CN"/>
              </w:rPr>
              <w:t>dB(A)</w:t>
            </w:r>
            <w:r>
              <w:rPr>
                <w:rFonts w:hAnsi="Calibri"/>
                <w:bCs/>
                <w:color w:val="auto"/>
                <w:sz w:val="24"/>
                <w:szCs w:val="24"/>
                <w:highlight w:val="none"/>
                <w:lang w:val="en-US" w:eastAsia="zh-CN"/>
              </w:rPr>
              <w:t>；</w:t>
            </w:r>
          </w:p>
          <w:p>
            <w:pPr>
              <w:pStyle w:val="84"/>
              <w:keepNext w:val="0"/>
              <w:keepLines w:val="0"/>
              <w:pageBreakBefore w:val="0"/>
              <w:kinsoku/>
              <w:wordWrap/>
              <w:overflowPunct/>
              <w:topLinePunct w:val="0"/>
              <w:autoSpaceDE/>
              <w:autoSpaceDN/>
              <w:bidi w:val="0"/>
              <w:spacing w:line="360" w:lineRule="auto"/>
              <w:ind w:firstLine="420"/>
              <w:rPr>
                <w:bCs/>
                <w:color w:val="auto"/>
                <w:sz w:val="24"/>
                <w:szCs w:val="24"/>
                <w:highlight w:val="none"/>
                <w:lang w:val="en-US" w:eastAsia="zh-CN"/>
              </w:rPr>
            </w:pPr>
            <w:r>
              <w:rPr>
                <w:bCs/>
                <w:color w:val="auto"/>
                <w:sz w:val="24"/>
                <w:szCs w:val="24"/>
                <w:highlight w:val="none"/>
                <w:lang w:val="en-US" w:eastAsia="zh-CN"/>
              </w:rPr>
              <w:t xml:space="preserve">      r —</w:t>
            </w:r>
            <w:r>
              <w:rPr>
                <w:rFonts w:hAnsi="Calibri"/>
                <w:bCs/>
                <w:color w:val="auto"/>
                <w:sz w:val="24"/>
                <w:szCs w:val="24"/>
                <w:highlight w:val="none"/>
                <w:lang w:val="en-US" w:eastAsia="zh-CN"/>
              </w:rPr>
              <w:t>关心点距离噪声源距离，</w:t>
            </w:r>
            <w:r>
              <w:rPr>
                <w:bCs/>
                <w:color w:val="auto"/>
                <w:sz w:val="24"/>
                <w:szCs w:val="24"/>
                <w:highlight w:val="none"/>
                <w:lang w:val="en-US" w:eastAsia="zh-CN"/>
              </w:rPr>
              <w:t>m</w:t>
            </w:r>
            <w:r>
              <w:rPr>
                <w:rFonts w:hAnsi="Calibri"/>
                <w:bCs/>
                <w:color w:val="auto"/>
                <w:sz w:val="24"/>
                <w:szCs w:val="24"/>
                <w:highlight w:val="none"/>
                <w:lang w:val="en-US" w:eastAsia="zh-CN"/>
              </w:rPr>
              <w:t>；</w:t>
            </w:r>
          </w:p>
          <w:p>
            <w:pPr>
              <w:pStyle w:val="84"/>
              <w:keepNext w:val="0"/>
              <w:keepLines w:val="0"/>
              <w:pageBreakBefore w:val="0"/>
              <w:kinsoku/>
              <w:wordWrap/>
              <w:overflowPunct/>
              <w:topLinePunct w:val="0"/>
              <w:autoSpaceDE/>
              <w:autoSpaceDN/>
              <w:bidi w:val="0"/>
              <w:spacing w:line="360" w:lineRule="auto"/>
              <w:ind w:firstLine="420"/>
              <w:rPr>
                <w:bCs/>
                <w:color w:val="auto"/>
                <w:sz w:val="24"/>
                <w:szCs w:val="24"/>
                <w:highlight w:val="none"/>
                <w:lang w:val="en-US" w:eastAsia="zh-CN"/>
              </w:rPr>
            </w:pPr>
            <w:r>
              <w:rPr>
                <w:bCs/>
                <w:color w:val="auto"/>
                <w:sz w:val="24"/>
                <w:szCs w:val="24"/>
                <w:highlight w:val="none"/>
                <w:lang w:val="en-US" w:eastAsia="zh-CN"/>
              </w:rPr>
              <w:t xml:space="preserve">      r</w:t>
            </w:r>
            <w:r>
              <w:rPr>
                <w:bCs/>
                <w:color w:val="auto"/>
                <w:sz w:val="24"/>
                <w:szCs w:val="24"/>
                <w:highlight w:val="none"/>
                <w:vertAlign w:val="subscript"/>
                <w:lang w:val="en-US" w:eastAsia="zh-CN"/>
              </w:rPr>
              <w:t xml:space="preserve">0 </w:t>
            </w:r>
            <w:r>
              <w:rPr>
                <w:bCs/>
                <w:color w:val="auto"/>
                <w:sz w:val="24"/>
                <w:szCs w:val="24"/>
                <w:highlight w:val="none"/>
                <w:lang w:val="en-US" w:eastAsia="zh-CN"/>
              </w:rPr>
              <w:t>—</w:t>
            </w:r>
            <w:r>
              <w:rPr>
                <w:rFonts w:hAnsi="Calibri"/>
                <w:bCs/>
                <w:color w:val="auto"/>
                <w:sz w:val="24"/>
                <w:szCs w:val="24"/>
                <w:highlight w:val="none"/>
                <w:lang w:val="en-US" w:eastAsia="zh-CN"/>
              </w:rPr>
              <w:t>声级为</w:t>
            </w:r>
            <w:r>
              <w:rPr>
                <w:bCs/>
                <w:color w:val="auto"/>
                <w:sz w:val="24"/>
                <w:szCs w:val="24"/>
                <w:highlight w:val="none"/>
                <w:lang w:val="en-US" w:eastAsia="zh-CN"/>
              </w:rPr>
              <w:t>L</w:t>
            </w:r>
            <w:r>
              <w:rPr>
                <w:bCs/>
                <w:color w:val="auto"/>
                <w:sz w:val="24"/>
                <w:szCs w:val="24"/>
                <w:highlight w:val="none"/>
                <w:vertAlign w:val="subscript"/>
                <w:lang w:val="en-US" w:eastAsia="zh-CN"/>
              </w:rPr>
              <w:t>0</w:t>
            </w:r>
            <w:r>
              <w:rPr>
                <w:rFonts w:hAnsi="Calibri"/>
                <w:bCs/>
                <w:color w:val="auto"/>
                <w:sz w:val="24"/>
                <w:szCs w:val="24"/>
                <w:highlight w:val="none"/>
                <w:lang w:val="en-US" w:eastAsia="zh-CN"/>
              </w:rPr>
              <w:t>点距声源距离，</w:t>
            </w:r>
            <w:r>
              <w:rPr>
                <w:bCs/>
                <w:color w:val="auto"/>
                <w:sz w:val="24"/>
                <w:szCs w:val="24"/>
                <w:highlight w:val="none"/>
                <w:lang w:val="en-US" w:eastAsia="zh-CN"/>
              </w:rPr>
              <w:t>r</w:t>
            </w:r>
            <w:r>
              <w:rPr>
                <w:bCs/>
                <w:color w:val="auto"/>
                <w:sz w:val="24"/>
                <w:szCs w:val="24"/>
                <w:highlight w:val="none"/>
                <w:vertAlign w:val="subscript"/>
                <w:lang w:val="en-US" w:eastAsia="zh-CN"/>
              </w:rPr>
              <w:t>0</w:t>
            </w:r>
            <w:r>
              <w:rPr>
                <w:bCs/>
                <w:color w:val="auto"/>
                <w:sz w:val="24"/>
                <w:szCs w:val="24"/>
                <w:highlight w:val="none"/>
                <w:lang w:val="en-US" w:eastAsia="zh-CN"/>
              </w:rPr>
              <w:t>=1m</w:t>
            </w:r>
            <w:r>
              <w:rPr>
                <w:rFonts w:hAnsi="Calibri"/>
                <w:bCs/>
                <w:color w:val="auto"/>
                <w:sz w:val="24"/>
                <w:szCs w:val="24"/>
                <w:highlight w:val="none"/>
                <w:lang w:val="en-US" w:eastAsia="zh-CN"/>
              </w:rPr>
              <w:t>。</w:t>
            </w:r>
          </w:p>
          <w:p>
            <w:pPr>
              <w:pStyle w:val="84"/>
              <w:keepNext w:val="0"/>
              <w:keepLines w:val="0"/>
              <w:pageBreakBefore w:val="0"/>
              <w:kinsoku/>
              <w:wordWrap/>
              <w:overflowPunct/>
              <w:topLinePunct w:val="0"/>
              <w:autoSpaceDE/>
              <w:autoSpaceDN/>
              <w:bidi w:val="0"/>
              <w:spacing w:line="360" w:lineRule="auto"/>
              <w:ind w:firstLine="420"/>
              <w:rPr>
                <w:bCs/>
                <w:color w:val="auto"/>
                <w:sz w:val="24"/>
                <w:szCs w:val="24"/>
                <w:highlight w:val="none"/>
                <w:lang w:val="en-US" w:eastAsia="zh-CN"/>
              </w:rPr>
            </w:pPr>
            <w:r>
              <w:rPr>
                <w:bCs/>
                <w:color w:val="auto"/>
                <w:sz w:val="24"/>
                <w:szCs w:val="24"/>
                <w:highlight w:val="none"/>
                <w:lang w:val="en-US" w:eastAsia="zh-CN"/>
              </w:rPr>
              <w:t>C</w:t>
            </w:r>
            <w:r>
              <w:rPr>
                <w:rFonts w:hint="eastAsia"/>
                <w:bCs/>
                <w:color w:val="auto"/>
                <w:sz w:val="24"/>
                <w:szCs w:val="24"/>
                <w:highlight w:val="none"/>
                <w:lang w:val="en-US" w:eastAsia="zh-CN"/>
              </w:rPr>
              <w:t>、</w:t>
            </w:r>
            <w:r>
              <w:rPr>
                <w:rFonts w:hAnsi="Calibri"/>
                <w:bCs/>
                <w:color w:val="auto"/>
                <w:sz w:val="24"/>
                <w:szCs w:val="24"/>
                <w:highlight w:val="none"/>
                <w:lang w:val="en-US" w:eastAsia="zh-CN"/>
              </w:rPr>
              <w:t>噪声合成模式：</w:t>
            </w:r>
          </w:p>
          <w:p>
            <w:pPr>
              <w:pStyle w:val="84"/>
              <w:keepNext w:val="0"/>
              <w:keepLines w:val="0"/>
              <w:pageBreakBefore w:val="0"/>
              <w:kinsoku/>
              <w:wordWrap/>
              <w:overflowPunct/>
              <w:topLinePunct w:val="0"/>
              <w:autoSpaceDE/>
              <w:autoSpaceDN/>
              <w:bidi w:val="0"/>
              <w:spacing w:line="360" w:lineRule="auto"/>
              <w:ind w:firstLine="420"/>
              <w:jc w:val="center"/>
              <w:rPr>
                <w:rFonts w:ascii="Calibri" w:hAnsi="Calibri"/>
                <w:bCs/>
                <w:color w:val="auto"/>
                <w:sz w:val="24"/>
                <w:szCs w:val="24"/>
                <w:highlight w:val="none"/>
                <w:lang w:val="en-US" w:eastAsia="zh-CN"/>
              </w:rPr>
            </w:pPr>
            <w:r>
              <w:rPr>
                <w:rFonts w:ascii="Calibri" w:hAnsi="Calibri"/>
                <w:bCs/>
                <w:color w:val="auto"/>
                <w:sz w:val="24"/>
                <w:szCs w:val="24"/>
                <w:highlight w:val="none"/>
                <w:lang w:val="en-US" w:eastAsia="zh-CN"/>
              </w:rPr>
              <w:object>
                <v:shape id="_x0000_i1043" o:spt="75" type="#_x0000_t75" style="height:35.55pt;width:112.15pt;" o:ole="t" filled="f" o:preferrelative="t" stroked="f" coordsize="21600,21600">
                  <v:path/>
                  <v:fill on="f" focussize="0,0"/>
                  <v:stroke on="f"/>
                  <v:imagedata r:id="rId36" o:title=""/>
                  <o:lock v:ext="edit" grouping="f" rotation="f" text="f" aspectratio="t"/>
                  <w10:wrap type="none"/>
                  <w10:anchorlock/>
                </v:shape>
                <o:OLEObject Type="Embed" ProgID="Equation.3" ShapeID="_x0000_i1043" DrawAspect="Content" ObjectID="_1468075736" r:id="rId35">
                  <o:LockedField>false</o:LockedField>
                </o:OLEObject>
              </w:object>
            </w:r>
          </w:p>
          <w:p>
            <w:pPr>
              <w:pStyle w:val="84"/>
              <w:keepNext w:val="0"/>
              <w:keepLines w:val="0"/>
              <w:pageBreakBefore w:val="0"/>
              <w:kinsoku/>
              <w:wordWrap/>
              <w:overflowPunct/>
              <w:topLinePunct w:val="0"/>
              <w:autoSpaceDE/>
              <w:autoSpaceDN/>
              <w:bidi w:val="0"/>
              <w:spacing w:line="360" w:lineRule="auto"/>
              <w:ind w:firstLine="420"/>
              <w:rPr>
                <w:bCs/>
                <w:color w:val="auto"/>
                <w:sz w:val="24"/>
                <w:szCs w:val="24"/>
                <w:highlight w:val="none"/>
                <w:lang w:val="en-US" w:eastAsia="zh-CN"/>
              </w:rPr>
            </w:pPr>
            <w:r>
              <w:rPr>
                <w:rFonts w:ascii="Calibri" w:hAnsi="Calibri"/>
                <w:bCs/>
                <w:color w:val="auto"/>
                <w:sz w:val="24"/>
                <w:szCs w:val="24"/>
                <w:highlight w:val="none"/>
                <w:lang w:val="en-US" w:eastAsia="zh-CN"/>
              </w:rPr>
              <w:t>式中</w:t>
            </w:r>
            <w:r>
              <w:rPr>
                <w:rFonts w:hAnsi="Calibri"/>
                <w:bCs/>
                <w:color w:val="auto"/>
                <w:sz w:val="24"/>
                <w:szCs w:val="24"/>
                <w:highlight w:val="none"/>
                <w:lang w:val="en-US" w:eastAsia="zh-CN"/>
              </w:rPr>
              <w:t>：</w:t>
            </w:r>
            <w:r>
              <w:rPr>
                <w:rFonts w:hint="eastAsia"/>
                <w:bCs/>
                <w:color w:val="auto"/>
                <w:sz w:val="24"/>
                <w:szCs w:val="24"/>
                <w:highlight w:val="none"/>
                <w:lang w:val="en-US" w:eastAsia="zh-CN"/>
              </w:rPr>
              <w:t>L</w:t>
            </w:r>
            <w:r>
              <w:rPr>
                <w:bCs/>
                <w:color w:val="auto"/>
                <w:sz w:val="24"/>
                <w:szCs w:val="24"/>
                <w:highlight w:val="none"/>
                <w:vertAlign w:val="subscript"/>
                <w:lang w:val="en-US" w:eastAsia="zh-CN"/>
              </w:rPr>
              <w:t>eqg</w:t>
            </w:r>
            <w:r>
              <w:rPr>
                <w:bCs/>
                <w:color w:val="auto"/>
                <w:sz w:val="24"/>
                <w:szCs w:val="24"/>
                <w:highlight w:val="none"/>
                <w:lang w:val="en-US" w:eastAsia="zh-CN"/>
              </w:rPr>
              <w:t>—</w:t>
            </w:r>
            <w:r>
              <w:rPr>
                <w:rFonts w:hAnsi="Calibri"/>
                <w:bCs/>
                <w:color w:val="auto"/>
                <w:sz w:val="24"/>
                <w:szCs w:val="24"/>
                <w:highlight w:val="none"/>
                <w:lang w:val="en-US" w:eastAsia="zh-CN"/>
              </w:rPr>
              <w:t>预测点的噪声贡献值，</w:t>
            </w:r>
            <w:r>
              <w:rPr>
                <w:bCs/>
                <w:color w:val="auto"/>
                <w:sz w:val="24"/>
                <w:szCs w:val="24"/>
                <w:highlight w:val="none"/>
                <w:lang w:val="en-US" w:eastAsia="zh-CN"/>
              </w:rPr>
              <w:t>dB(A)</w:t>
            </w:r>
            <w:r>
              <w:rPr>
                <w:rFonts w:hAnsi="Calibri"/>
                <w:bCs/>
                <w:color w:val="auto"/>
                <w:sz w:val="24"/>
                <w:szCs w:val="24"/>
                <w:highlight w:val="none"/>
                <w:lang w:val="en-US" w:eastAsia="zh-CN"/>
              </w:rPr>
              <w:t>；</w:t>
            </w:r>
          </w:p>
          <w:p>
            <w:pPr>
              <w:pStyle w:val="84"/>
              <w:keepNext w:val="0"/>
              <w:keepLines w:val="0"/>
              <w:pageBreakBefore w:val="0"/>
              <w:kinsoku/>
              <w:wordWrap/>
              <w:overflowPunct/>
              <w:topLinePunct w:val="0"/>
              <w:autoSpaceDE/>
              <w:autoSpaceDN/>
              <w:bidi w:val="0"/>
              <w:spacing w:line="360" w:lineRule="auto"/>
              <w:ind w:firstLine="1200" w:firstLineChars="500"/>
              <w:rPr>
                <w:bCs/>
                <w:color w:val="auto"/>
                <w:sz w:val="24"/>
                <w:szCs w:val="24"/>
                <w:highlight w:val="none"/>
                <w:lang w:val="en-US" w:eastAsia="zh-CN"/>
              </w:rPr>
            </w:pPr>
            <w:r>
              <w:rPr>
                <w:bCs/>
                <w:color w:val="auto"/>
                <w:sz w:val="24"/>
                <w:szCs w:val="24"/>
                <w:highlight w:val="none"/>
                <w:lang w:val="en-US" w:eastAsia="zh-CN"/>
              </w:rPr>
              <w:t>L</w:t>
            </w:r>
            <w:r>
              <w:rPr>
                <w:bCs/>
                <w:color w:val="auto"/>
                <w:sz w:val="24"/>
                <w:szCs w:val="24"/>
                <w:highlight w:val="none"/>
                <w:vertAlign w:val="subscript"/>
                <w:lang w:val="en-US" w:eastAsia="zh-CN"/>
              </w:rPr>
              <w:t>A,i</w:t>
            </w:r>
            <w:r>
              <w:rPr>
                <w:bCs/>
                <w:color w:val="auto"/>
                <w:sz w:val="24"/>
                <w:szCs w:val="24"/>
                <w:highlight w:val="none"/>
                <w:lang w:val="en-US" w:eastAsia="zh-CN"/>
              </w:rPr>
              <w:t>—</w:t>
            </w:r>
            <w:r>
              <w:rPr>
                <w:rFonts w:hAnsi="Calibri"/>
                <w:bCs/>
                <w:color w:val="auto"/>
                <w:sz w:val="24"/>
                <w:szCs w:val="24"/>
                <w:highlight w:val="none"/>
                <w:lang w:val="en-US" w:eastAsia="zh-CN"/>
              </w:rPr>
              <w:t>第</w:t>
            </w:r>
            <w:r>
              <w:rPr>
                <w:bCs/>
                <w:color w:val="auto"/>
                <w:sz w:val="24"/>
                <w:szCs w:val="24"/>
                <w:highlight w:val="none"/>
                <w:lang w:val="en-US" w:eastAsia="zh-CN"/>
              </w:rPr>
              <w:t>i</w:t>
            </w:r>
            <w:r>
              <w:rPr>
                <w:rFonts w:hAnsi="Calibri"/>
                <w:bCs/>
                <w:color w:val="auto"/>
                <w:sz w:val="24"/>
                <w:szCs w:val="24"/>
                <w:highlight w:val="none"/>
                <w:lang w:val="en-US" w:eastAsia="zh-CN"/>
              </w:rPr>
              <w:t>个声源对预测点的噪声贡献值，</w:t>
            </w:r>
            <w:r>
              <w:rPr>
                <w:bCs/>
                <w:color w:val="auto"/>
                <w:sz w:val="24"/>
                <w:szCs w:val="24"/>
                <w:highlight w:val="none"/>
                <w:lang w:val="en-US" w:eastAsia="zh-CN"/>
              </w:rPr>
              <w:t>dB(A)</w:t>
            </w:r>
            <w:r>
              <w:rPr>
                <w:rFonts w:hAnsi="Calibri"/>
                <w:bCs/>
                <w:color w:val="auto"/>
                <w:sz w:val="24"/>
                <w:szCs w:val="24"/>
                <w:highlight w:val="none"/>
                <w:lang w:val="en-US" w:eastAsia="zh-CN"/>
              </w:rPr>
              <w:t>；</w:t>
            </w:r>
          </w:p>
          <w:p>
            <w:pPr>
              <w:pStyle w:val="84"/>
              <w:keepNext w:val="0"/>
              <w:keepLines w:val="0"/>
              <w:pageBreakBefore w:val="0"/>
              <w:kinsoku/>
              <w:wordWrap/>
              <w:overflowPunct/>
              <w:topLinePunct w:val="0"/>
              <w:autoSpaceDE/>
              <w:autoSpaceDN/>
              <w:bidi w:val="0"/>
              <w:spacing w:line="360" w:lineRule="auto"/>
              <w:ind w:firstLine="1200" w:firstLineChars="500"/>
              <w:rPr>
                <w:rFonts w:hint="eastAsia" w:ascii="Times New Roman" w:hAnsi="Calibri" w:eastAsia="宋体" w:cs="Times New Roman"/>
                <w:bCs/>
                <w:color w:val="auto"/>
                <w:sz w:val="24"/>
                <w:szCs w:val="24"/>
                <w:highlight w:val="none"/>
                <w:lang w:val="en-US" w:eastAsia="zh-CN"/>
              </w:rPr>
            </w:pPr>
            <w:r>
              <w:rPr>
                <w:rFonts w:ascii="Times New Roman" w:hAnsi="Calibri" w:eastAsia="宋体" w:cs="Times New Roman"/>
                <w:bCs/>
                <w:color w:val="auto"/>
                <w:sz w:val="24"/>
                <w:szCs w:val="24"/>
                <w:highlight w:val="none"/>
                <w:lang w:val="en-US" w:eastAsia="zh-CN"/>
              </w:rPr>
              <w:t>N—声源个数。</w:t>
            </w:r>
          </w:p>
          <w:p>
            <w:pPr>
              <w:autoSpaceDE w:val="0"/>
              <w:autoSpaceDN w:val="0"/>
              <w:adjustRightInd w:val="0"/>
              <w:spacing w:line="360" w:lineRule="auto"/>
              <w:ind w:firstLine="480" w:firstLineChars="200"/>
              <w:jc w:val="left"/>
              <w:rPr>
                <w:color w:val="auto"/>
                <w:spacing w:val="2"/>
                <w:kern w:val="0"/>
                <w:sz w:val="24"/>
                <w:highlight w:val="none"/>
              </w:rPr>
            </w:pPr>
            <w:r>
              <w:rPr>
                <w:rFonts w:hint="eastAsia"/>
                <w:color w:val="auto"/>
                <w:kern w:val="0"/>
                <w:sz w:val="24"/>
                <w:highlight w:val="none"/>
                <w:lang w:val="en-US" w:eastAsia="zh-CN"/>
              </w:rPr>
              <w:t>D、</w:t>
            </w:r>
            <w:r>
              <w:rPr>
                <w:color w:val="auto"/>
                <w:kern w:val="0"/>
                <w:sz w:val="24"/>
                <w:highlight w:val="none"/>
              </w:rPr>
              <w:t>厂</w:t>
            </w:r>
            <w:r>
              <w:rPr>
                <w:color w:val="auto"/>
                <w:spacing w:val="2"/>
                <w:kern w:val="0"/>
                <w:sz w:val="24"/>
                <w:highlight w:val="none"/>
              </w:rPr>
              <w:t>区</w:t>
            </w:r>
            <w:r>
              <w:rPr>
                <w:color w:val="auto"/>
                <w:kern w:val="0"/>
                <w:sz w:val="24"/>
                <w:highlight w:val="none"/>
              </w:rPr>
              <w:t>边界</w:t>
            </w:r>
            <w:r>
              <w:rPr>
                <w:color w:val="auto"/>
                <w:spacing w:val="2"/>
                <w:kern w:val="0"/>
                <w:sz w:val="24"/>
                <w:highlight w:val="none"/>
              </w:rPr>
              <w:t>外</w:t>
            </w:r>
            <w:r>
              <w:rPr>
                <w:color w:val="auto"/>
                <w:kern w:val="0"/>
                <w:sz w:val="24"/>
                <w:highlight w:val="none"/>
              </w:rPr>
              <w:t>噪声</w:t>
            </w:r>
            <w:r>
              <w:rPr>
                <w:color w:val="auto"/>
                <w:spacing w:val="2"/>
                <w:kern w:val="0"/>
                <w:sz w:val="24"/>
                <w:highlight w:val="none"/>
              </w:rPr>
              <w:t>叠</w:t>
            </w:r>
            <w:r>
              <w:rPr>
                <w:color w:val="auto"/>
                <w:kern w:val="0"/>
                <w:sz w:val="24"/>
                <w:highlight w:val="none"/>
              </w:rPr>
              <w:t>加模式</w:t>
            </w:r>
          </w:p>
          <w:p>
            <w:pPr>
              <w:autoSpaceDE w:val="0"/>
              <w:autoSpaceDN w:val="0"/>
              <w:adjustRightInd w:val="0"/>
              <w:spacing w:line="360" w:lineRule="auto"/>
              <w:ind w:firstLine="488" w:firstLineChars="200"/>
              <w:jc w:val="left"/>
              <w:rPr>
                <w:color w:val="auto"/>
                <w:kern w:val="0"/>
                <w:sz w:val="24"/>
                <w:highlight w:val="none"/>
              </w:rPr>
            </w:pPr>
            <w:r>
              <w:rPr>
                <w:color w:val="auto"/>
                <w:spacing w:val="2"/>
                <w:kern w:val="0"/>
                <w:sz w:val="24"/>
                <w:highlight w:val="none"/>
              </w:rPr>
              <w:t>声</w:t>
            </w:r>
            <w:r>
              <w:rPr>
                <w:color w:val="auto"/>
                <w:kern w:val="0"/>
                <w:sz w:val="24"/>
                <w:highlight w:val="none"/>
              </w:rPr>
              <w:t>源在</w:t>
            </w:r>
            <w:r>
              <w:rPr>
                <w:color w:val="auto"/>
                <w:spacing w:val="2"/>
                <w:kern w:val="0"/>
                <w:sz w:val="24"/>
                <w:highlight w:val="none"/>
              </w:rPr>
              <w:t>受</w:t>
            </w:r>
            <w:r>
              <w:rPr>
                <w:color w:val="auto"/>
                <w:kern w:val="0"/>
                <w:sz w:val="24"/>
                <w:highlight w:val="none"/>
              </w:rPr>
              <w:t>声</w:t>
            </w:r>
            <w:r>
              <w:rPr>
                <w:color w:val="auto"/>
                <w:spacing w:val="2"/>
                <w:kern w:val="0"/>
                <w:sz w:val="24"/>
                <w:highlight w:val="none"/>
              </w:rPr>
              <w:t>点</w:t>
            </w:r>
            <w:r>
              <w:rPr>
                <w:color w:val="auto"/>
                <w:kern w:val="0"/>
                <w:sz w:val="24"/>
                <w:highlight w:val="none"/>
              </w:rPr>
              <w:t>的总</w:t>
            </w:r>
            <w:r>
              <w:rPr>
                <w:color w:val="auto"/>
                <w:spacing w:val="2"/>
                <w:kern w:val="0"/>
                <w:sz w:val="24"/>
                <w:highlight w:val="none"/>
              </w:rPr>
              <w:t>声</w:t>
            </w:r>
            <w:r>
              <w:rPr>
                <w:color w:val="auto"/>
                <w:kern w:val="0"/>
                <w:sz w:val="24"/>
                <w:highlight w:val="none"/>
              </w:rPr>
              <w:t>压级</w:t>
            </w:r>
            <w:r>
              <w:rPr>
                <w:color w:val="auto"/>
                <w:spacing w:val="2"/>
                <w:kern w:val="0"/>
                <w:sz w:val="24"/>
                <w:highlight w:val="none"/>
              </w:rPr>
              <w:t>，</w:t>
            </w:r>
            <w:r>
              <w:rPr>
                <w:color w:val="auto"/>
                <w:kern w:val="0"/>
                <w:sz w:val="24"/>
                <w:highlight w:val="none"/>
              </w:rPr>
              <w:t>其计算公式如下：</w:t>
            </w:r>
          </w:p>
          <w:p>
            <w:pPr>
              <w:autoSpaceDE w:val="0"/>
              <w:autoSpaceDN w:val="0"/>
              <w:adjustRightInd w:val="0"/>
              <w:spacing w:line="360" w:lineRule="auto"/>
              <w:jc w:val="center"/>
              <w:rPr>
                <w:color w:val="auto"/>
                <w:sz w:val="24"/>
                <w:highlight w:val="none"/>
              </w:rPr>
            </w:pPr>
            <w:r>
              <w:rPr>
                <w:color w:val="auto"/>
                <w:position w:val="-28"/>
                <w:sz w:val="24"/>
                <w:highlight w:val="none"/>
              </w:rPr>
              <w:object>
                <v:shape id="_x0000_i1044" o:spt="75" type="#_x0000_t75" style="height:36.85pt;width:133.15pt;" o:ole="t" filled="f" o:preferrelative="t" stroked="f" coordsize="21600,21600">
                  <v:path/>
                  <v:fill on="f" focussize="0,0"/>
                  <v:stroke on="f"/>
                  <v:imagedata r:id="rId38" o:title=""/>
                  <o:lock v:ext="edit" aspectratio="t"/>
                  <w10:wrap type="none"/>
                  <w10:anchorlock/>
                </v:shape>
                <o:OLEObject Type="Embed" ProgID="Equation.KSEE3" ShapeID="_x0000_i1044" DrawAspect="Content" ObjectID="_1468075737" r:id="rId37">
                  <o:LockedField>false</o:LockedField>
                </o:OLEObject>
              </w:object>
            </w:r>
          </w:p>
          <w:p>
            <w:pPr>
              <w:tabs>
                <w:tab w:val="left" w:pos="5560"/>
              </w:tabs>
              <w:autoSpaceDE w:val="0"/>
              <w:autoSpaceDN w:val="0"/>
              <w:adjustRightInd w:val="0"/>
              <w:spacing w:line="360" w:lineRule="auto"/>
              <w:ind w:left="622" w:right="-20"/>
              <w:jc w:val="left"/>
              <w:rPr>
                <w:color w:val="auto"/>
                <w:kern w:val="0"/>
                <w:sz w:val="24"/>
                <w:highlight w:val="none"/>
              </w:rPr>
            </w:pPr>
            <w:r>
              <w:rPr>
                <w:color w:val="auto"/>
                <w:kern w:val="0"/>
                <w:sz w:val="24"/>
                <w:highlight w:val="none"/>
              </w:rPr>
              <w:t>式中</w:t>
            </w:r>
            <w:r>
              <w:rPr>
                <w:color w:val="auto"/>
                <w:spacing w:val="2"/>
                <w:kern w:val="0"/>
                <w:sz w:val="24"/>
                <w:highlight w:val="none"/>
              </w:rPr>
              <w:t>：</w:t>
            </w:r>
            <w:r>
              <w:rPr>
                <w:color w:val="auto"/>
                <w:spacing w:val="-5"/>
                <w:kern w:val="0"/>
                <w:sz w:val="24"/>
                <w:highlight w:val="none"/>
              </w:rPr>
              <w:t>L</w:t>
            </w:r>
            <w:r>
              <w:rPr>
                <w:color w:val="auto"/>
                <w:kern w:val="0"/>
                <w:sz w:val="24"/>
                <w:highlight w:val="none"/>
              </w:rPr>
              <w:t>—受声点的</w:t>
            </w:r>
            <w:r>
              <w:rPr>
                <w:color w:val="auto"/>
                <w:spacing w:val="2"/>
                <w:kern w:val="0"/>
                <w:sz w:val="24"/>
                <w:highlight w:val="none"/>
              </w:rPr>
              <w:t>总</w:t>
            </w:r>
            <w:r>
              <w:rPr>
                <w:color w:val="auto"/>
                <w:kern w:val="0"/>
                <w:sz w:val="24"/>
                <w:highlight w:val="none"/>
              </w:rPr>
              <w:t>声压级d</w:t>
            </w:r>
            <w:r>
              <w:rPr>
                <w:color w:val="auto"/>
                <w:spacing w:val="-2"/>
                <w:kern w:val="0"/>
                <w:sz w:val="24"/>
                <w:highlight w:val="none"/>
              </w:rPr>
              <w:t>B</w:t>
            </w:r>
            <w:r>
              <w:rPr>
                <w:color w:val="auto"/>
                <w:spacing w:val="-1"/>
                <w:kern w:val="0"/>
                <w:sz w:val="24"/>
                <w:highlight w:val="none"/>
              </w:rPr>
              <w:t>（</w:t>
            </w:r>
            <w:r>
              <w:rPr>
                <w:color w:val="auto"/>
                <w:spacing w:val="2"/>
                <w:kern w:val="0"/>
                <w:sz w:val="24"/>
                <w:highlight w:val="none"/>
              </w:rPr>
              <w:t>A</w:t>
            </w:r>
            <w:r>
              <w:rPr>
                <w:color w:val="auto"/>
                <w:spacing w:val="-1"/>
                <w:kern w:val="0"/>
                <w:sz w:val="24"/>
                <w:highlight w:val="none"/>
              </w:rPr>
              <w:t>）</w:t>
            </w:r>
            <w:r>
              <w:rPr>
                <w:color w:val="auto"/>
                <w:kern w:val="0"/>
                <w:sz w:val="24"/>
                <w:highlight w:val="none"/>
              </w:rPr>
              <w:t>；</w:t>
            </w:r>
          </w:p>
          <w:p>
            <w:pPr>
              <w:autoSpaceDE w:val="0"/>
              <w:autoSpaceDN w:val="0"/>
              <w:adjustRightInd w:val="0"/>
              <w:spacing w:line="360" w:lineRule="auto"/>
              <w:ind w:left="1342" w:right="2176"/>
              <w:rPr>
                <w:color w:val="auto"/>
                <w:kern w:val="0"/>
                <w:sz w:val="24"/>
                <w:highlight w:val="none"/>
              </w:rPr>
            </w:pPr>
            <w:r>
              <w:rPr>
                <w:color w:val="auto"/>
                <w:spacing w:val="-5"/>
                <w:kern w:val="0"/>
                <w:sz w:val="24"/>
                <w:highlight w:val="none"/>
              </w:rPr>
              <w:t>L</w:t>
            </w:r>
            <w:r>
              <w:rPr>
                <w:color w:val="auto"/>
                <w:spacing w:val="1"/>
                <w:kern w:val="0"/>
                <w:position w:val="-3"/>
                <w:sz w:val="24"/>
                <w:highlight w:val="none"/>
                <w:vertAlign w:val="subscript"/>
              </w:rPr>
              <w:t>0</w:t>
            </w:r>
            <w:r>
              <w:rPr>
                <w:color w:val="auto"/>
                <w:kern w:val="0"/>
                <w:sz w:val="24"/>
                <w:highlight w:val="none"/>
              </w:rPr>
              <w:t>—受声点背景噪声值 d</w:t>
            </w:r>
            <w:r>
              <w:rPr>
                <w:color w:val="auto"/>
                <w:spacing w:val="-2"/>
                <w:kern w:val="0"/>
                <w:sz w:val="24"/>
                <w:highlight w:val="none"/>
              </w:rPr>
              <w:t>B</w:t>
            </w:r>
            <w:r>
              <w:rPr>
                <w:color w:val="auto"/>
                <w:spacing w:val="-1"/>
                <w:kern w:val="0"/>
                <w:sz w:val="24"/>
                <w:highlight w:val="none"/>
              </w:rPr>
              <w:t>（</w:t>
            </w:r>
            <w:r>
              <w:rPr>
                <w:color w:val="auto"/>
                <w:spacing w:val="2"/>
                <w:kern w:val="0"/>
                <w:sz w:val="24"/>
                <w:highlight w:val="none"/>
              </w:rPr>
              <w:t>A）</w:t>
            </w:r>
            <w:r>
              <w:rPr>
                <w:color w:val="auto"/>
                <w:kern w:val="0"/>
                <w:sz w:val="24"/>
                <w:highlight w:val="none"/>
              </w:rPr>
              <w:t>；</w:t>
            </w:r>
          </w:p>
          <w:p>
            <w:pPr>
              <w:autoSpaceDE w:val="0"/>
              <w:autoSpaceDN w:val="0"/>
              <w:adjustRightInd w:val="0"/>
              <w:spacing w:line="360" w:lineRule="auto"/>
              <w:ind w:left="1342" w:right="2176"/>
              <w:rPr>
                <w:color w:val="auto"/>
                <w:kern w:val="0"/>
                <w:sz w:val="24"/>
                <w:highlight w:val="none"/>
              </w:rPr>
            </w:pPr>
            <w:r>
              <w:rPr>
                <w:color w:val="auto"/>
                <w:spacing w:val="-5"/>
                <w:kern w:val="0"/>
                <w:sz w:val="24"/>
                <w:highlight w:val="none"/>
              </w:rPr>
              <w:t>L</w:t>
            </w:r>
            <w:r>
              <w:rPr>
                <w:color w:val="auto"/>
                <w:spacing w:val="1"/>
                <w:kern w:val="0"/>
                <w:position w:val="-3"/>
                <w:sz w:val="24"/>
                <w:highlight w:val="none"/>
                <w:vertAlign w:val="subscript"/>
              </w:rPr>
              <w:t>pi</w:t>
            </w:r>
            <w:r>
              <w:rPr>
                <w:color w:val="auto"/>
                <w:kern w:val="0"/>
                <w:sz w:val="24"/>
                <w:highlight w:val="none"/>
              </w:rPr>
              <w:t>—各个声源在受声</w:t>
            </w:r>
            <w:r>
              <w:rPr>
                <w:color w:val="auto"/>
                <w:spacing w:val="2"/>
                <w:kern w:val="0"/>
                <w:sz w:val="24"/>
                <w:highlight w:val="none"/>
              </w:rPr>
              <w:t>点</w:t>
            </w:r>
            <w:r>
              <w:rPr>
                <w:color w:val="auto"/>
                <w:kern w:val="0"/>
                <w:sz w:val="24"/>
                <w:highlight w:val="none"/>
              </w:rPr>
              <w:t>的声压级 d</w:t>
            </w:r>
            <w:r>
              <w:rPr>
                <w:color w:val="auto"/>
                <w:spacing w:val="-2"/>
                <w:kern w:val="0"/>
                <w:sz w:val="24"/>
                <w:highlight w:val="none"/>
              </w:rPr>
              <w:t>B</w:t>
            </w:r>
            <w:r>
              <w:rPr>
                <w:color w:val="auto"/>
                <w:spacing w:val="-1"/>
                <w:kern w:val="0"/>
                <w:sz w:val="24"/>
                <w:highlight w:val="none"/>
              </w:rPr>
              <w:t>（</w:t>
            </w:r>
            <w:r>
              <w:rPr>
                <w:color w:val="auto"/>
                <w:spacing w:val="2"/>
                <w:kern w:val="0"/>
                <w:sz w:val="24"/>
                <w:highlight w:val="none"/>
              </w:rPr>
              <w:t>A）</w:t>
            </w:r>
            <w:r>
              <w:rPr>
                <w:color w:val="auto"/>
                <w:kern w:val="0"/>
                <w:sz w:val="24"/>
                <w:highlight w:val="none"/>
              </w:rPr>
              <w:t>；</w:t>
            </w:r>
          </w:p>
          <w:p>
            <w:pPr>
              <w:autoSpaceDE w:val="0"/>
              <w:autoSpaceDN w:val="0"/>
              <w:adjustRightInd w:val="0"/>
              <w:spacing w:line="360" w:lineRule="auto"/>
              <w:ind w:left="1342" w:right="2176"/>
              <w:rPr>
                <w:color w:val="auto"/>
                <w:kern w:val="0"/>
                <w:sz w:val="24"/>
                <w:highlight w:val="none"/>
              </w:rPr>
            </w:pPr>
            <w:r>
              <w:rPr>
                <w:color w:val="auto"/>
                <w:kern w:val="0"/>
                <w:sz w:val="24"/>
                <w:highlight w:val="none"/>
              </w:rPr>
              <w:t>n—声源个数。</w:t>
            </w:r>
          </w:p>
          <w:p>
            <w:pPr>
              <w:pStyle w:val="13"/>
              <w:keepNext w:val="0"/>
              <w:keepLines w:val="0"/>
              <w:pageBreakBefore w:val="0"/>
              <w:widowControl w:val="0"/>
              <w:tabs>
                <w:tab w:val="left" w:pos="3648"/>
              </w:tabs>
              <w:kinsoku/>
              <w:wordWrap/>
              <w:overflowPunct/>
              <w:topLinePunct w:val="0"/>
              <w:autoSpaceDE w:val="0"/>
              <w:autoSpaceDN w:val="0"/>
              <w:bidi w:val="0"/>
              <w:adjustRightInd w:val="0"/>
              <w:snapToGrid w:val="0"/>
              <w:spacing w:before="0" w:after="0" w:line="360" w:lineRule="auto"/>
              <w:ind w:left="0" w:right="0" w:firstLine="480" w:firstLineChars="200"/>
              <w:jc w:val="left"/>
              <w:textAlignment w:val="auto"/>
              <w:rPr>
                <w:color w:val="auto"/>
                <w:sz w:val="24"/>
                <w:highlight w:val="none"/>
              </w:rPr>
            </w:pPr>
            <w:r>
              <w:rPr>
                <w:rFonts w:hint="eastAsia" w:ascii="宋体" w:hAnsi="宋体" w:eastAsia="宋体" w:cs="宋体"/>
                <w:color w:val="auto"/>
                <w:kern w:val="0"/>
                <w:sz w:val="24"/>
                <w:szCs w:val="24"/>
                <w:highlight w:val="none"/>
                <w:lang w:val="en-US" w:eastAsia="zh-CN" w:bidi="ar"/>
              </w:rPr>
              <w:t>项目夜间不生产，采取上述预测方法，</w:t>
            </w:r>
            <w:r>
              <w:rPr>
                <w:color w:val="auto"/>
                <w:sz w:val="24"/>
                <w:highlight w:val="none"/>
              </w:rPr>
              <w:t>只考虑距离衰减的情况下，</w:t>
            </w:r>
            <w:r>
              <w:rPr>
                <w:rFonts w:hint="eastAsia" w:ascii="宋体" w:hAnsi="宋体" w:eastAsia="宋体" w:cs="宋体"/>
                <w:color w:val="auto"/>
                <w:kern w:val="0"/>
                <w:sz w:val="24"/>
                <w:szCs w:val="24"/>
                <w:highlight w:val="none"/>
                <w:lang w:val="en-US" w:eastAsia="zh-CN" w:bidi="ar"/>
              </w:rPr>
              <w:t>昼间</w:t>
            </w:r>
            <w:r>
              <w:rPr>
                <w:color w:val="auto"/>
                <w:sz w:val="24"/>
                <w:highlight w:val="none"/>
              </w:rPr>
              <w:t>噪声</w:t>
            </w:r>
            <w:r>
              <w:rPr>
                <w:rFonts w:hint="eastAsia"/>
                <w:color w:val="auto"/>
                <w:sz w:val="24"/>
                <w:highlight w:val="none"/>
                <w:lang w:val="en-US" w:eastAsia="zh-CN"/>
              </w:rPr>
              <w:t>贡献值</w:t>
            </w:r>
            <w:r>
              <w:rPr>
                <w:color w:val="auto"/>
                <w:sz w:val="24"/>
                <w:highlight w:val="none"/>
              </w:rPr>
              <w:t>预测结果如表</w:t>
            </w:r>
            <w:r>
              <w:rPr>
                <w:rFonts w:hint="eastAsia"/>
                <w:color w:val="auto"/>
                <w:sz w:val="24"/>
                <w:highlight w:val="none"/>
              </w:rPr>
              <w:t>4</w:t>
            </w:r>
            <w:r>
              <w:rPr>
                <w:rFonts w:hint="eastAsia"/>
                <w:color w:val="auto"/>
                <w:sz w:val="24"/>
                <w:highlight w:val="none"/>
                <w:lang w:val="en-US" w:eastAsia="zh-CN"/>
              </w:rPr>
              <w:t>.2-22</w:t>
            </w:r>
            <w:r>
              <w:rPr>
                <w:color w:val="auto"/>
                <w:sz w:val="24"/>
                <w:highlight w:val="none"/>
              </w:rPr>
              <w:t>。</w:t>
            </w:r>
          </w:p>
          <w:p>
            <w:pPr>
              <w:pStyle w:val="13"/>
              <w:keepNext w:val="0"/>
              <w:keepLines w:val="0"/>
              <w:pageBreakBefore w:val="0"/>
              <w:widowControl w:val="0"/>
              <w:tabs>
                <w:tab w:val="left" w:pos="3648"/>
              </w:tabs>
              <w:kinsoku/>
              <w:wordWrap/>
              <w:overflowPunct/>
              <w:topLinePunct w:val="0"/>
              <w:autoSpaceDE w:val="0"/>
              <w:autoSpaceDN w:val="0"/>
              <w:bidi w:val="0"/>
              <w:adjustRightInd w:val="0"/>
              <w:snapToGrid w:val="0"/>
              <w:spacing w:before="0" w:after="0" w:line="360" w:lineRule="auto"/>
              <w:ind w:left="0"/>
              <w:jc w:val="center"/>
              <w:textAlignment w:val="auto"/>
              <w:rPr>
                <w:rFonts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表4</w:t>
            </w:r>
            <w:r>
              <w:rPr>
                <w:rFonts w:hint="eastAsia" w:cs="Times New Roman"/>
                <w:b/>
                <w:color w:val="auto"/>
                <w:kern w:val="2"/>
                <w:sz w:val="24"/>
                <w:szCs w:val="24"/>
                <w:highlight w:val="none"/>
                <w:lang w:val="en-US" w:eastAsia="zh-CN" w:bidi="ar-SA"/>
              </w:rPr>
              <w:t>.2</w:t>
            </w:r>
            <w:r>
              <w:rPr>
                <w:rFonts w:hint="default" w:ascii="Times New Roman" w:hAnsi="Times New Roman" w:eastAsia="宋体" w:cs="Times New Roman"/>
                <w:b/>
                <w:color w:val="auto"/>
                <w:kern w:val="2"/>
                <w:sz w:val="24"/>
                <w:szCs w:val="24"/>
                <w:highlight w:val="none"/>
                <w:lang w:val="en-US" w:eastAsia="zh-CN" w:bidi="ar-SA"/>
              </w:rPr>
              <w:t>-</w:t>
            </w:r>
            <w:r>
              <w:rPr>
                <w:rFonts w:hint="eastAsia" w:cs="Times New Roman"/>
                <w:b/>
                <w:color w:val="auto"/>
                <w:kern w:val="2"/>
                <w:sz w:val="24"/>
                <w:szCs w:val="24"/>
                <w:highlight w:val="none"/>
                <w:lang w:val="en-US" w:eastAsia="zh-CN" w:bidi="ar-SA"/>
              </w:rPr>
              <w:t>22</w:t>
            </w:r>
            <w:r>
              <w:rPr>
                <w:rFonts w:hint="default" w:ascii="Times New Roman" w:hAnsi="Times New Roman" w:eastAsia="宋体" w:cs="Times New Roman"/>
                <w:b/>
                <w:color w:val="auto"/>
                <w:kern w:val="2"/>
                <w:sz w:val="24"/>
                <w:szCs w:val="24"/>
                <w:highlight w:val="none"/>
                <w:lang w:val="en-US" w:eastAsia="zh-CN" w:bidi="ar-SA"/>
              </w:rPr>
              <w:t xml:space="preserve"> 运营期项目设备贡献值预测结果  单位：dB（A）</w:t>
            </w:r>
          </w:p>
          <w:tbl>
            <w:tblPr>
              <w:tblStyle w:val="28"/>
              <w:tblW w:w="501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28" w:type="dxa"/>
                <w:left w:w="108" w:type="dxa"/>
                <w:bottom w:w="28" w:type="dxa"/>
                <w:right w:w="108" w:type="dxa"/>
              </w:tblCellMar>
            </w:tblPr>
            <w:tblGrid>
              <w:gridCol w:w="102"/>
              <w:gridCol w:w="553"/>
              <w:gridCol w:w="1235"/>
              <w:gridCol w:w="2265"/>
              <w:gridCol w:w="1335"/>
              <w:gridCol w:w="1995"/>
              <w:gridCol w:w="95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693" w:hRule="atLeast"/>
                <w:jc w:val="center"/>
              </w:trPr>
              <w:tc>
                <w:tcPr>
                  <w:tcW w:w="1120" w:type="pct"/>
                  <w:gridSpan w:val="3"/>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预测点</w:t>
                  </w:r>
                </w:p>
              </w:tc>
              <w:tc>
                <w:tcPr>
                  <w:tcW w:w="1342"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降噪后叠加</w:t>
                  </w:r>
                  <w:r>
                    <w:rPr>
                      <w:rFonts w:hint="default" w:ascii="Times New Roman" w:hAnsi="Times New Roman" w:cs="Times New Roman"/>
                      <w:b/>
                      <w:bCs/>
                      <w:color w:val="auto"/>
                      <w:sz w:val="21"/>
                      <w:szCs w:val="21"/>
                      <w:highlight w:val="none"/>
                      <w:lang w:val="en-US" w:eastAsia="zh-CN"/>
                    </w:rPr>
                    <w:t>噪声</w:t>
                  </w:r>
                </w:p>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排放值dB（A）</w:t>
                  </w:r>
                </w:p>
              </w:tc>
              <w:tc>
                <w:tcPr>
                  <w:tcW w:w="79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贡献值</w:t>
                  </w:r>
                </w:p>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olor w:val="auto"/>
                      <w:highlight w:val="none"/>
                      <w:lang w:val="en-US" w:eastAsia="zh-CN"/>
                    </w:rPr>
                  </w:pPr>
                  <w:r>
                    <w:rPr>
                      <w:rFonts w:hint="default" w:ascii="Times New Roman" w:hAnsi="Times New Roman" w:cs="Times New Roman"/>
                      <w:b/>
                      <w:bCs/>
                      <w:color w:val="auto"/>
                      <w:sz w:val="21"/>
                      <w:szCs w:val="21"/>
                      <w:highlight w:val="none"/>
                      <w:lang w:val="en-US" w:eastAsia="zh-CN"/>
                    </w:rPr>
                    <w:t>dB（A）</w:t>
                  </w:r>
                </w:p>
              </w:tc>
              <w:tc>
                <w:tcPr>
                  <w:tcW w:w="1182"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执行标准</w:t>
                  </w:r>
                  <w:r>
                    <w:rPr>
                      <w:rFonts w:hint="eastAsia" w:ascii="Times New Roman" w:hAnsi="Times New Roman" w:cs="Times New Roman"/>
                      <w:b/>
                      <w:bCs/>
                      <w:color w:val="auto"/>
                      <w:sz w:val="21"/>
                      <w:szCs w:val="21"/>
                      <w:highlight w:val="none"/>
                      <w:lang w:val="en-US" w:eastAsia="zh-CN"/>
                    </w:rPr>
                    <w:t>（昼间）</w:t>
                  </w:r>
                </w:p>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dB（A）</w:t>
                  </w:r>
                </w:p>
              </w:tc>
              <w:tc>
                <w:tcPr>
                  <w:tcW w:w="563"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达标</w:t>
                  </w:r>
                </w:p>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gridBefore w:val="1"/>
                <w:wBefore w:w="60" w:type="pct"/>
                <w:trHeight w:val="339" w:hRule="atLeast"/>
                <w:jc w:val="center"/>
              </w:trPr>
              <w:tc>
                <w:tcPr>
                  <w:tcW w:w="327" w:type="pct"/>
                  <w:vMerge w:val="restart"/>
                  <w:noWrap w:val="0"/>
                  <w:vAlign w:val="center"/>
                </w:tcPr>
                <w:p>
                  <w:pPr>
                    <w:pStyle w:val="74"/>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厂房车间</w:t>
                  </w:r>
                </w:p>
              </w:tc>
              <w:tc>
                <w:tcPr>
                  <w:tcW w:w="731" w:type="pct"/>
                  <w:noWrap w:val="0"/>
                  <w:vAlign w:val="center"/>
                </w:tcPr>
                <w:p>
                  <w:pPr>
                    <w:pStyle w:val="74"/>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leftChars="0" w:right="0" w:rightChars="0" w:firstLine="0" w:firstLineChars="0"/>
                    <w:jc w:val="center"/>
                    <w:rPr>
                      <w:rFonts w:hint="default" w:ascii="Times New Roman" w:hAnsi="Times New Roman" w:cs="Times New Roman"/>
                      <w:color w:val="auto"/>
                      <w:spacing w:val="0"/>
                      <w:w w:val="100"/>
                      <w:position w:val="0"/>
                      <w:sz w:val="21"/>
                      <w:szCs w:val="21"/>
                      <w:highlight w:val="none"/>
                    </w:rPr>
                  </w:pPr>
                  <w:r>
                    <w:rPr>
                      <w:rFonts w:hint="default" w:ascii="Times New Roman" w:hAnsi="Times New Roman" w:cs="Times New Roman"/>
                      <w:color w:val="auto"/>
                      <w:spacing w:val="0"/>
                      <w:w w:val="100"/>
                      <w:position w:val="0"/>
                      <w:sz w:val="21"/>
                      <w:szCs w:val="21"/>
                      <w:highlight w:val="none"/>
                    </w:rPr>
                    <w:t>北侧</w:t>
                  </w:r>
                  <w:r>
                    <w:rPr>
                      <w:rFonts w:hint="default" w:ascii="Times New Roman" w:hAnsi="Times New Roman" w:cs="Times New Roman"/>
                      <w:color w:val="auto"/>
                      <w:spacing w:val="0"/>
                      <w:w w:val="100"/>
                      <w:position w:val="0"/>
                      <w:sz w:val="21"/>
                      <w:szCs w:val="21"/>
                      <w:highlight w:val="none"/>
                      <w:lang w:val="en-US" w:eastAsia="zh-CN"/>
                    </w:rPr>
                    <w:t>厂界</w:t>
                  </w:r>
                </w:p>
              </w:tc>
              <w:tc>
                <w:tcPr>
                  <w:tcW w:w="1342"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100.48</w:t>
                  </w:r>
                </w:p>
              </w:tc>
              <w:tc>
                <w:tcPr>
                  <w:tcW w:w="791" w:type="pct"/>
                  <w:noWrap w:val="0"/>
                  <w:vAlign w:val="bottom"/>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49.64</w:t>
                  </w:r>
                </w:p>
              </w:tc>
              <w:tc>
                <w:tcPr>
                  <w:tcW w:w="118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65</w:t>
                  </w:r>
                </w:p>
              </w:tc>
              <w:tc>
                <w:tcPr>
                  <w:tcW w:w="56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gridBefore w:val="1"/>
                <w:wBefore w:w="60" w:type="pct"/>
                <w:trHeight w:val="287" w:hRule="atLeast"/>
                <w:jc w:val="center"/>
              </w:trPr>
              <w:tc>
                <w:tcPr>
                  <w:tcW w:w="327" w:type="pct"/>
                  <w:vMerge w:val="continue"/>
                  <w:noWrap w:val="0"/>
                  <w:vAlign w:val="center"/>
                </w:tcPr>
                <w:p>
                  <w:pPr>
                    <w:pStyle w:val="74"/>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leftChars="0" w:right="0" w:rightChars="0" w:firstLine="0" w:firstLineChars="0"/>
                    <w:jc w:val="center"/>
                    <w:rPr>
                      <w:rFonts w:hint="default" w:ascii="Times New Roman" w:hAnsi="Times New Roman" w:eastAsia="微软雅黑" w:cs="Times New Roman"/>
                      <w:color w:val="auto"/>
                      <w:sz w:val="21"/>
                      <w:szCs w:val="21"/>
                      <w:highlight w:val="none"/>
                      <w:lang w:val="en-US" w:eastAsia="zh-CN" w:bidi="ar-SA"/>
                    </w:rPr>
                  </w:pPr>
                </w:p>
              </w:tc>
              <w:tc>
                <w:tcPr>
                  <w:tcW w:w="731" w:type="pct"/>
                  <w:noWrap w:val="0"/>
                  <w:vAlign w:val="center"/>
                </w:tcPr>
                <w:p>
                  <w:pPr>
                    <w:pStyle w:val="74"/>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leftChars="0" w:right="0" w:rightChars="0" w:firstLine="0" w:firstLineChars="0"/>
                    <w:jc w:val="center"/>
                    <w:rPr>
                      <w:rFonts w:hint="default" w:ascii="Times New Roman" w:hAnsi="Times New Roman" w:cs="Times New Roman"/>
                      <w:color w:val="auto"/>
                      <w:spacing w:val="0"/>
                      <w:w w:val="100"/>
                      <w:position w:val="0"/>
                      <w:sz w:val="21"/>
                      <w:szCs w:val="21"/>
                      <w:highlight w:val="none"/>
                    </w:rPr>
                  </w:pPr>
                  <w:r>
                    <w:rPr>
                      <w:rFonts w:hint="default" w:ascii="Times New Roman" w:hAnsi="Times New Roman" w:cs="Times New Roman"/>
                      <w:color w:val="auto"/>
                      <w:spacing w:val="0"/>
                      <w:w w:val="100"/>
                      <w:position w:val="0"/>
                      <w:sz w:val="21"/>
                      <w:szCs w:val="21"/>
                      <w:highlight w:val="none"/>
                    </w:rPr>
                    <w:t>西侧</w:t>
                  </w:r>
                  <w:r>
                    <w:rPr>
                      <w:rFonts w:hint="default" w:ascii="Times New Roman" w:hAnsi="Times New Roman" w:cs="Times New Roman"/>
                      <w:color w:val="auto"/>
                      <w:spacing w:val="0"/>
                      <w:w w:val="100"/>
                      <w:position w:val="0"/>
                      <w:sz w:val="21"/>
                      <w:szCs w:val="21"/>
                      <w:highlight w:val="none"/>
                      <w:lang w:val="en-US" w:eastAsia="zh-CN"/>
                    </w:rPr>
                    <w:t>厂界</w:t>
                  </w:r>
                </w:p>
              </w:tc>
              <w:tc>
                <w:tcPr>
                  <w:tcW w:w="1342"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791" w:type="pct"/>
                  <w:noWrap w:val="0"/>
                  <w:vAlign w:val="bottom"/>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55.37</w:t>
                  </w:r>
                </w:p>
              </w:tc>
              <w:tc>
                <w:tcPr>
                  <w:tcW w:w="118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65</w:t>
                  </w:r>
                </w:p>
              </w:tc>
              <w:tc>
                <w:tcPr>
                  <w:tcW w:w="56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gridBefore w:val="1"/>
                <w:wBefore w:w="60" w:type="pct"/>
                <w:trHeight w:val="287" w:hRule="atLeast"/>
                <w:jc w:val="center"/>
              </w:trPr>
              <w:tc>
                <w:tcPr>
                  <w:tcW w:w="327" w:type="pct"/>
                  <w:vMerge w:val="continue"/>
                  <w:noWrap w:val="0"/>
                  <w:vAlign w:val="center"/>
                </w:tcPr>
                <w:p>
                  <w:pPr>
                    <w:pStyle w:val="74"/>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bidi="ar-SA"/>
                    </w:rPr>
                  </w:pPr>
                </w:p>
              </w:tc>
              <w:tc>
                <w:tcPr>
                  <w:tcW w:w="731" w:type="pct"/>
                  <w:noWrap w:val="0"/>
                  <w:vAlign w:val="center"/>
                </w:tcPr>
                <w:p>
                  <w:pPr>
                    <w:pStyle w:val="74"/>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leftChars="0" w:right="0" w:rightChars="0" w:firstLine="0" w:firstLineChars="0"/>
                    <w:jc w:val="center"/>
                    <w:rPr>
                      <w:rFonts w:hint="default" w:ascii="Times New Roman" w:hAnsi="Times New Roman" w:cs="Times New Roman"/>
                      <w:color w:val="auto"/>
                      <w:spacing w:val="0"/>
                      <w:w w:val="100"/>
                      <w:position w:val="0"/>
                      <w:sz w:val="21"/>
                      <w:szCs w:val="21"/>
                      <w:highlight w:val="none"/>
                      <w:lang w:eastAsia="zh-CN"/>
                    </w:rPr>
                  </w:pPr>
                  <w:r>
                    <w:rPr>
                      <w:rFonts w:hint="default" w:ascii="Times New Roman" w:hAnsi="Times New Roman" w:cs="Times New Roman"/>
                      <w:color w:val="auto"/>
                      <w:spacing w:val="0"/>
                      <w:w w:val="100"/>
                      <w:position w:val="0"/>
                      <w:sz w:val="21"/>
                      <w:szCs w:val="21"/>
                      <w:highlight w:val="none"/>
                      <w:lang w:eastAsia="zh-CN"/>
                    </w:rPr>
                    <w:t>南侧</w:t>
                  </w:r>
                  <w:r>
                    <w:rPr>
                      <w:rFonts w:hint="default" w:ascii="Times New Roman" w:hAnsi="Times New Roman" w:cs="Times New Roman"/>
                      <w:color w:val="auto"/>
                      <w:spacing w:val="0"/>
                      <w:w w:val="100"/>
                      <w:position w:val="0"/>
                      <w:sz w:val="21"/>
                      <w:szCs w:val="21"/>
                      <w:highlight w:val="none"/>
                      <w:lang w:val="en-US" w:eastAsia="zh-CN"/>
                    </w:rPr>
                    <w:t>厂界</w:t>
                  </w:r>
                </w:p>
              </w:tc>
              <w:tc>
                <w:tcPr>
                  <w:tcW w:w="1342"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791" w:type="pct"/>
                  <w:noWrap w:val="0"/>
                  <w:vAlign w:val="bottom"/>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49.64</w:t>
                  </w:r>
                </w:p>
              </w:tc>
              <w:tc>
                <w:tcPr>
                  <w:tcW w:w="118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65</w:t>
                  </w:r>
                </w:p>
              </w:tc>
              <w:tc>
                <w:tcPr>
                  <w:tcW w:w="56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gridBefore w:val="1"/>
                <w:wBefore w:w="60" w:type="pct"/>
                <w:trHeight w:val="307" w:hRule="atLeast"/>
                <w:jc w:val="center"/>
              </w:trPr>
              <w:tc>
                <w:tcPr>
                  <w:tcW w:w="327" w:type="pct"/>
                  <w:vMerge w:val="continue"/>
                  <w:noWrap w:val="0"/>
                  <w:vAlign w:val="center"/>
                </w:tcPr>
                <w:p>
                  <w:pPr>
                    <w:pStyle w:val="74"/>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bidi="ar-SA"/>
                    </w:rPr>
                  </w:pPr>
                </w:p>
              </w:tc>
              <w:tc>
                <w:tcPr>
                  <w:tcW w:w="731" w:type="pct"/>
                  <w:noWrap w:val="0"/>
                  <w:vAlign w:val="center"/>
                </w:tcPr>
                <w:p>
                  <w:pPr>
                    <w:pStyle w:val="74"/>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leftChars="0" w:right="0" w:rightChars="0" w:firstLine="0" w:firstLineChars="0"/>
                    <w:jc w:val="center"/>
                    <w:rPr>
                      <w:rFonts w:hint="eastAsia" w:ascii="Times New Roman" w:hAnsi="Times New Roman" w:cs="Times New Roman"/>
                      <w:color w:val="auto"/>
                      <w:spacing w:val="0"/>
                      <w:w w:val="100"/>
                      <w:position w:val="0"/>
                      <w:sz w:val="21"/>
                      <w:szCs w:val="21"/>
                      <w:highlight w:val="none"/>
                      <w:lang w:val="en-US" w:eastAsia="zh-CN"/>
                    </w:rPr>
                  </w:pPr>
                  <w:r>
                    <w:rPr>
                      <w:rFonts w:hint="eastAsia" w:ascii="Times New Roman" w:hAnsi="Times New Roman" w:cs="Times New Roman"/>
                      <w:color w:val="auto"/>
                      <w:spacing w:val="0"/>
                      <w:w w:val="100"/>
                      <w:position w:val="0"/>
                      <w:sz w:val="21"/>
                      <w:szCs w:val="21"/>
                      <w:highlight w:val="none"/>
                      <w:lang w:val="en-US" w:eastAsia="zh-CN"/>
                    </w:rPr>
                    <w:t>东</w:t>
                  </w:r>
                  <w:r>
                    <w:rPr>
                      <w:rFonts w:hint="default" w:ascii="Times New Roman" w:hAnsi="Times New Roman" w:cs="Times New Roman"/>
                      <w:color w:val="auto"/>
                      <w:spacing w:val="0"/>
                      <w:w w:val="100"/>
                      <w:position w:val="0"/>
                      <w:sz w:val="21"/>
                      <w:szCs w:val="21"/>
                      <w:highlight w:val="none"/>
                    </w:rPr>
                    <w:t>侧</w:t>
                  </w:r>
                  <w:r>
                    <w:rPr>
                      <w:rFonts w:hint="default" w:ascii="Times New Roman" w:hAnsi="Times New Roman" w:cs="Times New Roman"/>
                      <w:color w:val="auto"/>
                      <w:spacing w:val="0"/>
                      <w:w w:val="100"/>
                      <w:position w:val="0"/>
                      <w:sz w:val="21"/>
                      <w:szCs w:val="21"/>
                      <w:highlight w:val="none"/>
                      <w:lang w:val="en-US" w:eastAsia="zh-CN"/>
                    </w:rPr>
                    <w:t>厂界</w:t>
                  </w:r>
                </w:p>
              </w:tc>
              <w:tc>
                <w:tcPr>
                  <w:tcW w:w="1342"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791" w:type="pct"/>
                  <w:noWrap w:val="0"/>
                  <w:vAlign w:val="bottom"/>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55.37</w:t>
                  </w:r>
                </w:p>
              </w:tc>
              <w:tc>
                <w:tcPr>
                  <w:tcW w:w="118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65</w:t>
                  </w:r>
                </w:p>
              </w:tc>
              <w:tc>
                <w:tcPr>
                  <w:tcW w:w="56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项目夜间</w:t>
            </w:r>
            <w:r>
              <w:rPr>
                <w:rFonts w:hint="eastAsia" w:ascii="Times New Roman" w:hAnsi="Times New Roman" w:eastAsia="宋体" w:cs="Times New Roman"/>
                <w:color w:val="auto"/>
                <w:sz w:val="24"/>
                <w:szCs w:val="24"/>
                <w:highlight w:val="none"/>
                <w:lang w:val="en-US" w:eastAsia="zh-CN"/>
              </w:rPr>
              <w:t>不</w:t>
            </w:r>
            <w:r>
              <w:rPr>
                <w:rFonts w:hint="default" w:ascii="Times New Roman" w:hAnsi="Times New Roman" w:eastAsia="宋体" w:cs="Times New Roman"/>
                <w:color w:val="auto"/>
                <w:sz w:val="24"/>
                <w:szCs w:val="24"/>
                <w:highlight w:val="none"/>
                <w:lang w:val="en-US" w:eastAsia="zh-CN"/>
              </w:rPr>
              <w:t>生产，根据</w:t>
            </w:r>
            <w:r>
              <w:rPr>
                <w:rFonts w:hint="eastAsia" w:cs="Times New Roman"/>
                <w:color w:val="auto"/>
                <w:sz w:val="24"/>
                <w:szCs w:val="24"/>
                <w:highlight w:val="none"/>
                <w:lang w:val="en-US" w:eastAsia="zh-CN"/>
              </w:rPr>
              <w:t>上表</w:t>
            </w:r>
            <w:r>
              <w:rPr>
                <w:rFonts w:hint="default" w:ascii="Times New Roman" w:hAnsi="Times New Roman" w:eastAsia="宋体" w:cs="Times New Roman"/>
                <w:color w:val="auto"/>
                <w:sz w:val="24"/>
                <w:szCs w:val="24"/>
                <w:highlight w:val="none"/>
                <w:lang w:val="en-US" w:eastAsia="zh-CN"/>
              </w:rPr>
              <w:t>可知，项目厂界昼间噪声预测贡献值在</w:t>
            </w:r>
            <w:r>
              <w:rPr>
                <w:rFonts w:hint="eastAsia" w:cs="Times New Roman"/>
                <w:color w:val="auto"/>
                <w:sz w:val="24"/>
                <w:szCs w:val="24"/>
                <w:highlight w:val="none"/>
                <w:lang w:val="en-US" w:eastAsia="zh-CN"/>
              </w:rPr>
              <w:t>49.64-55.37</w:t>
            </w:r>
            <w:r>
              <w:rPr>
                <w:rFonts w:hint="default" w:ascii="Times New Roman" w:hAnsi="Times New Roman" w:eastAsia="宋体" w:cs="Times New Roman"/>
                <w:color w:val="auto"/>
                <w:sz w:val="24"/>
                <w:szCs w:val="24"/>
                <w:highlight w:val="none"/>
                <w:lang w:val="en-US" w:eastAsia="zh-CN"/>
              </w:rPr>
              <w:t>dB(A)之</w:t>
            </w:r>
            <w:r>
              <w:rPr>
                <w:rFonts w:hint="default" w:ascii="Times New Roman" w:hAnsi="Times New Roman" w:eastAsia="宋体" w:cs="Times New Roman"/>
                <w:color w:val="auto"/>
                <w:sz w:val="24"/>
                <w:szCs w:val="24"/>
                <w:highlight w:val="none"/>
                <w:lang w:eastAsia="zh-CN"/>
              </w:rPr>
              <w:t>间，</w:t>
            </w:r>
            <w:r>
              <w:rPr>
                <w:rFonts w:hint="default" w:ascii="Times New Roman" w:hAnsi="Times New Roman" w:eastAsia="宋体" w:cs="Times New Roman"/>
                <w:color w:val="auto"/>
                <w:sz w:val="24"/>
                <w:szCs w:val="24"/>
                <w:highlight w:val="none"/>
              </w:rPr>
              <w:t>可达《工业企业厂界环境噪声排放标准》（GB12348-2008）</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类昼间标准（即昼间≤6</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dB（A）），因此项目运营过程中产生的噪声经采取防治措施后对</w:t>
            </w:r>
            <w:r>
              <w:rPr>
                <w:rFonts w:hint="default" w:ascii="Times New Roman" w:hAnsi="Times New Roman" w:eastAsia="宋体" w:cs="Times New Roman"/>
                <w:b w:val="0"/>
                <w:bCs w:val="0"/>
                <w:color w:val="auto"/>
                <w:sz w:val="24"/>
                <w:szCs w:val="24"/>
                <w:highlight w:val="none"/>
              </w:rPr>
              <w:t>周边</w:t>
            </w:r>
            <w:r>
              <w:rPr>
                <w:rFonts w:hint="default" w:ascii="Times New Roman" w:hAnsi="Times New Roman" w:eastAsia="宋体" w:cs="Times New Roman"/>
                <w:b w:val="0"/>
                <w:bCs w:val="0"/>
                <w:color w:val="auto"/>
                <w:sz w:val="24"/>
                <w:szCs w:val="24"/>
                <w:highlight w:val="none"/>
                <w:lang w:eastAsia="zh-CN"/>
              </w:rPr>
              <w:t>声</w:t>
            </w:r>
            <w:r>
              <w:rPr>
                <w:rFonts w:hint="default" w:ascii="Times New Roman" w:hAnsi="Times New Roman" w:eastAsia="宋体" w:cs="Times New Roman"/>
                <w:b w:val="0"/>
                <w:bCs w:val="0"/>
                <w:color w:val="auto"/>
                <w:sz w:val="24"/>
                <w:szCs w:val="24"/>
                <w:highlight w:val="none"/>
              </w:rPr>
              <w:t>环境</w:t>
            </w:r>
            <w:r>
              <w:rPr>
                <w:rFonts w:hint="default" w:ascii="Times New Roman" w:hAnsi="Times New Roman" w:eastAsia="宋体" w:cs="Times New Roman"/>
                <w:b w:val="0"/>
                <w:bCs w:val="0"/>
                <w:color w:val="auto"/>
                <w:sz w:val="24"/>
                <w:szCs w:val="24"/>
                <w:highlight w:val="none"/>
                <w:lang w:eastAsia="zh-CN"/>
              </w:rPr>
              <w:t>影响较小</w:t>
            </w:r>
            <w:r>
              <w:rPr>
                <w:rFonts w:hint="default" w:ascii="Times New Roman" w:hAnsi="Times New Roman" w:eastAsia="宋体" w:cs="Times New Roman"/>
                <w:color w:val="auto"/>
                <w:sz w:val="24"/>
                <w:szCs w:val="24"/>
                <w:highlight w:val="none"/>
                <w:lang w:eastAsia="zh-CN"/>
              </w:rPr>
              <w:t>。</w:t>
            </w:r>
          </w:p>
          <w:p>
            <w:pPr>
              <w:pageBreakBefore w:val="0"/>
              <w:tabs>
                <w:tab w:val="left" w:pos="5954"/>
              </w:tabs>
              <w:kinsoku/>
              <w:wordWrap/>
              <w:overflowPunct/>
              <w:topLinePunct w:val="0"/>
              <w:autoSpaceDE/>
              <w:autoSpaceDN/>
              <w:bidi w:val="0"/>
              <w:spacing w:line="360" w:lineRule="auto"/>
              <w:textAlignment w:val="auto"/>
              <w:rPr>
                <w:b/>
                <w:bCs/>
                <w:color w:val="auto"/>
                <w:sz w:val="24"/>
                <w:highlight w:val="none"/>
              </w:rPr>
            </w:pPr>
            <w:r>
              <w:rPr>
                <w:rFonts w:hint="eastAsia"/>
                <w:b/>
                <w:bCs/>
                <w:color w:val="auto"/>
                <w:sz w:val="24"/>
                <w:highlight w:val="none"/>
                <w:lang w:val="en-US" w:eastAsia="zh-CN"/>
              </w:rPr>
              <w:t>4.2.3.3、</w:t>
            </w:r>
            <w:r>
              <w:rPr>
                <w:rFonts w:hint="eastAsia"/>
                <w:b/>
                <w:bCs/>
                <w:color w:val="auto"/>
                <w:sz w:val="24"/>
                <w:highlight w:val="none"/>
              </w:rPr>
              <w:t>噪声防治措施、达标情况</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根据声环境影响预测分析，项目生产噪声可达标排放，为了进一步减少噪声对周围环境的影响，提出以下几点降噪、防护措施：</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①主要噪声设备应定期检查、维修、</w:t>
            </w:r>
            <w:r>
              <w:rPr>
                <w:rFonts w:hint="eastAsia" w:cs="Times New Roman"/>
                <w:color w:val="auto"/>
                <w:sz w:val="24"/>
                <w:highlight w:val="none"/>
                <w:lang w:eastAsia="zh-CN"/>
              </w:rPr>
              <w:t>不符</w:t>
            </w:r>
            <w:r>
              <w:rPr>
                <w:rFonts w:hint="default" w:ascii="Times New Roman" w:hAnsi="Times New Roman" w:cs="Times New Roman"/>
                <w:color w:val="auto"/>
                <w:sz w:val="24"/>
                <w:highlight w:val="none"/>
              </w:rPr>
              <w:t>合要求的要及时更换，防止机械噪声的升高；</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②适时添加润滑油，防治设备老化，预防机械磨损；</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③对设备基础采取隔振及减振措施，高噪声源车间均采用封闭式厂房；</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④合理安排工作时间，禁止在午间、夜间生产加工。</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⑤</w:t>
            </w:r>
            <w:r>
              <w:rPr>
                <w:rFonts w:hint="default" w:ascii="Times New Roman" w:hAnsi="Times New Roman" w:cs="Times New Roman"/>
                <w:color w:val="auto"/>
                <w:sz w:val="24"/>
                <w:highlight w:val="none"/>
              </w:rPr>
              <w:t>要求企业在生产时尽量执行关门、窗作业</w:t>
            </w:r>
            <w:r>
              <w:rPr>
                <w:rFonts w:hint="default" w:ascii="Times New Roman" w:hAnsi="Times New Roman" w:cs="Times New Roman"/>
                <w:color w:val="auto"/>
                <w:highlight w:val="none"/>
              </w:rPr>
              <w:t>；</w:t>
            </w:r>
          </w:p>
          <w:p>
            <w:pPr>
              <w:pageBreakBefore w:val="0"/>
              <w:tabs>
                <w:tab w:val="left" w:pos="5954"/>
              </w:tabs>
              <w:kinsoku/>
              <w:wordWrap/>
              <w:overflowPunct/>
              <w:topLinePunct w:val="0"/>
              <w:autoSpaceDE/>
              <w:autoSpaceDN/>
              <w:bidi w:val="0"/>
              <w:spacing w:line="360" w:lineRule="auto"/>
              <w:ind w:firstLine="480"/>
              <w:textAlignment w:val="auto"/>
              <w:rPr>
                <w:rFonts w:hint="eastAsia"/>
                <w:color w:val="auto"/>
                <w:sz w:val="24"/>
                <w:highlight w:val="none"/>
              </w:rPr>
            </w:pPr>
            <w:r>
              <w:rPr>
                <w:rFonts w:hint="default" w:ascii="Times New Roman" w:hAnsi="Times New Roman" w:cs="Times New Roman"/>
                <w:color w:val="auto"/>
                <w:sz w:val="24"/>
                <w:highlight w:val="none"/>
                <w:lang w:val="en-US" w:eastAsia="zh-CN"/>
              </w:rPr>
              <w:t>⑥</w:t>
            </w:r>
            <w:r>
              <w:rPr>
                <w:rFonts w:hint="default" w:ascii="Times New Roman" w:hAnsi="Times New Roman" w:cs="Times New Roman"/>
                <w:color w:val="auto"/>
                <w:sz w:val="24"/>
                <w:highlight w:val="none"/>
              </w:rPr>
              <w:t>要求企业合理布置车间平面，考虑将高噪声设备尽量</w:t>
            </w:r>
            <w:r>
              <w:rPr>
                <w:rFonts w:hint="eastAsia" w:ascii="Times New Roman" w:hAnsi="Times New Roman" w:cs="Times New Roman"/>
                <w:color w:val="auto"/>
                <w:sz w:val="24"/>
                <w:highlight w:val="none"/>
                <w:lang w:val="en-US" w:eastAsia="zh-CN"/>
              </w:rPr>
              <w:t>远离声环境敏感保护目标</w:t>
            </w:r>
            <w:r>
              <w:rPr>
                <w:rFonts w:hint="eastAsia" w:cs="Times New Roman"/>
                <w:color w:val="auto"/>
                <w:sz w:val="24"/>
                <w:highlight w:val="none"/>
                <w:lang w:val="en-US" w:eastAsia="zh-CN"/>
              </w:rPr>
              <w:t>布局</w:t>
            </w:r>
            <w:r>
              <w:rPr>
                <w:rFonts w:hint="default" w:ascii="Times New Roman" w:hAnsi="Times New Roman" w:cs="Times New Roman"/>
                <w:color w:val="auto"/>
                <w:sz w:val="24"/>
                <w:highlight w:val="none"/>
              </w:rPr>
              <w:t>。</w:t>
            </w:r>
          </w:p>
          <w:p>
            <w:pPr>
              <w:pStyle w:val="6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highlight w:val="none"/>
                <w:lang w:val="en-US" w:eastAsia="zh-CN"/>
              </w:rPr>
            </w:pPr>
            <w:r>
              <w:rPr>
                <w:rFonts w:hint="eastAsia"/>
                <w:color w:val="auto"/>
                <w:sz w:val="24"/>
                <w:highlight w:val="none"/>
              </w:rPr>
              <w:t>综合分析，项目采取以上控制措施后，厂界噪声排放可以达到《工业企业厂界环境噪声排放标准》(GB12348-2008)中的</w:t>
            </w:r>
            <w:r>
              <w:rPr>
                <w:rFonts w:hint="eastAsia"/>
                <w:color w:val="auto"/>
                <w:sz w:val="24"/>
                <w:highlight w:val="none"/>
                <w:lang w:val="en-US" w:eastAsia="zh-CN"/>
              </w:rPr>
              <w:t>3</w:t>
            </w:r>
            <w:r>
              <w:rPr>
                <w:rFonts w:hint="eastAsia"/>
                <w:color w:val="auto"/>
                <w:sz w:val="24"/>
                <w:highlight w:val="none"/>
              </w:rPr>
              <w:t>类标准</w:t>
            </w:r>
            <w:r>
              <w:rPr>
                <w:rFonts w:hint="eastAsia"/>
                <w:color w:val="auto"/>
                <w:sz w:val="24"/>
                <w:highlight w:val="none"/>
                <w:lang w:eastAsia="zh-CN"/>
              </w:rPr>
              <w:t>，</w:t>
            </w:r>
            <w:r>
              <w:rPr>
                <w:rFonts w:hint="eastAsia"/>
                <w:color w:val="auto"/>
                <w:sz w:val="24"/>
                <w:highlight w:val="none"/>
                <w:lang w:val="en-US" w:eastAsia="zh-CN"/>
              </w:rPr>
              <w:t>于</w:t>
            </w:r>
            <w:r>
              <w:rPr>
                <w:rFonts w:hint="eastAsia" w:ascii="Times New Roman" w:hAnsi="Times New Roman" w:cs="Times New Roman"/>
                <w:color w:val="auto"/>
                <w:kern w:val="0"/>
                <w:sz w:val="24"/>
                <w:szCs w:val="24"/>
                <w:highlight w:val="none"/>
                <w:lang w:val="en-US" w:eastAsia="zh-CN" w:bidi="ar"/>
              </w:rPr>
              <w:t>周边</w:t>
            </w:r>
            <w:r>
              <w:rPr>
                <w:rFonts w:hint="eastAsia" w:cs="Times New Roman"/>
                <w:color w:val="auto"/>
                <w:kern w:val="0"/>
                <w:sz w:val="24"/>
                <w:szCs w:val="24"/>
                <w:highlight w:val="none"/>
                <w:lang w:val="en-US" w:eastAsia="zh-CN" w:bidi="ar"/>
              </w:rPr>
              <w:t>声环境保护目标</w:t>
            </w:r>
            <w:r>
              <w:rPr>
                <w:rFonts w:hint="eastAsia" w:ascii="Times New Roman" w:hAnsi="Times New Roman" w:cs="Times New Roman"/>
                <w:color w:val="auto"/>
                <w:kern w:val="0"/>
                <w:sz w:val="24"/>
                <w:szCs w:val="24"/>
                <w:highlight w:val="none"/>
                <w:lang w:val="en-US" w:eastAsia="zh-CN" w:bidi="ar"/>
              </w:rPr>
              <w:t>处</w:t>
            </w:r>
            <w:r>
              <w:rPr>
                <w:rFonts w:hint="eastAsia"/>
                <w:color w:val="auto"/>
                <w:sz w:val="24"/>
                <w:highlight w:val="none"/>
              </w:rPr>
              <w:t>噪声排放可以达到《工业企业厂界环境噪声排放标准》(GB12348-2008)中的</w:t>
            </w:r>
            <w:r>
              <w:rPr>
                <w:rFonts w:hint="eastAsia"/>
                <w:color w:val="auto"/>
                <w:sz w:val="24"/>
                <w:highlight w:val="none"/>
                <w:lang w:val="en-US" w:eastAsia="zh-CN"/>
              </w:rPr>
              <w:t>2</w:t>
            </w:r>
            <w:r>
              <w:rPr>
                <w:rFonts w:hint="eastAsia"/>
                <w:color w:val="auto"/>
                <w:sz w:val="24"/>
                <w:highlight w:val="none"/>
              </w:rPr>
              <w:t>类标准</w:t>
            </w:r>
            <w:r>
              <w:rPr>
                <w:rFonts w:hint="eastAsia"/>
                <w:color w:val="auto"/>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color w:val="auto"/>
                <w:sz w:val="24"/>
                <w:highlight w:val="none"/>
                <w:lang w:eastAsia="zh-CN"/>
              </w:rPr>
            </w:pPr>
            <w:r>
              <w:rPr>
                <w:rFonts w:hint="eastAsia"/>
                <w:b/>
                <w:bCs/>
                <w:color w:val="auto"/>
                <w:sz w:val="24"/>
                <w:highlight w:val="none"/>
                <w:lang w:val="en-US" w:eastAsia="zh-CN"/>
              </w:rPr>
              <w:t>4.2.3.</w:t>
            </w:r>
            <w:r>
              <w:rPr>
                <w:rFonts w:hint="eastAsia"/>
                <w:b/>
                <w:color w:val="auto"/>
                <w:sz w:val="24"/>
                <w:highlight w:val="none"/>
                <w:lang w:val="en-US" w:eastAsia="zh-CN"/>
              </w:rPr>
              <w:t>4、</w:t>
            </w:r>
            <w:r>
              <w:rPr>
                <w:rFonts w:hint="eastAsia"/>
                <w:b/>
                <w:color w:val="auto"/>
                <w:sz w:val="24"/>
                <w:highlight w:val="none"/>
                <w:lang w:eastAsia="zh-CN"/>
              </w:rPr>
              <w:t>噪声</w:t>
            </w:r>
            <w:r>
              <w:rPr>
                <w:rFonts w:hint="eastAsia"/>
                <w:b/>
                <w:color w:val="auto"/>
                <w:sz w:val="24"/>
                <w:highlight w:val="none"/>
              </w:rPr>
              <w:t>监测</w:t>
            </w:r>
            <w:r>
              <w:rPr>
                <w:rFonts w:hint="eastAsia"/>
                <w:b/>
                <w:color w:val="auto"/>
                <w:sz w:val="24"/>
                <w:highlight w:val="none"/>
                <w:lang w:eastAsia="zh-CN"/>
              </w:rPr>
              <w:t>计划</w:t>
            </w:r>
          </w:p>
          <w:p>
            <w:pPr>
              <w:keepNext w:val="0"/>
              <w:keepLines w:val="0"/>
              <w:pageBreakBefore w:val="0"/>
              <w:widowControl/>
              <w:suppressLineNumbers w:val="0"/>
              <w:kinsoku/>
              <w:wordWrap/>
              <w:overflowPunct/>
              <w:topLinePunct w:val="0"/>
              <w:autoSpaceDE/>
              <w:autoSpaceDN/>
              <w:bidi w:val="0"/>
              <w:adjustRightInd w:val="0"/>
              <w:snapToGrid w:val="0"/>
              <w:spacing w:before="157" w:beforeLines="50"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lang w:val="en-US" w:eastAsia="zh-CN"/>
              </w:rPr>
              <w:t>对照中华人民共和国生态环境部令第11号《固定污染源排污许可分类管理名录（2019年版）》可知，本项目属于</w:t>
            </w:r>
            <w:r>
              <w:rPr>
                <w:rFonts w:hint="eastAsia" w:cs="Times New Roman"/>
                <w:color w:val="auto"/>
                <w:sz w:val="24"/>
                <w:highlight w:val="none"/>
                <w:lang w:val="en-US" w:eastAsia="zh-CN"/>
              </w:rPr>
              <w:t>登记管理类</w:t>
            </w:r>
            <w:r>
              <w:rPr>
                <w:rFonts w:hint="default" w:ascii="Times New Roman" w:hAnsi="Times New Roman" w:eastAsia="宋体" w:cs="Times New Roman"/>
                <w:color w:val="auto"/>
                <w:sz w:val="24"/>
                <w:highlight w:val="none"/>
                <w:lang w:val="en-US" w:eastAsia="zh-CN"/>
              </w:rPr>
              <w:t>，</w:t>
            </w:r>
            <w:r>
              <w:rPr>
                <w:rFonts w:hint="eastAsia" w:ascii="宋体" w:hAnsi="宋体" w:cs="宋体"/>
                <w:color w:val="auto"/>
                <w:kern w:val="0"/>
                <w:sz w:val="24"/>
                <w:szCs w:val="24"/>
                <w:highlight w:val="none"/>
                <w:lang w:val="en-US" w:eastAsia="zh-CN" w:bidi="ar"/>
              </w:rPr>
              <w:t>如有要求</w:t>
            </w:r>
            <w:r>
              <w:rPr>
                <w:rFonts w:hint="eastAsia" w:cs="Times New Roman"/>
                <w:color w:val="auto"/>
                <w:sz w:val="24"/>
                <w:highlight w:val="none"/>
                <w:lang w:val="en-US" w:eastAsia="zh-CN"/>
              </w:rPr>
              <w:t>，</w:t>
            </w:r>
            <w:r>
              <w:rPr>
                <w:rFonts w:hint="eastAsia" w:ascii="宋体" w:hAnsi="宋体" w:cs="宋体"/>
                <w:color w:val="auto"/>
                <w:kern w:val="0"/>
                <w:sz w:val="24"/>
                <w:szCs w:val="24"/>
                <w:highlight w:val="none"/>
                <w:lang w:val="en-US" w:eastAsia="zh-CN" w:bidi="ar"/>
              </w:rPr>
              <w:t>建设单位应</w:t>
            </w:r>
            <w:r>
              <w:rPr>
                <w:rFonts w:hint="eastAsia" w:ascii="宋体" w:hAnsi="宋体" w:eastAsia="宋体" w:cs="宋体"/>
                <w:color w:val="auto"/>
                <w:kern w:val="0"/>
                <w:sz w:val="24"/>
                <w:szCs w:val="24"/>
                <w:highlight w:val="none"/>
                <w:lang w:val="en-US" w:eastAsia="zh-CN" w:bidi="ar"/>
              </w:rPr>
              <w:t>根据《排污单位自行监测技术指南 总则》（</w:t>
            </w:r>
            <w:r>
              <w:rPr>
                <w:rFonts w:hint="default" w:ascii="Times New Roman" w:hAnsi="Times New Roman" w:eastAsia="宋体" w:cs="Times New Roman"/>
                <w:color w:val="auto"/>
                <w:kern w:val="0"/>
                <w:sz w:val="24"/>
                <w:szCs w:val="24"/>
                <w:highlight w:val="none"/>
                <w:lang w:val="en-US" w:eastAsia="zh-CN" w:bidi="ar"/>
              </w:rPr>
              <w:t>HJ 819-2017</w:t>
            </w:r>
            <w:r>
              <w:rPr>
                <w:rFonts w:hint="eastAsia" w:ascii="宋体" w:hAnsi="宋体" w:eastAsia="宋体" w:cs="宋体"/>
                <w:color w:val="auto"/>
                <w:kern w:val="0"/>
                <w:sz w:val="24"/>
                <w:szCs w:val="24"/>
                <w:highlight w:val="none"/>
                <w:lang w:val="en-US" w:eastAsia="zh-CN" w:bidi="ar"/>
              </w:rPr>
              <w:t>）和相关行业技术规范</w:t>
            </w:r>
            <w:r>
              <w:rPr>
                <w:rFonts w:hint="default" w:ascii="Times New Roman" w:hAnsi="Times New Roman" w:eastAsia="宋体" w:cs="Times New Roman"/>
                <w:color w:val="auto"/>
                <w:sz w:val="24"/>
                <w:highlight w:val="none"/>
                <w:lang w:val="en-US" w:eastAsia="zh-CN"/>
              </w:rPr>
              <w:t>的要求制定监测计划</w:t>
            </w:r>
            <w:r>
              <w:rPr>
                <w:rFonts w:hint="eastAsia" w:ascii="宋体" w:hAnsi="宋体" w:eastAsia="宋体" w:cs="宋体"/>
                <w:color w:val="auto"/>
                <w:kern w:val="0"/>
                <w:sz w:val="24"/>
                <w:szCs w:val="24"/>
                <w:highlight w:val="none"/>
                <w:lang w:val="en-US" w:eastAsia="zh-CN" w:bidi="ar"/>
              </w:rPr>
              <w:t>，并结合项目运营期间污染物排放特点，制定本项目的污染源监测计划，建议建设</w:t>
            </w:r>
            <w:r>
              <w:rPr>
                <w:rFonts w:hint="default" w:ascii="Times New Roman" w:hAnsi="Times New Roman" w:eastAsia="宋体" w:cs="Times New Roman"/>
                <w:color w:val="auto"/>
                <w:kern w:val="0"/>
                <w:sz w:val="24"/>
                <w:szCs w:val="24"/>
                <w:highlight w:val="none"/>
                <w:lang w:val="en-US" w:eastAsia="zh-CN" w:bidi="ar"/>
              </w:rPr>
              <w:t>单位在投产后开展自行监测。监测分析方法按照现行国家、部颁标准和有关规定执行。</w:t>
            </w:r>
            <w:r>
              <w:rPr>
                <w:rFonts w:hint="default" w:ascii="Times New Roman" w:hAnsi="Times New Roman" w:eastAsia="宋体" w:cs="Times New Roman"/>
                <w:color w:val="auto"/>
                <w:sz w:val="24"/>
                <w:szCs w:val="24"/>
                <w:highlight w:val="none"/>
                <w:lang w:val="en-US" w:eastAsia="zh-CN"/>
              </w:rPr>
              <w:t>项目</w:t>
            </w:r>
            <w:r>
              <w:rPr>
                <w:rFonts w:hint="eastAsia" w:ascii="Times New Roman" w:hAnsi="Times New Roman" w:eastAsia="宋体" w:cs="Times New Roman"/>
                <w:color w:val="auto"/>
                <w:sz w:val="24"/>
                <w:szCs w:val="24"/>
                <w:highlight w:val="none"/>
                <w:lang w:val="en-US" w:eastAsia="zh-CN"/>
              </w:rPr>
              <w:t>噪声</w:t>
            </w:r>
            <w:r>
              <w:rPr>
                <w:rFonts w:hint="default" w:ascii="Times New Roman" w:hAnsi="Times New Roman" w:eastAsia="宋体" w:cs="Times New Roman"/>
                <w:color w:val="auto"/>
                <w:sz w:val="24"/>
                <w:szCs w:val="24"/>
                <w:highlight w:val="none"/>
                <w:lang w:val="en-US" w:eastAsia="zh-CN"/>
              </w:rPr>
              <w:t>常规监测一览表见表4</w:t>
            </w:r>
            <w:r>
              <w:rPr>
                <w:rFonts w:hint="eastAsia"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bCs/>
                <w:color w:val="auto"/>
                <w:sz w:val="24"/>
                <w:highlight w:val="none"/>
              </w:rPr>
            </w:pPr>
            <w:r>
              <w:rPr>
                <w:rFonts w:hint="eastAsia" w:eastAsia="黑体"/>
                <w:color w:val="auto"/>
                <w:sz w:val="24"/>
                <w:highlight w:val="none"/>
                <w:lang w:val="en-US" w:eastAsia="zh-CN"/>
              </w:rPr>
              <w:t xml:space="preserve">              </w:t>
            </w:r>
            <w:r>
              <w:rPr>
                <w:rFonts w:hint="default" w:ascii="Times New Roman" w:hAnsi="Times New Roman" w:eastAsia="宋体" w:cs="Times New Roman"/>
                <w:b/>
                <w:bCs/>
                <w:color w:val="auto"/>
                <w:sz w:val="24"/>
                <w:highlight w:val="none"/>
              </w:rPr>
              <w:t>表4</w:t>
            </w:r>
            <w:r>
              <w:rPr>
                <w:rFonts w:hint="eastAsia" w:cs="Times New Roman"/>
                <w:b/>
                <w:bCs/>
                <w:color w:val="auto"/>
                <w:sz w:val="24"/>
                <w:highlight w:val="none"/>
                <w:lang w:val="en-US" w:eastAsia="zh-CN"/>
              </w:rPr>
              <w:t>.2</w:t>
            </w:r>
            <w:r>
              <w:rPr>
                <w:rFonts w:hint="eastAsia" w:ascii="Times New Roman" w:hAnsi="Times New Roman" w:eastAsia="宋体" w:cs="Times New Roman"/>
                <w:b/>
                <w:bCs/>
                <w:color w:val="auto"/>
                <w:sz w:val="24"/>
                <w:highlight w:val="none"/>
                <w:lang w:val="en-US" w:eastAsia="zh-CN"/>
              </w:rPr>
              <w:t>-</w:t>
            </w:r>
            <w:r>
              <w:rPr>
                <w:rFonts w:hint="eastAsia" w:cs="Times New Roman"/>
                <w:b/>
                <w:bCs/>
                <w:color w:val="auto"/>
                <w:sz w:val="24"/>
                <w:highlight w:val="none"/>
                <w:lang w:val="en-US" w:eastAsia="zh-CN"/>
              </w:rPr>
              <w:t>23</w:t>
            </w:r>
            <w:r>
              <w:rPr>
                <w:rFonts w:hint="default" w:ascii="Times New Roman" w:hAnsi="Times New Roman" w:eastAsia="宋体" w:cs="Times New Roman"/>
                <w:b/>
                <w:bCs/>
                <w:color w:val="auto"/>
                <w:sz w:val="24"/>
                <w:highlight w:val="none"/>
              </w:rPr>
              <w:t xml:space="preserve">  项目运营期噪声自行监测要求一览表</w:t>
            </w:r>
          </w:p>
          <w:tbl>
            <w:tblPr>
              <w:tblStyle w:val="28"/>
              <w:tblW w:w="847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3449"/>
              <w:gridCol w:w="1443"/>
              <w:gridCol w:w="1343"/>
              <w:gridCol w:w="11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exact"/>
              </w:trPr>
              <w:tc>
                <w:tcPr>
                  <w:tcW w:w="1065" w:type="dxa"/>
                  <w:vMerge w:val="restart"/>
                  <w:noWrap/>
                  <w:vAlign w:val="center"/>
                </w:tcPr>
                <w:p>
                  <w:pPr>
                    <w:widowControl/>
                    <w:jc w:val="center"/>
                    <w:rPr>
                      <w:rFonts w:hint="eastAsia" w:ascii="宋体" w:hAnsi="宋体" w:eastAsia="宋体" w:cs="宋体"/>
                      <w:b/>
                      <w:bCs/>
                      <w:color w:val="auto"/>
                      <w:kern w:val="0"/>
                      <w:szCs w:val="21"/>
                      <w:highlight w:val="none"/>
                      <w:lang w:eastAsia="zh-CN"/>
                    </w:rPr>
                  </w:pPr>
                  <w:r>
                    <w:rPr>
                      <w:rFonts w:hint="eastAsia" w:ascii="宋体" w:hAnsi="宋体" w:cs="宋体"/>
                      <w:b/>
                      <w:bCs/>
                      <w:color w:val="auto"/>
                      <w:kern w:val="0"/>
                      <w:szCs w:val="21"/>
                      <w:highlight w:val="none"/>
                      <w:lang w:eastAsia="zh-CN"/>
                    </w:rPr>
                    <w:t>污染源</w:t>
                  </w:r>
                </w:p>
              </w:tc>
              <w:tc>
                <w:tcPr>
                  <w:tcW w:w="3449" w:type="dxa"/>
                  <w:vMerge w:val="restart"/>
                  <w:noWrap/>
                  <w:vAlign w:val="center"/>
                </w:tcPr>
                <w:p>
                  <w:pPr>
                    <w:widowControl/>
                    <w:jc w:val="center"/>
                    <w:rPr>
                      <w:rFonts w:hint="eastAsia" w:ascii="宋体" w:hAnsi="宋体" w:eastAsia="宋体" w:cs="宋体"/>
                      <w:b/>
                      <w:bCs/>
                      <w:color w:val="auto"/>
                      <w:kern w:val="0"/>
                      <w:szCs w:val="21"/>
                      <w:highlight w:val="none"/>
                      <w:lang w:eastAsia="zh-CN"/>
                    </w:rPr>
                  </w:pPr>
                  <w:r>
                    <w:rPr>
                      <w:rFonts w:hint="eastAsia" w:ascii="宋体" w:hAnsi="宋体" w:cs="宋体"/>
                      <w:b/>
                      <w:bCs/>
                      <w:color w:val="auto"/>
                      <w:kern w:val="0"/>
                      <w:szCs w:val="21"/>
                      <w:highlight w:val="none"/>
                      <w:lang w:eastAsia="zh-CN"/>
                    </w:rPr>
                    <w:t>排放标准</w:t>
                  </w:r>
                </w:p>
              </w:tc>
              <w:tc>
                <w:tcPr>
                  <w:tcW w:w="3964" w:type="dxa"/>
                  <w:gridSpan w:val="3"/>
                  <w:noWrap/>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监测要求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exact"/>
              </w:trPr>
              <w:tc>
                <w:tcPr>
                  <w:tcW w:w="1065" w:type="dxa"/>
                  <w:vMerge w:val="continue"/>
                  <w:noWrap w:val="0"/>
                  <w:vAlign w:val="center"/>
                </w:tcPr>
                <w:p>
                  <w:pPr>
                    <w:widowControl/>
                    <w:jc w:val="center"/>
                    <w:rPr>
                      <w:rFonts w:ascii="宋体" w:hAnsi="宋体" w:cs="宋体"/>
                      <w:b/>
                      <w:bCs/>
                      <w:color w:val="auto"/>
                      <w:kern w:val="0"/>
                      <w:szCs w:val="21"/>
                      <w:highlight w:val="none"/>
                    </w:rPr>
                  </w:pPr>
                </w:p>
              </w:tc>
              <w:tc>
                <w:tcPr>
                  <w:tcW w:w="3449" w:type="dxa"/>
                  <w:vMerge w:val="continue"/>
                  <w:noWrap w:val="0"/>
                  <w:vAlign w:val="center"/>
                </w:tcPr>
                <w:p>
                  <w:pPr>
                    <w:widowControl/>
                    <w:jc w:val="center"/>
                    <w:rPr>
                      <w:rFonts w:ascii="宋体" w:hAnsi="宋体" w:cs="宋体"/>
                      <w:b/>
                      <w:bCs/>
                      <w:color w:val="auto"/>
                      <w:kern w:val="0"/>
                      <w:szCs w:val="21"/>
                      <w:highlight w:val="none"/>
                    </w:rPr>
                  </w:pPr>
                </w:p>
              </w:tc>
              <w:tc>
                <w:tcPr>
                  <w:tcW w:w="1443" w:type="dxa"/>
                  <w:noWrap/>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监测点位</w:t>
                  </w:r>
                </w:p>
              </w:tc>
              <w:tc>
                <w:tcPr>
                  <w:tcW w:w="1343" w:type="dxa"/>
                  <w:noWrap/>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监测因子</w:t>
                  </w:r>
                </w:p>
              </w:tc>
              <w:tc>
                <w:tcPr>
                  <w:tcW w:w="1178" w:type="dxa"/>
                  <w:noWrap/>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065" w:type="dxa"/>
                  <w:noWrap/>
                  <w:vAlign w:val="center"/>
                </w:tcPr>
                <w:p>
                  <w:pPr>
                    <w:widowControl/>
                    <w:jc w:val="center"/>
                    <w:rPr>
                      <w:rFonts w:hint="eastAsia" w:eastAsia="宋体"/>
                      <w:color w:val="auto"/>
                      <w:kern w:val="0"/>
                      <w:szCs w:val="21"/>
                      <w:highlight w:val="none"/>
                      <w:lang w:eastAsia="zh-CN"/>
                    </w:rPr>
                  </w:pPr>
                  <w:r>
                    <w:rPr>
                      <w:rFonts w:hint="eastAsia"/>
                      <w:color w:val="auto"/>
                      <w:kern w:val="0"/>
                      <w:szCs w:val="21"/>
                      <w:highlight w:val="none"/>
                      <w:lang w:eastAsia="zh-CN"/>
                    </w:rPr>
                    <w:t>生产设备</w:t>
                  </w:r>
                </w:p>
              </w:tc>
              <w:tc>
                <w:tcPr>
                  <w:tcW w:w="3449" w:type="dxa"/>
                  <w:noWrap/>
                  <w:vAlign w:val="center"/>
                </w:tcPr>
                <w:p>
                  <w:pPr>
                    <w:widowControl/>
                    <w:jc w:val="center"/>
                    <w:rPr>
                      <w:color w:val="auto"/>
                      <w:kern w:val="0"/>
                      <w:szCs w:val="21"/>
                      <w:highlight w:val="none"/>
                    </w:rPr>
                  </w:pPr>
                  <w:r>
                    <w:rPr>
                      <w:rFonts w:hint="eastAsia"/>
                      <w:color w:val="auto"/>
                      <w:kern w:val="0"/>
                      <w:szCs w:val="21"/>
                      <w:highlight w:val="none"/>
                    </w:rPr>
                    <w:t>《工业企业厂界环境噪声排放标准》（GB12348-2008）</w:t>
                  </w:r>
                  <w:r>
                    <w:rPr>
                      <w:rFonts w:hint="eastAsia"/>
                      <w:color w:val="auto"/>
                      <w:kern w:val="0"/>
                      <w:szCs w:val="21"/>
                      <w:highlight w:val="none"/>
                      <w:lang w:val="en-US" w:eastAsia="zh-CN"/>
                    </w:rPr>
                    <w:t>3</w:t>
                  </w:r>
                  <w:r>
                    <w:rPr>
                      <w:rFonts w:hint="eastAsia"/>
                      <w:color w:val="auto"/>
                      <w:kern w:val="0"/>
                      <w:szCs w:val="21"/>
                      <w:highlight w:val="none"/>
                    </w:rPr>
                    <w:t>类标准</w:t>
                  </w:r>
                </w:p>
              </w:tc>
              <w:tc>
                <w:tcPr>
                  <w:tcW w:w="1443" w:type="dxa"/>
                  <w:noWrap/>
                  <w:vAlign w:val="center"/>
                </w:tcPr>
                <w:p>
                  <w:pPr>
                    <w:widowControl/>
                    <w:jc w:val="center"/>
                    <w:rPr>
                      <w:color w:val="auto"/>
                      <w:kern w:val="0"/>
                      <w:szCs w:val="21"/>
                      <w:highlight w:val="none"/>
                    </w:rPr>
                  </w:pPr>
                  <w:r>
                    <w:rPr>
                      <w:rFonts w:hint="eastAsia" w:hAnsi="宋体"/>
                      <w:color w:val="auto"/>
                      <w:kern w:val="0"/>
                      <w:szCs w:val="21"/>
                      <w:highlight w:val="none"/>
                    </w:rPr>
                    <w:t>厂区边界围墙外1m</w:t>
                  </w:r>
                </w:p>
              </w:tc>
              <w:tc>
                <w:tcPr>
                  <w:tcW w:w="1343" w:type="dxa"/>
                  <w:noWrap/>
                  <w:vAlign w:val="center"/>
                </w:tcPr>
                <w:p>
                  <w:pPr>
                    <w:widowControl/>
                    <w:jc w:val="center"/>
                    <w:rPr>
                      <w:rFonts w:hint="default" w:eastAsia="宋体"/>
                      <w:color w:val="auto"/>
                      <w:kern w:val="0"/>
                      <w:szCs w:val="21"/>
                      <w:highlight w:val="none"/>
                      <w:lang w:val="en-US" w:eastAsia="zh-CN"/>
                    </w:rPr>
                  </w:pPr>
                  <w:r>
                    <w:rPr>
                      <w:rFonts w:hint="eastAsia"/>
                      <w:color w:val="auto"/>
                      <w:kern w:val="0"/>
                      <w:szCs w:val="21"/>
                      <w:highlight w:val="none"/>
                      <w:lang w:eastAsia="zh-CN"/>
                    </w:rPr>
                    <w:t>等效连续</w:t>
                  </w:r>
                  <w:r>
                    <w:rPr>
                      <w:rFonts w:hint="eastAsia"/>
                      <w:color w:val="auto"/>
                      <w:kern w:val="0"/>
                      <w:szCs w:val="21"/>
                      <w:highlight w:val="none"/>
                      <w:lang w:val="en-US" w:eastAsia="zh-CN"/>
                    </w:rPr>
                    <w:t>A声级</w:t>
                  </w:r>
                </w:p>
              </w:tc>
              <w:tc>
                <w:tcPr>
                  <w:tcW w:w="1178" w:type="dxa"/>
                  <w:noWrap/>
                  <w:vAlign w:val="center"/>
                </w:tcPr>
                <w:p>
                  <w:pPr>
                    <w:widowControl/>
                    <w:jc w:val="center"/>
                    <w:rPr>
                      <w:rFonts w:hint="eastAsia" w:eastAsia="宋体"/>
                      <w:color w:val="auto"/>
                      <w:kern w:val="0"/>
                      <w:szCs w:val="21"/>
                      <w:highlight w:val="none"/>
                      <w:lang w:eastAsia="zh-CN"/>
                    </w:rPr>
                  </w:pPr>
                  <w:r>
                    <w:rPr>
                      <w:color w:val="auto"/>
                      <w:kern w:val="0"/>
                      <w:szCs w:val="21"/>
                      <w:highlight w:val="none"/>
                    </w:rPr>
                    <w:t>1</w:t>
                  </w:r>
                  <w:r>
                    <w:rPr>
                      <w:rFonts w:hint="eastAsia"/>
                      <w:color w:val="auto"/>
                      <w:kern w:val="0"/>
                      <w:szCs w:val="21"/>
                      <w:highlight w:val="none"/>
                      <w:lang w:eastAsia="zh-CN"/>
                    </w:rPr>
                    <w:t>次</w:t>
                  </w:r>
                  <w:r>
                    <w:rPr>
                      <w:color w:val="auto"/>
                      <w:kern w:val="0"/>
                      <w:szCs w:val="21"/>
                      <w:highlight w:val="none"/>
                    </w:rPr>
                    <w:t>/</w:t>
                  </w:r>
                  <w:r>
                    <w:rPr>
                      <w:rFonts w:hint="eastAsia"/>
                      <w:color w:val="auto"/>
                      <w:kern w:val="0"/>
                      <w:szCs w:val="21"/>
                      <w:highlight w:val="none"/>
                      <w:lang w:eastAsia="zh-CN"/>
                    </w:rPr>
                    <w:t>季度</w:t>
                  </w:r>
                </w:p>
              </w:tc>
            </w:tr>
          </w:tbl>
          <w:p>
            <w:pPr>
              <w:pStyle w:val="75"/>
              <w:keepNext w:val="0"/>
              <w:keepLines w:val="0"/>
              <w:pageBreakBefore w:val="0"/>
              <w:widowControl/>
              <w:numPr>
                <w:ilvl w:val="0"/>
                <w:numId w:val="0"/>
              </w:numPr>
              <w:tabs>
                <w:tab w:val="clear" w:pos="709"/>
              </w:tabs>
              <w:kinsoku/>
              <w:wordWrap/>
              <w:overflowPunct/>
              <w:topLinePunct w:val="0"/>
              <w:autoSpaceDE/>
              <w:autoSpaceDN/>
              <w:bidi w:val="0"/>
              <w:adjustRightInd w:val="0"/>
              <w:snapToGrid w:val="0"/>
              <w:spacing w:before="313" w:beforeLines="100" w:line="360" w:lineRule="auto"/>
              <w:ind w:leftChars="0" w:right="0"/>
              <w:textAlignment w:val="auto"/>
              <w:rPr>
                <w:rFonts w:hint="default" w:ascii="Times New Roman" w:hAnsi="Times New Roman" w:eastAsia="宋体" w:cs="Times New Roman"/>
                <w:color w:val="auto"/>
                <w:sz w:val="24"/>
                <w:szCs w:val="24"/>
                <w:highlight w:val="none"/>
              </w:rPr>
            </w:pPr>
            <w:r>
              <w:rPr>
                <w:rFonts w:hint="eastAsia"/>
                <w:b/>
                <w:bCs/>
                <w:color w:val="auto"/>
                <w:spacing w:val="-10"/>
                <w:sz w:val="24"/>
                <w:highlight w:val="none"/>
                <w:lang w:val="en-US" w:eastAsia="zh-CN"/>
              </w:rPr>
              <w:t>4.2</w:t>
            </w:r>
            <w:r>
              <w:rPr>
                <w:rFonts w:hint="eastAsia"/>
                <w:b/>
                <w:bCs/>
                <w:color w:val="auto"/>
                <w:spacing w:val="-10"/>
                <w:sz w:val="24"/>
                <w:szCs w:val="24"/>
                <w:highlight w:val="none"/>
                <w:lang w:val="en-US" w:eastAsia="zh-CN"/>
              </w:rPr>
              <w:t>.4</w:t>
            </w:r>
            <w:r>
              <w:rPr>
                <w:rFonts w:hint="eastAsia"/>
                <w:b/>
                <w:bCs/>
                <w:color w:val="auto"/>
                <w:spacing w:val="-10"/>
                <w:sz w:val="24"/>
                <w:szCs w:val="24"/>
                <w:highlight w:val="none"/>
              </w:rPr>
              <w:t>、</w:t>
            </w:r>
            <w:r>
              <w:rPr>
                <w:rFonts w:hint="default" w:ascii="Times New Roman" w:hAnsi="Times New Roman" w:eastAsia="宋体" w:cs="Times New Roman"/>
                <w:color w:val="auto"/>
                <w:sz w:val="24"/>
                <w:szCs w:val="24"/>
                <w:highlight w:val="none"/>
              </w:rPr>
              <w:t>固体废物</w:t>
            </w:r>
          </w:p>
          <w:p>
            <w:pPr>
              <w:spacing w:line="360" w:lineRule="auto"/>
              <w:rPr>
                <w:rFonts w:hint="default" w:ascii="Times New Roman" w:hAnsi="Times New Roman" w:eastAsia="宋体" w:cs="Times New Roman"/>
                <w:b/>
                <w:color w:val="auto"/>
                <w:kern w:val="2"/>
                <w:sz w:val="24"/>
                <w:szCs w:val="24"/>
                <w:highlight w:val="none"/>
                <w:lang w:val="en-US" w:eastAsia="zh-CN" w:bidi="ar-SA"/>
              </w:rPr>
            </w:pPr>
            <w:r>
              <w:rPr>
                <w:rFonts w:hint="eastAsia"/>
                <w:b/>
                <w:bCs/>
                <w:color w:val="auto"/>
                <w:spacing w:val="-10"/>
                <w:sz w:val="24"/>
                <w:highlight w:val="none"/>
                <w:lang w:val="en-US" w:eastAsia="zh-CN"/>
              </w:rPr>
              <w:t>4.2</w:t>
            </w:r>
            <w:r>
              <w:rPr>
                <w:rFonts w:hint="eastAsia"/>
                <w:b/>
                <w:bCs/>
                <w:color w:val="auto"/>
                <w:spacing w:val="-10"/>
                <w:sz w:val="24"/>
                <w:szCs w:val="24"/>
                <w:highlight w:val="none"/>
                <w:lang w:val="en-US" w:eastAsia="zh-CN"/>
              </w:rPr>
              <w:t>.4.1</w:t>
            </w:r>
            <w:r>
              <w:rPr>
                <w:rFonts w:hint="eastAsia" w:ascii="Times New Roman" w:hAnsi="Times New Roman" w:eastAsia="宋体" w:cs="Times New Roman"/>
                <w:b/>
                <w:color w:val="auto"/>
                <w:kern w:val="2"/>
                <w:sz w:val="24"/>
                <w:szCs w:val="24"/>
                <w:highlight w:val="none"/>
                <w:lang w:val="en-US" w:eastAsia="zh-CN" w:bidi="ar-SA"/>
              </w:rPr>
              <w:t>、</w:t>
            </w:r>
            <w:r>
              <w:rPr>
                <w:rFonts w:hint="default" w:ascii="Times New Roman" w:hAnsi="Times New Roman" w:eastAsia="宋体" w:cs="Times New Roman"/>
                <w:b/>
                <w:color w:val="auto"/>
                <w:kern w:val="2"/>
                <w:sz w:val="24"/>
                <w:szCs w:val="24"/>
                <w:highlight w:val="none"/>
                <w:lang w:val="en-US" w:eastAsia="zh-CN" w:bidi="ar-SA"/>
              </w:rPr>
              <w:t>固废产生及处置情况</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根据工程分析，项目产生的固体废物为职工的生活垃圾、一般工业固废、危险废物和原料空桶。其中一般工业固废主要为</w:t>
            </w:r>
            <w:r>
              <w:rPr>
                <w:rFonts w:hint="default" w:ascii="Times New Roman" w:hAnsi="Times New Roman" w:eastAsia="宋体" w:cs="Times New Roman"/>
                <w:color w:val="auto"/>
                <w:kern w:val="0"/>
                <w:sz w:val="24"/>
                <w:szCs w:val="24"/>
                <w:highlight w:val="none"/>
                <w:lang w:val="en-US" w:eastAsia="zh-CN" w:bidi="ar"/>
              </w:rPr>
              <w:t>金属边角料</w:t>
            </w:r>
            <w:r>
              <w:rPr>
                <w:rFonts w:hint="eastAsia" w:cs="Times New Roman"/>
                <w:color w:val="auto"/>
                <w:kern w:val="0"/>
                <w:sz w:val="24"/>
                <w:szCs w:val="24"/>
                <w:highlight w:val="none"/>
                <w:lang w:val="en-US" w:eastAsia="zh-CN" w:bidi="ar"/>
              </w:rPr>
              <w:t>及不合格品、</w:t>
            </w:r>
            <w:r>
              <w:rPr>
                <w:rFonts w:hint="eastAsia" w:ascii="宋体" w:hAnsi="宋体" w:eastAsia="宋体" w:cs="宋体"/>
                <w:color w:val="auto"/>
                <w:kern w:val="0"/>
                <w:sz w:val="24"/>
                <w:szCs w:val="24"/>
                <w:highlight w:val="none"/>
                <w:lang w:val="en-US" w:eastAsia="zh-CN" w:bidi="ar"/>
              </w:rPr>
              <w:t>废</w:t>
            </w:r>
            <w:r>
              <w:rPr>
                <w:rFonts w:hint="default" w:ascii="Times New Roman" w:hAnsi="Times New Roman" w:eastAsia="宋体" w:cs="Times New Roman"/>
                <w:color w:val="auto"/>
                <w:kern w:val="0"/>
                <w:sz w:val="24"/>
                <w:szCs w:val="24"/>
                <w:highlight w:val="none"/>
                <w:lang w:val="en-US" w:eastAsia="zh-CN" w:bidi="ar"/>
              </w:rPr>
              <w:t>橡胶管、不锈钢编织管</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炉渣</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废砂</w:t>
            </w:r>
            <w:r>
              <w:rPr>
                <w:rFonts w:hint="eastAsia" w:ascii="Times New Roman" w:hAnsi="Times New Roman" w:eastAsia="宋体" w:cs="Times New Roman"/>
                <w:color w:val="auto"/>
                <w:kern w:val="0"/>
                <w:sz w:val="24"/>
                <w:szCs w:val="24"/>
                <w:highlight w:val="none"/>
                <w:lang w:val="en-US" w:eastAsia="zh-CN" w:bidi="ar"/>
              </w:rPr>
              <w:t>、布袋除尘器收集粉尘、</w:t>
            </w:r>
            <w:r>
              <w:rPr>
                <w:rFonts w:hint="eastAsia" w:ascii="宋体" w:hAnsi="宋体" w:cs="宋体"/>
                <w:color w:val="auto"/>
                <w:kern w:val="0"/>
                <w:sz w:val="24"/>
                <w:szCs w:val="24"/>
                <w:highlight w:val="none"/>
                <w:lang w:val="en-US" w:eastAsia="zh-CN" w:bidi="ar"/>
              </w:rPr>
              <w:t>木材边角料</w:t>
            </w:r>
            <w:r>
              <w:rPr>
                <w:rFonts w:hint="eastAsia" w:ascii="宋体" w:hAnsi="宋体" w:eastAsia="宋体" w:cs="宋体"/>
                <w:color w:val="auto"/>
                <w:kern w:val="0"/>
                <w:sz w:val="24"/>
                <w:szCs w:val="24"/>
                <w:highlight w:val="none"/>
                <w:lang w:val="en-US" w:eastAsia="zh-CN" w:bidi="ar"/>
              </w:rPr>
              <w:t>；危险废物主要为废活性炭、废乳化液、废机油。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（1）生活垃圾</w:t>
            </w:r>
          </w:p>
          <w:p>
            <w:pPr>
              <w:pStyle w:val="76"/>
              <w:keepNext w:val="0"/>
              <w:keepLines w:val="0"/>
              <w:pageBreakBefore w:val="0"/>
              <w:widowControl/>
              <w:tabs>
                <w:tab w:val="left" w:pos="544"/>
                <w:tab w:val="clear" w:pos="566"/>
              </w:tabs>
              <w:kinsoku/>
              <w:wordWrap/>
              <w:overflowPunct/>
              <w:topLinePunct w:val="0"/>
              <w:autoSpaceDE/>
              <w:autoSpaceDN/>
              <w:bidi w:val="0"/>
              <w:adjustRightInd w:val="0"/>
              <w:snapToGrid w:val="0"/>
              <w:spacing w:line="360" w:lineRule="auto"/>
              <w:ind w:right="0" w:firstLine="482" w:firstLineChars="0"/>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职工生活垃圾产生量计算公式如下：</w:t>
            </w:r>
          </w:p>
          <w:p>
            <w:pPr>
              <w:pStyle w:val="76"/>
              <w:keepNext w:val="0"/>
              <w:keepLines w:val="0"/>
              <w:pageBreakBefore w:val="0"/>
              <w:widowControl/>
              <w:tabs>
                <w:tab w:val="left" w:pos="544"/>
                <w:tab w:val="clear" w:pos="566"/>
              </w:tabs>
              <w:kinsoku/>
              <w:wordWrap/>
              <w:overflowPunct/>
              <w:topLinePunct w:val="0"/>
              <w:autoSpaceDE/>
              <w:autoSpaceDN/>
              <w:bidi w:val="0"/>
              <w:adjustRightInd w:val="0"/>
              <w:snapToGrid w:val="0"/>
              <w:spacing w:line="360" w:lineRule="auto"/>
              <w:ind w:right="0" w:firstLine="482" w:firstLineChars="0"/>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G＝K·N·D×10</w:t>
            </w:r>
            <w:r>
              <w:rPr>
                <w:rFonts w:hint="default" w:ascii="Times New Roman" w:hAnsi="Times New Roman" w:eastAsia="宋体" w:cs="Times New Roman"/>
                <w:color w:val="auto"/>
                <w:spacing w:val="0"/>
                <w:sz w:val="24"/>
                <w:szCs w:val="24"/>
                <w:highlight w:val="none"/>
                <w:vertAlign w:val="superscript"/>
              </w:rPr>
              <w:t>-3</w:t>
            </w:r>
          </w:p>
          <w:p>
            <w:pPr>
              <w:pStyle w:val="76"/>
              <w:keepNext w:val="0"/>
              <w:keepLines w:val="0"/>
              <w:pageBreakBefore w:val="0"/>
              <w:widowControl/>
              <w:tabs>
                <w:tab w:val="left" w:pos="544"/>
                <w:tab w:val="clear" w:pos="566"/>
              </w:tabs>
              <w:kinsoku/>
              <w:wordWrap/>
              <w:overflowPunct/>
              <w:topLinePunct w:val="0"/>
              <w:autoSpaceDE/>
              <w:autoSpaceDN/>
              <w:bidi w:val="0"/>
              <w:adjustRightInd w:val="0"/>
              <w:snapToGrid w:val="0"/>
              <w:spacing w:line="360" w:lineRule="auto"/>
              <w:ind w:right="0" w:firstLine="0" w:firstLineChars="0"/>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其中：G－生活垃圾产生量（吨/年）；</w:t>
            </w:r>
          </w:p>
          <w:p>
            <w:pPr>
              <w:pStyle w:val="76"/>
              <w:keepNext w:val="0"/>
              <w:keepLines w:val="0"/>
              <w:pageBreakBefore w:val="0"/>
              <w:widowControl/>
              <w:tabs>
                <w:tab w:val="left" w:pos="544"/>
                <w:tab w:val="clear" w:pos="566"/>
              </w:tabs>
              <w:kinsoku/>
              <w:wordWrap/>
              <w:overflowPunct/>
              <w:topLinePunct w:val="0"/>
              <w:autoSpaceDE/>
              <w:autoSpaceDN/>
              <w:bidi w:val="0"/>
              <w:adjustRightInd w:val="0"/>
              <w:snapToGrid w:val="0"/>
              <w:spacing w:line="360" w:lineRule="auto"/>
              <w:ind w:right="0" w:firstLine="482" w:firstLineChars="0"/>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K－人均排放系数（公斤/人·天）；</w:t>
            </w:r>
          </w:p>
          <w:p>
            <w:pPr>
              <w:pStyle w:val="76"/>
              <w:keepNext w:val="0"/>
              <w:keepLines w:val="0"/>
              <w:pageBreakBefore w:val="0"/>
              <w:widowControl/>
              <w:tabs>
                <w:tab w:val="left" w:pos="544"/>
                <w:tab w:val="clear" w:pos="566"/>
              </w:tabs>
              <w:kinsoku/>
              <w:wordWrap/>
              <w:overflowPunct/>
              <w:topLinePunct w:val="0"/>
              <w:autoSpaceDE/>
              <w:autoSpaceDN/>
              <w:bidi w:val="0"/>
              <w:adjustRightInd w:val="0"/>
              <w:snapToGrid w:val="0"/>
              <w:spacing w:line="360" w:lineRule="auto"/>
              <w:ind w:right="0" w:firstLine="482" w:firstLineChars="0"/>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N－人口数（人）；</w:t>
            </w:r>
          </w:p>
          <w:p>
            <w:pPr>
              <w:pStyle w:val="76"/>
              <w:keepNext w:val="0"/>
              <w:keepLines w:val="0"/>
              <w:pageBreakBefore w:val="0"/>
              <w:widowControl/>
              <w:tabs>
                <w:tab w:val="left" w:pos="544"/>
                <w:tab w:val="clear" w:pos="566"/>
              </w:tabs>
              <w:kinsoku/>
              <w:wordWrap/>
              <w:overflowPunct/>
              <w:topLinePunct w:val="0"/>
              <w:autoSpaceDE/>
              <w:autoSpaceDN/>
              <w:bidi w:val="0"/>
              <w:adjustRightInd w:val="0"/>
              <w:snapToGrid w:val="0"/>
              <w:spacing w:line="360" w:lineRule="auto"/>
              <w:ind w:right="0" w:firstLine="482" w:firstLineChars="0"/>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D－年工作天数（天）。</w:t>
            </w:r>
          </w:p>
          <w:p>
            <w:pPr>
              <w:pStyle w:val="76"/>
              <w:keepNext w:val="0"/>
              <w:keepLines w:val="0"/>
              <w:pageBreakBefore w:val="0"/>
              <w:widowControl/>
              <w:tabs>
                <w:tab w:val="left" w:pos="544"/>
                <w:tab w:val="clear" w:pos="566"/>
              </w:tabs>
              <w:kinsoku/>
              <w:wordWrap/>
              <w:overflowPunct/>
              <w:topLinePunct w:val="0"/>
              <w:autoSpaceDE/>
              <w:autoSpaceDN/>
              <w:bidi w:val="0"/>
              <w:adjustRightInd w:val="0"/>
              <w:snapToGrid w:val="0"/>
              <w:spacing w:line="360" w:lineRule="auto"/>
              <w:ind w:right="0" w:firstLine="482" w:firstLineChars="0"/>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项目</w:t>
            </w:r>
            <w:r>
              <w:rPr>
                <w:rFonts w:hint="default" w:ascii="Times New Roman" w:hAnsi="Times New Roman" w:eastAsia="宋体" w:cs="Times New Roman"/>
                <w:color w:val="auto"/>
                <w:spacing w:val="0"/>
                <w:sz w:val="24"/>
                <w:szCs w:val="24"/>
                <w:highlight w:val="none"/>
                <w:lang w:eastAsia="zh-CN"/>
              </w:rPr>
              <w:t>拟聘</w:t>
            </w:r>
            <w:r>
              <w:rPr>
                <w:rFonts w:hint="default" w:ascii="Times New Roman" w:hAnsi="Times New Roman" w:eastAsia="宋体" w:cs="Times New Roman"/>
                <w:color w:val="auto"/>
                <w:spacing w:val="0"/>
                <w:sz w:val="24"/>
                <w:szCs w:val="24"/>
                <w:highlight w:val="none"/>
              </w:rPr>
              <w:t>职工人数</w:t>
            </w:r>
            <w:r>
              <w:rPr>
                <w:rFonts w:hint="eastAsia" w:eastAsia="宋体" w:cs="Times New Roman"/>
                <w:color w:val="auto"/>
                <w:spacing w:val="0"/>
                <w:sz w:val="24"/>
                <w:szCs w:val="24"/>
                <w:highlight w:val="none"/>
                <w:lang w:val="en-US" w:eastAsia="zh-CN"/>
              </w:rPr>
              <w:t>70</w:t>
            </w:r>
            <w:r>
              <w:rPr>
                <w:rFonts w:hint="default" w:ascii="Times New Roman" w:hAnsi="Times New Roman" w:eastAsia="宋体" w:cs="Times New Roman"/>
                <w:color w:val="auto"/>
                <w:spacing w:val="0"/>
                <w:sz w:val="24"/>
                <w:szCs w:val="24"/>
                <w:highlight w:val="none"/>
              </w:rPr>
              <w:t>人，</w:t>
            </w:r>
            <w:r>
              <w:rPr>
                <w:rFonts w:hint="eastAsia" w:eastAsia="宋体"/>
                <w:color w:val="auto"/>
                <w:sz w:val="24"/>
                <w:highlight w:val="none"/>
                <w:lang w:val="en-US" w:eastAsia="zh-CN"/>
              </w:rPr>
              <w:t>50人</w:t>
            </w:r>
            <w:r>
              <w:rPr>
                <w:rFonts w:eastAsia="宋体"/>
                <w:color w:val="auto"/>
                <w:sz w:val="24"/>
                <w:highlight w:val="none"/>
              </w:rPr>
              <w:t>住</w:t>
            </w:r>
            <w:r>
              <w:rPr>
                <w:rFonts w:hint="eastAsia" w:eastAsia="宋体"/>
                <w:color w:val="auto"/>
                <w:sz w:val="24"/>
                <w:highlight w:val="none"/>
              </w:rPr>
              <w:t>厂</w:t>
            </w:r>
            <w:r>
              <w:rPr>
                <w:rFonts w:hint="eastAsia" w:eastAsia="宋体"/>
                <w:color w:val="auto"/>
                <w:sz w:val="24"/>
                <w:highlight w:val="none"/>
                <w:lang w:eastAsia="zh-CN"/>
              </w:rPr>
              <w:t>，</w:t>
            </w:r>
            <w:r>
              <w:rPr>
                <w:rFonts w:hint="default" w:ascii="Times New Roman" w:hAnsi="Times New Roman" w:eastAsia="宋体" w:cs="Times New Roman"/>
                <w:color w:val="auto"/>
                <w:spacing w:val="0"/>
                <w:sz w:val="24"/>
                <w:szCs w:val="24"/>
                <w:highlight w:val="none"/>
              </w:rPr>
              <w:t>不住厂职工生活垃圾排放系数取K=0.</w:t>
            </w:r>
            <w:r>
              <w:rPr>
                <w:rFonts w:hint="eastAsia" w:ascii="Times New Roman" w:hAnsi="Times New Roman" w:eastAsia="宋体" w:cs="Times New Roman"/>
                <w:color w:val="auto"/>
                <w:spacing w:val="0"/>
                <w:sz w:val="24"/>
                <w:szCs w:val="24"/>
                <w:highlight w:val="none"/>
                <w:lang w:val="en-US" w:eastAsia="zh-CN"/>
              </w:rPr>
              <w:t>5</w:t>
            </w:r>
            <w:r>
              <w:rPr>
                <w:rFonts w:hint="default" w:ascii="Times New Roman" w:hAnsi="Times New Roman" w:eastAsia="宋体" w:cs="Times New Roman"/>
                <w:color w:val="auto"/>
                <w:spacing w:val="0"/>
                <w:sz w:val="24"/>
                <w:szCs w:val="24"/>
                <w:highlight w:val="none"/>
              </w:rPr>
              <w:t>kg/人·d</w:t>
            </w:r>
            <w:r>
              <w:rPr>
                <w:rFonts w:hint="default" w:ascii="Times New Roman" w:hAnsi="Times New Roman" w:eastAsia="宋体"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住厂职工生活垃圾排放系数取K=</w:t>
            </w:r>
            <w:r>
              <w:rPr>
                <w:rFonts w:hint="eastAsia" w:eastAsia="宋体" w:cs="Times New Roman"/>
                <w:color w:val="auto"/>
                <w:spacing w:val="0"/>
                <w:sz w:val="24"/>
                <w:szCs w:val="24"/>
                <w:highlight w:val="none"/>
                <w:lang w:val="en-US" w:eastAsia="zh-CN"/>
              </w:rPr>
              <w:t>1</w:t>
            </w:r>
            <w:r>
              <w:rPr>
                <w:rFonts w:hint="default" w:ascii="Times New Roman" w:hAnsi="Times New Roman" w:eastAsia="宋体" w:cs="Times New Roman"/>
                <w:color w:val="auto"/>
                <w:spacing w:val="0"/>
                <w:sz w:val="24"/>
                <w:szCs w:val="24"/>
                <w:highlight w:val="none"/>
              </w:rPr>
              <w:t>kg/人·d</w:t>
            </w:r>
            <w:r>
              <w:rPr>
                <w:rFonts w:hint="default" w:ascii="Times New Roman" w:hAnsi="Times New Roman" w:eastAsia="宋体" w:cs="Times New Roman"/>
                <w:color w:val="auto"/>
                <w:spacing w:val="0"/>
                <w:sz w:val="24"/>
                <w:szCs w:val="24"/>
                <w:highlight w:val="none"/>
                <w:lang w:eastAsia="zh-CN"/>
              </w:rPr>
              <w:t>，项目</w:t>
            </w:r>
            <w:r>
              <w:rPr>
                <w:rFonts w:hint="default" w:ascii="Times New Roman" w:hAnsi="Times New Roman" w:eastAsia="宋体" w:cs="Times New Roman"/>
                <w:color w:val="auto"/>
                <w:spacing w:val="0"/>
                <w:sz w:val="24"/>
                <w:szCs w:val="24"/>
                <w:highlight w:val="none"/>
              </w:rPr>
              <w:t>年工作日以300天计，则生活垃圾产生量为</w:t>
            </w:r>
            <w:r>
              <w:rPr>
                <w:rFonts w:hint="eastAsia" w:eastAsia="宋体" w:cs="Times New Roman"/>
                <w:color w:val="auto"/>
                <w:spacing w:val="0"/>
                <w:sz w:val="24"/>
                <w:szCs w:val="24"/>
                <w:highlight w:val="none"/>
                <w:lang w:val="en-US" w:eastAsia="zh-CN"/>
              </w:rPr>
              <w:t>18</w:t>
            </w:r>
            <w:r>
              <w:rPr>
                <w:rFonts w:hint="default" w:ascii="Times New Roman" w:hAnsi="Times New Roman" w:eastAsia="宋体" w:cs="Times New Roman"/>
                <w:color w:val="auto"/>
                <w:spacing w:val="0"/>
                <w:sz w:val="24"/>
                <w:szCs w:val="24"/>
                <w:highlight w:val="none"/>
              </w:rPr>
              <w:t>t/a，集中收集后由环卫部门统一清运。</w:t>
            </w:r>
          </w:p>
          <w:p>
            <w:pPr>
              <w:keepNext w:val="0"/>
              <w:keepLines w:val="0"/>
              <w:pageBreakBefore w:val="0"/>
              <w:kinsoku/>
              <w:wordWrap/>
              <w:overflowPunct/>
              <w:topLinePunct w:val="0"/>
              <w:autoSpaceDE/>
              <w:autoSpaceDN/>
              <w:bidi w:val="0"/>
              <w:adjustRightInd w:val="0"/>
              <w:snapToGrid w:val="0"/>
              <w:spacing w:line="360" w:lineRule="auto"/>
              <w:ind w:right="0" w:firstLine="600" w:firstLineChars="25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（2）一般工业固体废物</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①金属边角料</w:t>
            </w:r>
            <w:r>
              <w:rPr>
                <w:rFonts w:hint="eastAsia" w:cs="Times New Roman"/>
                <w:color w:val="auto"/>
                <w:kern w:val="0"/>
                <w:sz w:val="24"/>
                <w:szCs w:val="24"/>
                <w:lang w:val="en-US" w:eastAsia="zh-CN" w:bidi="ar"/>
              </w:rPr>
              <w:t>及不合格品</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宋体" w:hAnsi="宋体" w:eastAsia="宋体" w:cs="宋体"/>
                <w:color w:val="auto"/>
                <w:kern w:val="0"/>
                <w:sz w:val="24"/>
                <w:szCs w:val="24"/>
                <w:lang w:val="en-US" w:eastAsia="zh-CN" w:bidi="ar"/>
              </w:rPr>
              <w:t>根据业主提供资料及物料平衡，</w:t>
            </w:r>
            <w:r>
              <w:rPr>
                <w:rFonts w:hint="default" w:ascii="Times New Roman" w:hAnsi="Times New Roman" w:eastAsia="宋体" w:cs="Times New Roman"/>
                <w:color w:val="auto"/>
                <w:kern w:val="0"/>
                <w:sz w:val="24"/>
                <w:szCs w:val="24"/>
                <w:lang w:val="en-US" w:eastAsia="zh-CN" w:bidi="ar"/>
              </w:rPr>
              <w:t>项目运营期生产水龙头过程会产生不合格品及金属边角料，不合格品及金属</w:t>
            </w:r>
            <w:r>
              <w:rPr>
                <w:rFonts w:hint="default" w:ascii="Times New Roman" w:hAnsi="Times New Roman" w:eastAsia="宋体" w:cs="Times New Roman"/>
                <w:color w:val="auto"/>
                <w:kern w:val="0"/>
                <w:sz w:val="24"/>
                <w:szCs w:val="24"/>
                <w:highlight w:val="none"/>
                <w:lang w:val="en-US" w:eastAsia="zh-CN" w:bidi="ar"/>
              </w:rPr>
              <w:t>边角料产生量约为</w:t>
            </w:r>
            <w:r>
              <w:rPr>
                <w:rFonts w:hint="eastAsia" w:cs="Times New Roman"/>
                <w:color w:val="auto"/>
                <w:kern w:val="0"/>
                <w:sz w:val="24"/>
                <w:szCs w:val="24"/>
                <w:highlight w:val="none"/>
                <w:lang w:val="en-US" w:eastAsia="zh-CN" w:bidi="ar"/>
              </w:rPr>
              <w:t>320</w:t>
            </w:r>
            <w:r>
              <w:rPr>
                <w:rFonts w:hint="default" w:ascii="Times New Roman" w:hAnsi="Times New Roman" w:eastAsia="宋体" w:cs="Times New Roman"/>
                <w:color w:val="auto"/>
                <w:kern w:val="0"/>
                <w:sz w:val="24"/>
                <w:szCs w:val="24"/>
                <w:highlight w:val="none"/>
                <w:lang w:val="en-US" w:eastAsia="zh-CN" w:bidi="ar"/>
              </w:rPr>
              <w:t>t/a，</w:t>
            </w:r>
            <w:r>
              <w:rPr>
                <w:rFonts w:hint="default" w:ascii="Times New Roman" w:hAnsi="Times New Roman" w:eastAsia="宋体" w:cs="Times New Roman"/>
                <w:color w:val="auto"/>
                <w:kern w:val="0"/>
                <w:sz w:val="24"/>
                <w:szCs w:val="24"/>
                <w:lang w:val="en-US" w:eastAsia="zh-CN" w:bidi="ar"/>
              </w:rPr>
              <w:t>属于一般工业固废，</w:t>
            </w:r>
            <w:r>
              <w:rPr>
                <w:rFonts w:hint="eastAsia" w:ascii="宋体" w:hAnsi="宋体" w:eastAsia="宋体" w:cs="宋体"/>
                <w:color w:val="auto"/>
                <w:kern w:val="0"/>
                <w:sz w:val="24"/>
                <w:szCs w:val="24"/>
                <w:lang w:val="en-US" w:eastAsia="zh-CN" w:bidi="ar"/>
              </w:rPr>
              <w:t>由相关单位回收利用</w:t>
            </w:r>
            <w:r>
              <w:rPr>
                <w:rFonts w:hint="default" w:ascii="Times New Roman" w:hAnsi="Times New Roman" w:eastAsia="宋体" w:cs="Times New Roman"/>
                <w:color w:val="auto"/>
                <w:kern w:val="0"/>
                <w:sz w:val="24"/>
                <w:szCs w:val="24"/>
                <w:highlight w:val="none"/>
                <w:lang w:val="en-US" w:eastAsia="zh-CN" w:bidi="ar"/>
              </w:rPr>
              <w:t>。根据《一般固体废物分类与代码》（GB/T39198-2020）不合格品及边角料固废代码为33</w:t>
            </w:r>
            <w:r>
              <w:rPr>
                <w:rFonts w:hint="eastAsia" w:cs="Times New Roman"/>
                <w:color w:val="auto"/>
                <w:kern w:val="0"/>
                <w:sz w:val="24"/>
                <w:szCs w:val="24"/>
                <w:highlight w:val="none"/>
                <w:lang w:val="en-US" w:eastAsia="zh-CN" w:bidi="ar"/>
              </w:rPr>
              <w:t>9</w:t>
            </w: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001</w:t>
            </w: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0</w:t>
            </w:r>
            <w:r>
              <w:rPr>
                <w:rFonts w:hint="default" w:ascii="Times New Roman" w:hAnsi="Times New Roman" w:eastAsia="宋体" w:cs="Times New Roman"/>
                <w:color w:val="auto"/>
                <w:kern w:val="0"/>
                <w:sz w:val="24"/>
                <w:szCs w:val="24"/>
                <w:highlight w:val="none"/>
                <w:lang w:val="en-US" w:eastAsia="zh-CN" w:bidi="ar"/>
              </w:rPr>
              <w:t xml:space="preserve">9。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宋体" w:hAnsi="宋体" w:eastAsia="宋体" w:cs="宋体"/>
                <w:color w:val="auto"/>
                <w:kern w:val="0"/>
                <w:sz w:val="24"/>
                <w:szCs w:val="24"/>
                <w:lang w:val="en-US" w:eastAsia="zh-CN" w:bidi="ar"/>
              </w:rPr>
              <w:t>根据业主提供资料及物料平衡，</w:t>
            </w:r>
            <w:r>
              <w:rPr>
                <w:rFonts w:hint="default" w:ascii="Times New Roman" w:hAnsi="Times New Roman" w:eastAsia="宋体" w:cs="Times New Roman"/>
                <w:color w:val="auto"/>
                <w:kern w:val="0"/>
                <w:sz w:val="24"/>
                <w:szCs w:val="24"/>
                <w:lang w:val="en-US" w:eastAsia="zh-CN" w:bidi="ar"/>
              </w:rPr>
              <w:t>项目运营期生产角阀、地漏、</w:t>
            </w:r>
            <w:r>
              <w:rPr>
                <w:rFonts w:hint="eastAsia" w:cs="Times New Roman"/>
                <w:color w:val="auto"/>
                <w:kern w:val="0"/>
                <w:sz w:val="24"/>
                <w:szCs w:val="24"/>
                <w:lang w:val="en-US" w:eastAsia="zh-CN" w:bidi="ar"/>
              </w:rPr>
              <w:t>卫浴</w:t>
            </w:r>
            <w:r>
              <w:rPr>
                <w:rFonts w:hint="default" w:ascii="Times New Roman" w:hAnsi="Times New Roman" w:eastAsia="宋体" w:cs="Times New Roman"/>
                <w:color w:val="auto"/>
                <w:kern w:val="0"/>
                <w:sz w:val="24"/>
                <w:szCs w:val="24"/>
                <w:lang w:val="en-US" w:eastAsia="zh-CN" w:bidi="ar"/>
              </w:rPr>
              <w:t>挂件、淋浴柱、</w:t>
            </w:r>
            <w:r>
              <w:rPr>
                <w:rFonts w:hint="default" w:ascii="Times New Roman" w:hAnsi="Times New Roman" w:cs="Times New Roman"/>
                <w:color w:val="auto"/>
                <w:kern w:val="0"/>
                <w:sz w:val="24"/>
                <w:szCs w:val="24"/>
                <w:lang w:val="en-US" w:eastAsia="zh-CN" w:bidi="ar"/>
              </w:rPr>
              <w:t>水槽</w:t>
            </w:r>
            <w:r>
              <w:rPr>
                <w:rFonts w:hint="eastAsia" w:cs="Times New Roman"/>
                <w:color w:val="auto"/>
                <w:kern w:val="0"/>
                <w:sz w:val="24"/>
                <w:szCs w:val="24"/>
                <w:lang w:val="en-US" w:eastAsia="zh-CN" w:bidi="ar"/>
              </w:rPr>
              <w:t>过程</w:t>
            </w:r>
            <w:r>
              <w:rPr>
                <w:rFonts w:hint="default" w:ascii="Times New Roman" w:hAnsi="Times New Roman" w:eastAsia="宋体" w:cs="Times New Roman"/>
                <w:color w:val="auto"/>
                <w:kern w:val="0"/>
                <w:sz w:val="24"/>
                <w:szCs w:val="24"/>
                <w:lang w:val="en-US" w:eastAsia="zh-CN" w:bidi="ar"/>
              </w:rPr>
              <w:t>会产生不合格品及金属边角料，不合格品及金属</w:t>
            </w:r>
            <w:r>
              <w:rPr>
                <w:rFonts w:hint="default" w:ascii="Times New Roman" w:hAnsi="Times New Roman" w:eastAsia="宋体" w:cs="Times New Roman"/>
                <w:color w:val="auto"/>
                <w:kern w:val="0"/>
                <w:sz w:val="24"/>
                <w:szCs w:val="24"/>
                <w:highlight w:val="none"/>
                <w:lang w:val="en-US" w:eastAsia="zh-CN" w:bidi="ar"/>
              </w:rPr>
              <w:t>边角料产生量约为</w:t>
            </w:r>
            <w:r>
              <w:rPr>
                <w:rFonts w:hint="eastAsia" w:cs="Times New Roman"/>
                <w:color w:val="auto"/>
                <w:kern w:val="0"/>
                <w:sz w:val="24"/>
                <w:szCs w:val="24"/>
                <w:highlight w:val="none"/>
                <w:lang w:val="en-US" w:eastAsia="zh-CN" w:bidi="ar"/>
              </w:rPr>
              <w:t>191.032</w:t>
            </w:r>
            <w:r>
              <w:rPr>
                <w:rFonts w:hint="default" w:ascii="Times New Roman" w:hAnsi="Times New Roman" w:eastAsia="宋体" w:cs="Times New Roman"/>
                <w:color w:val="auto"/>
                <w:kern w:val="0"/>
                <w:sz w:val="24"/>
                <w:szCs w:val="24"/>
                <w:highlight w:val="none"/>
                <w:lang w:val="en-US" w:eastAsia="zh-CN" w:bidi="ar"/>
              </w:rPr>
              <w:t>t/a</w:t>
            </w:r>
            <w:r>
              <w:rPr>
                <w:rFonts w:hint="eastAsia"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lang w:val="en-US" w:eastAsia="zh-CN" w:bidi="ar"/>
              </w:rPr>
              <w:t>由相关单位回收利用。</w:t>
            </w:r>
            <w:r>
              <w:rPr>
                <w:rFonts w:hint="default" w:ascii="Times New Roman" w:hAnsi="Times New Roman" w:eastAsia="宋体" w:cs="Times New Roman"/>
                <w:color w:val="auto"/>
                <w:kern w:val="0"/>
                <w:sz w:val="24"/>
                <w:szCs w:val="24"/>
                <w:highlight w:val="none"/>
                <w:lang w:val="en-US" w:eastAsia="zh-CN" w:bidi="ar"/>
              </w:rPr>
              <w:t>根据《一般固体废物分类与代码》（GB/T39198-2020）不合格品及边角料固废代码为33</w:t>
            </w:r>
            <w:r>
              <w:rPr>
                <w:rFonts w:hint="eastAsia" w:cs="Times New Roman"/>
                <w:color w:val="auto"/>
                <w:kern w:val="0"/>
                <w:sz w:val="24"/>
                <w:szCs w:val="24"/>
                <w:highlight w:val="none"/>
                <w:lang w:val="en-US" w:eastAsia="zh-CN" w:bidi="ar"/>
              </w:rPr>
              <w:t>8</w:t>
            </w: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001</w:t>
            </w: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0</w:t>
            </w:r>
            <w:r>
              <w:rPr>
                <w:rFonts w:hint="default" w:ascii="Times New Roman" w:hAnsi="Times New Roman" w:eastAsia="宋体" w:cs="Times New Roman"/>
                <w:color w:val="auto"/>
                <w:kern w:val="0"/>
                <w:sz w:val="24"/>
                <w:szCs w:val="24"/>
                <w:highlight w:val="none"/>
                <w:lang w:val="en-US" w:eastAsia="zh-CN" w:bidi="ar"/>
              </w:rPr>
              <w:t xml:space="preserve">9。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4"/>
                <w:szCs w:val="24"/>
                <w:highlight w:val="none"/>
                <w:lang w:val="en-US" w:eastAsia="zh-CN" w:bidi="ar"/>
              </w:rPr>
              <w:t>②</w:t>
            </w:r>
            <w:r>
              <w:rPr>
                <w:rFonts w:hint="eastAsia" w:ascii="宋体" w:hAnsi="宋体" w:eastAsia="宋体" w:cs="宋体"/>
                <w:color w:val="auto"/>
                <w:kern w:val="0"/>
                <w:sz w:val="24"/>
                <w:szCs w:val="24"/>
                <w:lang w:val="en-US" w:eastAsia="zh-CN" w:bidi="ar"/>
              </w:rPr>
              <w:t>废</w:t>
            </w:r>
            <w:r>
              <w:rPr>
                <w:rFonts w:hint="default" w:ascii="Times New Roman" w:hAnsi="Times New Roman" w:eastAsia="宋体" w:cs="Times New Roman"/>
                <w:color w:val="auto"/>
                <w:kern w:val="0"/>
                <w:sz w:val="24"/>
                <w:szCs w:val="24"/>
                <w:lang w:val="en-US" w:eastAsia="zh-CN" w:bidi="ar"/>
              </w:rPr>
              <w:t>橡胶管、不锈钢编织管</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color w:val="auto"/>
              </w:rPr>
            </w:pPr>
            <w:r>
              <w:rPr>
                <w:rFonts w:hint="eastAsia" w:ascii="宋体" w:hAnsi="宋体" w:eastAsia="宋体" w:cs="宋体"/>
                <w:color w:val="auto"/>
                <w:kern w:val="0"/>
                <w:sz w:val="24"/>
                <w:szCs w:val="24"/>
                <w:lang w:val="en-US" w:eastAsia="zh-CN" w:bidi="ar"/>
              </w:rPr>
              <w:t>根据业主提供资料及物料平衡，</w:t>
            </w:r>
            <w:r>
              <w:rPr>
                <w:rFonts w:hint="default" w:ascii="Times New Roman" w:hAnsi="Times New Roman" w:eastAsia="宋体" w:cs="Times New Roman"/>
                <w:color w:val="auto"/>
                <w:kern w:val="0"/>
                <w:sz w:val="24"/>
                <w:szCs w:val="24"/>
                <w:lang w:val="en-US" w:eastAsia="zh-CN" w:bidi="ar"/>
              </w:rPr>
              <w:t>废橡胶管、不锈钢编织管主要来自进水软管生产单元切管工序，类比同类型企业并结合建设单位提供资料，废橡胶管、不锈钢编织管约占原料的1%，项目橡胶管、不锈钢</w:t>
            </w:r>
            <w:r>
              <w:rPr>
                <w:rFonts w:hint="eastAsia" w:cs="Times New Roman"/>
                <w:color w:val="auto"/>
                <w:kern w:val="0"/>
                <w:sz w:val="24"/>
                <w:szCs w:val="24"/>
                <w:lang w:val="en-US" w:eastAsia="zh-CN" w:bidi="ar"/>
              </w:rPr>
              <w:t>编织</w:t>
            </w:r>
            <w:r>
              <w:rPr>
                <w:rFonts w:hint="default" w:ascii="Times New Roman" w:hAnsi="Times New Roman" w:eastAsia="宋体" w:cs="Times New Roman"/>
                <w:color w:val="auto"/>
                <w:kern w:val="0"/>
                <w:sz w:val="24"/>
                <w:szCs w:val="24"/>
                <w:lang w:val="en-US" w:eastAsia="zh-CN" w:bidi="ar"/>
              </w:rPr>
              <w:t>管年用量均为</w:t>
            </w:r>
            <w:r>
              <w:rPr>
                <w:rFonts w:hint="default" w:ascii="Times New Roman" w:hAnsi="Times New Roman" w:cs="Times New Roman"/>
                <w:color w:val="auto"/>
                <w:kern w:val="0"/>
                <w:sz w:val="24"/>
                <w:szCs w:val="24"/>
                <w:lang w:val="en-US" w:eastAsia="zh-CN" w:bidi="ar"/>
              </w:rPr>
              <w:t>101</w:t>
            </w:r>
            <w:r>
              <w:rPr>
                <w:rFonts w:hint="default" w:ascii="Times New Roman" w:hAnsi="Times New Roman" w:eastAsia="宋体" w:cs="Times New Roman"/>
                <w:color w:val="auto"/>
                <w:kern w:val="0"/>
                <w:sz w:val="24"/>
                <w:szCs w:val="24"/>
                <w:lang w:val="en-US" w:eastAsia="zh-CN" w:bidi="ar"/>
              </w:rPr>
              <w:t>万米，则废橡胶管、不锈钢编织管产生量均约为1.</w:t>
            </w:r>
            <w:r>
              <w:rPr>
                <w:rFonts w:hint="default" w:ascii="Times New Roman" w:hAnsi="Times New Roman" w:cs="Times New Roman"/>
                <w:color w:val="auto"/>
                <w:kern w:val="0"/>
                <w:sz w:val="24"/>
                <w:szCs w:val="24"/>
                <w:lang w:val="en-US" w:eastAsia="zh-CN" w:bidi="ar"/>
              </w:rPr>
              <w:t>01</w:t>
            </w:r>
            <w:r>
              <w:rPr>
                <w:rFonts w:hint="default" w:ascii="Times New Roman" w:hAnsi="Times New Roman" w:eastAsia="宋体" w:cs="Times New Roman"/>
                <w:color w:val="auto"/>
                <w:kern w:val="0"/>
                <w:sz w:val="24"/>
                <w:szCs w:val="24"/>
                <w:lang w:val="en-US" w:eastAsia="zh-CN" w:bidi="ar"/>
              </w:rPr>
              <w:t>万米/年，根据估算，1米橡胶管重约0.5kg，1米不锈钢编织管重约1kg，则废橡胶管产生量约</w:t>
            </w:r>
            <w:r>
              <w:rPr>
                <w:rFonts w:hint="default" w:ascii="Times New Roman" w:hAnsi="Times New Roman" w:cs="Times New Roman"/>
                <w:color w:val="auto"/>
                <w:kern w:val="0"/>
                <w:sz w:val="24"/>
                <w:szCs w:val="24"/>
                <w:lang w:val="en-US" w:eastAsia="zh-CN" w:bidi="ar"/>
              </w:rPr>
              <w:t>5.05</w:t>
            </w:r>
            <w:r>
              <w:rPr>
                <w:rFonts w:hint="default" w:ascii="Times New Roman" w:hAnsi="Times New Roman" w:eastAsia="宋体" w:cs="Times New Roman"/>
                <w:color w:val="auto"/>
                <w:kern w:val="0"/>
                <w:sz w:val="24"/>
                <w:szCs w:val="24"/>
                <w:lang w:val="en-US" w:eastAsia="zh-CN" w:bidi="ar"/>
              </w:rPr>
              <w:t>t/a，废不锈钢编织管产生量约</w:t>
            </w:r>
            <w:r>
              <w:rPr>
                <w:rFonts w:hint="default" w:ascii="Times New Roman" w:hAnsi="Times New Roman" w:cs="Times New Roman"/>
                <w:color w:val="auto"/>
                <w:kern w:val="0"/>
                <w:sz w:val="24"/>
                <w:szCs w:val="24"/>
                <w:lang w:val="en-US" w:eastAsia="zh-CN" w:bidi="ar"/>
              </w:rPr>
              <w:t>10.1</w:t>
            </w:r>
            <w:r>
              <w:rPr>
                <w:rFonts w:hint="default" w:ascii="Times New Roman" w:hAnsi="Times New Roman" w:eastAsia="宋体" w:cs="Times New Roman"/>
                <w:color w:val="auto"/>
                <w:kern w:val="0"/>
                <w:sz w:val="24"/>
                <w:szCs w:val="24"/>
                <w:lang w:val="en-US" w:eastAsia="zh-CN" w:bidi="ar"/>
              </w:rPr>
              <w:t>t/a</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highlight w:val="none"/>
                <w:lang w:val="en-US" w:eastAsia="zh-CN" w:bidi="ar"/>
              </w:rPr>
              <w:t>根据《一般固体废物分类与代码》（GB/T39198-2020）不合格品及边角料固废代码为</w:t>
            </w:r>
            <w:r>
              <w:rPr>
                <w:rFonts w:hint="default" w:ascii="Times New Roman" w:hAnsi="Times New Roman" w:eastAsia="宋体" w:cs="Times New Roman"/>
                <w:color w:val="auto"/>
                <w:kern w:val="0"/>
                <w:sz w:val="24"/>
                <w:szCs w:val="24"/>
                <w:lang w:val="en-US" w:eastAsia="zh-CN" w:bidi="ar"/>
              </w:rPr>
              <w:t>335-002-99</w:t>
            </w:r>
            <w:r>
              <w:rPr>
                <w:rFonts w:hint="default" w:ascii="Times New Roman" w:hAnsi="Times New Roman" w:eastAsia="宋体" w:cs="Times New Roman"/>
                <w:color w:val="auto"/>
                <w:kern w:val="0"/>
                <w:sz w:val="24"/>
                <w:szCs w:val="24"/>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③</w:t>
            </w:r>
            <w:r>
              <w:rPr>
                <w:rFonts w:hint="eastAsia" w:cs="Times New Roman"/>
                <w:color w:val="auto"/>
                <w:kern w:val="0"/>
                <w:sz w:val="24"/>
                <w:szCs w:val="24"/>
                <w:highlight w:val="none"/>
                <w:lang w:val="en-US" w:eastAsia="zh-CN" w:bidi="ar"/>
              </w:rPr>
              <w:t>铜</w:t>
            </w:r>
            <w:r>
              <w:rPr>
                <w:rFonts w:hint="default" w:ascii="Times New Roman" w:hAnsi="Times New Roman" w:eastAsia="宋体" w:cs="Times New Roman"/>
                <w:color w:val="auto"/>
                <w:kern w:val="0"/>
                <w:sz w:val="24"/>
                <w:szCs w:val="24"/>
                <w:highlight w:val="none"/>
                <w:lang w:val="en-US" w:eastAsia="zh-CN" w:bidi="ar"/>
              </w:rPr>
              <w:t xml:space="preserve">炉渣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项目原材料在有芯工频感应熔化炉熔化中会产生少量的</w:t>
            </w:r>
            <w:r>
              <w:rPr>
                <w:rFonts w:hint="eastAsia" w:cs="Times New Roman"/>
                <w:color w:val="auto"/>
                <w:kern w:val="0"/>
                <w:sz w:val="24"/>
                <w:szCs w:val="24"/>
                <w:highlight w:val="none"/>
                <w:lang w:val="en-US" w:eastAsia="zh-CN" w:bidi="ar"/>
              </w:rPr>
              <w:t>铜</w:t>
            </w:r>
            <w:r>
              <w:rPr>
                <w:rFonts w:hint="default" w:ascii="Times New Roman" w:hAnsi="Times New Roman" w:eastAsia="宋体" w:cs="Times New Roman"/>
                <w:color w:val="auto"/>
                <w:kern w:val="0"/>
                <w:sz w:val="24"/>
                <w:szCs w:val="24"/>
                <w:highlight w:val="none"/>
                <w:lang w:val="en-US" w:eastAsia="zh-CN" w:bidi="ar"/>
              </w:rPr>
              <w:t>炉渣，</w:t>
            </w:r>
            <w:r>
              <w:rPr>
                <w:rFonts w:hint="eastAsia" w:ascii="Times New Roman" w:hAnsi="Times New Roman" w:eastAsia="宋体" w:cs="Times New Roman"/>
                <w:color w:val="auto"/>
                <w:kern w:val="0"/>
                <w:sz w:val="24"/>
                <w:szCs w:val="24"/>
                <w:highlight w:val="none"/>
                <w:lang w:val="en-US" w:eastAsia="zh-CN" w:bidi="ar"/>
              </w:rPr>
              <w:t>根据业主提供资料及物料平衡，</w:t>
            </w:r>
            <w:r>
              <w:rPr>
                <w:rFonts w:hint="eastAsia" w:cs="Times New Roman"/>
                <w:color w:val="auto"/>
                <w:kern w:val="0"/>
                <w:sz w:val="24"/>
                <w:szCs w:val="24"/>
                <w:highlight w:val="none"/>
                <w:lang w:val="en-US" w:eastAsia="zh-CN" w:bidi="ar"/>
              </w:rPr>
              <w:t>重力铸造过程</w:t>
            </w:r>
            <w:r>
              <w:rPr>
                <w:rFonts w:hint="default" w:ascii="Times New Roman" w:hAnsi="Times New Roman" w:eastAsia="宋体" w:cs="Times New Roman"/>
                <w:color w:val="auto"/>
                <w:kern w:val="0"/>
                <w:sz w:val="24"/>
                <w:szCs w:val="24"/>
                <w:highlight w:val="none"/>
                <w:lang w:val="en-US" w:eastAsia="zh-CN" w:bidi="ar"/>
              </w:rPr>
              <w:t>炉渣产生量约</w:t>
            </w:r>
            <w:r>
              <w:rPr>
                <w:rFonts w:hint="eastAsia" w:cs="Times New Roman"/>
                <w:color w:val="auto"/>
                <w:kern w:val="0"/>
                <w:sz w:val="24"/>
                <w:szCs w:val="24"/>
                <w:highlight w:val="none"/>
                <w:lang w:val="en-US" w:eastAsia="zh-CN" w:bidi="ar"/>
              </w:rPr>
              <w:t>21.319</w:t>
            </w:r>
            <w:r>
              <w:rPr>
                <w:rFonts w:hint="default" w:ascii="Times New Roman" w:hAnsi="Times New Roman" w:eastAsia="宋体" w:cs="Times New Roman"/>
                <w:color w:val="auto"/>
                <w:kern w:val="0"/>
                <w:sz w:val="24"/>
                <w:szCs w:val="24"/>
                <w:highlight w:val="none"/>
                <w:lang w:val="en-US" w:eastAsia="zh-CN" w:bidi="ar"/>
              </w:rPr>
              <w:t xml:space="preserve">t/a，炉渣集中收集后由相关单位回收利用。根据《一般固体废物分类与代码》（GB/T39198-2020）炉渣固废代码为339-001-51。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lang w:val="en-US" w:eastAsia="zh-CN" w:bidi="ar"/>
              </w:rPr>
              <w:t>④</w:t>
            </w:r>
            <w:r>
              <w:rPr>
                <w:rFonts w:hint="default" w:ascii="Times New Roman" w:hAnsi="Times New Roman" w:eastAsia="宋体" w:cs="Times New Roman"/>
                <w:color w:val="auto"/>
                <w:kern w:val="0"/>
                <w:sz w:val="24"/>
                <w:szCs w:val="24"/>
                <w:highlight w:val="none"/>
                <w:lang w:val="en-US" w:eastAsia="zh-CN" w:bidi="ar"/>
              </w:rPr>
              <w:t xml:space="preserve">废砂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根据业主提供资料，本项目旧砂经外协处理后回用，回用率为90%，不合格砂作固废处理，废砂产生量约为</w:t>
            </w:r>
            <w:r>
              <w:rPr>
                <w:rFonts w:hint="eastAsia" w:cs="Times New Roman"/>
                <w:color w:val="auto"/>
                <w:kern w:val="0"/>
                <w:sz w:val="24"/>
                <w:szCs w:val="24"/>
                <w:lang w:val="en-US" w:eastAsia="zh-CN" w:bidi="ar"/>
              </w:rPr>
              <w:t>5</w:t>
            </w:r>
            <w:r>
              <w:rPr>
                <w:rFonts w:hint="default" w:ascii="Times New Roman" w:hAnsi="Times New Roman" w:eastAsia="宋体" w:cs="Times New Roman"/>
                <w:color w:val="auto"/>
                <w:kern w:val="0"/>
                <w:sz w:val="24"/>
                <w:szCs w:val="24"/>
                <w:lang w:val="en-US" w:eastAsia="zh-CN" w:bidi="ar"/>
              </w:rPr>
              <w:t>0t/a，废砂集中收集后全部由</w:t>
            </w:r>
            <w:r>
              <w:rPr>
                <w:rFonts w:hint="default" w:ascii="Times New Roman" w:hAnsi="Times New Roman" w:eastAsia="宋体" w:cs="Times New Roman"/>
                <w:color w:val="auto"/>
                <w:kern w:val="0"/>
                <w:sz w:val="24"/>
                <w:szCs w:val="24"/>
                <w:highlight w:val="none"/>
                <w:lang w:val="en-US" w:eastAsia="zh-CN" w:bidi="ar"/>
              </w:rPr>
              <w:t>相关单位</w:t>
            </w:r>
            <w:r>
              <w:rPr>
                <w:rFonts w:hint="default" w:ascii="Times New Roman" w:hAnsi="Times New Roman" w:eastAsia="宋体" w:cs="Times New Roman"/>
                <w:color w:val="auto"/>
                <w:kern w:val="0"/>
                <w:sz w:val="24"/>
                <w:szCs w:val="24"/>
                <w:lang w:val="en-US" w:eastAsia="zh-CN" w:bidi="ar"/>
              </w:rPr>
              <w:t>回收重新加工后提供给本项目循环使用。对照 GB/T 39198-2020《一般固体废物分类与代码》，废砂属于一般固体废物，一般固体废物代码为 338-001-99，收集后由</w:t>
            </w:r>
            <w:r>
              <w:rPr>
                <w:rFonts w:hint="default" w:ascii="Times New Roman" w:hAnsi="Times New Roman" w:eastAsia="宋体" w:cs="Times New Roman"/>
                <w:color w:val="auto"/>
                <w:kern w:val="0"/>
                <w:sz w:val="24"/>
                <w:szCs w:val="24"/>
                <w:highlight w:val="none"/>
                <w:lang w:val="en-US" w:eastAsia="zh-CN" w:bidi="ar"/>
              </w:rPr>
              <w:t>相关单位</w:t>
            </w:r>
            <w:r>
              <w:rPr>
                <w:rFonts w:hint="default" w:ascii="Times New Roman" w:hAnsi="Times New Roman" w:eastAsia="宋体" w:cs="Times New Roman"/>
                <w:color w:val="auto"/>
                <w:kern w:val="0"/>
                <w:sz w:val="24"/>
                <w:szCs w:val="24"/>
                <w:lang w:val="en-US" w:eastAsia="zh-CN" w:bidi="ar"/>
              </w:rPr>
              <w:t>回收重新加工后提供给本项目循环使用。</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2"/>
                <w:sz w:val="24"/>
                <w:szCs w:val="24"/>
                <w:highlight w:val="none"/>
                <w:lang w:val="en-US" w:eastAsia="zh-CN" w:bidi="ar-SA"/>
              </w:rPr>
              <w:fldChar w:fldCharType="begin"/>
            </w:r>
            <w:r>
              <w:rPr>
                <w:rFonts w:hint="default" w:ascii="Times New Roman" w:hAnsi="Times New Roman" w:eastAsia="宋体" w:cs="Times New Roman"/>
                <w:color w:val="auto"/>
                <w:kern w:val="2"/>
                <w:sz w:val="24"/>
                <w:szCs w:val="24"/>
                <w:highlight w:val="none"/>
                <w:lang w:val="en-US" w:eastAsia="zh-CN" w:bidi="ar-SA"/>
              </w:rPr>
              <w:instrText xml:space="preserve"> = 5 \* GB3 \* MERGEFORMAT </w:instrText>
            </w:r>
            <w:r>
              <w:rPr>
                <w:rFonts w:hint="default" w:ascii="Times New Roman" w:hAnsi="Times New Roman" w:eastAsia="宋体" w:cs="Times New Roman"/>
                <w:color w:val="auto"/>
                <w:kern w:val="2"/>
                <w:sz w:val="24"/>
                <w:szCs w:val="24"/>
                <w:highlight w:val="none"/>
                <w:lang w:val="en-US" w:eastAsia="zh-CN" w:bidi="ar-SA"/>
              </w:rPr>
              <w:fldChar w:fldCharType="separate"/>
            </w:r>
            <w:r>
              <w:rPr>
                <w:rFonts w:hint="default" w:ascii="Times New Roman" w:hAnsi="Times New Roman" w:eastAsia="宋体" w:cs="Times New Roman"/>
                <w:color w:val="auto"/>
                <w:kern w:val="2"/>
                <w:sz w:val="24"/>
                <w:szCs w:val="24"/>
                <w:highlight w:val="none"/>
                <w:lang w:val="en-US" w:eastAsia="zh-CN" w:bidi="ar-SA"/>
              </w:rPr>
              <w:t>⑤</w:t>
            </w:r>
            <w:r>
              <w:rPr>
                <w:rFonts w:hint="default" w:ascii="Times New Roman" w:hAnsi="Times New Roman" w:eastAsia="宋体" w:cs="Times New Roman"/>
                <w:color w:val="auto"/>
                <w:kern w:val="2"/>
                <w:sz w:val="24"/>
                <w:szCs w:val="24"/>
                <w:highlight w:val="none"/>
                <w:lang w:val="en-US" w:eastAsia="zh-CN" w:bidi="ar-SA"/>
              </w:rPr>
              <w:fldChar w:fldCharType="end"/>
            </w:r>
            <w:r>
              <w:rPr>
                <w:rFonts w:hint="eastAsia" w:ascii="Times New Roman" w:hAnsi="Times New Roman" w:eastAsia="宋体" w:cs="Times New Roman"/>
                <w:color w:val="auto"/>
                <w:kern w:val="0"/>
                <w:sz w:val="24"/>
                <w:szCs w:val="24"/>
                <w:highlight w:val="none"/>
                <w:lang w:val="en-US" w:eastAsia="zh-CN" w:bidi="ar"/>
              </w:rPr>
              <w:t>布袋除尘器收集粉尘</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
              </w:rPr>
              <w:t>项目布袋除尘器收集粉尘包括：</w:t>
            </w:r>
            <w:r>
              <w:rPr>
                <w:rFonts w:hint="eastAsia" w:cs="Times New Roman"/>
                <w:color w:val="auto"/>
                <w:kern w:val="0"/>
                <w:sz w:val="24"/>
                <w:szCs w:val="24"/>
                <w:highlight w:val="none"/>
                <w:lang w:val="en-US" w:eastAsia="zh-CN" w:bidi="ar"/>
              </w:rPr>
              <w:t>熔化、浇注、落砂</w:t>
            </w:r>
            <w:r>
              <w:rPr>
                <w:rFonts w:hint="default" w:ascii="Times New Roman" w:hAnsi="Times New Roman"/>
                <w:color w:val="auto"/>
                <w:sz w:val="24"/>
                <w:szCs w:val="24"/>
                <w:highlight w:val="none"/>
                <w:lang w:val="en-US" w:eastAsia="zh-CN"/>
              </w:rPr>
              <w:t>、</w:t>
            </w:r>
            <w:r>
              <w:rPr>
                <w:rFonts w:hint="eastAsia" w:cs="Times New Roman"/>
                <w:color w:val="auto"/>
                <w:kern w:val="0"/>
                <w:sz w:val="24"/>
                <w:szCs w:val="24"/>
                <w:highlight w:val="none"/>
                <w:lang w:val="en-US" w:eastAsia="zh-CN" w:bidi="ar"/>
              </w:rPr>
              <w:t>压铸</w:t>
            </w: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锻造、</w:t>
            </w:r>
            <w:r>
              <w:rPr>
                <w:rFonts w:hint="default" w:ascii="Times New Roman" w:hAnsi="Times New Roman" w:eastAsia="宋体" w:cs="Times New Roman"/>
                <w:color w:val="auto"/>
                <w:kern w:val="0"/>
                <w:sz w:val="24"/>
                <w:szCs w:val="24"/>
                <w:highlight w:val="none"/>
                <w:lang w:val="en-US" w:eastAsia="zh-CN" w:bidi="ar"/>
              </w:rPr>
              <w:t>抛光、抛丸、</w:t>
            </w:r>
            <w:r>
              <w:rPr>
                <w:rFonts w:hint="eastAsia" w:cs="Times New Roman"/>
                <w:color w:val="auto"/>
                <w:kern w:val="0"/>
                <w:sz w:val="24"/>
                <w:szCs w:val="24"/>
                <w:highlight w:val="none"/>
                <w:lang w:val="en-US" w:eastAsia="zh-CN" w:bidi="ar"/>
              </w:rPr>
              <w:t>开料、磨光、机加工</w:t>
            </w:r>
            <w:r>
              <w:rPr>
                <w:rFonts w:hint="default" w:ascii="Times New Roman" w:hAnsi="Times New Roman" w:eastAsia="宋体" w:cs="Times New Roman"/>
                <w:color w:val="auto"/>
                <w:kern w:val="0"/>
                <w:sz w:val="24"/>
                <w:szCs w:val="24"/>
                <w:highlight w:val="none"/>
                <w:lang w:val="en-US" w:eastAsia="zh-CN" w:bidi="ar"/>
              </w:rPr>
              <w:t>工序</w:t>
            </w:r>
            <w:r>
              <w:rPr>
                <w:rFonts w:hint="eastAsia" w:ascii="Times New Roman" w:hAnsi="Times New Roman" w:eastAsia="宋体" w:cs="Times New Roman"/>
                <w:color w:val="auto"/>
                <w:kern w:val="0"/>
                <w:sz w:val="24"/>
                <w:szCs w:val="24"/>
                <w:highlight w:val="none"/>
                <w:lang w:val="en-US" w:eastAsia="zh-CN" w:bidi="ar"/>
              </w:rPr>
              <w:t>布袋除尘器收集</w:t>
            </w:r>
            <w:r>
              <w:rPr>
                <w:rFonts w:hint="eastAsia" w:cs="Times New Roman"/>
                <w:color w:val="auto"/>
                <w:kern w:val="0"/>
                <w:sz w:val="24"/>
                <w:szCs w:val="24"/>
                <w:highlight w:val="none"/>
                <w:lang w:val="en-US" w:eastAsia="zh-CN" w:bidi="ar"/>
              </w:rPr>
              <w:t>的</w:t>
            </w:r>
            <w:r>
              <w:rPr>
                <w:rFonts w:hint="eastAsia" w:ascii="Times New Roman" w:hAnsi="Times New Roman" w:eastAsia="宋体" w:cs="Times New Roman"/>
                <w:color w:val="auto"/>
                <w:kern w:val="0"/>
                <w:sz w:val="24"/>
                <w:szCs w:val="24"/>
                <w:highlight w:val="none"/>
                <w:lang w:val="en-US" w:eastAsia="zh-CN" w:bidi="ar"/>
              </w:rPr>
              <w:t>粉尘</w:t>
            </w:r>
            <w:r>
              <w:rPr>
                <w:rFonts w:hint="eastAsia" w:cs="Times New Roman"/>
                <w:color w:val="auto"/>
                <w:kern w:val="0"/>
                <w:sz w:val="24"/>
                <w:szCs w:val="24"/>
                <w:highlight w:val="none"/>
                <w:lang w:val="en-US" w:eastAsia="zh-CN" w:bidi="ar"/>
              </w:rPr>
              <w:t>，根据工程分析项目</w:t>
            </w:r>
            <w:r>
              <w:rPr>
                <w:rFonts w:hint="eastAsia" w:ascii="Times New Roman" w:hAnsi="Times New Roman" w:eastAsia="宋体" w:cs="Times New Roman"/>
                <w:color w:val="auto"/>
                <w:kern w:val="0"/>
                <w:sz w:val="24"/>
                <w:szCs w:val="24"/>
                <w:highlight w:val="none"/>
                <w:lang w:val="en-US" w:eastAsia="zh-CN" w:bidi="ar"/>
              </w:rPr>
              <w:t>布袋除尘器收集粉总量为</w:t>
            </w:r>
            <w:r>
              <w:rPr>
                <w:rFonts w:hint="default" w:ascii="Times New Roman" w:hAnsi="Times New Roman" w:eastAsia="宋体" w:cs="Times New Roman"/>
                <w:color w:val="auto"/>
                <w:kern w:val="0"/>
                <w:sz w:val="24"/>
                <w:szCs w:val="24"/>
                <w:highlight w:val="none"/>
                <w:lang w:val="en-US" w:eastAsia="zh-CN" w:bidi="ar"/>
              </w:rPr>
              <w:t>78.339</w:t>
            </w:r>
            <w:r>
              <w:rPr>
                <w:rFonts w:hint="eastAsia" w:cs="Times New Roman"/>
                <w:color w:val="auto"/>
                <w:kern w:val="0"/>
                <w:sz w:val="24"/>
                <w:szCs w:val="24"/>
                <w:highlight w:val="none"/>
                <w:lang w:val="en-US" w:eastAsia="zh-CN" w:bidi="ar"/>
              </w:rPr>
              <w:t>3</w:t>
            </w:r>
            <w:r>
              <w:rPr>
                <w:rFonts w:hint="default" w:ascii="Times New Roman" w:hAnsi="Times New Roman" w:eastAsia="宋体" w:cs="Times New Roman"/>
                <w:color w:val="auto"/>
                <w:kern w:val="0"/>
                <w:sz w:val="24"/>
                <w:szCs w:val="24"/>
                <w:highlight w:val="none"/>
                <w:lang w:val="en-US" w:eastAsia="zh-CN" w:bidi="ar"/>
              </w:rPr>
              <w:t>t/a</w:t>
            </w:r>
            <w:r>
              <w:rPr>
                <w:rFonts w:hint="eastAsia"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根据《一般固体废物分类与代码》（</w:t>
            </w:r>
            <w:r>
              <w:rPr>
                <w:rFonts w:hint="default" w:ascii="Times New Roman" w:hAnsi="Times New Roman" w:eastAsia="宋体" w:cs="Times New Roman"/>
                <w:color w:val="auto"/>
                <w:kern w:val="0"/>
                <w:sz w:val="24"/>
                <w:szCs w:val="24"/>
                <w:highlight w:val="none"/>
                <w:lang w:val="en-US" w:eastAsia="zh-CN" w:bidi="ar"/>
              </w:rPr>
              <w:t>GB/T39198-2020</w:t>
            </w:r>
            <w:r>
              <w:rPr>
                <w:rFonts w:hint="eastAsia" w:ascii="Times New Roman" w:hAnsi="Times New Roman" w:eastAsia="宋体" w:cs="Times New Roman"/>
                <w:color w:val="auto"/>
                <w:kern w:val="0"/>
                <w:sz w:val="24"/>
                <w:szCs w:val="24"/>
                <w:highlight w:val="none"/>
                <w:lang w:val="en-US" w:eastAsia="zh-CN" w:bidi="ar"/>
              </w:rPr>
              <w:t>）</w:t>
            </w:r>
            <w:r>
              <w:rPr>
                <w:rFonts w:hint="eastAsia" w:ascii="Times New Roman" w:hAnsi="Times New Roman" w:cs="Times New Roman"/>
                <w:color w:val="auto"/>
                <w:kern w:val="0"/>
                <w:sz w:val="24"/>
                <w:szCs w:val="24"/>
                <w:highlight w:val="none"/>
                <w:lang w:val="en-US" w:eastAsia="zh-CN" w:bidi="ar"/>
              </w:rPr>
              <w:t>，粉尘</w:t>
            </w:r>
            <w:r>
              <w:rPr>
                <w:rFonts w:hint="eastAsia" w:ascii="Times New Roman" w:hAnsi="Times New Roman" w:eastAsia="宋体" w:cs="Times New Roman"/>
                <w:color w:val="auto"/>
                <w:kern w:val="0"/>
                <w:sz w:val="24"/>
                <w:szCs w:val="24"/>
                <w:highlight w:val="none"/>
                <w:lang w:val="en-US" w:eastAsia="zh-CN" w:bidi="ar"/>
              </w:rPr>
              <w:t>固废代码为</w:t>
            </w:r>
            <w:r>
              <w:rPr>
                <w:rFonts w:hint="eastAsia" w:ascii="Times New Roman" w:hAnsi="Times New Roman" w:cs="Times New Roman"/>
                <w:color w:val="auto"/>
                <w:kern w:val="0"/>
                <w:sz w:val="24"/>
                <w:szCs w:val="24"/>
                <w:highlight w:val="none"/>
                <w:lang w:val="en-US" w:eastAsia="zh-CN" w:bidi="ar"/>
              </w:rPr>
              <w:t>339</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cs="Times New Roman"/>
                <w:color w:val="auto"/>
                <w:kern w:val="0"/>
                <w:sz w:val="24"/>
                <w:szCs w:val="24"/>
                <w:highlight w:val="none"/>
                <w:lang w:val="en-US" w:eastAsia="zh-CN" w:bidi="ar"/>
              </w:rPr>
              <w:t>001</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cs="Times New Roman"/>
                <w:color w:val="auto"/>
                <w:kern w:val="0"/>
                <w:sz w:val="24"/>
                <w:szCs w:val="24"/>
                <w:highlight w:val="none"/>
                <w:lang w:val="en-US" w:eastAsia="zh-CN" w:bidi="ar"/>
              </w:rPr>
              <w:t>66，</w:t>
            </w:r>
            <w:r>
              <w:rPr>
                <w:rFonts w:hint="eastAsia" w:cs="Times New Roman"/>
                <w:color w:val="auto"/>
                <w:kern w:val="0"/>
                <w:sz w:val="24"/>
                <w:szCs w:val="24"/>
                <w:highlight w:val="none"/>
                <w:lang w:val="en-US" w:eastAsia="zh-CN" w:bidi="ar"/>
              </w:rPr>
              <w:t>其中金属</w:t>
            </w:r>
            <w:r>
              <w:rPr>
                <w:rFonts w:hint="eastAsia" w:ascii="Times New Roman" w:hAnsi="Times New Roman" w:eastAsia="宋体" w:cs="Times New Roman"/>
                <w:color w:val="auto"/>
                <w:kern w:val="0"/>
                <w:sz w:val="24"/>
                <w:szCs w:val="24"/>
                <w:highlight w:val="none"/>
                <w:lang w:val="en-US" w:eastAsia="zh-CN" w:bidi="ar"/>
              </w:rPr>
              <w:t>粉尘集中收集后由相关单位回收利用</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sz w:val="21"/>
                <w:szCs w:val="21"/>
                <w:highlight w:val="none"/>
                <w:lang w:val="en-US" w:eastAsia="zh-CN"/>
              </w:rPr>
              <w:t>开</w:t>
            </w:r>
            <w:r>
              <w:rPr>
                <w:rFonts w:hint="default" w:ascii="Times New Roman" w:hAnsi="Times New Roman" w:eastAsia="宋体" w:cs="Times New Roman"/>
                <w:color w:val="auto"/>
                <w:kern w:val="0"/>
                <w:sz w:val="24"/>
                <w:szCs w:val="24"/>
                <w:highlight w:val="none"/>
                <w:lang w:val="en-US" w:eastAsia="zh-CN" w:bidi="ar"/>
              </w:rPr>
              <w:t>料、磨光、机加工</w:t>
            </w:r>
            <w:r>
              <w:rPr>
                <w:rFonts w:hint="eastAsia" w:ascii="Times New Roman" w:hAnsi="Times New Roman" w:eastAsia="宋体" w:cs="Times New Roman"/>
                <w:color w:val="auto"/>
                <w:kern w:val="0"/>
                <w:sz w:val="24"/>
                <w:szCs w:val="24"/>
                <w:highlight w:val="none"/>
                <w:lang w:val="en-US" w:eastAsia="zh-CN" w:bidi="ar"/>
              </w:rPr>
              <w:t>工序布袋除尘器粉尘收集</w:t>
            </w:r>
            <w:r>
              <w:rPr>
                <w:rFonts w:hint="eastAsia" w:cs="Times New Roman"/>
                <w:color w:val="auto"/>
                <w:kern w:val="0"/>
                <w:sz w:val="24"/>
                <w:szCs w:val="24"/>
                <w:highlight w:val="none"/>
                <w:lang w:val="en-US" w:eastAsia="zh-CN" w:bidi="ar"/>
              </w:rPr>
              <w:t>量为主要为木屑粉尘，</w:t>
            </w:r>
            <w:r>
              <w:rPr>
                <w:rFonts w:hint="default" w:ascii="Times New Roman" w:hAnsi="Times New Roman" w:eastAsia="宋体" w:cs="Times New Roman"/>
                <w:color w:val="auto"/>
                <w:kern w:val="2"/>
                <w:sz w:val="24"/>
                <w:szCs w:val="24"/>
                <w:highlight w:val="none"/>
                <w:lang w:val="en-US" w:eastAsia="zh-CN" w:bidi="ar-SA"/>
              </w:rPr>
              <w:t>木屑粉尘固废代码为211-001-66，集中收集后由相关单位回收利用。</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fldChar w:fldCharType="begin"/>
            </w:r>
            <w:r>
              <w:rPr>
                <w:rFonts w:hint="default" w:ascii="Times New Roman" w:hAnsi="Times New Roman" w:eastAsia="宋体" w:cs="Times New Roman"/>
                <w:color w:val="auto"/>
                <w:kern w:val="2"/>
                <w:sz w:val="24"/>
                <w:szCs w:val="24"/>
                <w:highlight w:val="none"/>
                <w:lang w:val="en-US" w:eastAsia="zh-CN" w:bidi="ar-SA"/>
              </w:rPr>
              <w:instrText xml:space="preserve"> = 5 \* GB3 \* MERGEFORMAT </w:instrText>
            </w:r>
            <w:r>
              <w:rPr>
                <w:rFonts w:hint="default" w:ascii="Times New Roman" w:hAnsi="Times New Roman" w:eastAsia="宋体" w:cs="Times New Roman"/>
                <w:color w:val="auto"/>
                <w:kern w:val="2"/>
                <w:sz w:val="24"/>
                <w:szCs w:val="24"/>
                <w:highlight w:val="none"/>
                <w:lang w:val="en-US" w:eastAsia="zh-CN" w:bidi="ar-SA"/>
              </w:rPr>
              <w:fldChar w:fldCharType="separate"/>
            </w:r>
            <w:r>
              <w:rPr>
                <w:rFonts w:hint="default" w:ascii="Times New Roman" w:hAnsi="Times New Roman" w:eastAsia="宋体" w:cs="Times New Roman"/>
                <w:color w:val="auto"/>
                <w:kern w:val="2"/>
                <w:sz w:val="24"/>
                <w:szCs w:val="24"/>
                <w:highlight w:val="none"/>
                <w:lang w:val="en-US" w:eastAsia="zh-CN" w:bidi="ar-SA"/>
              </w:rPr>
              <w:t>⑤</w:t>
            </w:r>
            <w:r>
              <w:rPr>
                <w:rFonts w:hint="default" w:ascii="Times New Roman" w:hAnsi="Times New Roman" w:eastAsia="宋体" w:cs="Times New Roman"/>
                <w:color w:val="auto"/>
                <w:kern w:val="2"/>
                <w:sz w:val="24"/>
                <w:szCs w:val="24"/>
                <w:highlight w:val="none"/>
                <w:lang w:val="en-US" w:eastAsia="zh-CN" w:bidi="ar-SA"/>
              </w:rPr>
              <w:fldChar w:fldCharType="end"/>
            </w:r>
            <w:r>
              <w:rPr>
                <w:rFonts w:hint="eastAsia" w:ascii="Times New Roman" w:hAnsi="Times New Roman" w:cs="Times New Roman"/>
                <w:color w:val="auto"/>
                <w:kern w:val="2"/>
                <w:sz w:val="24"/>
                <w:szCs w:val="24"/>
                <w:highlight w:val="none"/>
                <w:lang w:val="en-US" w:eastAsia="zh-CN" w:bidi="ar-SA"/>
              </w:rPr>
              <w:t>废</w:t>
            </w:r>
            <w:r>
              <w:rPr>
                <w:rFonts w:hint="eastAsia" w:ascii="Times New Roman" w:hAnsi="Times New Roman" w:eastAsia="宋体" w:cs="Times New Roman"/>
                <w:color w:val="auto"/>
                <w:kern w:val="2"/>
                <w:sz w:val="24"/>
                <w:szCs w:val="24"/>
                <w:highlight w:val="none"/>
                <w:lang w:val="en-US" w:eastAsia="zh-CN" w:bidi="ar-SA"/>
              </w:rPr>
              <w:t>木材边角料</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kern w:val="2"/>
                <w:sz w:val="24"/>
                <w:szCs w:val="24"/>
                <w:highlight w:val="none"/>
                <w:lang w:val="en-US" w:eastAsia="zh-CN" w:bidi="ar-SA"/>
              </w:rPr>
              <w:t>项目浴室柜</w:t>
            </w:r>
            <w:r>
              <w:rPr>
                <w:rFonts w:hint="default" w:ascii="Times New Roman" w:hAnsi="Times New Roman" w:eastAsia="宋体" w:cs="Times New Roman"/>
                <w:color w:val="auto"/>
                <w:kern w:val="2"/>
                <w:sz w:val="24"/>
                <w:szCs w:val="24"/>
                <w:highlight w:val="none"/>
                <w:lang w:val="en-US" w:eastAsia="zh-CN" w:bidi="ar-SA"/>
              </w:rPr>
              <w:t>生产加工过程</w:t>
            </w:r>
            <w:r>
              <w:rPr>
                <w:rFonts w:hint="default" w:ascii="Times New Roman" w:hAnsi="Times New Roman" w:eastAsia="宋体" w:cs="Times New Roman"/>
                <w:color w:val="auto"/>
                <w:kern w:val="0"/>
                <w:sz w:val="24"/>
                <w:szCs w:val="24"/>
                <w:highlight w:val="none"/>
                <w:lang w:val="en-US" w:eastAsia="zh-CN" w:bidi="ar"/>
              </w:rPr>
              <w:t>中下料、机加工等工序，</w:t>
            </w:r>
            <w:r>
              <w:rPr>
                <w:rFonts w:hint="default" w:ascii="Times New Roman" w:hAnsi="Times New Roman" w:eastAsia="宋体" w:cs="Times New Roman"/>
                <w:color w:val="auto"/>
                <w:kern w:val="2"/>
                <w:sz w:val="24"/>
                <w:szCs w:val="24"/>
                <w:highlight w:val="none"/>
                <w:lang w:val="en-US" w:eastAsia="zh-CN" w:bidi="ar-SA"/>
              </w:rPr>
              <w:t>会有一定的</w:t>
            </w:r>
            <w:r>
              <w:rPr>
                <w:rFonts w:hint="default" w:ascii="Times New Roman" w:hAnsi="Times New Roman" w:cs="Times New Roman"/>
                <w:color w:val="auto"/>
                <w:kern w:val="2"/>
                <w:sz w:val="24"/>
                <w:szCs w:val="24"/>
                <w:highlight w:val="none"/>
                <w:lang w:val="en-US" w:eastAsia="zh-CN" w:bidi="ar-SA"/>
              </w:rPr>
              <w:t>木材</w:t>
            </w:r>
            <w:r>
              <w:rPr>
                <w:rFonts w:hint="default" w:ascii="Times New Roman" w:hAnsi="Times New Roman" w:eastAsia="宋体" w:cs="Times New Roman"/>
                <w:color w:val="auto"/>
                <w:kern w:val="2"/>
                <w:sz w:val="24"/>
                <w:szCs w:val="24"/>
                <w:highlight w:val="none"/>
                <w:lang w:val="en-US" w:eastAsia="zh-CN" w:bidi="ar-SA"/>
              </w:rPr>
              <w:t>边角废料产生</w:t>
            </w:r>
            <w:r>
              <w:rPr>
                <w:rFonts w:hint="default" w:ascii="Times New Roman" w:hAnsi="Times New Roman" w:cs="Times New Roman"/>
                <w:color w:val="auto"/>
                <w:kern w:val="2"/>
                <w:sz w:val="24"/>
                <w:szCs w:val="24"/>
                <w:highlight w:val="none"/>
                <w:lang w:val="en-US" w:eastAsia="zh-CN" w:bidi="ar-SA"/>
              </w:rPr>
              <w:t>，根据建设单位提供资料，成品率为8</w:t>
            </w:r>
            <w:r>
              <w:rPr>
                <w:rFonts w:hint="eastAsia" w:cs="Times New Roman"/>
                <w:color w:val="auto"/>
                <w:kern w:val="2"/>
                <w:sz w:val="24"/>
                <w:szCs w:val="24"/>
                <w:highlight w:val="none"/>
                <w:lang w:val="en-US" w:eastAsia="zh-CN" w:bidi="ar-SA"/>
              </w:rPr>
              <w:t>0</w:t>
            </w:r>
            <w:r>
              <w:rPr>
                <w:rFonts w:hint="default"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sz w:val="24"/>
                <w:szCs w:val="24"/>
                <w:highlight w:val="none"/>
                <w:lang w:val="en-US" w:eastAsia="zh-CN"/>
              </w:rPr>
              <w:t>项目原料中纤板、</w:t>
            </w:r>
            <w:r>
              <w:rPr>
                <w:rFonts w:hint="eastAsia" w:cs="Times New Roman"/>
                <w:color w:val="auto"/>
                <w:sz w:val="24"/>
                <w:szCs w:val="24"/>
                <w:highlight w:val="none"/>
                <w:lang w:val="en-US" w:eastAsia="zh-CN"/>
              </w:rPr>
              <w:t>多层板</w:t>
            </w:r>
            <w:r>
              <w:rPr>
                <w:rFonts w:hint="default" w:ascii="Times New Roman" w:hAnsi="Times New Roman" w:eastAsia="宋体" w:cs="Times New Roman"/>
                <w:color w:val="auto"/>
                <w:sz w:val="24"/>
                <w:szCs w:val="24"/>
                <w:highlight w:val="none"/>
                <w:lang w:val="en-US" w:eastAsia="zh-CN"/>
              </w:rPr>
              <w:t>用量为225m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w:t>
            </w:r>
            <w:r>
              <w:rPr>
                <w:rFonts w:hint="default" w:ascii="Times New Roman" w:hAnsi="Times New Roman" w:cs="Times New Roman"/>
                <w:color w:val="auto"/>
                <w:sz w:val="24"/>
                <w:szCs w:val="24"/>
                <w:highlight w:val="none"/>
                <w:lang w:val="en-US" w:eastAsia="zh-CN"/>
              </w:rPr>
              <w:t>（密度约为0.8t</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cs="Times New Roman"/>
                <w:color w:val="auto"/>
                <w:kern w:val="2"/>
                <w:sz w:val="24"/>
                <w:szCs w:val="24"/>
                <w:highlight w:val="none"/>
                <w:lang w:val="en-US" w:eastAsia="zh-CN" w:bidi="ar-SA"/>
              </w:rPr>
              <w:t>折合180t/a</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kern w:val="2"/>
                <w:sz w:val="24"/>
                <w:szCs w:val="24"/>
                <w:highlight w:val="none"/>
                <w:lang w:val="en-US" w:eastAsia="zh-CN" w:bidi="ar-SA"/>
              </w:rPr>
              <w:t>，则</w:t>
            </w:r>
            <w:r>
              <w:rPr>
                <w:rFonts w:hint="default" w:ascii="Times New Roman" w:hAnsi="Times New Roman" w:cs="Times New Roman"/>
                <w:color w:val="auto"/>
                <w:kern w:val="2"/>
                <w:sz w:val="24"/>
                <w:szCs w:val="24"/>
                <w:highlight w:val="none"/>
                <w:lang w:val="en-US" w:eastAsia="zh-CN" w:bidi="ar-SA"/>
              </w:rPr>
              <w:t>木屑、木材</w:t>
            </w:r>
            <w:r>
              <w:rPr>
                <w:rFonts w:hint="default" w:ascii="Times New Roman" w:hAnsi="Times New Roman" w:eastAsia="宋体" w:cs="Times New Roman"/>
                <w:color w:val="auto"/>
                <w:kern w:val="2"/>
                <w:sz w:val="24"/>
                <w:szCs w:val="24"/>
                <w:highlight w:val="none"/>
                <w:lang w:val="en-US" w:eastAsia="zh-CN" w:bidi="ar-SA"/>
              </w:rPr>
              <w:t>边角料产生量约</w:t>
            </w:r>
            <w:r>
              <w:rPr>
                <w:rFonts w:hint="eastAsia" w:cs="Times New Roman"/>
                <w:color w:val="auto"/>
                <w:kern w:val="2"/>
                <w:sz w:val="24"/>
                <w:szCs w:val="24"/>
                <w:highlight w:val="none"/>
                <w:lang w:val="en-US" w:eastAsia="zh-CN" w:bidi="ar-SA"/>
              </w:rPr>
              <w:t>36</w:t>
            </w:r>
            <w:r>
              <w:rPr>
                <w:rFonts w:hint="default" w:ascii="Times New Roman" w:hAnsi="Times New Roman" w:eastAsia="宋体" w:cs="Times New Roman"/>
                <w:color w:val="auto"/>
                <w:kern w:val="2"/>
                <w:sz w:val="24"/>
                <w:szCs w:val="24"/>
                <w:highlight w:val="none"/>
                <w:lang w:val="en-US" w:eastAsia="zh-CN" w:bidi="ar-SA"/>
              </w:rPr>
              <w:t>t/a，</w:t>
            </w:r>
            <w:r>
              <w:rPr>
                <w:rFonts w:hint="default" w:ascii="Times New Roman" w:hAnsi="Times New Roman" w:eastAsia="宋体" w:cs="Times New Roman"/>
                <w:color w:val="auto"/>
                <w:kern w:val="0"/>
                <w:sz w:val="24"/>
                <w:szCs w:val="24"/>
                <w:highlight w:val="none"/>
                <w:lang w:val="en-US" w:eastAsia="zh-CN" w:bidi="ar"/>
              </w:rPr>
              <w:t>根 据 《 一 般 固 体 废 物 分 类 与 代 码 》（GB/T39198-2020），木屑、木板边角料类别代码为03，代码为211-001-03。木屑、木板边角料经收集后外售给相关企业回收利用</w:t>
            </w:r>
            <w:r>
              <w:rPr>
                <w:rFonts w:hint="eastAsia" w:ascii="Times New Roman" w:hAnsi="Times New Roman" w:cs="Times New Roman"/>
                <w:color w:val="auto"/>
                <w:kern w:val="0"/>
                <w:sz w:val="24"/>
                <w:szCs w:val="24"/>
                <w:highlight w:val="none"/>
                <w:lang w:val="en-US" w:eastAsia="zh-CN" w:bidi="ar"/>
              </w:rPr>
              <w:t>。</w:t>
            </w:r>
          </w:p>
          <w:p>
            <w:pPr>
              <w:pStyle w:val="34"/>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right="0" w:firstLine="480" w:firstLineChars="200"/>
              <w:jc w:val="left"/>
              <w:textAlignment w:val="auto"/>
              <w:rPr>
                <w:rFonts w:hint="default" w:ascii="Times New Roman" w:hAnsi="Times New Roman" w:eastAsia="宋体" w:cs="Times New Roman"/>
                <w:color w:val="auto"/>
                <w:kern w:val="2"/>
                <w:sz w:val="24"/>
                <w:szCs w:val="24"/>
                <w:highlight w:val="none"/>
                <w:lang w:val="en-GB" w:eastAsia="zh-CN" w:bidi="ar-SA"/>
              </w:rPr>
            </w:pPr>
            <w:r>
              <w:rPr>
                <w:rFonts w:hint="default" w:ascii="Times New Roman" w:hAnsi="Times New Roman" w:eastAsia="宋体" w:cs="Times New Roman"/>
                <w:color w:val="auto"/>
                <w:kern w:val="2"/>
                <w:sz w:val="24"/>
                <w:szCs w:val="24"/>
                <w:highlight w:val="none"/>
                <w:lang w:val="en-GB" w:eastAsia="zh-CN" w:bidi="ar-SA"/>
              </w:rPr>
              <w:t>危险废物</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 xml:space="preserve">①废活性炭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cs="Times New Roman"/>
                <w:color w:val="auto"/>
                <w:sz w:val="24"/>
                <w:szCs w:val="24"/>
                <w:highlight w:val="none"/>
                <w:lang w:eastAsia="zh-CN"/>
              </w:rPr>
            </w:pPr>
            <w:r>
              <w:rPr>
                <w:rFonts w:hint="default" w:ascii="Times New Roman" w:hAnsi="Times New Roman" w:eastAsia="宋体" w:cs="Times New Roman"/>
                <w:color w:val="auto"/>
                <w:kern w:val="0"/>
                <w:sz w:val="24"/>
                <w:szCs w:val="24"/>
                <w:highlight w:val="none"/>
                <w:lang w:val="en-US" w:eastAsia="zh-CN" w:bidi="ar"/>
              </w:rPr>
              <w:t>项目采用</w:t>
            </w:r>
            <w:r>
              <w:rPr>
                <w:rFonts w:hint="eastAsia" w:cs="Times New Roman"/>
                <w:color w:val="auto"/>
                <w:kern w:val="0"/>
                <w:sz w:val="24"/>
                <w:szCs w:val="24"/>
                <w:highlight w:val="none"/>
                <w:lang w:val="en-US" w:eastAsia="zh-CN" w:bidi="ar"/>
              </w:rPr>
              <w:t>二级</w:t>
            </w:r>
            <w:r>
              <w:rPr>
                <w:rFonts w:hint="default" w:ascii="Times New Roman" w:hAnsi="Times New Roman" w:eastAsia="宋体" w:cs="Times New Roman"/>
                <w:color w:val="auto"/>
                <w:kern w:val="0"/>
                <w:sz w:val="24"/>
                <w:szCs w:val="24"/>
                <w:highlight w:val="none"/>
                <w:lang w:val="en-US" w:eastAsia="zh-CN" w:bidi="ar"/>
              </w:rPr>
              <w:t>活性炭吸附处理</w:t>
            </w:r>
            <w:r>
              <w:rPr>
                <w:rFonts w:hint="default" w:ascii="Times New Roman" w:hAnsi="Times New Roman" w:cs="Times New Roman"/>
                <w:color w:val="auto"/>
                <w:kern w:val="0"/>
                <w:sz w:val="24"/>
                <w:szCs w:val="24"/>
                <w:highlight w:val="none"/>
                <w:lang w:val="en-US" w:eastAsia="zh-CN" w:bidi="ar"/>
              </w:rPr>
              <w:t>制芯、</w:t>
            </w:r>
            <w:r>
              <w:rPr>
                <w:rFonts w:hint="default" w:ascii="Times New Roman" w:hAnsi="Times New Roman" w:eastAsia="宋体" w:cs="Times New Roman"/>
                <w:color w:val="auto"/>
                <w:kern w:val="0"/>
                <w:sz w:val="24"/>
                <w:szCs w:val="24"/>
                <w:highlight w:val="none"/>
                <w:lang w:val="en-US" w:eastAsia="zh-CN" w:bidi="ar"/>
              </w:rPr>
              <w:t>浇注、压铸、</w:t>
            </w:r>
            <w:r>
              <w:rPr>
                <w:rFonts w:hint="default" w:ascii="Times New Roman" w:hAnsi="Times New Roman" w:cs="Times New Roman"/>
                <w:color w:val="auto"/>
                <w:kern w:val="0"/>
                <w:sz w:val="24"/>
                <w:szCs w:val="24"/>
                <w:highlight w:val="none"/>
                <w:lang w:val="en-US" w:eastAsia="zh-CN" w:bidi="ar"/>
              </w:rPr>
              <w:t>注塑、喷漆等工序</w:t>
            </w:r>
            <w:r>
              <w:rPr>
                <w:rFonts w:hint="default" w:ascii="Times New Roman" w:hAnsi="Times New Roman" w:eastAsia="宋体" w:cs="Times New Roman"/>
                <w:color w:val="auto"/>
                <w:kern w:val="0"/>
                <w:sz w:val="24"/>
                <w:szCs w:val="24"/>
                <w:highlight w:val="none"/>
                <w:lang w:val="en-US" w:eastAsia="zh-CN" w:bidi="ar"/>
              </w:rPr>
              <w:t>产生的有机废气，均采用活性炭吸附处理，活性炭吸附效率为50%，项目1.21</w:t>
            </w:r>
            <w:r>
              <w:rPr>
                <w:rFonts w:hint="eastAsia" w:cs="Times New Roman"/>
                <w:color w:val="auto"/>
                <w:kern w:val="0"/>
                <w:sz w:val="24"/>
                <w:szCs w:val="24"/>
                <w:highlight w:val="none"/>
                <w:lang w:val="en-US" w:eastAsia="zh-CN" w:bidi="ar"/>
              </w:rPr>
              <w:t>30</w:t>
            </w:r>
            <w:r>
              <w:rPr>
                <w:rFonts w:hint="default" w:ascii="Times New Roman" w:hAnsi="Times New Roman" w:eastAsia="宋体" w:cs="Times New Roman"/>
                <w:color w:val="auto"/>
                <w:kern w:val="0"/>
                <w:sz w:val="24"/>
                <w:szCs w:val="24"/>
                <w:highlight w:val="none"/>
                <w:lang w:val="en-US" w:eastAsia="zh-CN" w:bidi="ar"/>
              </w:rPr>
              <w:t>t/a非甲烷总烃被吸附，活性炭对有机废气的吸附容量为0.2kg/kg，则至少需要活性炭6.065t/a。</w:t>
            </w:r>
            <w:r>
              <w:rPr>
                <w:rFonts w:hint="default" w:ascii="Times New Roman" w:hAnsi="Times New Roman" w:eastAsia="宋体" w:cs="Times New Roman"/>
                <w:color w:val="0000FF"/>
                <w:kern w:val="0"/>
                <w:sz w:val="24"/>
                <w:szCs w:val="24"/>
                <w:highlight w:val="none"/>
                <w:lang w:val="en-US" w:eastAsia="zh-CN" w:bidi="ar"/>
              </w:rPr>
              <w:t>项目</w:t>
            </w:r>
            <w:r>
              <w:rPr>
                <w:rFonts w:hint="eastAsia" w:cs="Times New Roman"/>
                <w:color w:val="0000FF"/>
                <w:kern w:val="0"/>
                <w:sz w:val="24"/>
                <w:szCs w:val="24"/>
                <w:highlight w:val="none"/>
                <w:lang w:val="en-US" w:eastAsia="zh-CN" w:bidi="ar"/>
              </w:rPr>
              <w:t>单级</w:t>
            </w:r>
            <w:r>
              <w:rPr>
                <w:rFonts w:hint="default" w:ascii="Times New Roman" w:hAnsi="Times New Roman" w:eastAsia="宋体" w:cs="Times New Roman"/>
                <w:color w:val="0000FF"/>
                <w:kern w:val="0"/>
                <w:sz w:val="24"/>
                <w:szCs w:val="24"/>
                <w:highlight w:val="none"/>
                <w:lang w:val="en-US" w:eastAsia="zh-CN" w:bidi="ar"/>
              </w:rPr>
              <w:t>活性炭箱容量</w:t>
            </w:r>
            <w:r>
              <w:rPr>
                <w:rFonts w:hint="eastAsia" w:cs="Times New Roman"/>
                <w:color w:val="0000FF"/>
                <w:kern w:val="0"/>
                <w:sz w:val="24"/>
                <w:szCs w:val="24"/>
                <w:highlight w:val="none"/>
                <w:lang w:val="en-US" w:eastAsia="zh-CN" w:bidi="ar"/>
              </w:rPr>
              <w:t>均</w:t>
            </w:r>
            <w:r>
              <w:rPr>
                <w:rFonts w:hint="default" w:ascii="Times New Roman" w:hAnsi="Times New Roman" w:eastAsia="宋体" w:cs="Times New Roman"/>
                <w:color w:val="0000FF"/>
                <w:kern w:val="0"/>
                <w:sz w:val="24"/>
                <w:szCs w:val="24"/>
                <w:highlight w:val="none"/>
                <w:lang w:val="en-US" w:eastAsia="zh-CN" w:bidi="ar"/>
              </w:rPr>
              <w:t>为</w:t>
            </w:r>
            <w:r>
              <w:rPr>
                <w:rFonts w:hint="eastAsia" w:cs="Times New Roman"/>
                <w:color w:val="0000FF"/>
                <w:kern w:val="0"/>
                <w:sz w:val="24"/>
                <w:szCs w:val="24"/>
                <w:highlight w:val="none"/>
                <w:lang w:val="en-US" w:eastAsia="zh-CN" w:bidi="ar"/>
              </w:rPr>
              <w:t>1.5</w:t>
            </w:r>
            <w:r>
              <w:rPr>
                <w:rFonts w:hint="default" w:ascii="Times New Roman" w:hAnsi="Times New Roman" w:eastAsia="宋体" w:cs="Times New Roman"/>
                <w:color w:val="0000FF"/>
                <w:kern w:val="0"/>
                <w:sz w:val="24"/>
                <w:szCs w:val="24"/>
                <w:highlight w:val="none"/>
                <w:lang w:val="en-US" w:eastAsia="zh-CN" w:bidi="ar"/>
              </w:rPr>
              <w:t>m</w:t>
            </w:r>
            <w:r>
              <w:rPr>
                <w:rFonts w:hint="default" w:ascii="Times New Roman" w:hAnsi="Times New Roman" w:eastAsia="宋体" w:cs="Times New Roman"/>
                <w:color w:val="0000FF"/>
                <w:kern w:val="0"/>
                <w:sz w:val="24"/>
                <w:szCs w:val="24"/>
                <w:highlight w:val="none"/>
                <w:vertAlign w:val="superscript"/>
                <w:lang w:val="en-US" w:eastAsia="zh-CN" w:bidi="ar"/>
              </w:rPr>
              <w:t>3</w:t>
            </w:r>
            <w:r>
              <w:rPr>
                <w:rFonts w:hint="default" w:ascii="Times New Roman" w:hAnsi="Times New Roman" w:eastAsia="宋体" w:cs="Times New Roman"/>
                <w:color w:val="0000FF"/>
                <w:kern w:val="0"/>
                <w:sz w:val="24"/>
                <w:szCs w:val="24"/>
                <w:highlight w:val="none"/>
                <w:lang w:val="en-US" w:eastAsia="zh-CN" w:bidi="ar"/>
              </w:rPr>
              <w:t>，</w:t>
            </w:r>
            <w:r>
              <w:rPr>
                <w:rFonts w:hint="eastAsia" w:cs="Times New Roman"/>
                <w:color w:val="0000FF"/>
                <w:kern w:val="0"/>
                <w:sz w:val="24"/>
                <w:szCs w:val="24"/>
                <w:highlight w:val="none"/>
                <w:lang w:val="en-US" w:eastAsia="zh-CN" w:bidi="ar"/>
              </w:rPr>
              <w:t>二级</w:t>
            </w:r>
            <w:r>
              <w:rPr>
                <w:rFonts w:hint="default" w:ascii="Times New Roman" w:hAnsi="Times New Roman" w:eastAsia="宋体" w:cs="Times New Roman"/>
                <w:color w:val="0000FF"/>
                <w:kern w:val="0"/>
                <w:sz w:val="24"/>
                <w:szCs w:val="24"/>
                <w:highlight w:val="none"/>
                <w:lang w:val="en-US" w:eastAsia="zh-CN" w:bidi="ar"/>
              </w:rPr>
              <w:t>活性炭箱</w:t>
            </w:r>
            <w:r>
              <w:rPr>
                <w:rFonts w:hint="eastAsia" w:ascii="Times New Roman" w:hAnsi="Times New Roman" w:eastAsia="宋体" w:cs="Times New Roman"/>
                <w:color w:val="0000FF"/>
                <w:kern w:val="0"/>
                <w:sz w:val="24"/>
                <w:szCs w:val="24"/>
                <w:highlight w:val="none"/>
                <w:lang w:val="en-US" w:eastAsia="zh-CN" w:bidi="ar"/>
              </w:rPr>
              <w:t>总</w:t>
            </w:r>
            <w:r>
              <w:rPr>
                <w:rFonts w:hint="default" w:ascii="Times New Roman" w:hAnsi="Times New Roman" w:eastAsia="宋体" w:cs="Times New Roman"/>
                <w:color w:val="0000FF"/>
                <w:kern w:val="0"/>
                <w:sz w:val="24"/>
                <w:szCs w:val="24"/>
                <w:highlight w:val="none"/>
                <w:lang w:val="en-US" w:eastAsia="zh-CN" w:bidi="ar"/>
              </w:rPr>
              <w:t>容量为</w:t>
            </w:r>
            <w:r>
              <w:rPr>
                <w:rFonts w:hint="eastAsia" w:cs="Times New Roman"/>
                <w:color w:val="0000FF"/>
                <w:kern w:val="0"/>
                <w:sz w:val="24"/>
                <w:szCs w:val="24"/>
                <w:highlight w:val="none"/>
                <w:lang w:val="en-US" w:eastAsia="zh-CN" w:bidi="ar"/>
              </w:rPr>
              <w:t>3</w:t>
            </w:r>
            <w:r>
              <w:rPr>
                <w:rFonts w:hint="default" w:ascii="Times New Roman" w:hAnsi="Times New Roman" w:eastAsia="宋体" w:cs="Times New Roman"/>
                <w:color w:val="0000FF"/>
                <w:kern w:val="0"/>
                <w:sz w:val="24"/>
                <w:szCs w:val="24"/>
                <w:highlight w:val="none"/>
                <w:lang w:val="en-US" w:eastAsia="zh-CN" w:bidi="ar"/>
              </w:rPr>
              <w:t>m</w:t>
            </w:r>
            <w:r>
              <w:rPr>
                <w:rFonts w:hint="default" w:ascii="Times New Roman" w:hAnsi="Times New Roman" w:eastAsia="宋体" w:cs="Times New Roman"/>
                <w:color w:val="0000FF"/>
                <w:kern w:val="0"/>
                <w:sz w:val="24"/>
                <w:szCs w:val="24"/>
                <w:highlight w:val="none"/>
                <w:vertAlign w:val="superscript"/>
                <w:lang w:val="en-US" w:eastAsia="zh-CN" w:bidi="ar"/>
              </w:rPr>
              <w:t>3</w:t>
            </w:r>
            <w:r>
              <w:rPr>
                <w:rFonts w:hint="default" w:ascii="Times New Roman" w:hAnsi="Times New Roman" w:eastAsia="宋体" w:cs="Times New Roman"/>
                <w:color w:val="0000FF"/>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废气进入吸附塔内气速为控制约为1.0m/s、气流停留时间约为1.2s，项目使用的活性炭碘值为800毫克/克，密度约为0.65t/m³，</w:t>
            </w:r>
            <w:r>
              <w:rPr>
                <w:rFonts w:hint="default" w:ascii="Times New Roman" w:hAnsi="Times New Roman" w:eastAsia="宋体" w:cs="Times New Roman"/>
                <w:color w:val="0000FF"/>
                <w:kern w:val="0"/>
                <w:sz w:val="24"/>
                <w:szCs w:val="24"/>
                <w:highlight w:val="none"/>
                <w:lang w:val="en-US" w:eastAsia="zh-CN" w:bidi="ar"/>
              </w:rPr>
              <w:t>活性炭填箱</w:t>
            </w:r>
            <w:r>
              <w:rPr>
                <w:rFonts w:hint="eastAsia" w:cs="Times New Roman"/>
                <w:color w:val="0000FF"/>
                <w:kern w:val="0"/>
                <w:sz w:val="24"/>
                <w:szCs w:val="24"/>
                <w:highlight w:val="none"/>
                <w:lang w:val="en-US" w:eastAsia="zh-CN" w:bidi="ar"/>
              </w:rPr>
              <w:t>总</w:t>
            </w:r>
            <w:r>
              <w:rPr>
                <w:rFonts w:hint="default" w:ascii="Times New Roman" w:hAnsi="Times New Roman" w:eastAsia="宋体" w:cs="Times New Roman"/>
                <w:color w:val="0000FF"/>
                <w:kern w:val="0"/>
                <w:sz w:val="24"/>
                <w:szCs w:val="24"/>
                <w:highlight w:val="none"/>
                <w:lang w:val="en-US" w:eastAsia="zh-CN" w:bidi="ar"/>
              </w:rPr>
              <w:t>量约为1.95t/a，</w:t>
            </w:r>
            <w:r>
              <w:rPr>
                <w:rFonts w:hint="default" w:ascii="Times New Roman" w:hAnsi="Times New Roman" w:cs="Times New Roman"/>
                <w:color w:val="0000FF"/>
                <w:sz w:val="24"/>
                <w:szCs w:val="24"/>
                <w:highlight w:val="none"/>
                <w:lang w:eastAsia="zh-CN"/>
              </w:rPr>
              <w:t>活性炭更换周期为</w:t>
            </w:r>
            <w:r>
              <w:rPr>
                <w:rFonts w:hint="default" w:ascii="Times New Roman" w:hAnsi="Times New Roman" w:cs="Times New Roman"/>
                <w:color w:val="0000FF"/>
                <w:sz w:val="24"/>
                <w:szCs w:val="24"/>
                <w:highlight w:val="none"/>
                <w:lang w:val="en-US" w:eastAsia="zh-CN"/>
              </w:rPr>
              <w:t>3个月</w:t>
            </w:r>
            <w:r>
              <w:rPr>
                <w:rFonts w:hint="default" w:ascii="Times New Roman" w:hAnsi="Times New Roman" w:eastAsia="宋体" w:cs="Times New Roman"/>
                <w:color w:val="0000FF"/>
                <w:sz w:val="24"/>
                <w:szCs w:val="24"/>
                <w:highlight w:val="none"/>
                <w:lang w:eastAsia="zh-CN"/>
              </w:rPr>
              <w:t>，</w:t>
            </w:r>
            <w:r>
              <w:rPr>
                <w:rFonts w:hint="default" w:ascii="Times New Roman" w:hAnsi="Times New Roman" w:eastAsia="宋体" w:cs="Times New Roman"/>
                <w:color w:val="0000FF"/>
                <w:sz w:val="24"/>
                <w:szCs w:val="24"/>
                <w:highlight w:val="none"/>
                <w:lang w:val="en-US" w:eastAsia="zh-CN"/>
              </w:rPr>
              <w:t>则</w:t>
            </w:r>
            <w:r>
              <w:rPr>
                <w:rFonts w:hint="default" w:ascii="Times New Roman" w:hAnsi="Times New Roman" w:eastAsia="宋体" w:cs="Times New Roman"/>
                <w:color w:val="0000FF"/>
                <w:sz w:val="24"/>
                <w:szCs w:val="24"/>
                <w:highlight w:val="none"/>
                <w:lang w:eastAsia="zh-CN"/>
              </w:rPr>
              <w:t>活性炭</w:t>
            </w:r>
            <w:r>
              <w:rPr>
                <w:rFonts w:hint="eastAsia" w:cs="Times New Roman"/>
                <w:color w:val="0000FF"/>
                <w:sz w:val="24"/>
                <w:szCs w:val="24"/>
                <w:highlight w:val="none"/>
                <w:lang w:val="en-US" w:eastAsia="zh-CN"/>
              </w:rPr>
              <w:t>总</w:t>
            </w:r>
            <w:r>
              <w:rPr>
                <w:rFonts w:hint="default" w:ascii="Times New Roman" w:hAnsi="Times New Roman" w:eastAsia="宋体" w:cs="Times New Roman"/>
                <w:color w:val="0000FF"/>
                <w:sz w:val="24"/>
                <w:szCs w:val="24"/>
                <w:highlight w:val="none"/>
                <w:lang w:val="en-US" w:eastAsia="zh-CN"/>
              </w:rPr>
              <w:t>用量</w:t>
            </w:r>
            <w:r>
              <w:rPr>
                <w:rFonts w:hint="default" w:ascii="Times New Roman" w:hAnsi="Times New Roman" w:eastAsia="宋体" w:cs="Times New Roman"/>
                <w:color w:val="0000FF"/>
                <w:sz w:val="24"/>
                <w:szCs w:val="24"/>
                <w:highlight w:val="none"/>
                <w:lang w:eastAsia="zh-CN"/>
              </w:rPr>
              <w:t>为</w:t>
            </w:r>
            <w:r>
              <w:rPr>
                <w:rFonts w:hint="default" w:ascii="Times New Roman" w:hAnsi="Times New Roman" w:cs="Times New Roman"/>
                <w:color w:val="0000FF"/>
                <w:sz w:val="24"/>
                <w:szCs w:val="24"/>
                <w:highlight w:val="none"/>
                <w:lang w:val="en-US" w:eastAsia="zh-CN"/>
              </w:rPr>
              <w:t>7.8</w:t>
            </w:r>
            <w:r>
              <w:rPr>
                <w:rFonts w:hint="default" w:ascii="Times New Roman" w:hAnsi="Times New Roman" w:eastAsia="宋体" w:cs="Times New Roman"/>
                <w:color w:val="0000FF"/>
                <w:sz w:val="24"/>
                <w:szCs w:val="24"/>
                <w:highlight w:val="none"/>
                <w:lang w:eastAsia="zh-CN"/>
              </w:rPr>
              <w:t>t/a，</w:t>
            </w:r>
            <w:r>
              <w:rPr>
                <w:rFonts w:hint="default" w:ascii="Times New Roman" w:hAnsi="Times New Roman" w:cs="Times New Roman"/>
                <w:color w:val="0000FF"/>
                <w:sz w:val="24"/>
                <w:szCs w:val="24"/>
                <w:highlight w:val="none"/>
                <w:lang w:eastAsia="zh-CN"/>
              </w:rPr>
              <w:t>大于</w:t>
            </w:r>
            <w:r>
              <w:rPr>
                <w:rFonts w:hint="default" w:ascii="Times New Roman" w:hAnsi="Times New Roman" w:eastAsia="宋体" w:cs="Times New Roman"/>
                <w:color w:val="0000FF"/>
                <w:kern w:val="0"/>
                <w:sz w:val="24"/>
                <w:szCs w:val="24"/>
                <w:highlight w:val="none"/>
                <w:lang w:val="en-US" w:eastAsia="zh-CN" w:bidi="ar"/>
              </w:rPr>
              <w:t>6.065t/a</w:t>
            </w:r>
            <w:r>
              <w:rPr>
                <w:rFonts w:hint="default" w:ascii="Times New Roman" w:hAnsi="Times New Roman" w:eastAsia="宋体" w:cs="Times New Roman"/>
                <w:color w:val="0000FF"/>
                <w:sz w:val="24"/>
                <w:szCs w:val="24"/>
                <w:highlight w:val="none"/>
                <w:lang w:eastAsia="zh-CN"/>
              </w:rPr>
              <w:t>，</w:t>
            </w:r>
            <w:r>
              <w:rPr>
                <w:rFonts w:hint="default" w:ascii="Times New Roman" w:hAnsi="Times New Roman" w:cs="Times New Roman"/>
                <w:color w:val="0000FF"/>
                <w:sz w:val="24"/>
                <w:szCs w:val="24"/>
                <w:highlight w:val="none"/>
                <w:lang w:val="en-US" w:eastAsia="zh-CN"/>
              </w:rPr>
              <w:t>满足</w:t>
            </w:r>
            <w:r>
              <w:rPr>
                <w:rFonts w:hint="default" w:ascii="Times New Roman" w:hAnsi="Times New Roman" w:eastAsia="宋体" w:cs="Times New Roman"/>
                <w:color w:val="0000FF"/>
                <w:kern w:val="0"/>
                <w:sz w:val="24"/>
                <w:szCs w:val="24"/>
                <w:highlight w:val="none"/>
                <w:lang w:val="en-US" w:eastAsia="zh-CN" w:bidi="ar"/>
              </w:rPr>
              <w:t>活性炭</w:t>
            </w:r>
            <w:r>
              <w:rPr>
                <w:rFonts w:hint="default" w:ascii="Times New Roman" w:hAnsi="Times New Roman" w:cs="Times New Roman"/>
                <w:color w:val="0000FF"/>
                <w:kern w:val="0"/>
                <w:sz w:val="24"/>
                <w:szCs w:val="24"/>
                <w:highlight w:val="none"/>
                <w:lang w:val="en-US" w:eastAsia="zh-CN" w:bidi="ar"/>
              </w:rPr>
              <w:t>用量</w:t>
            </w:r>
            <w:r>
              <w:rPr>
                <w:rFonts w:hint="default" w:ascii="Times New Roman" w:hAnsi="Times New Roman" w:cs="Times New Roman"/>
                <w:color w:val="0000FF"/>
                <w:sz w:val="24"/>
                <w:szCs w:val="24"/>
                <w:highlight w:val="none"/>
                <w:lang w:val="en-US" w:eastAsia="zh-CN"/>
              </w:rPr>
              <w:t>需求，</w:t>
            </w:r>
            <w:r>
              <w:rPr>
                <w:rFonts w:hint="default" w:ascii="Times New Roman" w:hAnsi="Times New Roman" w:eastAsia="宋体" w:cs="Times New Roman"/>
                <w:color w:val="0000FF"/>
                <w:sz w:val="24"/>
                <w:szCs w:val="24"/>
                <w:highlight w:val="none"/>
                <w:lang w:val="en-US" w:eastAsia="zh-CN"/>
              </w:rPr>
              <w:t>项目</w:t>
            </w:r>
            <w:r>
              <w:rPr>
                <w:rFonts w:hint="default" w:ascii="Times New Roman" w:hAnsi="Times New Roman" w:eastAsia="宋体" w:cs="Times New Roman"/>
                <w:color w:val="0000FF"/>
                <w:sz w:val="24"/>
                <w:szCs w:val="24"/>
                <w:highlight w:val="none"/>
                <w:lang w:eastAsia="zh-CN"/>
              </w:rPr>
              <w:t>废活性炭</w:t>
            </w:r>
            <w:r>
              <w:rPr>
                <w:rFonts w:hint="eastAsia" w:cs="Times New Roman"/>
                <w:color w:val="0000FF"/>
                <w:sz w:val="24"/>
                <w:szCs w:val="24"/>
                <w:highlight w:val="none"/>
                <w:lang w:val="en-US" w:eastAsia="zh-CN"/>
              </w:rPr>
              <w:t>总</w:t>
            </w:r>
            <w:r>
              <w:rPr>
                <w:rFonts w:hint="default" w:ascii="Times New Roman" w:hAnsi="Times New Roman" w:eastAsia="宋体" w:cs="Times New Roman"/>
                <w:color w:val="0000FF"/>
                <w:sz w:val="24"/>
                <w:szCs w:val="24"/>
                <w:highlight w:val="none"/>
                <w:lang w:eastAsia="zh-CN"/>
              </w:rPr>
              <w:t>产生量为9.013t/a（</w:t>
            </w:r>
            <w:r>
              <w:rPr>
                <w:rFonts w:hint="default" w:ascii="Times New Roman" w:hAnsi="Times New Roman" w:eastAsia="宋体" w:cs="Times New Roman"/>
                <w:color w:val="0000FF"/>
                <w:kern w:val="0"/>
                <w:sz w:val="24"/>
                <w:szCs w:val="24"/>
                <w:highlight w:val="none"/>
                <w:lang w:val="en-US" w:eastAsia="zh-CN" w:bidi="ar"/>
              </w:rPr>
              <w:t>1.95</w:t>
            </w:r>
            <w:r>
              <w:rPr>
                <w:rFonts w:hint="default" w:ascii="Times New Roman" w:hAnsi="Times New Roman" w:eastAsia="宋体" w:cs="Times New Roman"/>
                <w:color w:val="0000FF"/>
                <w:sz w:val="24"/>
                <w:szCs w:val="24"/>
                <w:highlight w:val="none"/>
                <w:lang w:eastAsia="zh-CN"/>
              </w:rPr>
              <w:t>×</w:t>
            </w:r>
            <w:r>
              <w:rPr>
                <w:rFonts w:hint="default" w:ascii="Times New Roman" w:hAnsi="Times New Roman" w:eastAsia="宋体" w:cs="Times New Roman"/>
                <w:color w:val="0000FF"/>
                <w:sz w:val="24"/>
                <w:szCs w:val="24"/>
                <w:highlight w:val="none"/>
                <w:lang w:val="en-US" w:eastAsia="zh-CN"/>
              </w:rPr>
              <w:t>4+</w:t>
            </w:r>
            <w:r>
              <w:rPr>
                <w:rFonts w:hint="default" w:ascii="Times New Roman" w:hAnsi="Times New Roman" w:eastAsia="宋体" w:cs="Times New Roman"/>
                <w:color w:val="0000FF"/>
                <w:kern w:val="0"/>
                <w:sz w:val="24"/>
                <w:szCs w:val="24"/>
                <w:highlight w:val="none"/>
                <w:lang w:val="en-US" w:eastAsia="zh-CN" w:bidi="ar"/>
              </w:rPr>
              <w:t>1.21</w:t>
            </w:r>
            <w:r>
              <w:rPr>
                <w:rFonts w:hint="eastAsia" w:cs="Times New Roman"/>
                <w:color w:val="0000FF"/>
                <w:kern w:val="0"/>
                <w:sz w:val="24"/>
                <w:szCs w:val="24"/>
                <w:highlight w:val="none"/>
                <w:lang w:val="en-US" w:eastAsia="zh-CN" w:bidi="ar"/>
              </w:rPr>
              <w:t>30</w:t>
            </w:r>
            <w:r>
              <w:rPr>
                <w:rFonts w:hint="default" w:ascii="Times New Roman" w:hAnsi="Times New Roman" w:eastAsia="宋体" w:cs="Times New Roman"/>
                <w:color w:val="0000FF"/>
                <w:sz w:val="24"/>
                <w:szCs w:val="24"/>
                <w:highlight w:val="none"/>
                <w:lang w:val="en-US" w:eastAsia="zh-CN"/>
              </w:rPr>
              <w:t>=</w:t>
            </w:r>
            <w:r>
              <w:rPr>
                <w:rFonts w:hint="default" w:ascii="Times New Roman" w:hAnsi="Times New Roman" w:eastAsia="宋体" w:cs="Times New Roman"/>
                <w:color w:val="0000FF"/>
                <w:sz w:val="24"/>
                <w:szCs w:val="24"/>
                <w:highlight w:val="none"/>
                <w:lang w:eastAsia="zh-CN"/>
              </w:rPr>
              <w:t>9.013）</w:t>
            </w:r>
            <w:r>
              <w:rPr>
                <w:rFonts w:hint="default" w:ascii="Times New Roman" w:hAnsi="Times New Roman" w:cs="Times New Roman"/>
                <w:color w:val="0000FF"/>
                <w:sz w:val="24"/>
                <w:szCs w:val="24"/>
                <w:highlight w:val="none"/>
                <w:lang w:eastAsia="zh-CN"/>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根据《国家危险废物名录》（2021年版），</w:t>
            </w:r>
            <w:r>
              <w:rPr>
                <w:rFonts w:hint="default" w:ascii="Times New Roman" w:hAnsi="Times New Roman" w:cs="Times New Roman"/>
                <w:color w:val="auto"/>
                <w:sz w:val="24"/>
                <w:highlight w:val="none"/>
              </w:rPr>
              <w:t>废活性炭属于危险废物，危废类别为 HW49（其他废物）</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废物代码 HW49</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900-039-49（烟气、VOCs 治理过程（不</w:t>
            </w:r>
            <w:r>
              <w:rPr>
                <w:rFonts w:hint="default" w:ascii="Times New Roman" w:hAnsi="Times New Roman" w:eastAsia="宋体" w:cs="Times New Roman"/>
                <w:color w:val="auto"/>
                <w:kern w:val="0"/>
                <w:sz w:val="24"/>
                <w:szCs w:val="24"/>
                <w:highlight w:val="none"/>
                <w:lang w:val="en-US" w:eastAsia="zh-CN" w:bidi="ar"/>
              </w:rPr>
              <w:t>包括餐饮行业油烟治理过程）产生的废活性炭）。</w:t>
            </w:r>
          </w:p>
          <w:p>
            <w:pPr>
              <w:pStyle w:val="34"/>
              <w:keepNext w:val="0"/>
              <w:keepLines w:val="0"/>
              <w:pageBreakBefore w:val="0"/>
              <w:kinsoku/>
              <w:wordWrap/>
              <w:overflowPunct/>
              <w:topLinePunct w:val="0"/>
              <w:autoSpaceDE/>
              <w:autoSpaceDN/>
              <w:bidi w:val="0"/>
              <w:adjustRightInd w:val="0"/>
              <w:snapToGrid w:val="0"/>
              <w:spacing w:after="0"/>
              <w:ind w:left="0" w:leftChars="0" w:firstLine="480" w:firstLineChars="200"/>
              <w:textAlignment w:val="auto"/>
              <w:rPr>
                <w:rFonts w:hint="eastAsia" w:ascii="Times New Roman" w:hAnsi="Times New Roman"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color w:val="auto"/>
                <w:kern w:val="0"/>
                <w:sz w:val="24"/>
                <w:szCs w:val="24"/>
                <w:highlight w:val="none"/>
                <w:lang w:val="en-US" w:eastAsia="zh-CN" w:bidi="ar"/>
              </w:rPr>
              <w:instrText xml:space="preserve"> = 2 \* GB3 \* MERGEFORMAT </w:instrText>
            </w:r>
            <w:r>
              <w:rPr>
                <w:rFonts w:hint="default" w:ascii="Times New Roman" w:hAnsi="Times New Roman" w:eastAsia="宋体" w:cs="Times New Roman"/>
                <w:color w:val="auto"/>
                <w:kern w:val="0"/>
                <w:sz w:val="24"/>
                <w:szCs w:val="24"/>
                <w:highlight w:val="none"/>
                <w:lang w:val="en-US" w:eastAsia="zh-CN" w:bidi="ar"/>
              </w:rPr>
              <w:fldChar w:fldCharType="separate"/>
            </w:r>
            <w:r>
              <w:rPr>
                <w:rFonts w:hint="default" w:ascii="Times New Roman" w:hAnsi="Times New Roman" w:eastAsia="宋体" w:cs="Times New Roman"/>
                <w:color w:val="auto"/>
                <w:kern w:val="0"/>
                <w:sz w:val="24"/>
                <w:szCs w:val="24"/>
                <w:highlight w:val="none"/>
                <w:lang w:val="en-US" w:eastAsia="zh-CN" w:bidi="ar"/>
              </w:rPr>
              <w:t>②</w:t>
            </w:r>
            <w:r>
              <w:rPr>
                <w:rFonts w:hint="default" w:ascii="Times New Roman" w:hAnsi="Times New Roman" w:eastAsia="宋体" w:cs="Times New Roman"/>
                <w:color w:val="auto"/>
                <w:kern w:val="0"/>
                <w:sz w:val="24"/>
                <w:szCs w:val="24"/>
                <w:highlight w:val="none"/>
                <w:lang w:val="en-US" w:eastAsia="zh-CN" w:bidi="ar"/>
              </w:rPr>
              <w:fldChar w:fldCharType="end"/>
            </w:r>
            <w:r>
              <w:rPr>
                <w:rFonts w:hint="eastAsia" w:ascii="Times New Roman" w:hAnsi="Times New Roman" w:cs="Times New Roman"/>
                <w:color w:val="auto"/>
                <w:kern w:val="0"/>
                <w:sz w:val="24"/>
                <w:szCs w:val="24"/>
                <w:lang w:val="en-US" w:eastAsia="zh-CN" w:bidi="ar"/>
              </w:rPr>
              <w:t>铝合金炉渣</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w:t>
            </w:r>
            <w:r>
              <w:rPr>
                <w:rFonts w:hint="eastAsia" w:cs="Times New Roman"/>
                <w:color w:val="auto"/>
                <w:kern w:val="0"/>
                <w:sz w:val="24"/>
                <w:szCs w:val="24"/>
                <w:highlight w:val="none"/>
                <w:lang w:val="en-US" w:eastAsia="zh-CN" w:bidi="ar"/>
              </w:rPr>
              <w:t>铝合金锭在压铸过程</w:t>
            </w:r>
            <w:r>
              <w:rPr>
                <w:rFonts w:hint="default" w:ascii="Times New Roman" w:hAnsi="Times New Roman" w:eastAsia="宋体" w:cs="Times New Roman"/>
                <w:color w:val="auto"/>
                <w:kern w:val="0"/>
                <w:sz w:val="24"/>
                <w:szCs w:val="24"/>
                <w:highlight w:val="none"/>
                <w:lang w:val="en-US" w:eastAsia="zh-CN" w:bidi="ar"/>
              </w:rPr>
              <w:t>会产生少量的</w:t>
            </w:r>
            <w:r>
              <w:rPr>
                <w:rFonts w:hint="eastAsia" w:cs="Times New Roman"/>
                <w:color w:val="auto"/>
                <w:kern w:val="0"/>
                <w:sz w:val="24"/>
                <w:szCs w:val="24"/>
                <w:highlight w:val="none"/>
                <w:lang w:val="en-US" w:eastAsia="zh-CN" w:bidi="ar"/>
              </w:rPr>
              <w:t>铝合金</w:t>
            </w:r>
            <w:r>
              <w:rPr>
                <w:rFonts w:hint="default" w:ascii="Times New Roman" w:hAnsi="Times New Roman" w:eastAsia="宋体" w:cs="Times New Roman"/>
                <w:color w:val="auto"/>
                <w:kern w:val="0"/>
                <w:sz w:val="24"/>
                <w:szCs w:val="24"/>
                <w:highlight w:val="none"/>
                <w:lang w:val="en-US" w:eastAsia="zh-CN" w:bidi="ar"/>
              </w:rPr>
              <w:t>炉渣，</w:t>
            </w:r>
            <w:r>
              <w:rPr>
                <w:rFonts w:hint="eastAsia" w:ascii="Times New Roman" w:hAnsi="Times New Roman" w:eastAsia="宋体" w:cs="Times New Roman"/>
                <w:color w:val="auto"/>
                <w:kern w:val="0"/>
                <w:sz w:val="24"/>
                <w:szCs w:val="24"/>
                <w:highlight w:val="none"/>
                <w:lang w:val="en-US" w:eastAsia="zh-CN" w:bidi="ar"/>
              </w:rPr>
              <w:t>根据业主提供资料及物料平衡，</w:t>
            </w:r>
            <w:r>
              <w:rPr>
                <w:rFonts w:hint="eastAsia" w:cs="Times New Roman"/>
                <w:color w:val="auto"/>
                <w:kern w:val="0"/>
                <w:sz w:val="24"/>
                <w:szCs w:val="24"/>
                <w:highlight w:val="none"/>
                <w:lang w:val="en-US" w:eastAsia="zh-CN" w:bidi="ar"/>
              </w:rPr>
              <w:t>压铸过程</w:t>
            </w:r>
            <w:r>
              <w:rPr>
                <w:rFonts w:hint="default" w:ascii="Times New Roman" w:hAnsi="Times New Roman" w:eastAsia="宋体" w:cs="Times New Roman"/>
                <w:color w:val="auto"/>
                <w:kern w:val="0"/>
                <w:sz w:val="24"/>
                <w:szCs w:val="24"/>
                <w:highlight w:val="none"/>
                <w:lang w:val="en-US" w:eastAsia="zh-CN" w:bidi="ar"/>
              </w:rPr>
              <w:t>炉渣产生量约</w:t>
            </w:r>
            <w:r>
              <w:rPr>
                <w:rFonts w:hint="eastAsia" w:cs="Times New Roman"/>
                <w:color w:val="auto"/>
                <w:kern w:val="0"/>
                <w:sz w:val="24"/>
                <w:szCs w:val="24"/>
                <w:highlight w:val="none"/>
                <w:lang w:val="en-US" w:eastAsia="zh-CN" w:bidi="ar"/>
              </w:rPr>
              <w:t>27.022</w:t>
            </w:r>
            <w:r>
              <w:rPr>
                <w:rFonts w:hint="default" w:ascii="Times New Roman" w:hAnsi="Times New Roman" w:eastAsia="宋体" w:cs="Times New Roman"/>
                <w:color w:val="auto"/>
                <w:kern w:val="0"/>
                <w:sz w:val="24"/>
                <w:szCs w:val="24"/>
                <w:highlight w:val="none"/>
                <w:lang w:val="en-US" w:eastAsia="zh-CN" w:bidi="ar"/>
              </w:rPr>
              <w:t>t/a，</w:t>
            </w:r>
            <w:r>
              <w:rPr>
                <w:rFonts w:hint="default" w:ascii="Times New Roman" w:hAnsi="Times New Roman" w:eastAsia="宋体" w:cs="Times New Roman"/>
                <w:color w:val="auto"/>
                <w:kern w:val="0"/>
                <w:sz w:val="24"/>
                <w:szCs w:val="24"/>
                <w:lang w:val="en-US" w:eastAsia="zh-CN" w:bidi="ar"/>
              </w:rPr>
              <w:t>根据《国家危险废物名录（2021年</w:t>
            </w:r>
            <w:r>
              <w:rPr>
                <w:rFonts w:hint="default" w:ascii="Times New Roman" w:hAnsi="Times New Roman" w:eastAsia="宋体" w:cs="Times New Roman"/>
                <w:color w:val="auto"/>
                <w:kern w:val="0"/>
                <w:sz w:val="24"/>
                <w:szCs w:val="24"/>
                <w:highlight w:val="none"/>
                <w:lang w:val="en-US" w:eastAsia="zh-CN" w:bidi="ar"/>
              </w:rPr>
              <w:t>版）》，</w:t>
            </w:r>
            <w:r>
              <w:rPr>
                <w:rFonts w:hint="eastAsia" w:ascii="Times New Roman" w:hAnsi="Times New Roman" w:eastAsia="宋体" w:cs="Times New Roman"/>
                <w:color w:val="auto"/>
                <w:kern w:val="0"/>
                <w:sz w:val="24"/>
                <w:szCs w:val="24"/>
                <w:highlight w:val="none"/>
                <w:lang w:val="en-US" w:eastAsia="zh-CN" w:bidi="ar"/>
              </w:rPr>
              <w:t>铝合金</w:t>
            </w:r>
            <w:r>
              <w:rPr>
                <w:rFonts w:hint="default" w:ascii="Times New Roman" w:hAnsi="Times New Roman" w:eastAsia="宋体" w:cs="Times New Roman"/>
                <w:color w:val="auto"/>
                <w:kern w:val="0"/>
                <w:sz w:val="24"/>
                <w:szCs w:val="24"/>
                <w:highlight w:val="none"/>
                <w:lang w:val="en-US" w:eastAsia="zh-CN" w:bidi="ar"/>
              </w:rPr>
              <w:t xml:space="preserve">炉渣属于危险废物，危废类别为HW48 </w:t>
            </w:r>
            <w:r>
              <w:rPr>
                <w:rFonts w:hint="eastAsia" w:ascii="Times New Roman" w:hAnsi="Times New Roman" w:eastAsia="宋体" w:cs="Times New Roman"/>
                <w:color w:val="auto"/>
                <w:kern w:val="0"/>
                <w:sz w:val="24"/>
                <w:szCs w:val="24"/>
                <w:highlight w:val="none"/>
                <w:lang w:val="en-US" w:eastAsia="zh-CN" w:bidi="ar"/>
              </w:rPr>
              <w:t>有色金属采选和冶炼废物</w:t>
            </w:r>
            <w:r>
              <w:rPr>
                <w:rFonts w:hint="default" w:ascii="Times New Roman" w:hAnsi="Times New Roman" w:eastAsia="宋体" w:cs="Times New Roman"/>
                <w:color w:val="auto"/>
                <w:kern w:val="0"/>
                <w:sz w:val="24"/>
                <w:szCs w:val="24"/>
                <w:highlight w:val="none"/>
                <w:lang w:val="en-US" w:eastAsia="zh-CN" w:bidi="ar"/>
              </w:rPr>
              <w:t>，废物代码321-026-48（</w:t>
            </w:r>
            <w:r>
              <w:rPr>
                <w:rFonts w:hint="eastAsia" w:ascii="Times New Roman" w:hAnsi="Times New Roman" w:eastAsia="宋体" w:cs="Times New Roman"/>
                <w:color w:val="auto"/>
                <w:kern w:val="0"/>
                <w:sz w:val="24"/>
                <w:szCs w:val="24"/>
                <w:highlight w:val="none"/>
                <w:lang w:val="en-US" w:eastAsia="zh-CN" w:bidi="ar"/>
              </w:rPr>
              <w:t>再生铝和铝材加工过程中，废铝及铝锭重熔、精炼、合金化、铸造熔体表面产生的铝灰渣，及其回收铝过程产生的盐渣和二次铝灰</w:t>
            </w: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铝炉渣</w:t>
            </w:r>
            <w:r>
              <w:rPr>
                <w:rFonts w:hint="default" w:ascii="Times New Roman" w:hAnsi="Times New Roman" w:eastAsia="宋体" w:cs="Times New Roman"/>
                <w:color w:val="auto"/>
                <w:kern w:val="0"/>
                <w:sz w:val="24"/>
                <w:szCs w:val="24"/>
                <w:highlight w:val="none"/>
                <w:lang w:val="en-US" w:eastAsia="zh-CN" w:bidi="ar"/>
              </w:rPr>
              <w:t>经收集后暂存于危废暂存间，定期委托有资质单位处置。</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lang w:val="en-US" w:eastAsia="zh-CN" w:bidi="ar"/>
              </w:rPr>
              <w:t>③</w:t>
            </w:r>
            <w:r>
              <w:rPr>
                <w:rFonts w:hint="default" w:ascii="Times New Roman" w:hAnsi="Times New Roman" w:eastAsia="宋体" w:cs="Times New Roman"/>
                <w:color w:val="auto"/>
                <w:kern w:val="0"/>
                <w:sz w:val="24"/>
                <w:szCs w:val="24"/>
                <w:highlight w:val="none"/>
                <w:lang w:val="en-US" w:eastAsia="zh-CN" w:bidi="ar"/>
              </w:rPr>
              <w:t>废机油</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生产过程中会有废机油的产生，根据建设单位提供资料，废机油产生量约0.5t/a。根据《国家危险废物名录（2021年版）》，废机油属于危险废物，危废类别为HW08废矿物油与含矿物油废物，废物代码900-217-08（使用工业齿轮油进行机械设备润滑过程中产生的废润滑油），废机油经收集后暂存于危废暂存间，定期委托有资质单位处置。</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宋体" w:hAnsi="宋体" w:eastAsia="宋体" w:cs="宋体"/>
                <w:color w:val="auto"/>
                <w:kern w:val="0"/>
                <w:sz w:val="24"/>
                <w:szCs w:val="24"/>
                <w:lang w:val="en-US" w:eastAsia="zh-CN" w:bidi="ar"/>
              </w:rPr>
              <w:fldChar w:fldCharType="begin"/>
            </w:r>
            <w:r>
              <w:rPr>
                <w:rFonts w:hint="eastAsia" w:ascii="宋体" w:hAnsi="宋体" w:eastAsia="宋体" w:cs="宋体"/>
                <w:color w:val="auto"/>
                <w:kern w:val="0"/>
                <w:sz w:val="24"/>
                <w:szCs w:val="24"/>
                <w:lang w:val="en-US" w:eastAsia="zh-CN" w:bidi="ar"/>
              </w:rPr>
              <w:instrText xml:space="preserve"> = 4 \* GB3 \* MERGEFORMAT </w:instrText>
            </w:r>
            <w:r>
              <w:rPr>
                <w:rFonts w:hint="eastAsia" w:ascii="宋体" w:hAnsi="宋体" w:eastAsia="宋体" w:cs="宋体"/>
                <w:color w:val="auto"/>
                <w:kern w:val="0"/>
                <w:sz w:val="24"/>
                <w:szCs w:val="24"/>
                <w:lang w:val="en-US" w:eastAsia="zh-CN" w:bidi="ar"/>
              </w:rPr>
              <w:fldChar w:fldCharType="separate"/>
            </w:r>
            <w:r>
              <w:rPr>
                <w:rFonts w:hint="eastAsia" w:ascii="宋体" w:hAnsi="宋体" w:eastAsia="宋体" w:cs="宋体"/>
                <w:color w:val="auto"/>
                <w:kern w:val="0"/>
                <w:sz w:val="24"/>
                <w:szCs w:val="24"/>
                <w:lang w:val="en-US" w:eastAsia="zh-CN" w:bidi="ar"/>
              </w:rPr>
              <w:t>④</w:t>
            </w:r>
            <w:r>
              <w:rPr>
                <w:rFonts w:hint="eastAsia" w:ascii="宋体" w:hAnsi="宋体" w:eastAsia="宋体" w:cs="宋体"/>
                <w:color w:val="auto"/>
                <w:kern w:val="0"/>
                <w:sz w:val="24"/>
                <w:szCs w:val="24"/>
                <w:lang w:val="en-US" w:eastAsia="zh-CN" w:bidi="ar"/>
              </w:rPr>
              <w:fldChar w:fldCharType="end"/>
            </w:r>
            <w:r>
              <w:rPr>
                <w:rFonts w:hint="default" w:ascii="Times New Roman" w:hAnsi="Times New Roman" w:eastAsia="宋体" w:cs="Times New Roman"/>
                <w:color w:val="auto"/>
                <w:kern w:val="0"/>
                <w:sz w:val="24"/>
                <w:szCs w:val="24"/>
                <w:highlight w:val="none"/>
                <w:lang w:val="en-US" w:eastAsia="zh-CN" w:bidi="ar"/>
              </w:rPr>
              <w:t xml:space="preserve">废乳化液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项目生产过程中会有废乳化液的产生，废乳化液产生量约0.1t/a。根据《国家危险废物名录（2021年版）》，废乳化液属于危险废物，危废类别为HW09油/</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水、烃/水混合物或乳化液，废物代码900-007-09（其他工艺过程中产生的油/水、烃/水混合物或乳化液）。废乳化液经收集后暂存于危废暂存间，定期委托有资质单位处置。</w:t>
            </w:r>
          </w:p>
          <w:p>
            <w:pPr>
              <w:pStyle w:val="34"/>
              <w:keepNext w:val="0"/>
              <w:keepLines w:val="0"/>
              <w:pageBreakBefore w:val="0"/>
              <w:kinsoku/>
              <w:wordWrap/>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lang w:val="en-US" w:eastAsia="zh-CN" w:bidi="ar"/>
              </w:rPr>
              <w:fldChar w:fldCharType="begin"/>
            </w:r>
            <w:r>
              <w:rPr>
                <w:rFonts w:hint="eastAsia" w:ascii="宋体" w:hAnsi="宋体" w:eastAsia="宋体" w:cs="宋体"/>
                <w:color w:val="auto"/>
                <w:kern w:val="0"/>
                <w:sz w:val="24"/>
                <w:szCs w:val="24"/>
                <w:lang w:val="en-US" w:eastAsia="zh-CN" w:bidi="ar"/>
              </w:rPr>
              <w:instrText xml:space="preserve"> = 5 \* GB3 \* MERGEFORMAT </w:instrText>
            </w:r>
            <w:r>
              <w:rPr>
                <w:rFonts w:hint="eastAsia" w:ascii="宋体" w:hAnsi="宋体" w:eastAsia="宋体" w:cs="宋体"/>
                <w:color w:val="auto"/>
                <w:kern w:val="0"/>
                <w:sz w:val="24"/>
                <w:szCs w:val="24"/>
                <w:lang w:val="en-US" w:eastAsia="zh-CN" w:bidi="ar"/>
              </w:rPr>
              <w:fldChar w:fldCharType="separate"/>
            </w:r>
            <w:r>
              <w:rPr>
                <w:rFonts w:hint="eastAsia" w:ascii="宋体" w:hAnsi="宋体" w:eastAsia="宋体" w:cs="宋体"/>
                <w:color w:val="auto"/>
                <w:kern w:val="0"/>
                <w:sz w:val="24"/>
                <w:szCs w:val="24"/>
                <w:lang w:val="en-US" w:eastAsia="zh-CN" w:bidi="ar"/>
              </w:rPr>
              <w:t>⑤</w:t>
            </w:r>
            <w:r>
              <w:rPr>
                <w:rFonts w:hint="eastAsia" w:ascii="宋体" w:hAnsi="宋体" w:eastAsia="宋体" w:cs="宋体"/>
                <w:color w:val="auto"/>
                <w:kern w:val="0"/>
                <w:sz w:val="24"/>
                <w:szCs w:val="24"/>
                <w:lang w:val="en-US" w:eastAsia="zh-CN" w:bidi="ar"/>
              </w:rPr>
              <w:fldChar w:fldCharType="end"/>
            </w:r>
            <w:r>
              <w:rPr>
                <w:rFonts w:hint="eastAsia" w:ascii="宋体" w:hAnsi="宋体" w:eastAsia="宋体" w:cs="宋体"/>
                <w:color w:val="auto"/>
                <w:kern w:val="0"/>
                <w:sz w:val="24"/>
                <w:szCs w:val="24"/>
                <w:highlight w:val="none"/>
                <w:lang w:val="en-US" w:eastAsia="zh-CN" w:bidi="ar"/>
              </w:rPr>
              <w:t>废弃原料空桶</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 xml:space="preserve">根据企业提供，项目原料空桶主要包括脱模剂空桶、树脂空桶、固化剂空桶、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乳化液空桶、机油空桶</w:t>
            </w:r>
            <w:r>
              <w:rPr>
                <w:rFonts w:hint="default" w:ascii="Times New Roman" w:hAnsi="Times New Roman" w:cs="Times New Roman"/>
                <w:color w:val="auto"/>
                <w:kern w:val="0"/>
                <w:sz w:val="24"/>
                <w:szCs w:val="24"/>
                <w:highlight w:val="none"/>
                <w:lang w:val="en-US" w:eastAsia="zh-CN" w:bidi="ar"/>
              </w:rPr>
              <w:t>、水性漆空桶、白乳胶空桶</w:t>
            </w: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脱模剂</w:t>
            </w:r>
            <w:r>
              <w:rPr>
                <w:rFonts w:hint="default" w:ascii="Times New Roman" w:hAnsi="Times New Roman" w:cs="Times New Roman"/>
                <w:color w:val="auto"/>
                <w:kern w:val="0"/>
                <w:sz w:val="24"/>
                <w:szCs w:val="24"/>
                <w:highlight w:val="none"/>
                <w:lang w:val="en-US" w:eastAsia="zh-CN" w:bidi="ar"/>
              </w:rPr>
              <w:t>重量为25kg/桶</w:t>
            </w:r>
            <w:r>
              <w:rPr>
                <w:rFonts w:hint="default" w:ascii="Times New Roman" w:hAnsi="Times New Roman" w:eastAsia="宋体" w:cs="Times New Roman"/>
                <w:color w:val="auto"/>
                <w:kern w:val="0"/>
                <w:sz w:val="24"/>
                <w:szCs w:val="24"/>
                <w:highlight w:val="none"/>
                <w:lang w:val="en-US" w:eastAsia="zh-CN" w:bidi="ar"/>
              </w:rPr>
              <w:t>、树脂</w:t>
            </w:r>
            <w:r>
              <w:rPr>
                <w:rFonts w:hint="default" w:ascii="Times New Roman" w:hAnsi="Times New Roman" w:cs="Times New Roman"/>
                <w:color w:val="auto"/>
                <w:kern w:val="0"/>
                <w:sz w:val="24"/>
                <w:szCs w:val="24"/>
                <w:highlight w:val="none"/>
                <w:lang w:val="en-US" w:eastAsia="zh-CN" w:bidi="ar"/>
              </w:rPr>
              <w:t>重量为50kg/桶</w:t>
            </w:r>
            <w:r>
              <w:rPr>
                <w:rFonts w:hint="default" w:ascii="Times New Roman" w:hAnsi="Times New Roman" w:eastAsia="宋体" w:cs="Times New Roman"/>
                <w:color w:val="auto"/>
                <w:kern w:val="0"/>
                <w:sz w:val="24"/>
                <w:szCs w:val="24"/>
                <w:highlight w:val="none"/>
                <w:lang w:val="en-US" w:eastAsia="zh-CN" w:bidi="ar"/>
              </w:rPr>
              <w:t>、固化剂</w:t>
            </w:r>
            <w:r>
              <w:rPr>
                <w:rFonts w:hint="default" w:ascii="Times New Roman" w:hAnsi="Times New Roman" w:cs="Times New Roman"/>
                <w:color w:val="auto"/>
                <w:kern w:val="0"/>
                <w:sz w:val="24"/>
                <w:szCs w:val="24"/>
                <w:highlight w:val="none"/>
                <w:lang w:val="en-US" w:eastAsia="zh-CN" w:bidi="ar"/>
              </w:rPr>
              <w:t>重量为25kg/桶</w:t>
            </w:r>
            <w:r>
              <w:rPr>
                <w:rFonts w:hint="default" w:ascii="Times New Roman" w:hAnsi="Times New Roman" w:eastAsia="宋体" w:cs="Times New Roman"/>
                <w:color w:val="auto"/>
                <w:kern w:val="0"/>
                <w:sz w:val="24"/>
                <w:szCs w:val="24"/>
                <w:highlight w:val="none"/>
                <w:lang w:val="en-US" w:eastAsia="zh-CN" w:bidi="ar"/>
              </w:rPr>
              <w:t>、乳化液</w:t>
            </w:r>
            <w:r>
              <w:rPr>
                <w:rFonts w:hint="default" w:ascii="Times New Roman" w:hAnsi="Times New Roman" w:cs="Times New Roman"/>
                <w:color w:val="auto"/>
                <w:kern w:val="0"/>
                <w:sz w:val="24"/>
                <w:szCs w:val="24"/>
                <w:highlight w:val="none"/>
                <w:lang w:val="en-US" w:eastAsia="zh-CN" w:bidi="ar"/>
              </w:rPr>
              <w:t>重量为25kg/桶</w:t>
            </w:r>
            <w:r>
              <w:rPr>
                <w:rFonts w:hint="default" w:ascii="Times New Roman" w:hAnsi="Times New Roman" w:eastAsia="宋体" w:cs="Times New Roman"/>
                <w:color w:val="auto"/>
                <w:kern w:val="0"/>
                <w:sz w:val="24"/>
                <w:szCs w:val="24"/>
                <w:highlight w:val="none"/>
                <w:lang w:val="en-US" w:eastAsia="zh-CN" w:bidi="ar"/>
              </w:rPr>
              <w:t>、机油</w:t>
            </w:r>
            <w:r>
              <w:rPr>
                <w:rFonts w:hint="default" w:ascii="Times New Roman" w:hAnsi="Times New Roman" w:cs="Times New Roman"/>
                <w:color w:val="auto"/>
                <w:kern w:val="0"/>
                <w:sz w:val="24"/>
                <w:szCs w:val="24"/>
                <w:highlight w:val="none"/>
                <w:lang w:val="en-US" w:eastAsia="zh-CN" w:bidi="ar"/>
              </w:rPr>
              <w:t>重量为50kg/桶、水性漆重量为20kg/桶、白乳胶重量为25kg/桶；项目</w:t>
            </w:r>
            <w:r>
              <w:rPr>
                <w:rFonts w:hint="default" w:ascii="Times New Roman" w:hAnsi="Times New Roman" w:eastAsia="宋体" w:cs="Times New Roman"/>
                <w:color w:val="auto"/>
                <w:kern w:val="0"/>
                <w:sz w:val="24"/>
                <w:szCs w:val="24"/>
                <w:highlight w:val="none"/>
                <w:lang w:val="en-US" w:eastAsia="zh-CN" w:bidi="ar"/>
              </w:rPr>
              <w:t>脱模剂</w:t>
            </w:r>
            <w:r>
              <w:rPr>
                <w:rFonts w:hint="default" w:ascii="Times New Roman" w:hAnsi="Times New Roman" w:cs="Times New Roman"/>
                <w:color w:val="auto"/>
                <w:kern w:val="0"/>
                <w:sz w:val="24"/>
                <w:szCs w:val="24"/>
                <w:highlight w:val="none"/>
                <w:lang w:val="en-US" w:eastAsia="zh-CN" w:bidi="ar"/>
              </w:rPr>
              <w:t>使用量为5t/a</w:t>
            </w:r>
            <w:r>
              <w:rPr>
                <w:rFonts w:hint="default" w:ascii="Times New Roman" w:hAnsi="Times New Roman" w:eastAsia="宋体" w:cs="Times New Roman"/>
                <w:color w:val="auto"/>
                <w:kern w:val="0"/>
                <w:sz w:val="24"/>
                <w:szCs w:val="24"/>
                <w:highlight w:val="none"/>
                <w:lang w:val="en-US" w:eastAsia="zh-CN" w:bidi="ar"/>
              </w:rPr>
              <w:t>、树脂</w:t>
            </w:r>
            <w:r>
              <w:rPr>
                <w:rFonts w:hint="default" w:ascii="Times New Roman" w:hAnsi="Times New Roman" w:cs="Times New Roman"/>
                <w:color w:val="auto"/>
                <w:kern w:val="0"/>
                <w:sz w:val="24"/>
                <w:szCs w:val="24"/>
                <w:highlight w:val="none"/>
                <w:lang w:val="en-US" w:eastAsia="zh-CN" w:bidi="ar"/>
              </w:rPr>
              <w:t>使用量为10t/a</w:t>
            </w:r>
            <w:r>
              <w:rPr>
                <w:rFonts w:hint="default" w:ascii="Times New Roman" w:hAnsi="Times New Roman" w:eastAsia="宋体" w:cs="Times New Roman"/>
                <w:color w:val="auto"/>
                <w:kern w:val="0"/>
                <w:sz w:val="24"/>
                <w:szCs w:val="24"/>
                <w:highlight w:val="none"/>
                <w:lang w:val="en-US" w:eastAsia="zh-CN" w:bidi="ar"/>
              </w:rPr>
              <w:t>、固化剂</w:t>
            </w:r>
            <w:r>
              <w:rPr>
                <w:rFonts w:hint="default" w:ascii="Times New Roman" w:hAnsi="Times New Roman" w:cs="Times New Roman"/>
                <w:color w:val="auto"/>
                <w:kern w:val="0"/>
                <w:sz w:val="24"/>
                <w:szCs w:val="24"/>
                <w:highlight w:val="none"/>
                <w:lang w:val="en-US" w:eastAsia="zh-CN" w:bidi="ar"/>
              </w:rPr>
              <w:t>使用量为2t/a</w:t>
            </w:r>
            <w:r>
              <w:rPr>
                <w:rFonts w:hint="default" w:ascii="Times New Roman" w:hAnsi="Times New Roman" w:eastAsia="宋体" w:cs="Times New Roman"/>
                <w:color w:val="auto"/>
                <w:kern w:val="0"/>
                <w:sz w:val="24"/>
                <w:szCs w:val="24"/>
                <w:highlight w:val="none"/>
                <w:lang w:val="en-US" w:eastAsia="zh-CN" w:bidi="ar"/>
              </w:rPr>
              <w:t>、 乳化液</w:t>
            </w:r>
            <w:r>
              <w:rPr>
                <w:rFonts w:hint="default" w:ascii="Times New Roman" w:hAnsi="Times New Roman" w:cs="Times New Roman"/>
                <w:color w:val="auto"/>
                <w:kern w:val="0"/>
                <w:sz w:val="24"/>
                <w:szCs w:val="24"/>
                <w:highlight w:val="none"/>
                <w:lang w:val="en-US" w:eastAsia="zh-CN" w:bidi="ar"/>
              </w:rPr>
              <w:t>使用量为10t/a</w:t>
            </w:r>
            <w:r>
              <w:rPr>
                <w:rFonts w:hint="default" w:ascii="Times New Roman" w:hAnsi="Times New Roman" w:eastAsia="宋体" w:cs="Times New Roman"/>
                <w:color w:val="auto"/>
                <w:kern w:val="0"/>
                <w:sz w:val="24"/>
                <w:szCs w:val="24"/>
                <w:highlight w:val="none"/>
                <w:lang w:val="en-US" w:eastAsia="zh-CN" w:bidi="ar"/>
              </w:rPr>
              <w:t>、机油</w:t>
            </w:r>
            <w:r>
              <w:rPr>
                <w:rFonts w:hint="default" w:ascii="Times New Roman" w:hAnsi="Times New Roman" w:cs="Times New Roman"/>
                <w:color w:val="auto"/>
                <w:kern w:val="0"/>
                <w:sz w:val="24"/>
                <w:szCs w:val="24"/>
                <w:highlight w:val="none"/>
                <w:lang w:val="en-US" w:eastAsia="zh-CN" w:bidi="ar"/>
              </w:rPr>
              <w:t>使用量为5t/a、水性漆使用量为2t/a、白乳胶使用量为</w:t>
            </w:r>
            <w:r>
              <w:rPr>
                <w:rFonts w:hint="default" w:ascii="Times New Roman" w:hAnsi="Times New Roman" w:cs="Times New Roman"/>
                <w:color w:val="auto"/>
                <w:sz w:val="24"/>
                <w:szCs w:val="24"/>
                <w:highlight w:val="none"/>
                <w:lang w:val="en-US" w:eastAsia="zh-CN"/>
              </w:rPr>
              <w:t>2.5</w:t>
            </w:r>
            <w:r>
              <w:rPr>
                <w:rFonts w:hint="default" w:ascii="Times New Roman" w:hAnsi="Times New Roman" w:cs="Times New Roman"/>
                <w:color w:val="auto"/>
                <w:kern w:val="0"/>
                <w:sz w:val="24"/>
                <w:szCs w:val="24"/>
                <w:highlight w:val="none"/>
                <w:lang w:val="en-US" w:eastAsia="zh-CN" w:bidi="ar"/>
              </w:rPr>
              <w:t>t/a；则</w:t>
            </w:r>
            <w:r>
              <w:rPr>
                <w:rFonts w:hint="default" w:ascii="Times New Roman" w:hAnsi="Times New Roman" w:eastAsia="宋体" w:cs="Times New Roman"/>
                <w:color w:val="auto"/>
                <w:kern w:val="0"/>
                <w:sz w:val="24"/>
                <w:szCs w:val="24"/>
                <w:highlight w:val="none"/>
                <w:lang w:val="en-US" w:eastAsia="zh-CN" w:bidi="ar"/>
              </w:rPr>
              <w:t>脱模剂空桶</w:t>
            </w:r>
            <w:r>
              <w:rPr>
                <w:rFonts w:hint="default" w:ascii="Times New Roman" w:hAnsi="Times New Roman" w:cs="Times New Roman"/>
                <w:color w:val="auto"/>
                <w:kern w:val="0"/>
                <w:sz w:val="24"/>
                <w:szCs w:val="24"/>
                <w:highlight w:val="none"/>
                <w:lang w:val="en-US" w:eastAsia="zh-CN" w:bidi="ar"/>
              </w:rPr>
              <w:t>产生量为200个/a</w:t>
            </w:r>
            <w:r>
              <w:rPr>
                <w:rFonts w:hint="default" w:ascii="Times New Roman" w:hAnsi="Times New Roman" w:eastAsia="宋体" w:cs="Times New Roman"/>
                <w:color w:val="auto"/>
                <w:kern w:val="0"/>
                <w:sz w:val="24"/>
                <w:szCs w:val="24"/>
                <w:highlight w:val="none"/>
                <w:lang w:val="en-US" w:eastAsia="zh-CN" w:bidi="ar"/>
              </w:rPr>
              <w:t>、树脂空桶</w:t>
            </w:r>
            <w:r>
              <w:rPr>
                <w:rFonts w:hint="default" w:ascii="Times New Roman" w:hAnsi="Times New Roman" w:cs="Times New Roman"/>
                <w:color w:val="auto"/>
                <w:kern w:val="0"/>
                <w:sz w:val="24"/>
                <w:szCs w:val="24"/>
                <w:highlight w:val="none"/>
                <w:lang w:val="en-US" w:eastAsia="zh-CN" w:bidi="ar"/>
              </w:rPr>
              <w:t>产生量为200个/a</w:t>
            </w:r>
            <w:r>
              <w:rPr>
                <w:rFonts w:hint="default" w:ascii="Times New Roman" w:hAnsi="Times New Roman" w:eastAsia="宋体" w:cs="Times New Roman"/>
                <w:color w:val="auto"/>
                <w:kern w:val="0"/>
                <w:sz w:val="24"/>
                <w:szCs w:val="24"/>
                <w:highlight w:val="none"/>
                <w:lang w:val="en-US" w:eastAsia="zh-CN" w:bidi="ar"/>
              </w:rPr>
              <w:t>、固化剂空桶</w:t>
            </w:r>
            <w:r>
              <w:rPr>
                <w:rFonts w:hint="default" w:ascii="Times New Roman" w:hAnsi="Times New Roman" w:cs="Times New Roman"/>
                <w:color w:val="auto"/>
                <w:kern w:val="0"/>
                <w:sz w:val="24"/>
                <w:szCs w:val="24"/>
                <w:highlight w:val="none"/>
                <w:lang w:val="en-US" w:eastAsia="zh-CN" w:bidi="ar"/>
              </w:rPr>
              <w:t>产生量为80个/a</w:t>
            </w:r>
            <w:r>
              <w:rPr>
                <w:rFonts w:hint="default" w:ascii="Times New Roman" w:hAnsi="Times New Roman" w:eastAsia="宋体" w:cs="Times New Roman"/>
                <w:color w:val="auto"/>
                <w:kern w:val="0"/>
                <w:sz w:val="24"/>
                <w:szCs w:val="24"/>
                <w:highlight w:val="none"/>
                <w:lang w:val="en-US" w:eastAsia="zh-CN" w:bidi="ar"/>
              </w:rPr>
              <w:t>、 乳化液空桶</w:t>
            </w:r>
            <w:r>
              <w:rPr>
                <w:rFonts w:hint="default" w:ascii="Times New Roman" w:hAnsi="Times New Roman" w:cs="Times New Roman"/>
                <w:color w:val="auto"/>
                <w:kern w:val="0"/>
                <w:sz w:val="24"/>
                <w:szCs w:val="24"/>
                <w:highlight w:val="none"/>
                <w:lang w:val="en-US" w:eastAsia="zh-CN" w:bidi="ar"/>
              </w:rPr>
              <w:t>产生量为400个/a</w:t>
            </w:r>
            <w:r>
              <w:rPr>
                <w:rFonts w:hint="default" w:ascii="Times New Roman" w:hAnsi="Times New Roman" w:eastAsia="宋体" w:cs="Times New Roman"/>
                <w:color w:val="auto"/>
                <w:kern w:val="0"/>
                <w:sz w:val="24"/>
                <w:szCs w:val="24"/>
                <w:highlight w:val="none"/>
                <w:lang w:val="en-US" w:eastAsia="zh-CN" w:bidi="ar"/>
              </w:rPr>
              <w:t>、机油空桶</w:t>
            </w:r>
            <w:r>
              <w:rPr>
                <w:rFonts w:hint="default" w:ascii="Times New Roman" w:hAnsi="Times New Roman" w:cs="Times New Roman"/>
                <w:color w:val="auto"/>
                <w:kern w:val="0"/>
                <w:sz w:val="24"/>
                <w:szCs w:val="24"/>
                <w:highlight w:val="none"/>
                <w:lang w:val="en-US" w:eastAsia="zh-CN" w:bidi="ar"/>
              </w:rPr>
              <w:t>产生量为100个/a</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cs="Times New Roman"/>
                <w:color w:val="auto"/>
                <w:kern w:val="0"/>
                <w:sz w:val="24"/>
                <w:szCs w:val="24"/>
                <w:highlight w:val="none"/>
                <w:lang w:val="en-US" w:eastAsia="zh-CN" w:bidi="ar"/>
              </w:rPr>
              <w:t>水性漆空桶产生量为100个/a、白乳胶空桶产生量为100个/a</w:t>
            </w:r>
            <w:r>
              <w:rPr>
                <w:rFonts w:hint="default"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根据《固体废物鉴别标准 通则》（GB34330-2017）</w:t>
            </w:r>
            <w:r>
              <w:rPr>
                <w:rFonts w:hint="default" w:ascii="Times New Roman" w:hAnsi="Times New Roman" w:eastAsia="宋体" w:cs="Times New Roman"/>
                <w:color w:val="auto"/>
                <w:sz w:val="24"/>
                <w:szCs w:val="24"/>
                <w:highlight w:val="none"/>
                <w:lang w:eastAsia="zh-CN"/>
              </w:rPr>
              <w:t>中“</w:t>
            </w:r>
            <w:r>
              <w:rPr>
                <w:rFonts w:hint="default" w:ascii="Times New Roman" w:hAnsi="Times New Roman" w:eastAsia="宋体" w:cs="Times New Roman"/>
                <w:color w:val="auto"/>
                <w:sz w:val="24"/>
                <w:szCs w:val="24"/>
                <w:highlight w:val="none"/>
                <w:lang w:val="en-US" w:eastAsia="zh-CN"/>
              </w:rPr>
              <w:t>6.1以下物质不作为固体废物管理：a)</w:t>
            </w:r>
            <w:r>
              <w:rPr>
                <w:rFonts w:hint="default" w:ascii="Times New Roman" w:hAnsi="Times New Roman" w:eastAsia="宋体" w:cs="Times New Roman"/>
                <w:color w:val="auto"/>
                <w:sz w:val="24"/>
                <w:szCs w:val="24"/>
                <w:highlight w:val="none"/>
              </w:rPr>
              <w:t>任何不需要修复和加工即可用于其原始用途的物质，或者在产生点经过修复和加工后满足国家、地方制定或行业通行的产品质量标准并且用于其原始用途的物质</w:t>
            </w:r>
            <w:r>
              <w:rPr>
                <w:rFonts w:hint="default" w:ascii="Times New Roman" w:hAnsi="Times New Roman" w:eastAsia="宋体" w:cs="Times New Roman"/>
                <w:color w:val="auto"/>
                <w:sz w:val="24"/>
                <w:szCs w:val="24"/>
                <w:highlight w:val="none"/>
                <w:lang w:eastAsia="zh-CN"/>
              </w:rPr>
              <w:t>”，本项目产生的</w:t>
            </w:r>
            <w:r>
              <w:rPr>
                <w:rFonts w:hint="default" w:ascii="Times New Roman" w:hAnsi="Times New Roman" w:eastAsia="宋体" w:cs="Times New Roman"/>
                <w:color w:val="auto"/>
                <w:kern w:val="0"/>
                <w:sz w:val="24"/>
                <w:szCs w:val="24"/>
                <w:highlight w:val="none"/>
                <w:lang w:val="en-US" w:eastAsia="zh-CN" w:bidi="ar"/>
              </w:rPr>
              <w:t>脱模剂空桶、树脂空桶、固化剂空桶、乳化液空桶、机油空桶</w:t>
            </w:r>
            <w:r>
              <w:rPr>
                <w:rFonts w:hint="default" w:ascii="Times New Roman" w:hAnsi="Times New Roman" w:cs="Times New Roman"/>
                <w:color w:val="auto"/>
                <w:kern w:val="0"/>
                <w:sz w:val="24"/>
                <w:szCs w:val="24"/>
                <w:highlight w:val="none"/>
                <w:lang w:val="en-US" w:eastAsia="zh-CN" w:bidi="ar"/>
              </w:rPr>
              <w:t>、水性漆空桶、白乳胶空桶</w:t>
            </w:r>
            <w:r>
              <w:rPr>
                <w:rFonts w:hint="default" w:ascii="Times New Roman" w:hAnsi="Times New Roman" w:eastAsia="宋体" w:cs="Times New Roman"/>
                <w:color w:val="auto"/>
                <w:sz w:val="24"/>
                <w:szCs w:val="24"/>
                <w:highlight w:val="none"/>
                <w:lang w:eastAsia="zh-CN"/>
              </w:rPr>
              <w:t>由供应商回收后不需进行修复和加工，即可再次作为包装容器，不作为固体废物管理。为规范化管理，建议企业将产生的</w:t>
            </w:r>
            <w:r>
              <w:rPr>
                <w:rFonts w:hint="default" w:ascii="Times New Roman" w:hAnsi="Times New Roman" w:eastAsia="宋体" w:cs="Times New Roman"/>
                <w:color w:val="auto"/>
                <w:kern w:val="0"/>
                <w:sz w:val="24"/>
                <w:szCs w:val="24"/>
                <w:highlight w:val="none"/>
                <w:lang w:val="en-US" w:eastAsia="zh-CN" w:bidi="ar"/>
              </w:rPr>
              <w:t>脱模剂空桶、树脂空桶、固化剂空桶、乳化液空桶、机油空桶</w:t>
            </w:r>
            <w:r>
              <w:rPr>
                <w:rFonts w:hint="default" w:ascii="Times New Roman" w:hAnsi="Times New Roman" w:cs="Times New Roman"/>
                <w:color w:val="auto"/>
                <w:kern w:val="0"/>
                <w:sz w:val="24"/>
                <w:szCs w:val="24"/>
                <w:highlight w:val="none"/>
                <w:lang w:val="en-US" w:eastAsia="zh-CN" w:bidi="ar"/>
              </w:rPr>
              <w:t>、水性漆空桶、白乳胶空桶</w:t>
            </w:r>
            <w:r>
              <w:rPr>
                <w:rFonts w:hint="default" w:ascii="Times New Roman" w:hAnsi="Times New Roman" w:eastAsia="宋体" w:cs="Times New Roman"/>
                <w:color w:val="auto"/>
                <w:sz w:val="24"/>
                <w:szCs w:val="24"/>
                <w:highlight w:val="none"/>
                <w:lang w:eastAsia="zh-CN"/>
              </w:rPr>
              <w:t>纳入厂区内危废管理体系，按照危险废物要求进行收集、储存、运输。</w:t>
            </w:r>
          </w:p>
          <w:p>
            <w:pPr>
              <w:pStyle w:val="10"/>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jc w:val="both"/>
              <w:textAlignment w:val="auto"/>
              <w:rPr>
                <w:rFonts w:hint="eastAsia" w:ascii="Times New Roman" w:eastAsia="宋体" w:cs="Times New Roman"/>
                <w:b w:val="0"/>
                <w:bCs w:val="0"/>
                <w:color w:val="auto"/>
                <w:sz w:val="24"/>
                <w:szCs w:val="24"/>
                <w:highlight w:val="none"/>
                <w:lang w:val="en-US" w:eastAsia="zh-CN"/>
              </w:rPr>
            </w:pPr>
            <w:r>
              <w:rPr>
                <w:rFonts w:hint="eastAsia" w:ascii="Times New Roman" w:eastAsia="宋体" w:cs="Times New Roman"/>
                <w:b w:val="0"/>
                <w:bCs w:val="0"/>
                <w:color w:val="auto"/>
                <w:sz w:val="24"/>
                <w:szCs w:val="24"/>
                <w:highlight w:val="none"/>
                <w:lang w:val="en-US" w:eastAsia="zh-CN"/>
              </w:rPr>
              <w:t>项目固废产生情况详见表4.2-24。</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w:t>
            </w:r>
            <w:r>
              <w:rPr>
                <w:rFonts w:hint="default" w:ascii="Times New Roman" w:hAnsi="Times New Roman" w:eastAsia="宋体" w:cs="Times New Roman"/>
                <w:b/>
                <w:bCs/>
                <w:color w:val="auto"/>
                <w:sz w:val="24"/>
                <w:highlight w:val="none"/>
                <w:lang w:val="en-US" w:eastAsia="zh-CN"/>
              </w:rPr>
              <w:t>4.</w:t>
            </w:r>
            <w:r>
              <w:rPr>
                <w:rFonts w:hint="eastAsia"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lang w:val="en-US" w:eastAsia="zh-CN"/>
              </w:rPr>
              <w:t>-</w:t>
            </w:r>
            <w:r>
              <w:rPr>
                <w:rFonts w:hint="eastAsia" w:ascii="Times New Roman" w:hAnsi="Times New Roman" w:eastAsia="宋体" w:cs="Times New Roman"/>
                <w:b/>
                <w:bCs/>
                <w:color w:val="auto"/>
                <w:sz w:val="24"/>
                <w:highlight w:val="none"/>
                <w:lang w:val="en-US" w:eastAsia="zh-CN"/>
              </w:rPr>
              <w:t>24</w:t>
            </w:r>
            <w:r>
              <w:rPr>
                <w:rFonts w:hint="default" w:ascii="Times New Roman" w:hAnsi="Times New Roman" w:eastAsia="宋体" w:cs="Times New Roman"/>
                <w:b/>
                <w:bCs/>
                <w:color w:val="auto"/>
                <w:sz w:val="24"/>
                <w:highlight w:val="none"/>
              </w:rPr>
              <w:t xml:space="preserve">  项目固体废物污染源强核算结果及相关参数一览表</w:t>
            </w:r>
          </w:p>
          <w:tbl>
            <w:tblPr>
              <w:tblStyle w:val="28"/>
              <w:tblW w:w="846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23" w:type="dxa"/>
                <w:bottom w:w="0" w:type="dxa"/>
                <w:right w:w="23" w:type="dxa"/>
              </w:tblCellMar>
            </w:tblPr>
            <w:tblGrid>
              <w:gridCol w:w="360"/>
              <w:gridCol w:w="71"/>
              <w:gridCol w:w="624"/>
              <w:gridCol w:w="442"/>
              <w:gridCol w:w="231"/>
              <w:gridCol w:w="58"/>
              <w:gridCol w:w="1026"/>
              <w:gridCol w:w="102"/>
              <w:gridCol w:w="432"/>
              <w:gridCol w:w="263"/>
              <w:gridCol w:w="477"/>
              <w:gridCol w:w="411"/>
              <w:gridCol w:w="200"/>
              <w:gridCol w:w="141"/>
              <w:gridCol w:w="215"/>
              <w:gridCol w:w="338"/>
              <w:gridCol w:w="273"/>
              <w:gridCol w:w="391"/>
              <w:gridCol w:w="64"/>
              <w:gridCol w:w="204"/>
              <w:gridCol w:w="627"/>
              <w:gridCol w:w="135"/>
              <w:gridCol w:w="138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40" w:hRule="atLeast"/>
                <w:jc w:val="center"/>
              </w:trPr>
              <w:tc>
                <w:tcPr>
                  <w:tcW w:w="5000" w:type="pct"/>
                  <w:gridSpan w:val="23"/>
                  <w:noWrap w:val="0"/>
                  <w:vAlign w:val="center"/>
                </w:tcPr>
                <w:p>
                  <w:pPr>
                    <w:spacing w:line="240" w:lineRule="auto"/>
                    <w:ind w:firstLine="0" w:firstLineChars="0"/>
                    <w:jc w:val="center"/>
                    <w:rPr>
                      <w:rFonts w:hint="default" w:ascii="Times New Roman" w:hAnsi="Times New Roman" w:eastAsia="宋体" w:cs="Times New Roman"/>
                      <w:b/>
                      <w:color w:val="auto"/>
                      <w:sz w:val="21"/>
                      <w:szCs w:val="21"/>
                      <w:highlight w:val="none"/>
                      <w:lang w:eastAsia="zh-CN"/>
                    </w:rPr>
                  </w:pPr>
                  <w:r>
                    <w:rPr>
                      <w:rFonts w:hint="eastAsia" w:ascii="Times New Roman" w:hAnsi="Times New Roman" w:eastAsia="宋体" w:cs="Times New Roman"/>
                      <w:b/>
                      <w:color w:val="auto"/>
                      <w:sz w:val="21"/>
                      <w:szCs w:val="21"/>
                      <w:highlight w:val="none"/>
                      <w:lang w:eastAsia="zh-CN"/>
                    </w:rPr>
                    <w:t>一般</w:t>
                  </w:r>
                  <w:r>
                    <w:rPr>
                      <w:rFonts w:hint="default" w:ascii="Times New Roman" w:hAnsi="Times New Roman" w:eastAsia="宋体" w:cs="Times New Roman"/>
                      <w:b/>
                      <w:color w:val="auto"/>
                      <w:sz w:val="21"/>
                      <w:szCs w:val="21"/>
                      <w:highlight w:val="none"/>
                      <w:lang w:eastAsia="zh-CN"/>
                    </w:rPr>
                    <w:t>固体废物基本情况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454" w:hRule="atLeast"/>
                <w:jc w:val="center"/>
              </w:trPr>
              <w:tc>
                <w:tcPr>
                  <w:tcW w:w="254" w:type="pct"/>
                  <w:gridSpan w:val="2"/>
                  <w:noWrap w:val="0"/>
                  <w:vAlign w:val="center"/>
                </w:tcPr>
                <w:p>
                  <w:pPr>
                    <w:spacing w:line="240" w:lineRule="auto"/>
                    <w:ind w:firstLine="0" w:firstLineChars="0"/>
                    <w:jc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sz w:val="21"/>
                      <w:szCs w:val="21"/>
                      <w:highlight w:val="none"/>
                    </w:rPr>
                    <w:t>序号</w:t>
                  </w:r>
                </w:p>
              </w:tc>
              <w:tc>
                <w:tcPr>
                  <w:tcW w:w="765" w:type="pct"/>
                  <w:gridSpan w:val="3"/>
                  <w:noWrap w:val="0"/>
                  <w:vAlign w:val="center"/>
                </w:tcPr>
                <w:p>
                  <w:pPr>
                    <w:spacing w:line="240" w:lineRule="auto"/>
                    <w:ind w:firstLine="0" w:firstLineChars="0"/>
                    <w:jc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sz w:val="21"/>
                      <w:szCs w:val="21"/>
                      <w:highlight w:val="none"/>
                      <w:lang w:eastAsia="zh-CN"/>
                    </w:rPr>
                    <w:t>产污环节</w:t>
                  </w:r>
                </w:p>
              </w:tc>
              <w:tc>
                <w:tcPr>
                  <w:tcW w:w="955" w:type="pct"/>
                  <w:gridSpan w:val="4"/>
                  <w:noWrap w:val="0"/>
                  <w:vAlign w:val="center"/>
                </w:tcPr>
                <w:p>
                  <w:pPr>
                    <w:spacing w:line="240" w:lineRule="auto"/>
                    <w:ind w:firstLine="0" w:firstLineChars="0"/>
                    <w:jc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sz w:val="21"/>
                      <w:szCs w:val="21"/>
                      <w:highlight w:val="none"/>
                      <w:lang w:eastAsia="zh-CN"/>
                    </w:rPr>
                    <w:t>固废名称</w:t>
                  </w:r>
                </w:p>
              </w:tc>
              <w:tc>
                <w:tcPr>
                  <w:tcW w:w="797" w:type="pct"/>
                  <w:gridSpan w:val="4"/>
                  <w:noWrap w:val="0"/>
                  <w:vAlign w:val="center"/>
                </w:tcPr>
                <w:p>
                  <w:pPr>
                    <w:spacing w:line="240" w:lineRule="auto"/>
                    <w:ind w:firstLine="0" w:firstLineChars="0"/>
                    <w:jc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sz w:val="21"/>
                      <w:szCs w:val="21"/>
                      <w:highlight w:val="none"/>
                      <w:lang w:eastAsia="zh-CN"/>
                    </w:rPr>
                    <w:t>属性</w:t>
                  </w:r>
                </w:p>
              </w:tc>
              <w:tc>
                <w:tcPr>
                  <w:tcW w:w="571" w:type="pct"/>
                  <w:gridSpan w:val="4"/>
                  <w:noWrap w:val="0"/>
                  <w:vAlign w:val="center"/>
                </w:tcPr>
                <w:p>
                  <w:pPr>
                    <w:spacing w:line="240" w:lineRule="auto"/>
                    <w:ind w:firstLine="0" w:firstLineChars="0"/>
                    <w:jc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sz w:val="21"/>
                      <w:szCs w:val="21"/>
                      <w:highlight w:val="none"/>
                      <w:lang w:eastAsia="zh-CN"/>
                    </w:rPr>
                    <w:t>主要有毒有害物质</w:t>
                  </w:r>
                </w:p>
              </w:tc>
              <w:tc>
                <w:tcPr>
                  <w:tcW w:w="389" w:type="pct"/>
                  <w:gridSpan w:val="3"/>
                  <w:noWrap w:val="0"/>
                  <w:vAlign w:val="center"/>
                </w:tcPr>
                <w:p>
                  <w:pPr>
                    <w:spacing w:line="240" w:lineRule="auto"/>
                    <w:ind w:firstLine="0" w:firstLineChars="0"/>
                    <w:jc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sz w:val="21"/>
                      <w:szCs w:val="21"/>
                      <w:highlight w:val="none"/>
                      <w:lang w:eastAsia="zh-CN"/>
                    </w:rPr>
                    <w:t>性状</w:t>
                  </w:r>
                </w:p>
              </w:tc>
              <w:tc>
                <w:tcPr>
                  <w:tcW w:w="449" w:type="pct"/>
                  <w:gridSpan w:val="2"/>
                  <w:noWrap w:val="0"/>
                  <w:vAlign w:val="center"/>
                </w:tcPr>
                <w:p>
                  <w:pPr>
                    <w:spacing w:line="240" w:lineRule="auto"/>
                    <w:ind w:firstLine="0" w:firstLineChars="0"/>
                    <w:jc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sz w:val="21"/>
                      <w:szCs w:val="21"/>
                      <w:highlight w:val="none"/>
                      <w:lang w:eastAsia="zh-CN"/>
                    </w:rPr>
                    <w:t>环境危险特性</w:t>
                  </w:r>
                </w:p>
              </w:tc>
              <w:tc>
                <w:tcPr>
                  <w:tcW w:w="816" w:type="pct"/>
                  <w:noWrap w:val="0"/>
                  <w:vAlign w:val="center"/>
                </w:tcPr>
                <w:p>
                  <w:pPr>
                    <w:spacing w:line="240" w:lineRule="auto"/>
                    <w:ind w:firstLine="0" w:firstLineChars="0"/>
                    <w:jc w:val="center"/>
                    <w:rPr>
                      <w:rFonts w:hint="default" w:ascii="Times New Roman" w:hAnsi="Times New Roman" w:eastAsia="宋体" w:cs="Times New Roman"/>
                      <w:b/>
                      <w:bCs w:val="0"/>
                      <w:color w:val="auto"/>
                      <w:sz w:val="21"/>
                      <w:szCs w:val="21"/>
                      <w:highlight w:val="none"/>
                      <w:lang w:eastAsia="zh-CN"/>
                    </w:rPr>
                  </w:pPr>
                  <w:r>
                    <w:rPr>
                      <w:rFonts w:hint="eastAsia" w:ascii="Times New Roman" w:hAnsi="Times New Roman" w:eastAsia="宋体" w:cs="Times New Roman"/>
                      <w:b/>
                      <w:bCs w:val="0"/>
                      <w:color w:val="auto"/>
                      <w:sz w:val="21"/>
                      <w:szCs w:val="21"/>
                      <w:highlight w:val="none"/>
                      <w:lang w:val="en-US" w:eastAsia="zh-CN"/>
                    </w:rPr>
                    <w:t>固废编码</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24" w:hRule="atLeast"/>
                <w:jc w:val="center"/>
              </w:trPr>
              <w:tc>
                <w:tcPr>
                  <w:tcW w:w="254" w:type="pct"/>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765" w:type="pct"/>
                  <w:gridSpan w:val="3"/>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加工工序</w:t>
                  </w:r>
                </w:p>
              </w:tc>
              <w:tc>
                <w:tcPr>
                  <w:tcW w:w="955" w:type="pct"/>
                  <w:gridSpan w:val="4"/>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金属边角料及不合格品</w:t>
                  </w:r>
                </w:p>
              </w:tc>
              <w:tc>
                <w:tcPr>
                  <w:tcW w:w="797" w:type="pct"/>
                  <w:gridSpan w:val="4"/>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一般工业</w:t>
                  </w:r>
                </w:p>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固废</w:t>
                  </w:r>
                </w:p>
              </w:tc>
              <w:tc>
                <w:tcPr>
                  <w:tcW w:w="571" w:type="pct"/>
                  <w:gridSpan w:val="4"/>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89" w:type="pct"/>
                  <w:gridSpan w:val="3"/>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449" w:type="pct"/>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16"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33</w:t>
                  </w:r>
                  <w:r>
                    <w:rPr>
                      <w:rFonts w:hint="eastAsia"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001</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lang w:val="en-US" w:eastAsia="zh-CN"/>
                    </w:rPr>
                    <w:t>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24" w:hRule="atLeast"/>
                <w:jc w:val="center"/>
              </w:trPr>
              <w:tc>
                <w:tcPr>
                  <w:tcW w:w="254" w:type="pct"/>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765" w:type="pct"/>
                  <w:gridSpan w:val="3"/>
                  <w:noWrap w:val="0"/>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切管</w:t>
                  </w:r>
                </w:p>
              </w:tc>
              <w:tc>
                <w:tcPr>
                  <w:tcW w:w="955" w:type="pct"/>
                  <w:gridSpan w:val="4"/>
                  <w:noWrap w:val="0"/>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废</w:t>
                  </w:r>
                  <w:r>
                    <w:rPr>
                      <w:rFonts w:hint="default" w:ascii="Times New Roman" w:hAnsi="Times New Roman" w:cs="Times New Roman"/>
                      <w:color w:val="auto"/>
                      <w:sz w:val="21"/>
                      <w:szCs w:val="21"/>
                      <w:highlight w:val="none"/>
                      <w:lang w:val="en-US" w:eastAsia="zh-CN"/>
                    </w:rPr>
                    <w:t>橡胶管、</w:t>
                  </w:r>
                </w:p>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不锈钢编织管</w:t>
                  </w:r>
                </w:p>
              </w:tc>
              <w:tc>
                <w:tcPr>
                  <w:tcW w:w="797" w:type="pct"/>
                  <w:gridSpan w:val="4"/>
                  <w:noWrap w:val="0"/>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一般工业</w:t>
                  </w:r>
                </w:p>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固废</w:t>
                  </w:r>
                </w:p>
              </w:tc>
              <w:tc>
                <w:tcPr>
                  <w:tcW w:w="571" w:type="pct"/>
                  <w:gridSpan w:val="4"/>
                  <w:noWrap w:val="0"/>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389" w:type="pct"/>
                  <w:gridSpan w:val="3"/>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固态</w:t>
                  </w:r>
                </w:p>
              </w:tc>
              <w:tc>
                <w:tcPr>
                  <w:tcW w:w="449" w:type="pct"/>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816" w:type="pct"/>
                  <w:noWrap w:val="0"/>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335-002-99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82" w:hRule="atLeast"/>
                <w:jc w:val="center"/>
              </w:trPr>
              <w:tc>
                <w:tcPr>
                  <w:tcW w:w="254" w:type="pct"/>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765" w:type="pct"/>
                  <w:gridSpan w:val="3"/>
                  <w:noWrap w:val="0"/>
                  <w:vAlign w:val="center"/>
                </w:tcPr>
                <w:p>
                  <w:pPr>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电炉熔化</w:t>
                  </w:r>
                </w:p>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工序</w:t>
                  </w:r>
                </w:p>
              </w:tc>
              <w:tc>
                <w:tcPr>
                  <w:tcW w:w="955" w:type="pct"/>
                  <w:gridSpan w:val="4"/>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炉渣</w:t>
                  </w:r>
                </w:p>
              </w:tc>
              <w:tc>
                <w:tcPr>
                  <w:tcW w:w="797" w:type="pct"/>
                  <w:gridSpan w:val="4"/>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一般工业</w:t>
                  </w:r>
                </w:p>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固废</w:t>
                  </w:r>
                </w:p>
              </w:tc>
              <w:tc>
                <w:tcPr>
                  <w:tcW w:w="571" w:type="pct"/>
                  <w:gridSpan w:val="4"/>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89" w:type="pct"/>
                  <w:gridSpan w:val="3"/>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449" w:type="pct"/>
                  <w:gridSpan w:val="2"/>
                  <w:noWrap w:val="0"/>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w:t>
                  </w:r>
                </w:p>
              </w:tc>
              <w:tc>
                <w:tcPr>
                  <w:tcW w:w="816" w:type="pct"/>
                  <w:noWrap w:val="0"/>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339-001-51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412" w:hRule="atLeast"/>
                <w:jc w:val="center"/>
              </w:trPr>
              <w:tc>
                <w:tcPr>
                  <w:tcW w:w="254" w:type="pct"/>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765" w:type="pct"/>
                  <w:gridSpan w:val="3"/>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砂处理工序</w:t>
                  </w:r>
                </w:p>
              </w:tc>
              <w:tc>
                <w:tcPr>
                  <w:tcW w:w="955" w:type="pct"/>
                  <w:gridSpan w:val="4"/>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废砂</w:t>
                  </w:r>
                </w:p>
              </w:tc>
              <w:tc>
                <w:tcPr>
                  <w:tcW w:w="797" w:type="pct"/>
                  <w:gridSpan w:val="4"/>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一般工业</w:t>
                  </w:r>
                </w:p>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固废</w:t>
                  </w:r>
                </w:p>
              </w:tc>
              <w:tc>
                <w:tcPr>
                  <w:tcW w:w="571" w:type="pct"/>
                  <w:gridSpan w:val="4"/>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389" w:type="pct"/>
                  <w:gridSpan w:val="3"/>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固态</w:t>
                  </w:r>
                </w:p>
              </w:tc>
              <w:tc>
                <w:tcPr>
                  <w:tcW w:w="449" w:type="pct"/>
                  <w:gridSpan w:val="2"/>
                  <w:noWrap w:val="0"/>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816" w:type="pct"/>
                  <w:noWrap w:val="0"/>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338-001-99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412" w:hRule="atLeast"/>
                <w:jc w:val="center"/>
              </w:trPr>
              <w:tc>
                <w:tcPr>
                  <w:tcW w:w="254" w:type="pct"/>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765" w:type="pct"/>
                  <w:gridSpan w:val="3"/>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除尘工序</w:t>
                  </w:r>
                </w:p>
              </w:tc>
              <w:tc>
                <w:tcPr>
                  <w:tcW w:w="955" w:type="pct"/>
                  <w:gridSpan w:val="4"/>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
                    </w:rPr>
                    <w:t>布袋除尘器收集粉尘</w:t>
                  </w:r>
                </w:p>
              </w:tc>
              <w:tc>
                <w:tcPr>
                  <w:tcW w:w="797" w:type="pct"/>
                  <w:gridSpan w:val="4"/>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一般工业</w:t>
                  </w:r>
                </w:p>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固废</w:t>
                  </w:r>
                </w:p>
              </w:tc>
              <w:tc>
                <w:tcPr>
                  <w:tcW w:w="571" w:type="pct"/>
                  <w:gridSpan w:val="4"/>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389" w:type="pct"/>
                  <w:gridSpan w:val="3"/>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449" w:type="pct"/>
                  <w:gridSpan w:val="2"/>
                  <w:noWrap w:val="0"/>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816" w:type="pct"/>
                  <w:noWrap w:val="0"/>
                  <w:vAlign w:val="center"/>
                </w:tcPr>
                <w:p>
                  <w:pPr>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339</w:t>
                  </w:r>
                  <w:r>
                    <w:rPr>
                      <w:rFonts w:hint="default" w:ascii="Times New Roman" w:hAnsi="Times New Roman" w:eastAsia="宋体"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001</w:t>
                  </w:r>
                  <w:r>
                    <w:rPr>
                      <w:rFonts w:hint="default" w:ascii="Times New Roman" w:hAnsi="Times New Roman" w:eastAsia="宋体"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66、</w:t>
                  </w:r>
                  <w:r>
                    <w:rPr>
                      <w:rFonts w:hint="default" w:ascii="Times New Roman" w:hAnsi="Times New Roman" w:eastAsia="宋体" w:cs="Times New Roman"/>
                      <w:color w:val="auto"/>
                      <w:kern w:val="0"/>
                      <w:sz w:val="21"/>
                      <w:szCs w:val="21"/>
                      <w:highlight w:val="none"/>
                      <w:lang w:val="en-US" w:eastAsia="zh-CN" w:bidi="ar"/>
                    </w:rPr>
                    <w:t>211-001-66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412" w:hRule="atLeast"/>
                <w:jc w:val="center"/>
              </w:trPr>
              <w:tc>
                <w:tcPr>
                  <w:tcW w:w="254" w:type="pct"/>
                  <w:gridSpan w:val="2"/>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765" w:type="pct"/>
                  <w:gridSpan w:val="3"/>
                  <w:noWrap w:val="0"/>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开料等工序</w:t>
                  </w:r>
                </w:p>
              </w:tc>
              <w:tc>
                <w:tcPr>
                  <w:tcW w:w="955" w:type="pct"/>
                  <w:gridSpan w:val="4"/>
                  <w:noWrap w:val="0"/>
                  <w:vAlign w:val="center"/>
                </w:tcPr>
                <w:p>
                  <w:pPr>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SA"/>
                    </w:rPr>
                    <w:t>废</w:t>
                  </w:r>
                  <w:r>
                    <w:rPr>
                      <w:rFonts w:hint="eastAsia" w:ascii="Times New Roman" w:hAnsi="Times New Roman" w:eastAsia="宋体" w:cs="Times New Roman"/>
                      <w:color w:val="auto"/>
                      <w:kern w:val="2"/>
                      <w:sz w:val="21"/>
                      <w:szCs w:val="21"/>
                      <w:highlight w:val="none"/>
                      <w:lang w:val="en-US" w:eastAsia="zh-CN" w:bidi="ar-SA"/>
                    </w:rPr>
                    <w:t>木材边角料</w:t>
                  </w:r>
                </w:p>
              </w:tc>
              <w:tc>
                <w:tcPr>
                  <w:tcW w:w="797" w:type="pct"/>
                  <w:gridSpan w:val="4"/>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一般工业</w:t>
                  </w:r>
                </w:p>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固废</w:t>
                  </w:r>
                </w:p>
              </w:tc>
              <w:tc>
                <w:tcPr>
                  <w:tcW w:w="571" w:type="pct"/>
                  <w:gridSpan w:val="4"/>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89" w:type="pct"/>
                  <w:gridSpan w:val="3"/>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449" w:type="pct"/>
                  <w:gridSpan w:val="2"/>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816" w:type="pct"/>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211-001-03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432" w:hRule="atLeast"/>
                <w:jc w:val="center"/>
              </w:trPr>
              <w:tc>
                <w:tcPr>
                  <w:tcW w:w="254" w:type="pct"/>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w:t>
                  </w:r>
                </w:p>
              </w:tc>
              <w:tc>
                <w:tcPr>
                  <w:tcW w:w="765" w:type="pct"/>
                  <w:gridSpan w:val="3"/>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员工生活</w:t>
                  </w:r>
                </w:p>
              </w:tc>
              <w:tc>
                <w:tcPr>
                  <w:tcW w:w="955" w:type="pct"/>
                  <w:gridSpan w:val="4"/>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生活垃圾</w:t>
                  </w:r>
                </w:p>
              </w:tc>
              <w:tc>
                <w:tcPr>
                  <w:tcW w:w="797" w:type="pct"/>
                  <w:gridSpan w:val="4"/>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571" w:type="pct"/>
                  <w:gridSpan w:val="4"/>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89" w:type="pct"/>
                  <w:gridSpan w:val="3"/>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449" w:type="pct"/>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16"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5" w:hRule="atLeast"/>
                <w:jc w:val="center"/>
              </w:trPr>
              <w:tc>
                <w:tcPr>
                  <w:tcW w:w="5000" w:type="pct"/>
                  <w:gridSpan w:val="23"/>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危险废物产生及处置情况一览表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82" w:hRule="atLeast"/>
                <w:jc w:val="center"/>
              </w:trPr>
              <w:tc>
                <w:tcPr>
                  <w:tcW w:w="21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序号</w:t>
                  </w:r>
                </w:p>
              </w:tc>
              <w:tc>
                <w:tcPr>
                  <w:tcW w:w="410" w:type="pct"/>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危险废物名称</w:t>
                  </w:r>
                </w:p>
              </w:tc>
              <w:tc>
                <w:tcPr>
                  <w:tcW w:w="431" w:type="pct"/>
                  <w:gridSpan w:val="3"/>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危险废物类别</w:t>
                  </w:r>
                </w:p>
              </w:tc>
              <w:tc>
                <w:tcPr>
                  <w:tcW w:w="666" w:type="pct"/>
                  <w:gridSpan w:val="2"/>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危险废物</w:t>
                  </w:r>
                </w:p>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代码</w:t>
                  </w:r>
                </w:p>
              </w:tc>
              <w:tc>
                <w:tcPr>
                  <w:tcW w:w="410" w:type="pct"/>
                  <w:gridSpan w:val="2"/>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产生量</w:t>
                  </w:r>
                </w:p>
                <w:p>
                  <w:pPr>
                    <w:pStyle w:val="21"/>
                    <w:tabs>
                      <w:tab w:val="right" w:leader="dot" w:pos="9061"/>
                    </w:tabs>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（t/a）</w:t>
                  </w:r>
                </w:p>
              </w:tc>
              <w:tc>
                <w:tcPr>
                  <w:tcW w:w="524" w:type="pct"/>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产生工序及装置</w:t>
                  </w:r>
                </w:p>
              </w:tc>
              <w:tc>
                <w:tcPr>
                  <w:tcW w:w="201" w:type="pct"/>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形态</w:t>
                  </w:r>
                </w:p>
              </w:tc>
              <w:tc>
                <w:tcPr>
                  <w:tcW w:w="326" w:type="pct"/>
                  <w:gridSpan w:val="2"/>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主要</w:t>
                  </w:r>
                </w:p>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成分</w:t>
                  </w:r>
                </w:p>
              </w:tc>
              <w:tc>
                <w:tcPr>
                  <w:tcW w:w="429" w:type="pct"/>
                  <w:gridSpan w:val="3"/>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产废</w:t>
                  </w:r>
                </w:p>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周期</w:t>
                  </w:r>
                </w:p>
              </w:tc>
              <w:tc>
                <w:tcPr>
                  <w:tcW w:w="490" w:type="pct"/>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eastAsia="zh-CN"/>
                    </w:rPr>
                    <w:t>主要有毒有害物质</w:t>
                  </w:r>
                </w:p>
              </w:tc>
              <w:tc>
                <w:tcPr>
                  <w:tcW w:w="895" w:type="pct"/>
                  <w:gridSpan w:val="2"/>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污染防治</w:t>
                  </w:r>
                </w:p>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措施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1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410" w:type="pct"/>
                  <w:gridSpan w:val="2"/>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废活</w:t>
                  </w:r>
                </w:p>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性炭</w:t>
                  </w:r>
                </w:p>
              </w:tc>
              <w:tc>
                <w:tcPr>
                  <w:tcW w:w="431" w:type="pct"/>
                  <w:gridSpan w:val="3"/>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HW</w:t>
                  </w:r>
                  <w:r>
                    <w:rPr>
                      <w:rFonts w:hint="eastAsia" w:ascii="Times New Roman" w:hAnsi="Times New Roman" w:eastAsia="宋体" w:cs="Times New Roman"/>
                      <w:color w:val="auto"/>
                      <w:kern w:val="2"/>
                      <w:sz w:val="21"/>
                      <w:szCs w:val="21"/>
                      <w:highlight w:val="none"/>
                      <w:lang w:val="en-US" w:eastAsia="zh-CN" w:bidi="ar-SA"/>
                    </w:rPr>
                    <w:t>49</w:t>
                  </w:r>
                </w:p>
              </w:tc>
              <w:tc>
                <w:tcPr>
                  <w:tcW w:w="666" w:type="pct"/>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900-039-49</w:t>
                  </w:r>
                </w:p>
              </w:tc>
              <w:tc>
                <w:tcPr>
                  <w:tcW w:w="410" w:type="pct"/>
                  <w:gridSpan w:val="2"/>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9.013</w:t>
                  </w:r>
                </w:p>
              </w:tc>
              <w:tc>
                <w:tcPr>
                  <w:tcW w:w="524" w:type="pct"/>
                  <w:gridSpan w:val="2"/>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二级</w:t>
                  </w:r>
                  <w:r>
                    <w:rPr>
                      <w:rFonts w:hint="eastAsia" w:ascii="Times New Roman" w:hAnsi="Times New Roman" w:eastAsia="宋体" w:cs="Times New Roman"/>
                      <w:color w:val="auto"/>
                      <w:kern w:val="2"/>
                      <w:sz w:val="21"/>
                      <w:szCs w:val="21"/>
                      <w:highlight w:val="none"/>
                      <w:lang w:val="en-US" w:eastAsia="zh-CN" w:bidi="ar-SA"/>
                    </w:rPr>
                    <w:t>活性炭吸附装置</w:t>
                  </w:r>
                </w:p>
              </w:tc>
              <w:tc>
                <w:tcPr>
                  <w:tcW w:w="201" w:type="pct"/>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固态</w:t>
                  </w:r>
                </w:p>
              </w:tc>
              <w:tc>
                <w:tcPr>
                  <w:tcW w:w="326" w:type="pct"/>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活性炭</w:t>
                  </w:r>
                </w:p>
              </w:tc>
              <w:tc>
                <w:tcPr>
                  <w:tcW w:w="429" w:type="pct"/>
                  <w:gridSpan w:val="3"/>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4次/年</w:t>
                  </w:r>
                </w:p>
              </w:tc>
              <w:tc>
                <w:tcPr>
                  <w:tcW w:w="490" w:type="pct"/>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有机物</w:t>
                  </w:r>
                </w:p>
              </w:tc>
              <w:tc>
                <w:tcPr>
                  <w:tcW w:w="895" w:type="pct"/>
                  <w:gridSpan w:val="2"/>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收集暂存于危废间后由有资质的危废处置单位外运处置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1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695" w:type="dxa"/>
                  <w:gridSpan w:val="2"/>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lang w:val="en-US" w:eastAsia="zh-CN" w:bidi="ar-SA"/>
                    </w:rPr>
                    <w:t>铝合金炉渣</w:t>
                  </w:r>
                </w:p>
              </w:tc>
              <w:tc>
                <w:tcPr>
                  <w:tcW w:w="731" w:type="dxa"/>
                  <w:gridSpan w:val="3"/>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lang w:val="en-US" w:eastAsia="zh-CN" w:bidi="ar-SA"/>
                    </w:rPr>
                    <w:t>HW48</w:t>
                  </w:r>
                </w:p>
              </w:tc>
              <w:tc>
                <w:tcPr>
                  <w:tcW w:w="1128" w:type="dxa"/>
                  <w:gridSpan w:val="2"/>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lang w:val="en-US" w:eastAsia="zh-CN" w:bidi="ar-SA"/>
                    </w:rPr>
                    <w:t>321-026-48</w:t>
                  </w:r>
                </w:p>
              </w:tc>
              <w:tc>
                <w:tcPr>
                  <w:tcW w:w="695" w:type="dxa"/>
                  <w:gridSpan w:val="2"/>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lang w:val="en-US" w:eastAsia="zh-CN" w:bidi="ar-SA"/>
                    </w:rPr>
                    <w:t>27.022</w:t>
                  </w:r>
                </w:p>
              </w:tc>
              <w:tc>
                <w:tcPr>
                  <w:tcW w:w="888" w:type="dxa"/>
                  <w:gridSpan w:val="2"/>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lang w:val="en-US" w:eastAsia="zh-CN" w:bidi="ar-SA"/>
                    </w:rPr>
                    <w:t>压铸</w:t>
                  </w:r>
                </w:p>
              </w:tc>
              <w:tc>
                <w:tcPr>
                  <w:tcW w:w="341" w:type="dxa"/>
                  <w:gridSpan w:val="2"/>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lang w:val="en-US" w:eastAsia="zh-CN"/>
                    </w:rPr>
                    <w:t>固态</w:t>
                  </w:r>
                </w:p>
              </w:tc>
              <w:tc>
                <w:tcPr>
                  <w:tcW w:w="553" w:type="dxa"/>
                  <w:gridSpan w:val="2"/>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lang w:val="en-US" w:eastAsia="zh-CN"/>
                    </w:rPr>
                    <w:t>铝合金渣</w:t>
                  </w:r>
                </w:p>
              </w:tc>
              <w:tc>
                <w:tcPr>
                  <w:tcW w:w="728" w:type="dxa"/>
                  <w:gridSpan w:val="3"/>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lang w:val="en-US" w:eastAsia="zh-CN"/>
                    </w:rPr>
                    <w:t>/</w:t>
                  </w:r>
                </w:p>
              </w:tc>
              <w:tc>
                <w:tcPr>
                  <w:tcW w:w="831" w:type="dxa"/>
                  <w:gridSpan w:val="2"/>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lang w:val="en-US" w:eastAsia="zh-CN"/>
                    </w:rPr>
                    <w:t>铝合金</w:t>
                  </w:r>
                </w:p>
              </w:tc>
              <w:tc>
                <w:tcPr>
                  <w:tcW w:w="895" w:type="pct"/>
                  <w:gridSpan w:val="2"/>
                  <w:vMerge w:val="continue"/>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1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410" w:type="pct"/>
                  <w:gridSpan w:val="2"/>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废机油</w:t>
                  </w:r>
                </w:p>
              </w:tc>
              <w:tc>
                <w:tcPr>
                  <w:tcW w:w="431" w:type="pct"/>
                  <w:gridSpan w:val="3"/>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HW08</w:t>
                  </w:r>
                </w:p>
              </w:tc>
              <w:tc>
                <w:tcPr>
                  <w:tcW w:w="666" w:type="pct"/>
                  <w:gridSpan w:val="2"/>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900-217-08</w:t>
                  </w:r>
                </w:p>
              </w:tc>
              <w:tc>
                <w:tcPr>
                  <w:tcW w:w="410" w:type="pct"/>
                  <w:gridSpan w:val="2"/>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0.5</w:t>
                  </w:r>
                </w:p>
              </w:tc>
              <w:tc>
                <w:tcPr>
                  <w:tcW w:w="524" w:type="pct"/>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润滑过程</w:t>
                  </w:r>
                </w:p>
              </w:tc>
              <w:tc>
                <w:tcPr>
                  <w:tcW w:w="201" w:type="pct"/>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液态</w:t>
                  </w:r>
                </w:p>
              </w:tc>
              <w:tc>
                <w:tcPr>
                  <w:tcW w:w="326" w:type="pct"/>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机油</w:t>
                  </w:r>
                </w:p>
              </w:tc>
              <w:tc>
                <w:tcPr>
                  <w:tcW w:w="429" w:type="pct"/>
                  <w:gridSpan w:val="3"/>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490" w:type="pct"/>
                  <w:gridSpan w:val="2"/>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机油</w:t>
                  </w:r>
                </w:p>
              </w:tc>
              <w:tc>
                <w:tcPr>
                  <w:tcW w:w="895" w:type="pct"/>
                  <w:gridSpan w:val="2"/>
                  <w:vMerge w:val="continue"/>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12" w:type="pct"/>
                  <w:noWrap w:val="0"/>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410" w:type="pct"/>
                  <w:gridSpan w:val="2"/>
                  <w:noWrap w:val="0"/>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废乳</w:t>
                  </w:r>
                </w:p>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化液</w:t>
                  </w:r>
                </w:p>
              </w:tc>
              <w:tc>
                <w:tcPr>
                  <w:tcW w:w="431" w:type="pct"/>
                  <w:gridSpan w:val="3"/>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HW09</w:t>
                  </w:r>
                </w:p>
              </w:tc>
              <w:tc>
                <w:tcPr>
                  <w:tcW w:w="666" w:type="pct"/>
                  <w:gridSpan w:val="2"/>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900-007-09</w:t>
                  </w:r>
                </w:p>
              </w:tc>
              <w:tc>
                <w:tcPr>
                  <w:tcW w:w="410" w:type="pct"/>
                  <w:gridSpan w:val="2"/>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0.1</w:t>
                  </w:r>
                </w:p>
              </w:tc>
              <w:tc>
                <w:tcPr>
                  <w:tcW w:w="524" w:type="pct"/>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润滑过程</w:t>
                  </w:r>
                </w:p>
              </w:tc>
              <w:tc>
                <w:tcPr>
                  <w:tcW w:w="201" w:type="pct"/>
                  <w:gridSpan w:val="2"/>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液态</w:t>
                  </w:r>
                </w:p>
              </w:tc>
              <w:tc>
                <w:tcPr>
                  <w:tcW w:w="326" w:type="pct"/>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乳化液</w:t>
                  </w:r>
                </w:p>
              </w:tc>
              <w:tc>
                <w:tcPr>
                  <w:tcW w:w="429" w:type="pct"/>
                  <w:gridSpan w:val="3"/>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490" w:type="pct"/>
                  <w:gridSpan w:val="2"/>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乳化液</w:t>
                  </w:r>
                </w:p>
              </w:tc>
              <w:tc>
                <w:tcPr>
                  <w:tcW w:w="895" w:type="pct"/>
                  <w:gridSpan w:val="2"/>
                  <w:vMerge w:val="continue"/>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5000" w:type="pct"/>
                  <w:gridSpan w:val="23"/>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b/>
                      <w:bCs/>
                      <w:color w:val="auto"/>
                      <w:sz w:val="21"/>
                      <w:szCs w:val="21"/>
                      <w:highlight w:val="none"/>
                      <w:lang w:val="en-US" w:eastAsia="zh-CN"/>
                    </w:rPr>
                    <w:t>建设项目危险废物贮存场所（设施）基本情况样表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4" w:type="pct"/>
                  <w:gridSpan w:val="4"/>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贮存场所名称</w:t>
                  </w:r>
                </w:p>
              </w:tc>
              <w:tc>
                <w:tcPr>
                  <w:tcW w:w="836" w:type="pct"/>
                  <w:gridSpan w:val="4"/>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危险废物名称</w:t>
                  </w:r>
                </w:p>
              </w:tc>
              <w:tc>
                <w:tcPr>
                  <w:tcW w:w="692" w:type="pct"/>
                  <w:gridSpan w:val="3"/>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位置</w:t>
                  </w:r>
                </w:p>
              </w:tc>
              <w:tc>
                <w:tcPr>
                  <w:tcW w:w="571" w:type="pct"/>
                  <w:gridSpan w:val="4"/>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占地面积</w:t>
                  </w:r>
                </w:p>
              </w:tc>
              <w:tc>
                <w:tcPr>
                  <w:tcW w:w="591" w:type="pct"/>
                  <w:gridSpan w:val="3"/>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贮存方式</w:t>
                  </w:r>
                </w:p>
              </w:tc>
              <w:tc>
                <w:tcPr>
                  <w:tcW w:w="528" w:type="pct"/>
                  <w:gridSpan w:val="3"/>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贮存能力</w:t>
                  </w:r>
                </w:p>
              </w:tc>
              <w:tc>
                <w:tcPr>
                  <w:tcW w:w="895" w:type="pct"/>
                  <w:gridSpan w:val="2"/>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贮存周期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4" w:type="pct"/>
                  <w:gridSpan w:val="4"/>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危险废物暂存间</w:t>
                  </w:r>
                </w:p>
              </w:tc>
              <w:tc>
                <w:tcPr>
                  <w:tcW w:w="836" w:type="pct"/>
                  <w:gridSpan w:val="4"/>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废活性炭</w:t>
                  </w:r>
                  <w:r>
                    <w:rPr>
                      <w:rFonts w:hint="eastAsia" w:ascii="Times New Roman" w:hAnsi="Times New Roman" w:cs="Times New Roman"/>
                      <w:color w:val="auto"/>
                      <w:sz w:val="21"/>
                      <w:szCs w:val="21"/>
                      <w:highlight w:val="none"/>
                      <w:lang w:val="en-US" w:eastAsia="zh-CN"/>
                    </w:rPr>
                    <w:t>、废机油、废乳化液</w:t>
                  </w:r>
                </w:p>
              </w:tc>
              <w:tc>
                <w:tcPr>
                  <w:tcW w:w="692" w:type="pct"/>
                  <w:gridSpan w:val="3"/>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1F、5F</w:t>
                  </w:r>
                </w:p>
              </w:tc>
              <w:tc>
                <w:tcPr>
                  <w:tcW w:w="571" w:type="pct"/>
                  <w:gridSpan w:val="4"/>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共</w:t>
                  </w:r>
                  <w:r>
                    <w:rPr>
                      <w:rFonts w:hint="eastAsia" w:ascii="Times New Roman" w:hAnsi="Times New Roman"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p>
              </w:tc>
              <w:tc>
                <w:tcPr>
                  <w:tcW w:w="591" w:type="pct"/>
                  <w:gridSpan w:val="3"/>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b w:val="0"/>
                      <w:bCs/>
                      <w:color w:val="auto"/>
                      <w:sz w:val="21"/>
                      <w:szCs w:val="21"/>
                      <w:highlight w:val="none"/>
                      <w:lang w:val="en-US" w:eastAsia="zh-CN"/>
                    </w:rPr>
                    <w:t>铁桶</w:t>
                  </w:r>
                  <w:r>
                    <w:rPr>
                      <w:rFonts w:hint="default" w:ascii="Times New Roman" w:hAnsi="Times New Roman" w:eastAsia="宋体" w:cs="Times New Roman"/>
                      <w:b w:val="0"/>
                      <w:bCs/>
                      <w:color w:val="auto"/>
                      <w:sz w:val="21"/>
                      <w:szCs w:val="21"/>
                      <w:highlight w:val="none"/>
                      <w:lang w:val="en-US" w:eastAsia="zh-CN"/>
                    </w:rPr>
                    <w:t>装</w:t>
                  </w:r>
                </w:p>
              </w:tc>
              <w:tc>
                <w:tcPr>
                  <w:tcW w:w="528" w:type="pct"/>
                  <w:gridSpan w:val="3"/>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15</w:t>
                  </w:r>
                  <w:r>
                    <w:rPr>
                      <w:rFonts w:hint="eastAsia" w:ascii="Times New Roman" w:hAnsi="Times New Roman" w:eastAsia="宋体" w:cs="Times New Roman"/>
                      <w:color w:val="auto"/>
                      <w:sz w:val="21"/>
                      <w:szCs w:val="21"/>
                      <w:highlight w:val="none"/>
                      <w:lang w:val="en-US" w:eastAsia="zh-CN"/>
                    </w:rPr>
                    <w:t>t</w:t>
                  </w:r>
                </w:p>
              </w:tc>
              <w:tc>
                <w:tcPr>
                  <w:tcW w:w="895" w:type="pct"/>
                  <w:gridSpan w:val="2"/>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6个月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40" w:hRule="atLeast"/>
                <w:jc w:val="center"/>
              </w:trPr>
              <w:tc>
                <w:tcPr>
                  <w:tcW w:w="5000" w:type="pct"/>
                  <w:gridSpan w:val="23"/>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产生、贮存、处置情况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40" w:hRule="atLeast"/>
                <w:jc w:val="center"/>
              </w:trPr>
              <w:tc>
                <w:tcPr>
                  <w:tcW w:w="1020" w:type="pct"/>
                  <w:gridSpan w:val="5"/>
                  <w:noWrap w:val="0"/>
                  <w:vAlign w:val="center"/>
                </w:tcPr>
                <w:p>
                  <w:pPr>
                    <w:spacing w:line="240" w:lineRule="auto"/>
                    <w:ind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固废名称</w:t>
                  </w:r>
                </w:p>
              </w:tc>
              <w:tc>
                <w:tcPr>
                  <w:tcW w:w="640" w:type="pct"/>
                  <w:gridSpan w:val="2"/>
                  <w:noWrap w:val="0"/>
                  <w:vAlign w:val="center"/>
                </w:tcPr>
                <w:p>
                  <w:pPr>
                    <w:spacing w:line="240" w:lineRule="auto"/>
                    <w:ind w:firstLine="0" w:firstLineChars="0"/>
                    <w:jc w:val="center"/>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eastAsia="zh-CN"/>
                    </w:rPr>
                    <w:t>产生量</w:t>
                  </w:r>
                  <w:r>
                    <w:rPr>
                      <w:rFonts w:hint="eastAsia" w:ascii="Times New Roman" w:hAnsi="Times New Roman" w:eastAsia="宋体" w:cs="Times New Roman"/>
                      <w:b w:val="0"/>
                      <w:bCs/>
                      <w:color w:val="auto"/>
                      <w:sz w:val="21"/>
                      <w:szCs w:val="21"/>
                      <w:highlight w:val="none"/>
                      <w:lang w:eastAsia="zh-CN"/>
                    </w:rPr>
                    <w:t>（</w:t>
                  </w:r>
                  <w:r>
                    <w:rPr>
                      <w:rFonts w:hint="eastAsia" w:ascii="Times New Roman" w:hAnsi="Times New Roman" w:eastAsia="宋体" w:cs="Times New Roman"/>
                      <w:b w:val="0"/>
                      <w:bCs/>
                      <w:color w:val="auto"/>
                      <w:sz w:val="21"/>
                      <w:szCs w:val="21"/>
                      <w:highlight w:val="none"/>
                      <w:lang w:val="en-US" w:eastAsia="zh-CN"/>
                    </w:rPr>
                    <w:t>t/a</w:t>
                  </w:r>
                  <w:r>
                    <w:rPr>
                      <w:rFonts w:hint="eastAsia" w:ascii="Times New Roman" w:hAnsi="Times New Roman" w:eastAsia="宋体" w:cs="Times New Roman"/>
                      <w:b w:val="0"/>
                      <w:bCs/>
                      <w:color w:val="auto"/>
                      <w:sz w:val="21"/>
                      <w:szCs w:val="21"/>
                      <w:highlight w:val="none"/>
                      <w:lang w:eastAsia="zh-CN"/>
                    </w:rPr>
                    <w:t>）</w:t>
                  </w:r>
                </w:p>
              </w:tc>
              <w:tc>
                <w:tcPr>
                  <w:tcW w:w="752" w:type="pct"/>
                  <w:gridSpan w:val="4"/>
                  <w:noWrap w:val="0"/>
                  <w:vAlign w:val="center"/>
                </w:tcPr>
                <w:p>
                  <w:pPr>
                    <w:spacing w:line="240" w:lineRule="auto"/>
                    <w:ind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贮存方式</w:t>
                  </w:r>
                </w:p>
              </w:tc>
              <w:tc>
                <w:tcPr>
                  <w:tcW w:w="1770" w:type="pct"/>
                  <w:gridSpan w:val="11"/>
                  <w:noWrap w:val="0"/>
                  <w:vAlign w:val="center"/>
                </w:tcPr>
                <w:p>
                  <w:pPr>
                    <w:spacing w:line="240" w:lineRule="auto"/>
                    <w:ind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利用处置方式</w:t>
                  </w:r>
                  <w:r>
                    <w:rPr>
                      <w:rFonts w:hint="eastAsia" w:ascii="Times New Roman" w:hAnsi="Times New Roman" w:cs="Times New Roman"/>
                      <w:b w:val="0"/>
                      <w:bCs/>
                      <w:color w:val="auto"/>
                      <w:sz w:val="21"/>
                      <w:szCs w:val="21"/>
                      <w:highlight w:val="none"/>
                      <w:lang w:val="en-US" w:eastAsia="zh-CN"/>
                    </w:rPr>
                    <w:t>及</w:t>
                  </w:r>
                  <w:r>
                    <w:rPr>
                      <w:rFonts w:hint="default" w:ascii="Times New Roman" w:hAnsi="Times New Roman" w:eastAsia="宋体" w:cs="Times New Roman"/>
                      <w:b w:val="0"/>
                      <w:bCs/>
                      <w:color w:val="auto"/>
                      <w:sz w:val="21"/>
                      <w:szCs w:val="21"/>
                      <w:highlight w:val="none"/>
                      <w:lang w:val="en-US" w:eastAsia="zh-CN"/>
                    </w:rPr>
                    <w:t>去向</w:t>
                  </w:r>
                </w:p>
              </w:tc>
              <w:tc>
                <w:tcPr>
                  <w:tcW w:w="816" w:type="pct"/>
                  <w:noWrap w:val="0"/>
                  <w:vAlign w:val="center"/>
                </w:tcPr>
                <w:p>
                  <w:pPr>
                    <w:spacing w:line="240" w:lineRule="auto"/>
                    <w:ind w:firstLine="0" w:firstLineChars="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利用或处置量</w:t>
                  </w:r>
                  <w:r>
                    <w:rPr>
                      <w:rFonts w:hint="eastAsia" w:ascii="Times New Roman" w:hAnsi="Times New Roman" w:eastAsia="宋体" w:cs="Times New Roman"/>
                      <w:b w:val="0"/>
                      <w:bCs w:val="0"/>
                      <w:color w:val="auto"/>
                      <w:sz w:val="21"/>
                      <w:szCs w:val="21"/>
                      <w:highlight w:val="none"/>
                      <w:lang w:val="en-US" w:eastAsia="zh-CN"/>
                    </w:rPr>
                    <w:t>（t/a）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40" w:hRule="atLeast"/>
                <w:jc w:val="center"/>
              </w:trPr>
              <w:tc>
                <w:tcPr>
                  <w:tcW w:w="1020" w:type="pct"/>
                  <w:gridSpan w:val="5"/>
                  <w:noWrap w:val="0"/>
                  <w:vAlign w:val="center"/>
                </w:tcPr>
                <w:p>
                  <w:pPr>
                    <w:spacing w:line="240" w:lineRule="auto"/>
                    <w:ind w:firstLine="0" w:firstLineChars="0"/>
                    <w:jc w:val="center"/>
                    <w:rPr>
                      <w:rFonts w:hint="eastAsia"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金属边角料</w:t>
                  </w:r>
                  <w:r>
                    <w:rPr>
                      <w:rFonts w:hint="eastAsia" w:ascii="Times New Roman" w:hAnsi="Times New Roman" w:eastAsia="宋体" w:cs="Times New Roman"/>
                      <w:b w:val="0"/>
                      <w:bCs/>
                      <w:color w:val="auto"/>
                      <w:sz w:val="21"/>
                      <w:szCs w:val="21"/>
                      <w:highlight w:val="none"/>
                      <w:lang w:val="en-US" w:eastAsia="zh-CN"/>
                    </w:rPr>
                    <w:t>及</w:t>
                  </w:r>
                </w:p>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b w:val="0"/>
                      <w:bCs/>
                      <w:color w:val="auto"/>
                      <w:sz w:val="21"/>
                      <w:szCs w:val="21"/>
                      <w:highlight w:val="none"/>
                      <w:lang w:val="en-US" w:eastAsia="zh-CN"/>
                    </w:rPr>
                    <w:t>不合格品</w:t>
                  </w:r>
                </w:p>
              </w:tc>
              <w:tc>
                <w:tcPr>
                  <w:tcW w:w="640" w:type="pct"/>
                  <w:gridSpan w:val="2"/>
                  <w:noWrap w:val="0"/>
                  <w:vAlign w:val="center"/>
                </w:tcPr>
                <w:p>
                  <w:pPr>
                    <w:spacing w:line="240" w:lineRule="auto"/>
                    <w:ind w:firstLine="0" w:firstLineChars="0"/>
                    <w:jc w:val="center"/>
                    <w:rPr>
                      <w:rFonts w:hint="default"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511.032</w:t>
                  </w:r>
                </w:p>
              </w:tc>
              <w:tc>
                <w:tcPr>
                  <w:tcW w:w="752" w:type="pct"/>
                  <w:gridSpan w:val="4"/>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宋体" w:hAnsi="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袋装堆放</w:t>
                  </w:r>
                </w:p>
              </w:tc>
              <w:tc>
                <w:tcPr>
                  <w:tcW w:w="1770" w:type="pct"/>
                  <w:gridSpan w:val="11"/>
                  <w:noWrap w:val="0"/>
                  <w:vAlign w:val="center"/>
                </w:tcPr>
                <w:p>
                  <w:pPr>
                    <w:spacing w:line="240" w:lineRule="auto"/>
                    <w:ind w:firstLine="0" w:firstLineChars="0"/>
                    <w:jc w:val="center"/>
                    <w:rPr>
                      <w:rFonts w:hint="eastAsia" w:ascii="Times New Roman" w:hAnsi="Times New Roman"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由相关单位回收利用</w:t>
                  </w:r>
                </w:p>
              </w:tc>
              <w:tc>
                <w:tcPr>
                  <w:tcW w:w="816"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511.032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40" w:hRule="atLeast"/>
                <w:jc w:val="center"/>
              </w:trPr>
              <w:tc>
                <w:tcPr>
                  <w:tcW w:w="1020" w:type="pct"/>
                  <w:gridSpan w:val="5"/>
                  <w:noWrap w:val="0"/>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sz w:val="21"/>
                      <w:szCs w:val="21"/>
                      <w:highlight w:val="none"/>
                      <w:lang w:val="en-US" w:eastAsia="zh-CN"/>
                    </w:rPr>
                    <w:t>废</w:t>
                  </w:r>
                  <w:r>
                    <w:rPr>
                      <w:rFonts w:hint="default" w:ascii="Times New Roman" w:hAnsi="Times New Roman" w:cs="Times New Roman"/>
                      <w:color w:val="auto"/>
                      <w:sz w:val="21"/>
                      <w:szCs w:val="21"/>
                      <w:highlight w:val="none"/>
                      <w:lang w:val="en-US" w:eastAsia="zh-CN"/>
                    </w:rPr>
                    <w:t>橡胶管、不锈钢编织管</w:t>
                  </w:r>
                </w:p>
              </w:tc>
              <w:tc>
                <w:tcPr>
                  <w:tcW w:w="640" w:type="pct"/>
                  <w:gridSpan w:val="2"/>
                  <w:noWrap w:val="0"/>
                  <w:vAlign w:val="center"/>
                </w:tcPr>
                <w:p>
                  <w:pPr>
                    <w:spacing w:line="240" w:lineRule="auto"/>
                    <w:ind w:firstLine="0" w:firstLineChars="0"/>
                    <w:jc w:val="center"/>
                    <w:rPr>
                      <w:rFonts w:hint="default"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15.15</w:t>
                  </w:r>
                </w:p>
              </w:tc>
              <w:tc>
                <w:tcPr>
                  <w:tcW w:w="752" w:type="pct"/>
                  <w:gridSpan w:val="4"/>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宋体" w:hAnsi="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袋装堆放</w:t>
                  </w:r>
                </w:p>
              </w:tc>
              <w:tc>
                <w:tcPr>
                  <w:tcW w:w="1770" w:type="pct"/>
                  <w:gridSpan w:val="11"/>
                  <w:noWrap w:val="0"/>
                  <w:vAlign w:val="center"/>
                </w:tcPr>
                <w:p>
                  <w:pPr>
                    <w:spacing w:line="240" w:lineRule="auto"/>
                    <w:ind w:firstLine="0" w:firstLineChars="0"/>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由相关单位回收利用</w:t>
                  </w:r>
                </w:p>
              </w:tc>
              <w:tc>
                <w:tcPr>
                  <w:tcW w:w="816" w:type="pct"/>
                  <w:noWrap w:val="0"/>
                  <w:vAlign w:val="center"/>
                </w:tcPr>
                <w:p>
                  <w:pPr>
                    <w:spacing w:line="240" w:lineRule="auto"/>
                    <w:ind w:firstLine="0" w:firstLineChars="0"/>
                    <w:jc w:val="center"/>
                    <w:rPr>
                      <w:rFonts w:hint="default"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15.15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40" w:hRule="atLeast"/>
                <w:jc w:val="center"/>
              </w:trPr>
              <w:tc>
                <w:tcPr>
                  <w:tcW w:w="1020" w:type="pct"/>
                  <w:gridSpan w:val="5"/>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炉渣</w:t>
                  </w:r>
                </w:p>
              </w:tc>
              <w:tc>
                <w:tcPr>
                  <w:tcW w:w="640" w:type="pct"/>
                  <w:gridSpan w:val="2"/>
                  <w:noWrap w:val="0"/>
                  <w:vAlign w:val="center"/>
                </w:tcPr>
                <w:p>
                  <w:pPr>
                    <w:spacing w:line="240" w:lineRule="auto"/>
                    <w:ind w:firstLine="0" w:firstLineChars="0"/>
                    <w:jc w:val="center"/>
                    <w:rPr>
                      <w:rFonts w:hint="default" w:ascii="Times New Roman" w:hAnsi="Times New Roman"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21.319</w:t>
                  </w:r>
                </w:p>
              </w:tc>
              <w:tc>
                <w:tcPr>
                  <w:tcW w:w="752" w:type="pct"/>
                  <w:gridSpan w:val="4"/>
                  <w:noWrap w:val="0"/>
                  <w:vAlign w:val="center"/>
                </w:tcPr>
                <w:p>
                  <w:pPr>
                    <w:spacing w:line="240" w:lineRule="auto"/>
                    <w:ind w:firstLine="0" w:firstLineChars="0"/>
                    <w:jc w:val="center"/>
                    <w:rPr>
                      <w:rFonts w:hint="eastAsia" w:ascii="Times New Roman" w:hAnsi="Times New Roman"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袋装堆放</w:t>
                  </w:r>
                </w:p>
              </w:tc>
              <w:tc>
                <w:tcPr>
                  <w:tcW w:w="1770" w:type="pct"/>
                  <w:gridSpan w:val="11"/>
                  <w:vMerge w:val="restart"/>
                  <w:noWrap w:val="0"/>
                  <w:vAlign w:val="center"/>
                </w:tcPr>
                <w:p>
                  <w:pPr>
                    <w:spacing w:line="240" w:lineRule="auto"/>
                    <w:ind w:firstLine="0" w:firstLineChars="0"/>
                    <w:jc w:val="center"/>
                    <w:rPr>
                      <w:rFonts w:hint="default" w:ascii="Times New Roman" w:hAnsi="Times New Roman"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分类暂存于一般固废暂存区， 由相关单位回收利用</w:t>
                  </w:r>
                </w:p>
              </w:tc>
              <w:tc>
                <w:tcPr>
                  <w:tcW w:w="816"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21.319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40" w:hRule="atLeast"/>
                <w:jc w:val="center"/>
              </w:trPr>
              <w:tc>
                <w:tcPr>
                  <w:tcW w:w="1020" w:type="pct"/>
                  <w:gridSpan w:val="5"/>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废砂</w:t>
                  </w:r>
                </w:p>
              </w:tc>
              <w:tc>
                <w:tcPr>
                  <w:tcW w:w="640" w:type="pct"/>
                  <w:gridSpan w:val="2"/>
                  <w:noWrap w:val="0"/>
                  <w:vAlign w:val="center"/>
                </w:tcPr>
                <w:p>
                  <w:pPr>
                    <w:spacing w:line="240" w:lineRule="auto"/>
                    <w:ind w:firstLine="0" w:firstLineChars="0"/>
                    <w:jc w:val="center"/>
                    <w:rPr>
                      <w:rFonts w:hint="default"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50</w:t>
                  </w:r>
                </w:p>
              </w:tc>
              <w:tc>
                <w:tcPr>
                  <w:tcW w:w="752" w:type="pct"/>
                  <w:gridSpan w:val="4"/>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袋装堆放</w:t>
                  </w:r>
                </w:p>
              </w:tc>
              <w:tc>
                <w:tcPr>
                  <w:tcW w:w="1770" w:type="pct"/>
                  <w:gridSpan w:val="11"/>
                  <w:vMerge w:val="continue"/>
                  <w:noWrap w:val="0"/>
                  <w:vAlign w:val="center"/>
                </w:tcPr>
                <w:p>
                  <w:pPr>
                    <w:spacing w:line="240" w:lineRule="auto"/>
                    <w:ind w:firstLine="0" w:firstLineChars="0"/>
                    <w:jc w:val="center"/>
                    <w:rPr>
                      <w:rFonts w:hint="default" w:ascii="Times New Roman" w:hAnsi="Times New Roman" w:eastAsia="宋体" w:cs="Times New Roman"/>
                      <w:b w:val="0"/>
                      <w:bCs/>
                      <w:color w:val="auto"/>
                      <w:sz w:val="21"/>
                      <w:szCs w:val="21"/>
                      <w:highlight w:val="none"/>
                      <w:lang w:val="en-US" w:eastAsia="zh-CN"/>
                    </w:rPr>
                  </w:pPr>
                </w:p>
              </w:tc>
              <w:tc>
                <w:tcPr>
                  <w:tcW w:w="816" w:type="pct"/>
                  <w:noWrap w:val="0"/>
                  <w:vAlign w:val="center"/>
                </w:tcPr>
                <w:p>
                  <w:pPr>
                    <w:spacing w:line="240" w:lineRule="auto"/>
                    <w:ind w:firstLine="0" w:firstLineChars="0"/>
                    <w:jc w:val="center"/>
                    <w:rPr>
                      <w:rFonts w:hint="default"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40" w:hRule="atLeast"/>
                <w:jc w:val="center"/>
              </w:trPr>
              <w:tc>
                <w:tcPr>
                  <w:tcW w:w="1020" w:type="pct"/>
                  <w:gridSpan w:val="5"/>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布袋除尘器收集粉尘</w:t>
                  </w:r>
                  <w:r>
                    <w:rPr>
                      <w:rFonts w:hint="default" w:ascii="Times New Roman" w:hAnsi="Times New Roman" w:eastAsia="宋体" w:cs="Times New Roman"/>
                      <w:color w:val="auto"/>
                      <w:kern w:val="2"/>
                      <w:sz w:val="21"/>
                      <w:szCs w:val="21"/>
                      <w:highlight w:val="none"/>
                      <w:lang w:val="en-US" w:eastAsia="zh-CN"/>
                    </w:rPr>
                    <w:t>一般工业固废</w:t>
                  </w:r>
                </w:p>
              </w:tc>
              <w:tc>
                <w:tcPr>
                  <w:tcW w:w="640" w:type="pct"/>
                  <w:gridSpan w:val="2"/>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78.339</w:t>
                  </w:r>
                  <w:r>
                    <w:rPr>
                      <w:rFonts w:hint="eastAsia" w:cs="Times New Roman"/>
                      <w:color w:val="auto"/>
                      <w:kern w:val="2"/>
                      <w:sz w:val="21"/>
                      <w:szCs w:val="21"/>
                      <w:highlight w:val="none"/>
                      <w:lang w:val="en-US" w:eastAsia="zh-CN"/>
                    </w:rPr>
                    <w:t>3</w:t>
                  </w:r>
                </w:p>
              </w:tc>
              <w:tc>
                <w:tcPr>
                  <w:tcW w:w="752" w:type="pct"/>
                  <w:gridSpan w:val="4"/>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袋装堆放</w:t>
                  </w:r>
                </w:p>
              </w:tc>
              <w:tc>
                <w:tcPr>
                  <w:tcW w:w="1770" w:type="pct"/>
                  <w:gridSpan w:val="11"/>
                  <w:vMerge w:val="continue"/>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rPr>
                  </w:pPr>
                </w:p>
              </w:tc>
              <w:tc>
                <w:tcPr>
                  <w:tcW w:w="816" w:type="pct"/>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78.3394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40" w:hRule="atLeast"/>
                <w:jc w:val="center"/>
              </w:trPr>
              <w:tc>
                <w:tcPr>
                  <w:tcW w:w="1020" w:type="pct"/>
                  <w:gridSpan w:val="5"/>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废木材边角料</w:t>
                  </w:r>
                </w:p>
              </w:tc>
              <w:tc>
                <w:tcPr>
                  <w:tcW w:w="640" w:type="pct"/>
                  <w:gridSpan w:val="2"/>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36</w:t>
                  </w:r>
                </w:p>
              </w:tc>
              <w:tc>
                <w:tcPr>
                  <w:tcW w:w="752" w:type="pct"/>
                  <w:gridSpan w:val="4"/>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袋装堆放</w:t>
                  </w:r>
                </w:p>
              </w:tc>
              <w:tc>
                <w:tcPr>
                  <w:tcW w:w="1770" w:type="pct"/>
                  <w:gridSpan w:val="11"/>
                  <w:vMerge w:val="continue"/>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816" w:type="pct"/>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40" w:hRule="atLeast"/>
                <w:jc w:val="center"/>
              </w:trPr>
              <w:tc>
                <w:tcPr>
                  <w:tcW w:w="1020" w:type="pct"/>
                  <w:gridSpan w:val="5"/>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废活性炭</w:t>
                  </w:r>
                </w:p>
              </w:tc>
              <w:tc>
                <w:tcPr>
                  <w:tcW w:w="640" w:type="pct"/>
                  <w:gridSpan w:val="2"/>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9.013</w:t>
                  </w:r>
                </w:p>
              </w:tc>
              <w:tc>
                <w:tcPr>
                  <w:tcW w:w="752" w:type="pct"/>
                  <w:gridSpan w:val="4"/>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用铁桶</w:t>
                  </w:r>
                  <w:r>
                    <w:rPr>
                      <w:rFonts w:hint="default" w:ascii="Times New Roman" w:hAnsi="Times New Roman" w:eastAsia="宋体" w:cs="Times New Roman"/>
                      <w:color w:val="auto"/>
                      <w:kern w:val="2"/>
                      <w:sz w:val="21"/>
                      <w:szCs w:val="21"/>
                      <w:highlight w:val="none"/>
                      <w:lang w:val="en-US" w:eastAsia="zh-CN" w:bidi="ar-SA"/>
                    </w:rPr>
                    <w:t>装</w:t>
                  </w:r>
                  <w:r>
                    <w:rPr>
                      <w:rFonts w:hint="eastAsia" w:ascii="Times New Roman" w:hAnsi="Times New Roman" w:eastAsia="宋体" w:cs="Times New Roman"/>
                      <w:color w:val="auto"/>
                      <w:kern w:val="2"/>
                      <w:sz w:val="21"/>
                      <w:szCs w:val="21"/>
                      <w:highlight w:val="none"/>
                      <w:lang w:val="en-US" w:eastAsia="zh-CN" w:bidi="ar-SA"/>
                    </w:rPr>
                    <w:t>暂存危废间</w:t>
                  </w:r>
                </w:p>
              </w:tc>
              <w:tc>
                <w:tcPr>
                  <w:tcW w:w="1770" w:type="pct"/>
                  <w:gridSpan w:val="11"/>
                  <w:vMerge w:val="restart"/>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收集暂存于危废间后由有资质的危废处置单位外运处置</w:t>
                  </w:r>
                </w:p>
              </w:tc>
              <w:tc>
                <w:tcPr>
                  <w:tcW w:w="816" w:type="pct"/>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9.013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40" w:hRule="atLeast"/>
                <w:jc w:val="center"/>
              </w:trPr>
              <w:tc>
                <w:tcPr>
                  <w:tcW w:w="1728" w:type="dxa"/>
                  <w:gridSpan w:val="5"/>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lang w:val="en-US" w:eastAsia="zh-CN" w:bidi="ar-SA"/>
                    </w:rPr>
                    <w:t>铝合金炉渣</w:t>
                  </w:r>
                </w:p>
              </w:tc>
              <w:tc>
                <w:tcPr>
                  <w:tcW w:w="1084" w:type="dxa"/>
                  <w:gridSpan w:val="2"/>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lang w:val="en-US" w:eastAsia="zh-CN" w:bidi="ar-SA"/>
                    </w:rPr>
                    <w:t>27.022</w:t>
                  </w:r>
                </w:p>
              </w:tc>
              <w:tc>
                <w:tcPr>
                  <w:tcW w:w="1274" w:type="dxa"/>
                  <w:gridSpan w:val="4"/>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lang w:val="en-US" w:eastAsia="zh-CN"/>
                    </w:rPr>
                    <w:t>用铁桶</w:t>
                  </w:r>
                  <w:r>
                    <w:rPr>
                      <w:rFonts w:hint="default" w:ascii="Times New Roman" w:hAnsi="Times New Roman" w:eastAsia="宋体" w:cs="Times New Roman"/>
                      <w:b w:val="0"/>
                      <w:bCs/>
                      <w:color w:val="auto"/>
                      <w:sz w:val="21"/>
                      <w:szCs w:val="21"/>
                      <w:lang w:val="en-US" w:eastAsia="zh-CN"/>
                    </w:rPr>
                    <w:t>装</w:t>
                  </w:r>
                  <w:r>
                    <w:rPr>
                      <w:rFonts w:hint="eastAsia" w:ascii="宋体" w:hAnsi="宋体" w:cs="宋体"/>
                      <w:color w:val="auto"/>
                      <w:kern w:val="0"/>
                      <w:sz w:val="21"/>
                      <w:szCs w:val="21"/>
                      <w:lang w:bidi="ar"/>
                    </w:rPr>
                    <w:t>暂存危废间</w:t>
                  </w:r>
                </w:p>
              </w:tc>
              <w:tc>
                <w:tcPr>
                  <w:tcW w:w="1770" w:type="pct"/>
                  <w:gridSpan w:val="11"/>
                  <w:vMerge w:val="continue"/>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p>
              </w:tc>
              <w:tc>
                <w:tcPr>
                  <w:tcW w:w="816" w:type="pct"/>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lang w:val="en-US" w:eastAsia="zh-CN" w:bidi="ar-SA"/>
                    </w:rPr>
                    <w:t>27.022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40" w:hRule="atLeast"/>
                <w:jc w:val="center"/>
              </w:trPr>
              <w:tc>
                <w:tcPr>
                  <w:tcW w:w="1020" w:type="pct"/>
                  <w:gridSpan w:val="5"/>
                  <w:noWrap w:val="0"/>
                  <w:vAlign w:val="center"/>
                </w:tcPr>
                <w:p>
                  <w:pPr>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废机油</w:t>
                  </w:r>
                </w:p>
              </w:tc>
              <w:tc>
                <w:tcPr>
                  <w:tcW w:w="640" w:type="pct"/>
                  <w:gridSpan w:val="2"/>
                  <w:noWrap w:val="0"/>
                  <w:vAlign w:val="center"/>
                </w:tcPr>
                <w:p>
                  <w:pPr>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0.5</w:t>
                  </w:r>
                </w:p>
              </w:tc>
              <w:tc>
                <w:tcPr>
                  <w:tcW w:w="752" w:type="pct"/>
                  <w:gridSpan w:val="4"/>
                  <w:noWrap w:val="0"/>
                  <w:vAlign w:val="center"/>
                </w:tcPr>
                <w:p>
                  <w:pPr>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用铁桶</w:t>
                  </w:r>
                  <w:r>
                    <w:rPr>
                      <w:rFonts w:hint="default" w:ascii="Times New Roman" w:hAnsi="Times New Roman" w:eastAsia="宋体" w:cs="Times New Roman"/>
                      <w:color w:val="auto"/>
                      <w:kern w:val="0"/>
                      <w:sz w:val="21"/>
                      <w:szCs w:val="21"/>
                      <w:highlight w:val="none"/>
                      <w:lang w:val="en-US" w:eastAsia="zh-CN" w:bidi="ar"/>
                    </w:rPr>
                    <w:t>装</w:t>
                  </w:r>
                  <w:r>
                    <w:rPr>
                      <w:rFonts w:hint="eastAsia" w:ascii="Times New Roman" w:hAnsi="Times New Roman" w:eastAsia="宋体" w:cs="Times New Roman"/>
                      <w:color w:val="auto"/>
                      <w:kern w:val="0"/>
                      <w:sz w:val="21"/>
                      <w:szCs w:val="21"/>
                      <w:highlight w:val="none"/>
                      <w:lang w:val="en-US" w:eastAsia="zh-CN" w:bidi="ar"/>
                    </w:rPr>
                    <w:t>暂存危废间</w:t>
                  </w:r>
                </w:p>
              </w:tc>
              <w:tc>
                <w:tcPr>
                  <w:tcW w:w="1770" w:type="pct"/>
                  <w:gridSpan w:val="11"/>
                  <w:vMerge w:val="continue"/>
                  <w:noWrap w:val="0"/>
                  <w:vAlign w:val="center"/>
                </w:tcPr>
                <w:p>
                  <w:pPr>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
                    </w:rPr>
                  </w:pPr>
                </w:p>
              </w:tc>
              <w:tc>
                <w:tcPr>
                  <w:tcW w:w="816" w:type="pct"/>
                  <w:noWrap w:val="0"/>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40" w:hRule="atLeast"/>
                <w:jc w:val="center"/>
              </w:trPr>
              <w:tc>
                <w:tcPr>
                  <w:tcW w:w="1020" w:type="pct"/>
                  <w:gridSpan w:val="5"/>
                  <w:noWrap w:val="0"/>
                  <w:vAlign w:val="center"/>
                </w:tcPr>
                <w:p>
                  <w:pPr>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废乳化液</w:t>
                  </w:r>
                </w:p>
              </w:tc>
              <w:tc>
                <w:tcPr>
                  <w:tcW w:w="640" w:type="pct"/>
                  <w:gridSpan w:val="2"/>
                  <w:noWrap w:val="0"/>
                  <w:vAlign w:val="center"/>
                </w:tcPr>
                <w:p>
                  <w:pPr>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0.1</w:t>
                  </w:r>
                </w:p>
              </w:tc>
              <w:tc>
                <w:tcPr>
                  <w:tcW w:w="752" w:type="pct"/>
                  <w:gridSpan w:val="4"/>
                  <w:noWrap w:val="0"/>
                  <w:vAlign w:val="center"/>
                </w:tcPr>
                <w:p>
                  <w:pPr>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用铁桶</w:t>
                  </w:r>
                  <w:r>
                    <w:rPr>
                      <w:rFonts w:hint="default" w:ascii="Times New Roman" w:hAnsi="Times New Roman" w:eastAsia="宋体" w:cs="Times New Roman"/>
                      <w:color w:val="auto"/>
                      <w:kern w:val="0"/>
                      <w:sz w:val="21"/>
                      <w:szCs w:val="21"/>
                      <w:highlight w:val="none"/>
                      <w:lang w:val="en-US" w:eastAsia="zh-CN" w:bidi="ar"/>
                    </w:rPr>
                    <w:t>装</w:t>
                  </w:r>
                  <w:r>
                    <w:rPr>
                      <w:rFonts w:hint="eastAsia" w:ascii="Times New Roman" w:hAnsi="Times New Roman" w:eastAsia="宋体" w:cs="Times New Roman"/>
                      <w:color w:val="auto"/>
                      <w:kern w:val="0"/>
                      <w:sz w:val="21"/>
                      <w:szCs w:val="21"/>
                      <w:highlight w:val="none"/>
                      <w:lang w:val="en-US" w:eastAsia="zh-CN" w:bidi="ar"/>
                    </w:rPr>
                    <w:t>暂存危废间</w:t>
                  </w:r>
                </w:p>
              </w:tc>
              <w:tc>
                <w:tcPr>
                  <w:tcW w:w="1770" w:type="pct"/>
                  <w:gridSpan w:val="11"/>
                  <w:vMerge w:val="continue"/>
                  <w:noWrap w:val="0"/>
                  <w:vAlign w:val="center"/>
                </w:tcPr>
                <w:p>
                  <w:pPr>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
                    </w:rPr>
                  </w:pPr>
                </w:p>
              </w:tc>
              <w:tc>
                <w:tcPr>
                  <w:tcW w:w="816" w:type="pct"/>
                  <w:noWrap w:val="0"/>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40" w:hRule="atLeast"/>
                <w:jc w:val="center"/>
              </w:trPr>
              <w:tc>
                <w:tcPr>
                  <w:tcW w:w="1020" w:type="pct"/>
                  <w:gridSpan w:val="5"/>
                  <w:noWrap w:val="0"/>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废弃</w:t>
                  </w:r>
                  <w:r>
                    <w:rPr>
                      <w:rFonts w:hint="eastAsia" w:ascii="Times New Roman" w:hAnsi="Times New Roman" w:eastAsia="宋体" w:cs="Times New Roman"/>
                      <w:color w:val="auto"/>
                      <w:kern w:val="0"/>
                      <w:sz w:val="21"/>
                      <w:szCs w:val="21"/>
                      <w:highlight w:val="none"/>
                      <w:lang w:val="en-US" w:eastAsia="zh-CN" w:bidi="ar"/>
                    </w:rPr>
                    <w:t>空桶</w:t>
                  </w:r>
                </w:p>
              </w:tc>
              <w:tc>
                <w:tcPr>
                  <w:tcW w:w="640" w:type="pct"/>
                  <w:gridSpan w:val="2"/>
                  <w:noWrap w:val="0"/>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9</w:t>
                  </w:r>
                  <w:r>
                    <w:rPr>
                      <w:rFonts w:hint="eastAsia" w:cs="Times New Roman"/>
                      <w:color w:val="auto"/>
                      <w:kern w:val="0"/>
                      <w:sz w:val="21"/>
                      <w:szCs w:val="21"/>
                      <w:highlight w:val="none"/>
                      <w:lang w:val="en-US" w:eastAsia="zh-CN" w:bidi="ar"/>
                    </w:rPr>
                    <w:t>4</w:t>
                  </w:r>
                  <w:r>
                    <w:rPr>
                      <w:rFonts w:hint="eastAsia" w:ascii="Times New Roman" w:hAnsi="Times New Roman" w:eastAsia="宋体" w:cs="Times New Roman"/>
                      <w:color w:val="auto"/>
                      <w:kern w:val="0"/>
                      <w:sz w:val="21"/>
                      <w:szCs w:val="21"/>
                      <w:highlight w:val="none"/>
                      <w:lang w:val="en-US" w:eastAsia="zh-CN" w:bidi="ar"/>
                    </w:rPr>
                    <w:t>0个</w:t>
                  </w:r>
                </w:p>
              </w:tc>
              <w:tc>
                <w:tcPr>
                  <w:tcW w:w="752" w:type="pct"/>
                  <w:gridSpan w:val="4"/>
                  <w:noWrap w:val="0"/>
                  <w:vAlign w:val="center"/>
                </w:tcPr>
                <w:p>
                  <w:pPr>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暂存危</w:t>
                  </w:r>
                </w:p>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废间</w:t>
                  </w:r>
                </w:p>
              </w:tc>
              <w:tc>
                <w:tcPr>
                  <w:tcW w:w="1770" w:type="pct"/>
                  <w:gridSpan w:val="11"/>
                  <w:noWrap w:val="0"/>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集中</w:t>
                  </w:r>
                  <w:r>
                    <w:rPr>
                      <w:rFonts w:hint="default" w:ascii="Times New Roman" w:hAnsi="Times New Roman" w:eastAsia="宋体" w:cs="Times New Roman"/>
                      <w:color w:val="auto"/>
                      <w:kern w:val="0"/>
                      <w:sz w:val="21"/>
                      <w:szCs w:val="21"/>
                      <w:highlight w:val="none"/>
                      <w:lang w:val="en-US" w:eastAsia="zh-CN" w:bidi="ar"/>
                    </w:rPr>
                    <w:t>收集暂存于危废间由</w:t>
                  </w:r>
                  <w:r>
                    <w:rPr>
                      <w:rFonts w:hint="eastAsia" w:ascii="Times New Roman" w:hAnsi="Times New Roman" w:eastAsia="宋体" w:cs="Times New Roman"/>
                      <w:color w:val="auto"/>
                      <w:kern w:val="0"/>
                      <w:sz w:val="21"/>
                      <w:szCs w:val="21"/>
                      <w:highlight w:val="none"/>
                      <w:lang w:val="en-US" w:eastAsia="zh-CN" w:bidi="ar"/>
                    </w:rPr>
                    <w:t>供应商回收处理</w:t>
                  </w:r>
                </w:p>
              </w:tc>
              <w:tc>
                <w:tcPr>
                  <w:tcW w:w="816" w:type="pct"/>
                  <w:noWrap w:val="0"/>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9</w:t>
                  </w:r>
                  <w:r>
                    <w:rPr>
                      <w:rFonts w:hint="eastAsia" w:cs="Times New Roman"/>
                      <w:color w:val="auto"/>
                      <w:kern w:val="0"/>
                      <w:sz w:val="21"/>
                      <w:szCs w:val="21"/>
                      <w:highlight w:val="none"/>
                      <w:lang w:val="en-US" w:eastAsia="zh-CN" w:bidi="ar"/>
                    </w:rPr>
                    <w:t>4</w:t>
                  </w:r>
                  <w:r>
                    <w:rPr>
                      <w:rFonts w:hint="eastAsia" w:ascii="Times New Roman" w:hAnsi="Times New Roman" w:eastAsia="宋体" w:cs="Times New Roman"/>
                      <w:color w:val="auto"/>
                      <w:kern w:val="0"/>
                      <w:sz w:val="21"/>
                      <w:szCs w:val="21"/>
                      <w:highlight w:val="none"/>
                      <w:lang w:val="en-US" w:eastAsia="zh-CN" w:bidi="ar"/>
                    </w:rPr>
                    <w:t>0个</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40" w:hRule="atLeast"/>
                <w:jc w:val="center"/>
              </w:trPr>
              <w:tc>
                <w:tcPr>
                  <w:tcW w:w="1020" w:type="pct"/>
                  <w:gridSpan w:val="5"/>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生活垃圾</w:t>
                  </w:r>
                </w:p>
              </w:tc>
              <w:tc>
                <w:tcPr>
                  <w:tcW w:w="640" w:type="pct"/>
                  <w:gridSpan w:val="2"/>
                  <w:noWrap w:val="0"/>
                  <w:vAlign w:val="center"/>
                </w:tcPr>
                <w:p>
                  <w:pPr>
                    <w:spacing w:line="240" w:lineRule="auto"/>
                    <w:ind w:firstLine="0" w:firstLineChars="0"/>
                    <w:jc w:val="center"/>
                    <w:rPr>
                      <w:rFonts w:hint="default"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18</w:t>
                  </w:r>
                </w:p>
              </w:tc>
              <w:tc>
                <w:tcPr>
                  <w:tcW w:w="752" w:type="pct"/>
                  <w:gridSpan w:val="4"/>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color w:val="auto"/>
                      <w:sz w:val="21"/>
                      <w:szCs w:val="21"/>
                      <w:highlight w:val="none"/>
                    </w:rPr>
                  </w:pPr>
                  <w:r>
                    <w:rPr>
                      <w:rFonts w:hint="eastAsia" w:ascii="宋体" w:hAnsi="宋体" w:cs="宋体"/>
                      <w:color w:val="auto"/>
                      <w:kern w:val="0"/>
                      <w:sz w:val="21"/>
                      <w:szCs w:val="21"/>
                      <w:highlight w:val="none"/>
                      <w:lang w:bidi="ar"/>
                    </w:rPr>
                    <w:t>分类收</w:t>
                  </w:r>
                </w:p>
                <w:p>
                  <w:pPr>
                    <w:keepNext w:val="0"/>
                    <w:keepLines w:val="0"/>
                    <w:pageBreakBefore w:val="0"/>
                    <w:widowControl/>
                    <w:kinsoku/>
                    <w:wordWrap/>
                    <w:overflowPunct/>
                    <w:topLinePunct w:val="0"/>
                    <w:autoSpaceDE/>
                    <w:autoSpaceDN/>
                    <w:bidi w:val="0"/>
                    <w:adjustRightInd w:val="0"/>
                    <w:snapToGrid w:val="0"/>
                    <w:jc w:val="center"/>
                    <w:textAlignment w:val="auto"/>
                    <w:rPr>
                      <w:color w:val="auto"/>
                      <w:sz w:val="21"/>
                      <w:szCs w:val="21"/>
                      <w:highlight w:val="none"/>
                    </w:rPr>
                  </w:pPr>
                  <w:r>
                    <w:rPr>
                      <w:rFonts w:hint="eastAsia" w:ascii="宋体" w:hAnsi="宋体" w:cs="宋体"/>
                      <w:color w:val="auto"/>
                      <w:kern w:val="0"/>
                      <w:sz w:val="21"/>
                      <w:szCs w:val="21"/>
                      <w:highlight w:val="none"/>
                      <w:lang w:bidi="ar"/>
                    </w:rPr>
                    <w:t>集、暂存</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宋体" w:hAnsi="宋体" w:cs="宋体"/>
                      <w:color w:val="auto"/>
                      <w:kern w:val="0"/>
                      <w:sz w:val="21"/>
                      <w:szCs w:val="21"/>
                      <w:highlight w:val="none"/>
                      <w:lang w:bidi="ar"/>
                    </w:rPr>
                    <w:t>垃圾桶内</w:t>
                  </w:r>
                </w:p>
              </w:tc>
              <w:tc>
                <w:tcPr>
                  <w:tcW w:w="1770" w:type="pct"/>
                  <w:gridSpan w:val="11"/>
                  <w:noWrap w:val="0"/>
                  <w:vAlign w:val="center"/>
                </w:tcPr>
                <w:p>
                  <w:pPr>
                    <w:spacing w:line="240" w:lineRule="auto"/>
                    <w:ind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color w:val="auto"/>
                      <w:sz w:val="21"/>
                      <w:szCs w:val="21"/>
                      <w:highlight w:val="none"/>
                    </w:rPr>
                    <w:t>由环卫部门统一清运处理</w:t>
                  </w:r>
                </w:p>
              </w:tc>
              <w:tc>
                <w:tcPr>
                  <w:tcW w:w="816" w:type="pct"/>
                  <w:noWrap w:val="0"/>
                  <w:vAlign w:val="center"/>
                </w:tcPr>
                <w:p>
                  <w:pPr>
                    <w:spacing w:line="240" w:lineRule="auto"/>
                    <w:ind w:firstLine="0" w:firstLineChars="0"/>
                    <w:jc w:val="center"/>
                    <w:rPr>
                      <w:rFonts w:hint="default"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18</w:t>
                  </w:r>
                </w:p>
              </w:tc>
            </w:tr>
          </w:tbl>
          <w:p>
            <w:pPr>
              <w:spacing w:before="120" w:beforeLines="50" w:line="360" w:lineRule="auto"/>
              <w:rPr>
                <w:rFonts w:hint="eastAsia" w:ascii="Times New Roman" w:hAnsi="Times New Roman" w:eastAsia="宋体" w:cs="Times New Roman"/>
                <w:b/>
                <w:color w:val="auto"/>
                <w:sz w:val="24"/>
                <w:highlight w:val="none"/>
                <w:lang w:val="en-US" w:eastAsia="zh-CN"/>
              </w:rPr>
            </w:pPr>
            <w:r>
              <w:rPr>
                <w:rFonts w:hint="eastAsia"/>
                <w:b/>
                <w:bCs/>
                <w:color w:val="auto"/>
                <w:spacing w:val="-10"/>
                <w:sz w:val="24"/>
                <w:highlight w:val="none"/>
                <w:lang w:val="en-US" w:eastAsia="zh-CN"/>
              </w:rPr>
              <w:t>4.2</w:t>
            </w:r>
            <w:r>
              <w:rPr>
                <w:rFonts w:hint="eastAsia"/>
                <w:b/>
                <w:bCs/>
                <w:color w:val="auto"/>
                <w:spacing w:val="-10"/>
                <w:sz w:val="24"/>
                <w:szCs w:val="24"/>
                <w:highlight w:val="none"/>
                <w:lang w:val="en-US" w:eastAsia="zh-CN"/>
              </w:rPr>
              <w:t>.4.2</w:t>
            </w:r>
            <w:r>
              <w:rPr>
                <w:rFonts w:hint="eastAsia" w:ascii="Times New Roman" w:hAnsi="Times New Roman" w:eastAsia="宋体" w:cs="Times New Roman"/>
                <w:b/>
                <w:color w:val="auto"/>
                <w:sz w:val="24"/>
                <w:highlight w:val="none"/>
                <w:lang w:val="en-US" w:eastAsia="zh-CN"/>
              </w:rPr>
              <w:t>、</w:t>
            </w:r>
            <w:r>
              <w:rPr>
                <w:rFonts w:hint="default" w:ascii="Times New Roman" w:hAnsi="Times New Roman" w:cs="Times New Roman"/>
                <w:b/>
                <w:bCs/>
                <w:color w:val="auto"/>
                <w:sz w:val="24"/>
                <w:highlight w:val="none"/>
              </w:rPr>
              <w:t>固体废物处置措施评述</w:t>
            </w:r>
            <w:r>
              <w:rPr>
                <w:rFonts w:hint="eastAsia" w:cs="Times New Roman"/>
                <w:b/>
                <w:bCs/>
                <w:color w:val="auto"/>
                <w:sz w:val="24"/>
                <w:highlight w:val="none"/>
                <w:lang w:val="en-US" w:eastAsia="zh-CN"/>
              </w:rPr>
              <w:t>及环境管理要求</w:t>
            </w:r>
          </w:p>
          <w:p>
            <w:pPr>
              <w:widowControl/>
              <w:spacing w:line="360" w:lineRule="auto"/>
              <w:ind w:firstLine="480" w:firstLineChars="200"/>
              <w:rPr>
                <w:bCs/>
                <w:color w:val="auto"/>
                <w:kern w:val="0"/>
                <w:sz w:val="24"/>
                <w:highlight w:val="none"/>
              </w:rPr>
            </w:pPr>
            <w:r>
              <w:rPr>
                <w:rFonts w:hint="eastAsia"/>
                <w:bCs/>
                <w:color w:val="auto"/>
                <w:kern w:val="0"/>
                <w:sz w:val="24"/>
                <w:highlight w:val="none"/>
              </w:rPr>
              <w:t>（1）生活垃圾治理措施</w:t>
            </w:r>
          </w:p>
          <w:p>
            <w:pPr>
              <w:widowControl/>
              <w:spacing w:line="360" w:lineRule="auto"/>
              <w:ind w:firstLine="480" w:firstLineChars="200"/>
              <w:rPr>
                <w:bCs/>
                <w:color w:val="auto"/>
                <w:kern w:val="0"/>
                <w:sz w:val="24"/>
                <w:highlight w:val="none"/>
              </w:rPr>
            </w:pPr>
            <w:r>
              <w:rPr>
                <w:rFonts w:hint="eastAsia"/>
                <w:bCs/>
                <w:color w:val="auto"/>
                <w:kern w:val="0"/>
                <w:sz w:val="24"/>
                <w:highlight w:val="none"/>
              </w:rPr>
              <w:t>项目应设置专门管理人员负责项目的固体废物的管理，禁止职工随意丢弃生活垃圾，由环卫部门统一清理。</w:t>
            </w:r>
          </w:p>
          <w:p>
            <w:pPr>
              <w:widowControl/>
              <w:spacing w:line="360" w:lineRule="auto"/>
              <w:ind w:firstLine="480" w:firstLineChars="200"/>
              <w:rPr>
                <w:bCs/>
                <w:color w:val="auto"/>
                <w:kern w:val="0"/>
                <w:sz w:val="24"/>
                <w:szCs w:val="24"/>
                <w:highlight w:val="none"/>
              </w:rPr>
            </w:pPr>
            <w:r>
              <w:rPr>
                <w:rFonts w:hint="eastAsia"/>
                <w:bCs/>
                <w:color w:val="auto"/>
                <w:kern w:val="0"/>
                <w:sz w:val="24"/>
                <w:szCs w:val="24"/>
                <w:highlight w:val="none"/>
              </w:rPr>
              <w:t>（2）一般工业固废</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处置措施：</w:t>
            </w:r>
            <w:r>
              <w:rPr>
                <w:rFonts w:hint="eastAsia" w:ascii="宋体" w:hAnsi="宋体" w:eastAsia="宋体" w:cs="宋体"/>
                <w:color w:val="auto"/>
                <w:kern w:val="0"/>
                <w:sz w:val="24"/>
                <w:szCs w:val="24"/>
                <w:highlight w:val="none"/>
                <w:lang w:val="en-US" w:eastAsia="zh-CN" w:bidi="ar"/>
              </w:rPr>
              <w:t>项目</w:t>
            </w:r>
            <w:r>
              <w:rPr>
                <w:rFonts w:hint="default" w:ascii="Times New Roman" w:hAnsi="Times New Roman" w:eastAsia="宋体" w:cs="Times New Roman"/>
                <w:color w:val="auto"/>
                <w:kern w:val="0"/>
                <w:sz w:val="24"/>
                <w:szCs w:val="24"/>
                <w:highlight w:val="none"/>
                <w:lang w:val="en-US" w:eastAsia="zh-CN" w:bidi="ar"/>
              </w:rPr>
              <w:t>水龙头不合格品及金属边角料</w:t>
            </w:r>
            <w:r>
              <w:rPr>
                <w:rFonts w:hint="eastAsia" w:cs="Times New Roman"/>
                <w:color w:val="auto"/>
                <w:kern w:val="0"/>
                <w:sz w:val="24"/>
                <w:szCs w:val="24"/>
                <w:highlight w:val="none"/>
                <w:lang w:val="en-US" w:eastAsia="zh-CN" w:bidi="ar"/>
              </w:rPr>
              <w:t>由相关单位回收利用，角阀、地漏、挂件、淋浴柱、卫浴挂件、水槽不合格品及金属边角料、生产进水软管不合格品及边角料由相关单位回收利用，</w:t>
            </w:r>
            <w:r>
              <w:rPr>
                <w:rFonts w:hint="default" w:ascii="Times New Roman" w:hAnsi="Times New Roman" w:eastAsia="宋体" w:cs="Times New Roman"/>
                <w:color w:val="auto"/>
                <w:kern w:val="0"/>
                <w:sz w:val="24"/>
                <w:szCs w:val="24"/>
                <w:highlight w:val="none"/>
                <w:lang w:val="en-US" w:eastAsia="zh-CN" w:bidi="ar"/>
              </w:rPr>
              <w:t>炉渣</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废砂</w:t>
            </w:r>
            <w:r>
              <w:rPr>
                <w:rFonts w:hint="eastAsia"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布袋除尘器收集粉尘</w:t>
            </w:r>
            <w:r>
              <w:rPr>
                <w:rFonts w:hint="eastAsia" w:ascii="Times New Roman" w:hAnsi="Times New Roman" w:cs="Times New Roman"/>
                <w:color w:val="auto"/>
                <w:kern w:val="0"/>
                <w:sz w:val="24"/>
                <w:szCs w:val="24"/>
                <w:highlight w:val="none"/>
                <w:lang w:val="en-US" w:eastAsia="zh-CN" w:bidi="ar"/>
              </w:rPr>
              <w:t>、废木材边角料</w:t>
            </w:r>
            <w:r>
              <w:rPr>
                <w:rFonts w:hint="default" w:ascii="Times New Roman" w:hAnsi="Times New Roman" w:eastAsia="宋体" w:cs="Times New Roman"/>
                <w:color w:val="auto"/>
                <w:kern w:val="0"/>
                <w:sz w:val="24"/>
                <w:szCs w:val="24"/>
                <w:highlight w:val="none"/>
                <w:lang w:val="en-US" w:eastAsia="zh-CN" w:bidi="ar"/>
              </w:rPr>
              <w:t>集中收集后</w:t>
            </w:r>
            <w:r>
              <w:rPr>
                <w:rFonts w:eastAsia="F4"/>
                <w:color w:val="auto"/>
                <w:sz w:val="24"/>
                <w:highlight w:val="none"/>
              </w:rPr>
              <w:t>外售给有关物资回收单位</w:t>
            </w:r>
            <w:r>
              <w:rPr>
                <w:rFonts w:hint="eastAsia" w:ascii="宋体" w:hAnsi="宋体" w:eastAsia="宋体" w:cs="宋体"/>
                <w:color w:val="auto"/>
                <w:kern w:val="0"/>
                <w:sz w:val="24"/>
                <w:szCs w:val="24"/>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cs="Times New Roman"/>
                <w:color w:val="auto"/>
                <w:sz w:val="24"/>
                <w:szCs w:val="24"/>
                <w:highlight w:val="none"/>
              </w:rPr>
            </w:pPr>
            <w:r>
              <w:rPr>
                <w:rFonts w:hint="eastAsia"/>
                <w:bCs/>
                <w:color w:val="auto"/>
                <w:kern w:val="0"/>
                <w:sz w:val="24"/>
                <w:szCs w:val="24"/>
                <w:highlight w:val="none"/>
                <w:lang w:val="en-US" w:eastAsia="zh-CN"/>
              </w:rPr>
              <w:t>环境管理要求：</w:t>
            </w:r>
            <w:r>
              <w:rPr>
                <w:rFonts w:hint="eastAsia"/>
                <w:bCs/>
                <w:color w:val="auto"/>
                <w:kern w:val="0"/>
                <w:sz w:val="24"/>
                <w:szCs w:val="24"/>
                <w:highlight w:val="none"/>
              </w:rPr>
              <w:t>项目</w:t>
            </w:r>
            <w:r>
              <w:rPr>
                <w:rFonts w:hint="eastAsia"/>
                <w:bCs/>
                <w:color w:val="auto"/>
                <w:kern w:val="0"/>
                <w:sz w:val="24"/>
                <w:szCs w:val="24"/>
                <w:highlight w:val="none"/>
                <w:lang w:val="en-US" w:eastAsia="zh-CN"/>
              </w:rPr>
              <w:t>拟</w:t>
            </w:r>
            <w:r>
              <w:rPr>
                <w:rFonts w:hint="eastAsia"/>
                <w:bCs/>
                <w:color w:val="auto"/>
                <w:kern w:val="0"/>
                <w:sz w:val="24"/>
                <w:szCs w:val="24"/>
                <w:highlight w:val="none"/>
              </w:rPr>
              <w:t>在生产车间内设置一般工业固体废物暂存场所，</w:t>
            </w:r>
            <w:r>
              <w:rPr>
                <w:rFonts w:hint="default" w:ascii="Times New Roman" w:hAnsi="Times New Roman" w:cs="Times New Roman"/>
                <w:color w:val="auto"/>
                <w:sz w:val="24"/>
                <w:szCs w:val="24"/>
                <w:highlight w:val="none"/>
              </w:rPr>
              <w:t>项目一般工业固体废物暂存</w:t>
            </w:r>
            <w:r>
              <w:rPr>
                <w:rFonts w:hint="eastAsia" w:ascii="Times New Roman" w:hAnsi="Times New Roman" w:cs="Times New Roman"/>
                <w:color w:val="auto"/>
                <w:sz w:val="24"/>
                <w:szCs w:val="24"/>
                <w:highlight w:val="none"/>
                <w:lang w:val="en-US" w:eastAsia="zh-CN"/>
              </w:rPr>
              <w:t>场所</w:t>
            </w:r>
            <w:r>
              <w:rPr>
                <w:rFonts w:hint="default" w:ascii="Times New Roman" w:hAnsi="Times New Roman" w:cs="Times New Roman"/>
                <w:color w:val="auto"/>
                <w:sz w:val="24"/>
                <w:szCs w:val="24"/>
                <w:highlight w:val="none"/>
              </w:rPr>
              <w:t>应根据《一般工业固体废物贮存和填埋污染控制标准》（GB18599-2020）标准要求规范化建设，地面应采取硬化措施并满足承载力要求，必要时采取相应措施防止地基下沉</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按要求设置防风、防雨、防晒等措施，并采取相应的防尘措施</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按《环境保护图形标识—固体废物贮存（处置）场》要求设置环境保护图形标志。建设单位应分类收集、贮存、处理各类工业固体废物</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厂内应记录各类固体废物相关台账信息，包括固废名称、产生量、贮存量、利用量、处理量、处置方式、处置委托单位等信息。</w:t>
            </w:r>
          </w:p>
          <w:p>
            <w:pPr>
              <w:keepNext w:val="0"/>
              <w:keepLines w:val="0"/>
              <w:pageBreakBefore w:val="0"/>
              <w:widowControl/>
              <w:numPr>
                <w:ilvl w:val="0"/>
                <w:numId w:val="5"/>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bCs/>
                <w:color w:val="auto"/>
                <w:kern w:val="0"/>
                <w:sz w:val="24"/>
                <w:szCs w:val="24"/>
                <w:highlight w:val="none"/>
              </w:rPr>
            </w:pPr>
            <w:r>
              <w:rPr>
                <w:rFonts w:hint="eastAsia"/>
                <w:bCs/>
                <w:color w:val="auto"/>
                <w:kern w:val="0"/>
                <w:sz w:val="24"/>
                <w:szCs w:val="24"/>
                <w:highlight w:val="none"/>
              </w:rPr>
              <w:t>危险废物</w:t>
            </w:r>
          </w:p>
          <w:p>
            <w:pPr>
              <w:pStyle w:val="34"/>
              <w:keepNext w:val="0"/>
              <w:keepLines w:val="0"/>
              <w:pageBreakBefore w:val="0"/>
              <w:numPr>
                <w:ilvl w:val="0"/>
                <w:numId w:val="0"/>
              </w:numPr>
              <w:kinsoku/>
              <w:wordWrap/>
              <w:overflowPunct/>
              <w:topLinePunct w:val="0"/>
              <w:autoSpaceDE/>
              <w:autoSpaceDN/>
              <w:bidi w:val="0"/>
              <w:adjustRightInd w:val="0"/>
              <w:snapToGrid w:val="0"/>
              <w:spacing w:after="0"/>
              <w:ind w:leftChars="0" w:firstLine="480" w:firstLineChars="200"/>
              <w:textAlignment w:val="auto"/>
              <w:rPr>
                <w:rFonts w:hint="default" w:eastAsia="宋体"/>
                <w:color w:val="auto"/>
                <w:highlight w:val="none"/>
                <w:lang w:val="en-US" w:eastAsia="zh-CN"/>
              </w:rPr>
            </w:pPr>
            <w:r>
              <w:rPr>
                <w:rFonts w:hint="eastAsia"/>
                <w:color w:val="auto"/>
                <w:highlight w:val="none"/>
                <w:lang w:val="en-US" w:eastAsia="zh-CN"/>
              </w:rPr>
              <w:t>处置措施：废活性炭、</w:t>
            </w:r>
            <w:r>
              <w:rPr>
                <w:rFonts w:hint="default" w:ascii="Times New Roman" w:hAnsi="Times New Roman" w:eastAsia="宋体" w:cs="Times New Roman"/>
                <w:color w:val="auto"/>
                <w:kern w:val="0"/>
                <w:sz w:val="24"/>
                <w:szCs w:val="24"/>
                <w:highlight w:val="none"/>
                <w:lang w:val="en-US" w:eastAsia="zh-CN" w:bidi="ar"/>
              </w:rPr>
              <w:t>废机油</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废乳化液经收集后暂存于危废暂存间，定期委托有资质单位处置</w:t>
            </w:r>
            <w:r>
              <w:rPr>
                <w:rFonts w:hint="eastAsia"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cs="Times New Roman"/>
                <w:color w:val="auto"/>
                <w:sz w:val="24"/>
                <w:highlight w:val="none"/>
              </w:rPr>
            </w:pPr>
            <w:r>
              <w:rPr>
                <w:rFonts w:hint="eastAsia" w:cs="Times New Roman"/>
                <w:color w:val="auto"/>
                <w:sz w:val="24"/>
                <w:szCs w:val="24"/>
                <w:highlight w:val="none"/>
                <w:lang w:val="en-US" w:eastAsia="zh-CN"/>
              </w:rPr>
              <w:t>环境管理要求：</w:t>
            </w:r>
            <w:r>
              <w:rPr>
                <w:rFonts w:hint="default" w:ascii="Times New Roman" w:hAnsi="Times New Roman" w:eastAsia="宋体" w:cs="Times New Roman"/>
                <w:color w:val="auto"/>
                <w:sz w:val="24"/>
                <w:szCs w:val="24"/>
                <w:highlight w:val="none"/>
              </w:rPr>
              <w:t>厂区内</w:t>
            </w:r>
            <w:r>
              <w:rPr>
                <w:rFonts w:hint="eastAsia" w:ascii="Times New Roman" w:hAnsi="Times New Roman" w:eastAsia="宋体" w:cs="Times New Roman"/>
                <w:color w:val="auto"/>
                <w:sz w:val="24"/>
                <w:szCs w:val="24"/>
                <w:highlight w:val="none"/>
                <w:lang w:val="en-US" w:eastAsia="zh-CN"/>
              </w:rPr>
              <w:t>应</w:t>
            </w:r>
            <w:r>
              <w:rPr>
                <w:rFonts w:hint="default" w:ascii="Times New Roman" w:hAnsi="Times New Roman" w:eastAsia="宋体" w:cs="Times New Roman"/>
                <w:color w:val="auto"/>
                <w:sz w:val="24"/>
                <w:szCs w:val="24"/>
                <w:highlight w:val="none"/>
              </w:rPr>
              <w:t>设置危险废物暂存间</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lang w:val="en-US" w:eastAsia="zh-CN"/>
              </w:rPr>
              <w:t>《危险废物贮存污染控制标准》(GB18597-2023)</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公告2023年 第6号</w:t>
            </w:r>
            <w:r>
              <w:rPr>
                <w:rFonts w:hint="eastAsia" w:ascii="Times New Roman" w:hAnsi="Times New Roman" w:eastAsia="宋体" w:cs="Times New Roman"/>
                <w:color w:val="auto"/>
                <w:sz w:val="24"/>
                <w:szCs w:val="24"/>
                <w:highlight w:val="none"/>
                <w:lang w:val="en-US" w:eastAsia="zh-CN"/>
              </w:rPr>
              <w:t>）标</w:t>
            </w:r>
            <w:r>
              <w:rPr>
                <w:rFonts w:hint="eastAsia" w:ascii="Times New Roman" w:hAnsi="Times New Roman" w:cs="Times New Roman"/>
                <w:color w:val="auto"/>
                <w:sz w:val="24"/>
                <w:highlight w:val="none"/>
                <w:lang w:val="en-US" w:eastAsia="zh-CN"/>
              </w:rPr>
              <w:t>准规定，项目</w:t>
            </w:r>
            <w:r>
              <w:rPr>
                <w:rFonts w:hint="default" w:ascii="Times New Roman" w:hAnsi="Times New Roman" w:eastAsia="宋体" w:cs="Times New Roman"/>
                <w:color w:val="auto"/>
                <w:sz w:val="24"/>
                <w:szCs w:val="24"/>
                <w:highlight w:val="none"/>
              </w:rPr>
              <w:t>危险废物暂存间</w:t>
            </w:r>
            <w:r>
              <w:rPr>
                <w:rFonts w:hint="eastAsia" w:ascii="Times New Roman" w:hAnsi="Times New Roman" w:eastAsia="宋体" w:cs="Times New Roman"/>
                <w:color w:val="auto"/>
                <w:sz w:val="24"/>
                <w:szCs w:val="24"/>
                <w:highlight w:val="none"/>
                <w:lang w:val="en-US" w:eastAsia="zh-CN"/>
              </w:rPr>
              <w:t>归为贮存库（用于贮存一种或多种类别、形态危险废物的仓库式贮存设施），危险废物</w:t>
            </w:r>
            <w:r>
              <w:rPr>
                <w:rFonts w:hint="default" w:ascii="Times New Roman" w:hAnsi="Times New Roman" w:eastAsia="宋体" w:cs="Times New Roman"/>
                <w:color w:val="auto"/>
                <w:sz w:val="24"/>
                <w:szCs w:val="24"/>
                <w:highlight w:val="none"/>
              </w:rPr>
              <w:t>应参照执行</w:t>
            </w:r>
            <w:r>
              <w:rPr>
                <w:rFonts w:hint="default" w:ascii="Times New Roman" w:hAnsi="Times New Roman" w:eastAsia="宋体" w:cs="Times New Roman"/>
                <w:color w:val="auto"/>
                <w:sz w:val="24"/>
                <w:szCs w:val="24"/>
                <w:highlight w:val="none"/>
                <w:lang w:val="en-US" w:eastAsia="zh-CN"/>
              </w:rPr>
              <w:t>《危险废物贮存污染控制标准》(GB18597-2023)</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公告2023年 第6号</w:t>
            </w:r>
            <w:r>
              <w:rPr>
                <w:rFonts w:hint="eastAsia" w:ascii="Times New Roman" w:hAnsi="Times New Roman" w:eastAsia="宋体" w:cs="Times New Roman"/>
                <w:color w:val="auto"/>
                <w:sz w:val="24"/>
                <w:szCs w:val="24"/>
                <w:highlight w:val="none"/>
                <w:lang w:val="en-US" w:eastAsia="zh-CN"/>
              </w:rPr>
              <w:t>）、《危险废</w:t>
            </w:r>
            <w:r>
              <w:rPr>
                <w:rFonts w:hint="eastAsia" w:ascii="Times New Roman" w:hAnsi="Times New Roman" w:eastAsia="宋体" w:cs="Times New Roman"/>
                <w:color w:val="auto"/>
                <w:sz w:val="24"/>
                <w:szCs w:val="24"/>
                <w:highlight w:val="none"/>
                <w:lang w:eastAsia="zh-CN"/>
              </w:rPr>
              <w:t>物识别标志设置技术规范》（HJ1276</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eastAsia="zh-CN"/>
              </w:rPr>
              <w:t>2022）</w:t>
            </w:r>
            <w:r>
              <w:rPr>
                <w:rFonts w:hint="default" w:ascii="Times New Roman" w:hAnsi="Times New Roman" w:eastAsia="宋体" w:cs="Times New Roman"/>
                <w:color w:val="auto"/>
                <w:sz w:val="24"/>
                <w:szCs w:val="24"/>
                <w:highlight w:val="none"/>
              </w:rPr>
              <w:t>要求</w:t>
            </w:r>
            <w:r>
              <w:rPr>
                <w:rFonts w:hint="eastAsia" w:ascii="Times New Roman" w:hAnsi="Times New Roman" w:eastAsia="宋体" w:cs="Times New Roman"/>
                <w:color w:val="auto"/>
                <w:sz w:val="24"/>
                <w:szCs w:val="24"/>
                <w:highlight w:val="none"/>
                <w:lang w:val="en-US" w:eastAsia="zh-CN"/>
              </w:rPr>
              <w:t>进行处置</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rPr>
              <w:t>危险废物暂存间的</w:t>
            </w:r>
            <w:r>
              <w:rPr>
                <w:rFonts w:hint="eastAsia" w:ascii="Times New Roman" w:hAnsi="Times New Roman" w:eastAsia="宋体" w:cs="Times New Roman"/>
                <w:color w:val="auto"/>
                <w:sz w:val="24"/>
                <w:szCs w:val="24"/>
                <w:highlight w:val="none"/>
                <w:lang w:val="en-US" w:eastAsia="zh-CN"/>
              </w:rPr>
              <w:t>建设</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容器和包装物、</w:t>
            </w:r>
            <w:r>
              <w:rPr>
                <w:rFonts w:hint="default" w:ascii="Times New Roman" w:hAnsi="Times New Roman" w:eastAsia="宋体" w:cs="Times New Roman"/>
                <w:color w:val="auto"/>
                <w:sz w:val="24"/>
                <w:szCs w:val="24"/>
                <w:highlight w:val="none"/>
              </w:rPr>
              <w:t>及</w:t>
            </w:r>
            <w:r>
              <w:rPr>
                <w:rFonts w:hint="default" w:ascii="Times New Roman" w:hAnsi="Times New Roman" w:eastAsia="宋体" w:cs="Times New Roman"/>
                <w:color w:val="auto"/>
                <w:sz w:val="24"/>
                <w:szCs w:val="24"/>
                <w:highlight w:val="none"/>
                <w:lang w:val="en-US" w:eastAsia="zh-CN"/>
              </w:rPr>
              <w:t>贮存设施运行环境管理</w:t>
            </w:r>
            <w:r>
              <w:rPr>
                <w:rFonts w:hint="default" w:ascii="Times New Roman" w:hAnsi="Times New Roman" w:eastAsia="宋体" w:cs="Times New Roman"/>
                <w:color w:val="auto"/>
                <w:sz w:val="24"/>
                <w:szCs w:val="24"/>
                <w:highlight w:val="none"/>
              </w:rPr>
              <w:t>要求</w:t>
            </w:r>
            <w:r>
              <w:rPr>
                <w:rFonts w:hint="eastAsia" w:ascii="Times New Roman" w:hAnsi="Times New Roman" w:eastAsia="宋体" w:cs="Times New Roman"/>
                <w:color w:val="auto"/>
                <w:sz w:val="24"/>
                <w:szCs w:val="24"/>
                <w:highlight w:val="none"/>
                <w:lang w:val="en-US" w:eastAsia="zh-CN"/>
              </w:rPr>
              <w:t>如下</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spacing w:line="360" w:lineRule="auto"/>
              <w:ind w:firstLine="482"/>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w:t>
            </w:r>
            <w:r>
              <w:rPr>
                <w:rFonts w:hint="eastAsia" w:ascii="Times New Roman" w:hAnsi="Times New Roman" w:eastAsia="宋体" w:cs="Times New Roman"/>
                <w:color w:val="auto"/>
                <w:sz w:val="24"/>
                <w:highlight w:val="none"/>
                <w:lang w:val="en-US" w:eastAsia="zh-CN"/>
              </w:rPr>
              <w:t>贮存库建设要求</w:t>
            </w:r>
          </w:p>
          <w:p>
            <w:pPr>
              <w:keepNext w:val="0"/>
              <w:keepLines w:val="0"/>
              <w:pageBreakBefore w:val="0"/>
              <w:widowControl w:val="0"/>
              <w:kinsoku/>
              <w:wordWrap/>
              <w:overflowPunct/>
              <w:topLinePunct w:val="0"/>
              <w:autoSpaceDE/>
              <w:autoSpaceDN/>
              <w:bidi w:val="0"/>
              <w:spacing w:line="360" w:lineRule="auto"/>
              <w:ind w:firstLine="482"/>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 xml:space="preserve">A、贮存库内不同贮存分区之间应采取隔离措施。隔离措施可根据危险废物特性采用过道、隔板或隔墙等方式。 </w:t>
            </w:r>
          </w:p>
          <w:p>
            <w:pPr>
              <w:keepNext w:val="0"/>
              <w:keepLines w:val="0"/>
              <w:pageBreakBefore w:val="0"/>
              <w:widowControl w:val="0"/>
              <w:kinsoku/>
              <w:wordWrap/>
              <w:overflowPunct/>
              <w:topLinePunct w:val="0"/>
              <w:autoSpaceDE/>
              <w:autoSpaceDN/>
              <w:bidi w:val="0"/>
              <w:spacing w:line="360" w:lineRule="auto"/>
              <w:ind w:firstLine="482"/>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 xml:space="preserve">B、 在贮存库内或通过贮存分区方式贮存液态危险废物的，应具有液体泄漏堵截设施，堵截设施最小容积不应低于对应贮存区域最大液态废物容器容积或液态废物总储量 </w:t>
            </w:r>
            <w:r>
              <w:rPr>
                <w:rFonts w:hint="default" w:ascii="Times New Roman" w:hAnsi="Times New Roman" w:eastAsia="宋体" w:cs="Times New Roman"/>
                <w:color w:val="auto"/>
                <w:sz w:val="24"/>
                <w:highlight w:val="none"/>
                <w:lang w:val="en-US" w:eastAsia="zh-CN"/>
              </w:rPr>
              <w:t>1/10</w:t>
            </w:r>
            <w:r>
              <w:rPr>
                <w:rFonts w:hint="eastAsia" w:ascii="Times New Roman" w:hAnsi="Times New Roman" w:eastAsia="宋体" w:cs="Times New Roman"/>
                <w:color w:val="auto"/>
                <w:sz w:val="24"/>
                <w:highlight w:val="none"/>
                <w:lang w:val="en-US" w:eastAsia="zh-CN"/>
              </w:rPr>
              <w:t xml:space="preserve">（二者取较大者）；用于贮存可能产生渗滤液的危险废物的贮存库或贮存分区应设计渗滤液收集设施，收集设施容积应满足渗滤液的收集要求。 </w:t>
            </w:r>
          </w:p>
          <w:p>
            <w:pPr>
              <w:keepNext w:val="0"/>
              <w:keepLines w:val="0"/>
              <w:pageBreakBefore w:val="0"/>
              <w:widowControl w:val="0"/>
              <w:kinsoku/>
              <w:wordWrap/>
              <w:overflowPunct/>
              <w:topLinePunct w:val="0"/>
              <w:autoSpaceDE/>
              <w:autoSpaceDN/>
              <w:bidi w:val="0"/>
              <w:spacing w:line="360" w:lineRule="auto"/>
              <w:ind w:firstLine="482"/>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C、贮存易产生粉尘、</w:t>
            </w:r>
            <w:r>
              <w:rPr>
                <w:rFonts w:hint="default" w:ascii="Times New Roman" w:hAnsi="Times New Roman" w:eastAsia="宋体" w:cs="Times New Roman"/>
                <w:color w:val="auto"/>
                <w:sz w:val="24"/>
                <w:highlight w:val="none"/>
                <w:lang w:val="en-US" w:eastAsia="zh-CN"/>
              </w:rPr>
              <w:t>VOCs</w:t>
            </w:r>
            <w:r>
              <w:rPr>
                <w:rFonts w:hint="eastAsia" w:ascii="Times New Roman" w:hAnsi="Times New Roman" w:eastAsia="宋体" w:cs="Times New Roman"/>
                <w:color w:val="auto"/>
                <w:sz w:val="24"/>
                <w:highlight w:val="none"/>
                <w:lang w:val="en-US" w:eastAsia="zh-CN"/>
              </w:rPr>
              <w:t>、酸雾、有毒有害大气污染物和刺激性气味气体的危险废物贮存库，应设置气体收集装置和气体净化设施；气体净化设施的排气筒高度应符合</w:t>
            </w:r>
            <w:r>
              <w:rPr>
                <w:rFonts w:hint="default" w:ascii="Times New Roman" w:hAnsi="Times New Roman" w:eastAsia="宋体" w:cs="Times New Roman"/>
                <w:color w:val="auto"/>
                <w:sz w:val="24"/>
                <w:highlight w:val="none"/>
                <w:lang w:val="en-US" w:eastAsia="zh-CN"/>
              </w:rPr>
              <w:t>GB 16297</w:t>
            </w:r>
            <w:r>
              <w:rPr>
                <w:rFonts w:hint="eastAsia" w:ascii="Times New Roman" w:hAnsi="Times New Roman" w:eastAsia="宋体" w:cs="Times New Roman"/>
                <w:color w:val="auto"/>
                <w:sz w:val="24"/>
                <w:highlight w:val="none"/>
                <w:lang w:val="en-US" w:eastAsia="zh-CN"/>
              </w:rPr>
              <w:t>要求。</w:t>
            </w:r>
          </w:p>
          <w:p>
            <w:pPr>
              <w:keepNext w:val="0"/>
              <w:keepLines w:val="0"/>
              <w:pageBreakBefore w:val="0"/>
              <w:widowControl w:val="0"/>
              <w:kinsoku/>
              <w:wordWrap/>
              <w:overflowPunct/>
              <w:topLinePunct w:val="0"/>
              <w:autoSpaceDE/>
              <w:autoSpaceDN/>
              <w:bidi w:val="0"/>
              <w:spacing w:line="360" w:lineRule="auto"/>
              <w:ind w:firstLine="482"/>
              <w:textAlignment w:val="auto"/>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②</w:t>
            </w:r>
            <w:r>
              <w:rPr>
                <w:rFonts w:hint="eastAsia" w:ascii="Times New Roman" w:hAnsi="Times New Roman" w:eastAsia="宋体" w:cs="Times New Roman"/>
                <w:color w:val="auto"/>
                <w:sz w:val="24"/>
                <w:highlight w:val="none"/>
                <w:lang w:val="en-US" w:eastAsia="zh-CN"/>
              </w:rPr>
              <w:t>容器和包装物污染控制要求</w:t>
            </w:r>
          </w:p>
          <w:p>
            <w:pPr>
              <w:keepNext w:val="0"/>
              <w:keepLines w:val="0"/>
              <w:pageBreakBefore w:val="0"/>
              <w:widowControl w:val="0"/>
              <w:kinsoku/>
              <w:wordWrap/>
              <w:overflowPunct/>
              <w:topLinePunct w:val="0"/>
              <w:autoSpaceDE/>
              <w:autoSpaceDN/>
              <w:bidi w:val="0"/>
              <w:spacing w:line="360" w:lineRule="auto"/>
              <w:ind w:firstLine="482"/>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 xml:space="preserve">A、容器和包装物材质、内衬应与盛装的危险废物相容。 </w:t>
            </w:r>
          </w:p>
          <w:p>
            <w:pPr>
              <w:keepNext w:val="0"/>
              <w:keepLines w:val="0"/>
              <w:pageBreakBefore w:val="0"/>
              <w:widowControl w:val="0"/>
              <w:kinsoku/>
              <w:wordWrap/>
              <w:overflowPunct/>
              <w:topLinePunct w:val="0"/>
              <w:autoSpaceDE/>
              <w:autoSpaceDN/>
              <w:bidi w:val="0"/>
              <w:spacing w:line="360" w:lineRule="auto"/>
              <w:ind w:firstLine="482"/>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 xml:space="preserve">B、针对不同类别、形态、物理化学性质的危险废物，其容器和包装物应满足相应的防渗、防漏、防腐和强度等要求。 </w:t>
            </w:r>
          </w:p>
          <w:p>
            <w:pPr>
              <w:keepNext w:val="0"/>
              <w:keepLines w:val="0"/>
              <w:pageBreakBefore w:val="0"/>
              <w:widowControl w:val="0"/>
              <w:kinsoku/>
              <w:wordWrap/>
              <w:overflowPunct/>
              <w:topLinePunct w:val="0"/>
              <w:autoSpaceDE/>
              <w:autoSpaceDN/>
              <w:bidi w:val="0"/>
              <w:spacing w:line="360" w:lineRule="auto"/>
              <w:ind w:firstLine="482"/>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 xml:space="preserve">C、硬质容器和包装物及其支护结构堆叠码放时不应有明显变形，无破损泄漏。 </w:t>
            </w:r>
          </w:p>
          <w:p>
            <w:pPr>
              <w:keepNext w:val="0"/>
              <w:keepLines w:val="0"/>
              <w:pageBreakBefore w:val="0"/>
              <w:widowControl w:val="0"/>
              <w:kinsoku/>
              <w:wordWrap/>
              <w:overflowPunct/>
              <w:topLinePunct w:val="0"/>
              <w:autoSpaceDE/>
              <w:autoSpaceDN/>
              <w:bidi w:val="0"/>
              <w:spacing w:line="360" w:lineRule="auto"/>
              <w:ind w:firstLine="482"/>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 xml:space="preserve">D、柔性容器和包装物堆叠码放时应封口严密，无破损泄漏。 </w:t>
            </w:r>
          </w:p>
          <w:p>
            <w:pPr>
              <w:keepNext w:val="0"/>
              <w:keepLines w:val="0"/>
              <w:pageBreakBefore w:val="0"/>
              <w:widowControl w:val="0"/>
              <w:kinsoku/>
              <w:wordWrap/>
              <w:overflowPunct/>
              <w:topLinePunct w:val="0"/>
              <w:autoSpaceDE/>
              <w:autoSpaceDN/>
              <w:bidi w:val="0"/>
              <w:spacing w:line="360" w:lineRule="auto"/>
              <w:ind w:firstLine="482"/>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 xml:space="preserve">E、使用容器盛装液态、半固态危险废物时，容器内部应留有适当的空间，以适应因温度变化等可能引发的收缩和膨胀，防止其导致容器渗漏或永久变形。 </w:t>
            </w:r>
          </w:p>
          <w:p>
            <w:pPr>
              <w:keepNext w:val="0"/>
              <w:keepLines w:val="0"/>
              <w:pageBreakBefore w:val="0"/>
              <w:widowControl w:val="0"/>
              <w:kinsoku/>
              <w:wordWrap/>
              <w:overflowPunct/>
              <w:topLinePunct w:val="0"/>
              <w:autoSpaceDE/>
              <w:autoSpaceDN/>
              <w:bidi w:val="0"/>
              <w:spacing w:line="360" w:lineRule="auto"/>
              <w:ind w:firstLine="482"/>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F、容器和包装物外表面应保持清洁。</w:t>
            </w:r>
          </w:p>
          <w:p>
            <w:pPr>
              <w:keepNext w:val="0"/>
              <w:keepLines w:val="0"/>
              <w:pageBreakBefore w:val="0"/>
              <w:widowControl w:val="0"/>
              <w:kinsoku/>
              <w:wordWrap/>
              <w:overflowPunct/>
              <w:topLinePunct w:val="0"/>
              <w:autoSpaceDE/>
              <w:autoSpaceDN/>
              <w:bidi w:val="0"/>
              <w:spacing w:line="360" w:lineRule="auto"/>
              <w:ind w:firstLine="482"/>
              <w:textAlignment w:val="auto"/>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③</w:t>
            </w:r>
            <w:r>
              <w:rPr>
                <w:rFonts w:hint="eastAsia" w:ascii="Times New Roman" w:hAnsi="Times New Roman" w:eastAsia="宋体" w:cs="Times New Roman"/>
                <w:color w:val="auto"/>
                <w:sz w:val="24"/>
                <w:highlight w:val="none"/>
                <w:lang w:val="en-US" w:eastAsia="zh-CN"/>
              </w:rPr>
              <w:t>贮存设施运行环境管理要求</w:t>
            </w:r>
          </w:p>
          <w:p>
            <w:pPr>
              <w:keepNext w:val="0"/>
              <w:keepLines w:val="0"/>
              <w:pageBreakBefore w:val="0"/>
              <w:widowControl w:val="0"/>
              <w:kinsoku/>
              <w:wordWrap/>
              <w:overflowPunct/>
              <w:topLinePunct w:val="0"/>
              <w:autoSpaceDE/>
              <w:autoSpaceDN/>
              <w:bidi w:val="0"/>
              <w:spacing w:line="360" w:lineRule="auto"/>
              <w:ind w:firstLine="482"/>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 xml:space="preserve">A、危险废物存入贮存设施前应对危险废物类别和特性与危险废物标签等危险废物识别标志的一致性进行核验，不一致的或类别、特性不明的不应存入。 </w:t>
            </w:r>
          </w:p>
          <w:p>
            <w:pPr>
              <w:keepNext w:val="0"/>
              <w:keepLines w:val="0"/>
              <w:pageBreakBefore w:val="0"/>
              <w:widowControl w:val="0"/>
              <w:kinsoku/>
              <w:wordWrap/>
              <w:overflowPunct/>
              <w:topLinePunct w:val="0"/>
              <w:autoSpaceDE/>
              <w:autoSpaceDN/>
              <w:bidi w:val="0"/>
              <w:spacing w:line="360" w:lineRule="auto"/>
              <w:ind w:firstLine="482"/>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 xml:space="preserve">B、应定期检查危险废物的贮存状况，及时清理贮存设施地面，更换破损泄漏的危险废物贮存容器和包装物，保证堆存危险废物的防雨、防风、防扬尘等设施功能完好。 </w:t>
            </w:r>
          </w:p>
          <w:p>
            <w:pPr>
              <w:keepNext w:val="0"/>
              <w:keepLines w:val="0"/>
              <w:pageBreakBefore w:val="0"/>
              <w:widowControl w:val="0"/>
              <w:kinsoku/>
              <w:wordWrap/>
              <w:overflowPunct/>
              <w:topLinePunct w:val="0"/>
              <w:autoSpaceDE/>
              <w:autoSpaceDN/>
              <w:bidi w:val="0"/>
              <w:spacing w:line="360" w:lineRule="auto"/>
              <w:ind w:firstLine="482"/>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 xml:space="preserve">C、作业设备及车辆等结束作业离开贮存设施时，应对其残留的危险废物进行清理，清理的废物或清洗废水应收集处理。 </w:t>
            </w:r>
          </w:p>
          <w:p>
            <w:pPr>
              <w:keepNext w:val="0"/>
              <w:keepLines w:val="0"/>
              <w:pageBreakBefore w:val="0"/>
              <w:widowControl w:val="0"/>
              <w:kinsoku/>
              <w:wordWrap/>
              <w:overflowPunct/>
              <w:topLinePunct w:val="0"/>
              <w:autoSpaceDE/>
              <w:autoSpaceDN/>
              <w:bidi w:val="0"/>
              <w:spacing w:line="360" w:lineRule="auto"/>
              <w:ind w:firstLine="482"/>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 xml:space="preserve">D、贮存设施运行期间，应按国家有关标准和规定建立危险废物管理台账并保存。 </w:t>
            </w:r>
          </w:p>
          <w:p>
            <w:pPr>
              <w:keepNext w:val="0"/>
              <w:keepLines w:val="0"/>
              <w:pageBreakBefore w:val="0"/>
              <w:widowControl w:val="0"/>
              <w:kinsoku/>
              <w:wordWrap/>
              <w:overflowPunct/>
              <w:topLinePunct w:val="0"/>
              <w:autoSpaceDE/>
              <w:autoSpaceDN/>
              <w:bidi w:val="0"/>
              <w:spacing w:line="360" w:lineRule="auto"/>
              <w:ind w:firstLine="482"/>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 xml:space="preserve">E、贮存设施所有者或运营者应建立贮存设施环境管理制度、管理人员岗位职责制度、设施运行操作制度、人员岗位培训制度等。 </w:t>
            </w:r>
          </w:p>
          <w:p>
            <w:pPr>
              <w:keepNext w:val="0"/>
              <w:keepLines w:val="0"/>
              <w:pageBreakBefore w:val="0"/>
              <w:widowControl w:val="0"/>
              <w:kinsoku/>
              <w:wordWrap/>
              <w:overflowPunct/>
              <w:topLinePunct w:val="0"/>
              <w:autoSpaceDE/>
              <w:autoSpaceDN/>
              <w:bidi w:val="0"/>
              <w:spacing w:line="360" w:lineRule="auto"/>
              <w:ind w:firstLine="482"/>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 xml:space="preserve">F、贮存设施所有者或运营者应依据国家土壤和地下水污染防治的有关规定，结合贮存设施特点建立土壤和地下水污染隐患排查制度，并定期开展隐患排查；发现隐患应及时采取措施消除隐患，并建立档案。 </w:t>
            </w:r>
          </w:p>
          <w:p>
            <w:pPr>
              <w:keepNext w:val="0"/>
              <w:keepLines w:val="0"/>
              <w:pageBreakBefore w:val="0"/>
              <w:widowControl w:val="0"/>
              <w:kinsoku/>
              <w:wordWrap/>
              <w:overflowPunct/>
              <w:topLinePunct w:val="0"/>
              <w:autoSpaceDE/>
              <w:autoSpaceDN/>
              <w:bidi w:val="0"/>
              <w:spacing w:line="360" w:lineRule="auto"/>
              <w:ind w:firstLine="482"/>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G、贮存设施所有者或运营者应建立贮存设施全部档案，包括设计、施工、验收、运行、监测和环境应急等，应按国家有关档案管理的法律法规进行整理和归档。</w:t>
            </w:r>
          </w:p>
          <w:p>
            <w:pPr>
              <w:keepNext w:val="0"/>
              <w:keepLines w:val="0"/>
              <w:pageBreakBefore w:val="0"/>
              <w:widowControl w:val="0"/>
              <w:kinsoku/>
              <w:wordWrap/>
              <w:overflowPunct/>
              <w:topLinePunct w:val="0"/>
              <w:autoSpaceDE/>
              <w:autoSpaceDN/>
              <w:bidi w:val="0"/>
              <w:spacing w:line="360" w:lineRule="auto"/>
              <w:ind w:firstLine="482"/>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通过以上措施，可使项目固体废物得到及时、妥善</w:t>
            </w:r>
            <w:r>
              <w:rPr>
                <w:rFonts w:hint="eastAsia" w:ascii="Times New Roman" w:hAnsi="Times New Roman" w:cs="Times New Roman"/>
                <w:color w:val="auto"/>
                <w:sz w:val="24"/>
                <w:highlight w:val="none"/>
                <w:lang w:val="en-US" w:eastAsia="zh-CN"/>
              </w:rPr>
              <w:t>地</w:t>
            </w:r>
            <w:r>
              <w:rPr>
                <w:rFonts w:hint="default" w:ascii="Times New Roman" w:hAnsi="Times New Roman" w:cs="Times New Roman"/>
                <w:color w:val="auto"/>
                <w:sz w:val="24"/>
                <w:highlight w:val="none"/>
              </w:rPr>
              <w:t>处理和处置，不会对周围环境造成大的污染影响。</w:t>
            </w:r>
          </w:p>
          <w:p>
            <w:pPr>
              <w:keepNext w:val="0"/>
              <w:keepLines w:val="0"/>
              <w:pageBreakBefore w:val="0"/>
              <w:widowControl w:val="0"/>
              <w:kinsoku/>
              <w:wordWrap/>
              <w:overflowPunct/>
              <w:topLinePunct w:val="0"/>
              <w:autoSpaceDE/>
              <w:autoSpaceDN/>
              <w:bidi w:val="0"/>
              <w:spacing w:line="360" w:lineRule="auto"/>
              <w:ind w:firstLine="482"/>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w:t>
            </w:r>
            <w:r>
              <w:rPr>
                <w:rFonts w:hint="eastAsia" w:ascii="宋体" w:hAnsi="宋体" w:eastAsia="宋体" w:cs="宋体"/>
                <w:color w:val="auto"/>
                <w:kern w:val="0"/>
                <w:sz w:val="24"/>
                <w:szCs w:val="24"/>
                <w:highlight w:val="none"/>
                <w:lang w:val="en-US" w:eastAsia="zh-CN" w:bidi="ar"/>
              </w:rPr>
              <w:t>废弃原料空桶</w:t>
            </w:r>
            <w:r>
              <w:rPr>
                <w:rFonts w:hint="default" w:ascii="Times New Roman" w:hAnsi="Times New Roman" w:eastAsia="宋体" w:cs="Times New Roman"/>
                <w:color w:val="auto"/>
                <w:sz w:val="24"/>
                <w:highlight w:val="none"/>
              </w:rPr>
              <w:t>处理措施评述</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kern w:val="0"/>
                <w:sz w:val="24"/>
                <w:szCs w:val="24"/>
                <w:highlight w:val="none"/>
                <w:lang w:val="en-GB"/>
              </w:rPr>
            </w:pPr>
            <w:r>
              <w:rPr>
                <w:rFonts w:hint="default" w:ascii="Times New Roman" w:hAnsi="Times New Roman" w:cs="Times New Roman"/>
                <w:color w:val="auto"/>
                <w:sz w:val="24"/>
                <w:highlight w:val="none"/>
              </w:rPr>
              <w:t>项目</w:t>
            </w:r>
            <w:r>
              <w:rPr>
                <w:rFonts w:hint="eastAsia" w:ascii="宋体" w:hAnsi="宋体" w:eastAsia="宋体" w:cs="宋体"/>
                <w:color w:val="auto"/>
                <w:kern w:val="0"/>
                <w:sz w:val="24"/>
                <w:szCs w:val="24"/>
                <w:highlight w:val="none"/>
                <w:lang w:val="en-US" w:eastAsia="zh-CN" w:bidi="ar"/>
              </w:rPr>
              <w:t>废弃原料空桶</w:t>
            </w:r>
            <w:r>
              <w:rPr>
                <w:rFonts w:hint="default" w:ascii="Times New Roman" w:hAnsi="Times New Roman" w:cs="Times New Roman"/>
                <w:color w:val="auto"/>
                <w:sz w:val="24"/>
                <w:highlight w:val="none"/>
              </w:rPr>
              <w:t>经集中收集后暂存于危废暂存</w:t>
            </w:r>
            <w:r>
              <w:rPr>
                <w:rFonts w:hint="eastAsia" w:ascii="Times New Roman" w:hAnsi="Times New Roman" w:cs="Times New Roman"/>
                <w:color w:val="auto"/>
                <w:sz w:val="24"/>
                <w:highlight w:val="none"/>
                <w:lang w:val="en-US" w:eastAsia="zh-CN"/>
              </w:rPr>
              <w:t>间</w:t>
            </w:r>
            <w:r>
              <w:rPr>
                <w:rFonts w:hint="default" w:ascii="Times New Roman" w:hAnsi="Times New Roman" w:cs="Times New Roman"/>
                <w:color w:val="auto"/>
                <w:sz w:val="24"/>
                <w:highlight w:val="none"/>
              </w:rPr>
              <w:t>，最终由</w:t>
            </w:r>
            <w:r>
              <w:rPr>
                <w:rFonts w:hint="eastAsia" w:ascii="Times New Roman" w:hAnsi="Times New Roman" w:cs="Times New Roman"/>
                <w:color w:val="auto"/>
                <w:sz w:val="24"/>
                <w:highlight w:val="none"/>
                <w:lang w:val="en-US" w:eastAsia="zh-CN"/>
              </w:rPr>
              <w:t>供应商</w:t>
            </w:r>
            <w:r>
              <w:rPr>
                <w:rFonts w:hint="default" w:ascii="Times New Roman" w:hAnsi="Times New Roman" w:cs="Times New Roman"/>
                <w:color w:val="auto"/>
                <w:sz w:val="24"/>
                <w:highlight w:val="none"/>
              </w:rPr>
              <w:t>回用于原始用途原料，并保留凭证，不作为固废管理，暂存</w:t>
            </w:r>
            <w:r>
              <w:rPr>
                <w:rFonts w:hint="eastAsia" w:ascii="Times New Roman" w:hAnsi="Times New Roman" w:cs="Times New Roman"/>
                <w:color w:val="auto"/>
                <w:sz w:val="24"/>
                <w:highlight w:val="none"/>
                <w:lang w:val="en-US" w:eastAsia="zh-CN"/>
              </w:rPr>
              <w:t>间</w:t>
            </w:r>
            <w:r>
              <w:rPr>
                <w:rFonts w:hint="default" w:ascii="Times New Roman" w:hAnsi="Times New Roman" w:cs="Times New Roman"/>
                <w:color w:val="auto"/>
                <w:sz w:val="24"/>
                <w:highlight w:val="none"/>
              </w:rPr>
              <w:t>参照</w:t>
            </w:r>
            <w:r>
              <w:rPr>
                <w:rFonts w:hint="default" w:ascii="Times New Roman" w:hAnsi="Times New Roman" w:eastAsia="宋体" w:cs="Times New Roman"/>
                <w:color w:val="auto"/>
                <w:sz w:val="24"/>
                <w:szCs w:val="24"/>
                <w:highlight w:val="none"/>
              </w:rPr>
              <w:t>《危险废物贮存污染控制标准》(GB18597-2023)</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公告2023年 第6号</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cs="Times New Roman"/>
                <w:color w:val="auto"/>
                <w:sz w:val="24"/>
                <w:highlight w:val="none"/>
              </w:rPr>
              <w:t>中相关要求。</w:t>
            </w:r>
            <w:r>
              <w:rPr>
                <w:rFonts w:hint="eastAsia" w:ascii="宋体" w:hAnsi="宋体" w:eastAsia="宋体" w:cs="宋体"/>
                <w:color w:val="auto"/>
                <w:kern w:val="0"/>
                <w:sz w:val="24"/>
                <w:szCs w:val="24"/>
                <w:highlight w:val="none"/>
                <w:lang w:val="en-US" w:eastAsia="zh-CN" w:bidi="ar"/>
              </w:rPr>
              <w:t>项目固废成分简单，交由相应的单位处理即可，因此项目固废处理措施具有较强的技术可行性。平时加强项目的环境管理，注意固体废物的收集，不得随意堆放，使其运营过程产生的固体废物得到及时、妥善的处理和处置，</w:t>
            </w:r>
            <w:r>
              <w:rPr>
                <w:rFonts w:hint="eastAsia"/>
                <w:color w:val="auto"/>
                <w:kern w:val="0"/>
                <w:sz w:val="24"/>
                <w:szCs w:val="24"/>
                <w:highlight w:val="none"/>
                <w:lang w:val="en-GB"/>
              </w:rPr>
              <w:t>项目固废经合理处理处置后，不会对周围环境产生影响。</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Times New Roman" w:hAnsi="Times New Roman" w:eastAsia="宋体" w:cs="Times New Roman"/>
                <w:b/>
                <w:bCs/>
                <w:color w:val="auto"/>
                <w:sz w:val="28"/>
                <w:szCs w:val="28"/>
                <w:highlight w:val="none"/>
                <w:lang w:val="en-US" w:eastAsia="zh-CN"/>
              </w:rPr>
            </w:pPr>
            <w:r>
              <w:rPr>
                <w:rFonts w:hint="eastAsia" w:cs="Times New Roman"/>
                <w:b/>
                <w:bCs/>
                <w:color w:val="auto"/>
                <w:sz w:val="28"/>
                <w:szCs w:val="28"/>
                <w:highlight w:val="none"/>
                <w:lang w:val="en-US" w:eastAsia="zh-CN"/>
              </w:rPr>
              <w:t>4.3</w:t>
            </w:r>
            <w:r>
              <w:rPr>
                <w:rFonts w:hint="default" w:ascii="Times New Roman" w:hAnsi="Times New Roman" w:eastAsia="宋体" w:cs="Times New Roman"/>
                <w:b/>
                <w:bCs/>
                <w:color w:val="auto"/>
                <w:sz w:val="28"/>
                <w:szCs w:val="28"/>
                <w:highlight w:val="none"/>
                <w:lang w:val="en-US" w:eastAsia="zh-CN"/>
              </w:rPr>
              <w:t>、</w:t>
            </w:r>
            <w:r>
              <w:rPr>
                <w:rFonts w:hint="default" w:ascii="Times New Roman" w:hAnsi="Times New Roman" w:eastAsia="宋体" w:cs="Times New Roman"/>
                <w:b/>
                <w:bCs/>
                <w:color w:val="auto"/>
                <w:sz w:val="28"/>
                <w:szCs w:val="28"/>
                <w:highlight w:val="none"/>
              </w:rPr>
              <w:t>地下水</w:t>
            </w:r>
            <w:r>
              <w:rPr>
                <w:rFonts w:hint="eastAsia" w:cs="Times New Roman"/>
                <w:b/>
                <w:bCs/>
                <w:color w:val="auto"/>
                <w:sz w:val="28"/>
                <w:szCs w:val="28"/>
                <w:highlight w:val="none"/>
                <w:lang w:eastAsia="zh-CN"/>
              </w:rPr>
              <w:t>、</w:t>
            </w:r>
            <w:r>
              <w:rPr>
                <w:rFonts w:hint="eastAsia" w:cs="Times New Roman"/>
                <w:b/>
                <w:bCs/>
                <w:color w:val="auto"/>
                <w:sz w:val="28"/>
                <w:szCs w:val="28"/>
                <w:highlight w:val="none"/>
                <w:lang w:val="en-US" w:eastAsia="zh-CN"/>
              </w:rPr>
              <w:t>土</w:t>
            </w:r>
            <w:r>
              <w:rPr>
                <w:rFonts w:hint="eastAsia" w:ascii="Times New Roman" w:hAnsi="Times New Roman" w:eastAsia="宋体" w:cs="Times New Roman"/>
                <w:b/>
                <w:bCs/>
                <w:color w:val="auto"/>
                <w:sz w:val="28"/>
                <w:szCs w:val="28"/>
                <w:highlight w:val="none"/>
                <w:lang w:val="en-US" w:eastAsia="zh-CN"/>
              </w:rPr>
              <w:t>壤</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对照《环境影响技术导则地下水环境》（HJ610-2016）附录 A 地下水环境影响评价行业分类表，本项目报告表地下水环境影响评价项目类别为</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IV 类</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，因此不展开地下水环境影响评价。</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对照《环境影响评价技术导则 土壤环境（试行）》（</w:t>
            </w:r>
            <w:r>
              <w:rPr>
                <w:rFonts w:hint="default" w:ascii="Times New Roman" w:hAnsi="Times New Roman" w:eastAsia="宋体" w:cs="Times New Roman"/>
                <w:color w:val="auto"/>
                <w:kern w:val="0"/>
                <w:sz w:val="24"/>
                <w:szCs w:val="24"/>
                <w:highlight w:val="none"/>
                <w:lang w:val="en-US" w:eastAsia="zh-CN" w:bidi="ar"/>
              </w:rPr>
              <w:t>HJ964-2018</w:t>
            </w:r>
            <w:r>
              <w:rPr>
                <w:rFonts w:hint="eastAsia" w:ascii="宋体" w:hAnsi="宋体" w:eastAsia="宋体" w:cs="宋体"/>
                <w:color w:val="auto"/>
                <w:kern w:val="0"/>
                <w:sz w:val="24"/>
                <w:szCs w:val="24"/>
                <w:highlight w:val="none"/>
                <w:lang w:val="en-US" w:eastAsia="zh-CN" w:bidi="ar"/>
              </w:rPr>
              <w:t xml:space="preserve">），项目类别属 </w:t>
            </w:r>
            <w:r>
              <w:rPr>
                <w:rFonts w:hint="default" w:ascii="Times New Roman" w:hAnsi="Times New Roman" w:eastAsia="宋体" w:cs="Times New Roman"/>
                <w:color w:val="auto"/>
                <w:kern w:val="0"/>
                <w:sz w:val="24"/>
                <w:szCs w:val="24"/>
                <w:highlight w:val="none"/>
                <w:lang w:val="en-US" w:eastAsia="zh-CN" w:bidi="ar"/>
              </w:rPr>
              <w:t xml:space="preserve">III </w:t>
            </w:r>
            <w:r>
              <w:rPr>
                <w:rFonts w:hint="eastAsia" w:ascii="宋体" w:hAnsi="宋体" w:eastAsia="宋体" w:cs="宋体"/>
                <w:color w:val="auto"/>
                <w:kern w:val="0"/>
                <w:sz w:val="24"/>
                <w:szCs w:val="24"/>
                <w:highlight w:val="none"/>
                <w:lang w:val="en-US" w:eastAsia="zh-CN" w:bidi="ar"/>
              </w:rPr>
              <w:t>类，项目所在地为工业用地，周边土壤环境不敏感，根据“污染影响型评价工作等级划分表”，项目属于“</w:t>
            </w:r>
            <w:r>
              <w:rPr>
                <w:rFonts w:hint="default" w:ascii="Times New Roman" w:hAnsi="Times New Roman" w:eastAsia="宋体" w:cs="Times New Roman"/>
                <w:color w:val="auto"/>
                <w:kern w:val="0"/>
                <w:sz w:val="24"/>
                <w:szCs w:val="24"/>
                <w:highlight w:val="none"/>
                <w:lang w:val="en-US" w:eastAsia="zh-CN" w:bidi="ar"/>
              </w:rPr>
              <w:t xml:space="preserve">III </w:t>
            </w:r>
            <w:r>
              <w:rPr>
                <w:rFonts w:hint="eastAsia" w:ascii="宋体" w:hAnsi="宋体" w:eastAsia="宋体" w:cs="宋体"/>
                <w:color w:val="auto"/>
                <w:kern w:val="0"/>
                <w:sz w:val="24"/>
                <w:szCs w:val="24"/>
                <w:highlight w:val="none"/>
                <w:lang w:val="en-US" w:eastAsia="zh-CN" w:bidi="ar"/>
              </w:rPr>
              <w:t xml:space="preserve">类小型不敏感”，因此不展开土壤环境影响评价。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项目可能污染地下水途径为危废渗漏，建设单位对产污区域地面进行土地硬化处理，危废暂存间按照</w:t>
            </w:r>
            <w:r>
              <w:rPr>
                <w:rFonts w:hint="default" w:ascii="Times New Roman" w:hAnsi="Times New Roman" w:eastAsia="宋体" w:cs="Times New Roman"/>
                <w:color w:val="auto"/>
                <w:sz w:val="24"/>
                <w:szCs w:val="24"/>
                <w:highlight w:val="none"/>
              </w:rPr>
              <w:t>《危险废物贮存污染控制标准》(GB18597-2023)</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公告2023年 第6号</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bidi="ar"/>
              </w:rPr>
              <w:t>中相关要求设置防腐、防渗、防漏地面（基础必须防渗，防渗层为至少1m 厚粘土层（渗透系数≤10</w:t>
            </w:r>
            <w:r>
              <w:rPr>
                <w:rFonts w:hint="default" w:ascii="Times New Roman" w:hAnsi="Times New Roman" w:eastAsia="宋体" w:cs="Times New Roman"/>
                <w:color w:val="auto"/>
                <w:kern w:val="0"/>
                <w:sz w:val="24"/>
                <w:szCs w:val="24"/>
                <w:highlight w:val="none"/>
                <w:vertAlign w:val="superscript"/>
                <w:lang w:val="en-US" w:eastAsia="zh-CN" w:bidi="ar"/>
              </w:rPr>
              <w:t>-7</w:t>
            </w:r>
            <w:r>
              <w:rPr>
                <w:rFonts w:hint="default" w:ascii="Times New Roman" w:hAnsi="Times New Roman" w:eastAsia="宋体" w:cs="Times New Roman"/>
                <w:color w:val="auto"/>
                <w:kern w:val="0"/>
                <w:sz w:val="24"/>
                <w:szCs w:val="24"/>
                <w:highlight w:val="none"/>
                <w:lang w:val="en-US" w:eastAsia="zh-CN" w:bidi="ar"/>
              </w:rPr>
              <w:t xml:space="preserve"> cm/s），或2mm厚高密度聚乙烯，或至少2mm厚的其它人工材料，渗透系数≤10</w:t>
            </w:r>
            <w:r>
              <w:rPr>
                <w:rFonts w:hint="default" w:ascii="Times New Roman" w:hAnsi="Times New Roman" w:eastAsia="宋体" w:cs="Times New Roman"/>
                <w:color w:val="auto"/>
                <w:kern w:val="0"/>
                <w:sz w:val="24"/>
                <w:szCs w:val="24"/>
                <w:highlight w:val="none"/>
                <w:vertAlign w:val="superscript"/>
                <w:lang w:val="en-US" w:eastAsia="zh-CN" w:bidi="ar"/>
              </w:rPr>
              <w:t>-10</w:t>
            </w:r>
            <w:r>
              <w:rPr>
                <w:rFonts w:hint="default" w:ascii="Times New Roman" w:hAnsi="Times New Roman" w:eastAsia="宋体" w:cs="Times New Roman"/>
                <w:color w:val="auto"/>
                <w:kern w:val="0"/>
                <w:sz w:val="24"/>
                <w:szCs w:val="24"/>
                <w:highlight w:val="none"/>
                <w:lang w:val="en-US" w:eastAsia="zh-CN" w:bidi="ar"/>
              </w:rPr>
              <w:t>cm/s），故项目生产过程中对该区域的地下水</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基本不会产生影响。</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项目排放的主要废气污染物为颗粒物和非甲烷总烃，废气经处理后达标排放，不涉及重金属、持久性有机污染物等污染物排放，项目厂区水泥硬化地面后不存在大气沉降污染地下水和土壤途径，原料经妥善储存后不涉及地面漫流污染地下水和土壤的途径。在落实环评提出的固废暂存、处置措施以及防渗措施等各项污染防治措施的前提下，项目正常运行时对地下水和土壤环境影响不大。</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Times New Roman" w:hAnsi="Times New Roman" w:eastAsia="宋体" w:cs="Times New Roman"/>
                <w:b/>
                <w:bCs/>
                <w:color w:val="auto"/>
                <w:sz w:val="28"/>
                <w:szCs w:val="28"/>
                <w:highlight w:val="none"/>
              </w:rPr>
            </w:pPr>
            <w:r>
              <w:rPr>
                <w:rFonts w:hint="eastAsia" w:cs="Times New Roman"/>
                <w:b/>
                <w:bCs/>
                <w:color w:val="auto"/>
                <w:sz w:val="28"/>
                <w:szCs w:val="28"/>
                <w:highlight w:val="none"/>
                <w:lang w:val="en-US" w:eastAsia="zh-CN"/>
              </w:rPr>
              <w:t>4.4</w:t>
            </w:r>
            <w:r>
              <w:rPr>
                <w:rFonts w:hint="eastAsia" w:ascii="Times New Roman" w:hAnsi="Times New Roman" w:eastAsia="宋体" w:cs="Times New Roman"/>
                <w:b/>
                <w:bCs/>
                <w:color w:val="auto"/>
                <w:sz w:val="28"/>
                <w:szCs w:val="28"/>
                <w:highlight w:val="none"/>
                <w:lang w:val="en-US" w:eastAsia="zh-CN"/>
              </w:rPr>
              <w:t>、</w:t>
            </w:r>
            <w:r>
              <w:rPr>
                <w:rFonts w:hint="eastAsia" w:ascii="Times New Roman" w:hAnsi="Times New Roman" w:eastAsia="宋体" w:cs="Times New Roman"/>
                <w:b/>
                <w:bCs/>
                <w:color w:val="auto"/>
                <w:sz w:val="28"/>
                <w:szCs w:val="28"/>
                <w:highlight w:val="none"/>
              </w:rPr>
              <w:t>环</w:t>
            </w:r>
            <w:r>
              <w:rPr>
                <w:rFonts w:hint="default" w:ascii="Times New Roman" w:hAnsi="Times New Roman" w:eastAsia="宋体" w:cs="Times New Roman"/>
                <w:b/>
                <w:bCs/>
                <w:color w:val="auto"/>
                <w:sz w:val="28"/>
                <w:szCs w:val="28"/>
                <w:highlight w:val="none"/>
              </w:rPr>
              <w:t xml:space="preserve">境风险分析 </w:t>
            </w:r>
          </w:p>
          <w:p>
            <w:pPr>
              <w:keepNext w:val="0"/>
              <w:keepLines w:val="0"/>
              <w:widowControl/>
              <w:suppressLineNumbers w:val="0"/>
              <w:spacing w:line="360" w:lineRule="auto"/>
              <w:jc w:val="left"/>
              <w:rPr>
                <w:rFonts w:hint="default" w:ascii="Times New Roman" w:hAnsi="Times New Roman" w:cs="Times New Roman"/>
                <w:color w:val="auto"/>
                <w:highlight w:val="none"/>
              </w:rPr>
            </w:pPr>
            <w:r>
              <w:rPr>
                <w:rFonts w:hint="eastAsia" w:cs="Times New Roman"/>
                <w:b/>
                <w:bCs/>
                <w:color w:val="auto"/>
                <w:sz w:val="24"/>
                <w:highlight w:val="none"/>
                <w:lang w:val="en-US" w:eastAsia="zh-CN"/>
              </w:rPr>
              <w:t>4.4.1</w:t>
            </w:r>
            <w:r>
              <w:rPr>
                <w:rFonts w:hint="default" w:ascii="Times New Roman" w:hAnsi="Times New Roman" w:cs="Times New Roman"/>
                <w:b/>
                <w:bCs/>
                <w:color w:val="auto"/>
                <w:sz w:val="24"/>
                <w:highlight w:val="none"/>
                <w:lang w:val="en-US" w:eastAsia="zh-CN"/>
              </w:rPr>
              <w:t>、</w:t>
            </w:r>
            <w:r>
              <w:rPr>
                <w:rFonts w:hint="default" w:ascii="Times New Roman" w:hAnsi="Times New Roman" w:eastAsia="宋体" w:cs="Times New Roman"/>
                <w:b/>
                <w:bCs/>
                <w:color w:val="auto"/>
                <w:kern w:val="0"/>
                <w:sz w:val="24"/>
                <w:szCs w:val="24"/>
                <w:highlight w:val="none"/>
                <w:lang w:val="en-US" w:eastAsia="zh-CN" w:bidi="ar"/>
              </w:rPr>
              <w:t>评价依据</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highlight w:val="none"/>
                <w:lang w:val="en-US"/>
              </w:rPr>
            </w:pPr>
            <w:r>
              <w:rPr>
                <w:rFonts w:hint="default" w:ascii="Times New Roman" w:hAnsi="Times New Roman" w:eastAsia="宋体" w:cs="Times New Roman"/>
                <w:color w:val="auto"/>
                <w:kern w:val="0"/>
                <w:sz w:val="24"/>
                <w:szCs w:val="24"/>
                <w:highlight w:val="none"/>
                <w:lang w:val="en-US" w:eastAsia="zh-CN" w:bidi="ar"/>
              </w:rPr>
              <w:t>（1）风险调查</w:t>
            </w:r>
          </w:p>
          <w:p>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检索《建设项目环境风险评价技术导则 HJ169-2018》附录 B、《危险化学品重大危险源辨别》（GB18218-2018）标准和重大危险源申报登记范围的规定，项目</w:t>
            </w:r>
            <w:r>
              <w:rPr>
                <w:rFonts w:hint="eastAsia" w:cs="Times New Roman"/>
                <w:color w:val="auto"/>
                <w:sz w:val="24"/>
                <w:highlight w:val="none"/>
                <w:lang w:val="en-US" w:eastAsia="zh-CN"/>
              </w:rPr>
              <w:t>机油</w:t>
            </w:r>
            <w:r>
              <w:rPr>
                <w:rFonts w:hint="default" w:ascii="Times New Roman" w:hAnsi="Times New Roman" w:cs="Times New Roman"/>
                <w:color w:val="auto"/>
                <w:sz w:val="24"/>
                <w:highlight w:val="none"/>
                <w:lang w:val="en-US" w:eastAsia="zh-CN"/>
              </w:rPr>
              <w:t>属于</w:t>
            </w:r>
            <w:r>
              <w:rPr>
                <w:rFonts w:hint="eastAsia" w:ascii="Times New Roman" w:hAnsi="Times New Roman" w:cs="Times New Roman"/>
                <w:color w:val="auto"/>
                <w:sz w:val="24"/>
                <w:highlight w:val="none"/>
                <w:lang w:val="en-US" w:eastAsia="zh-CN"/>
              </w:rPr>
              <w:t>名录列表内的</w:t>
            </w:r>
            <w:r>
              <w:rPr>
                <w:rFonts w:hint="eastAsia" w:cs="Times New Roman"/>
                <w:color w:val="auto"/>
                <w:sz w:val="24"/>
                <w:highlight w:val="none"/>
                <w:lang w:val="en-US" w:eastAsia="zh-CN"/>
              </w:rPr>
              <w:t>油类</w:t>
            </w:r>
            <w:r>
              <w:rPr>
                <w:rFonts w:hint="eastAsia" w:ascii="Times New Roman" w:hAnsi="Times New Roman" w:cs="Times New Roman"/>
                <w:color w:val="auto"/>
                <w:sz w:val="24"/>
                <w:highlight w:val="none"/>
                <w:lang w:val="en-US" w:eastAsia="zh-CN"/>
              </w:rPr>
              <w:t>风险物质</w:t>
            </w:r>
            <w:r>
              <w:rPr>
                <w:rFonts w:hint="default" w:ascii="Times New Roman" w:hAnsi="Times New Roman" w:cs="Times New Roman"/>
                <w:color w:val="auto"/>
                <w:sz w:val="24"/>
                <w:highlight w:val="none"/>
                <w:lang w:eastAsia="zh-CN"/>
              </w:rPr>
              <w:t>，</w:t>
            </w:r>
            <w:r>
              <w:rPr>
                <w:rFonts w:hint="eastAsia" w:cs="Times New Roman"/>
                <w:color w:val="auto"/>
                <w:sz w:val="24"/>
                <w:highlight w:val="none"/>
                <w:lang w:val="en-US" w:eastAsia="zh-CN"/>
              </w:rPr>
              <w:t>机油</w:t>
            </w:r>
            <w:r>
              <w:rPr>
                <w:rFonts w:hint="default" w:ascii="Times New Roman" w:hAnsi="Times New Roman" w:cs="Times New Roman"/>
                <w:color w:val="auto"/>
                <w:sz w:val="24"/>
                <w:highlight w:val="none"/>
              </w:rPr>
              <w:t>属于易燃物质</w:t>
            </w:r>
            <w:r>
              <w:rPr>
                <w:rFonts w:hint="default" w:ascii="Times New Roman" w:hAnsi="Times New Roman" w:cs="Times New Roman"/>
                <w:color w:val="auto"/>
                <w:sz w:val="24"/>
                <w:highlight w:val="none"/>
                <w:lang w:val="en-US" w:eastAsia="zh-CN"/>
              </w:rPr>
              <w:t>；结合</w:t>
            </w:r>
            <w:r>
              <w:rPr>
                <w:rFonts w:hint="eastAsia" w:ascii="Times New Roman" w:hAnsi="Times New Roman" w:cs="Times New Roman"/>
                <w:color w:val="auto"/>
                <w:sz w:val="24"/>
                <w:highlight w:val="none"/>
                <w:lang w:val="en-US" w:eastAsia="zh-CN"/>
              </w:rPr>
              <w:t>项目使用</w:t>
            </w:r>
            <w:r>
              <w:rPr>
                <w:rFonts w:hint="default" w:ascii="Times New Roman" w:hAnsi="Times New Roman" w:cs="Times New Roman"/>
                <w:color w:val="auto"/>
                <w:sz w:val="24"/>
                <w:highlight w:val="none"/>
                <w:lang w:val="en-US" w:eastAsia="zh-CN"/>
              </w:rPr>
              <w:t>原辅材料的物理性质和危险特性，</w:t>
            </w:r>
            <w:r>
              <w:rPr>
                <w:rFonts w:hint="eastAsia" w:cs="Times New Roman"/>
                <w:color w:val="auto"/>
                <w:sz w:val="24"/>
                <w:highlight w:val="none"/>
                <w:lang w:val="en-US" w:eastAsia="zh-CN"/>
              </w:rPr>
              <w:t>树脂、固化剂、脱模剂、乳化液、水性漆、废活性炭均</w:t>
            </w:r>
            <w:r>
              <w:rPr>
                <w:rFonts w:hint="default" w:ascii="Times New Roman" w:hAnsi="Times New Roman" w:cs="Times New Roman"/>
                <w:color w:val="auto"/>
                <w:sz w:val="24"/>
                <w:highlight w:val="none"/>
              </w:rPr>
              <w:t>不在风险物质行列，但</w:t>
            </w:r>
            <w:r>
              <w:rPr>
                <w:rFonts w:hint="eastAsia" w:cs="Times New Roman"/>
                <w:color w:val="auto"/>
                <w:sz w:val="24"/>
                <w:highlight w:val="none"/>
                <w:lang w:val="en-US" w:eastAsia="zh-CN"/>
              </w:rPr>
              <w:t>树脂、固化剂、脱模剂、乳化液、水性漆、废活性炭均</w:t>
            </w:r>
            <w:r>
              <w:rPr>
                <w:rFonts w:hint="default" w:ascii="Times New Roman" w:hAnsi="Times New Roman" w:cs="Times New Roman"/>
                <w:color w:val="auto"/>
                <w:sz w:val="24"/>
                <w:highlight w:val="none"/>
              </w:rPr>
              <w:t>属于</w:t>
            </w:r>
            <w:r>
              <w:rPr>
                <w:rFonts w:hint="default" w:ascii="Times New Roman" w:hAnsi="Times New Roman" w:cs="Times New Roman"/>
                <w:color w:val="auto"/>
                <w:sz w:val="24"/>
                <w:highlight w:val="none"/>
                <w:lang w:val="en-US" w:eastAsia="zh-CN"/>
              </w:rPr>
              <w:t>有毒物质，</w:t>
            </w:r>
            <w:r>
              <w:rPr>
                <w:rFonts w:hint="default" w:ascii="Times New Roman" w:hAnsi="Times New Roman" w:eastAsia="宋体" w:cs="Times New Roman"/>
                <w:color w:val="auto"/>
                <w:kern w:val="0"/>
                <w:sz w:val="24"/>
                <w:szCs w:val="24"/>
                <w:highlight w:val="none"/>
                <w:lang w:val="en-US" w:eastAsia="zh-CN" w:bidi="ar"/>
              </w:rPr>
              <w:t>因此项目风险单元主要为</w:t>
            </w:r>
            <w:r>
              <w:rPr>
                <w:rFonts w:hint="eastAsia" w:ascii="Times New Roman" w:hAnsi="Times New Roman" w:cs="Times New Roman"/>
                <w:color w:val="auto"/>
                <w:kern w:val="0"/>
                <w:sz w:val="24"/>
                <w:szCs w:val="24"/>
                <w:highlight w:val="none"/>
                <w:lang w:val="en-US" w:eastAsia="zh-CN" w:bidi="ar"/>
              </w:rPr>
              <w:t>原料仓库</w:t>
            </w:r>
            <w:r>
              <w:rPr>
                <w:rFonts w:hint="default" w:ascii="Times New Roman" w:hAnsi="Times New Roman" w:eastAsia="宋体" w:cs="Times New Roman"/>
                <w:color w:val="auto"/>
                <w:kern w:val="0"/>
                <w:sz w:val="24"/>
                <w:szCs w:val="24"/>
                <w:highlight w:val="none"/>
                <w:lang w:val="en-US" w:eastAsia="zh-CN" w:bidi="ar"/>
              </w:rPr>
              <w:t>和危废暂存间，涉及的环境风险为原料使用不当引发泄漏</w:t>
            </w:r>
            <w:r>
              <w:rPr>
                <w:rFonts w:hint="eastAsia" w:ascii="Times New Roman" w:hAnsi="Times New Roman" w:cs="Times New Roman"/>
                <w:color w:val="auto"/>
                <w:kern w:val="0"/>
                <w:sz w:val="24"/>
                <w:szCs w:val="24"/>
                <w:highlight w:val="none"/>
                <w:lang w:val="en-US" w:eastAsia="zh-CN" w:bidi="ar"/>
              </w:rPr>
              <w:t>造成地表水体的污染，</w:t>
            </w:r>
            <w:r>
              <w:rPr>
                <w:rFonts w:hint="default" w:ascii="Times New Roman" w:hAnsi="Times New Roman" w:eastAsia="宋体" w:cs="Times New Roman"/>
                <w:color w:val="auto"/>
                <w:kern w:val="0"/>
                <w:sz w:val="24"/>
                <w:szCs w:val="24"/>
                <w:highlight w:val="none"/>
                <w:lang w:val="en-US" w:eastAsia="zh-CN" w:bidi="ar"/>
              </w:rPr>
              <w:t>遇明火或温度升高导致火灾。</w:t>
            </w:r>
          </w:p>
          <w:p>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（2）风险潜势初判</w:t>
            </w:r>
          </w:p>
          <w:p>
            <w:pPr>
              <w:keepNext w:val="0"/>
              <w:keepLines w:val="0"/>
              <w:pageBreakBefore w:val="0"/>
              <w:widowControl w:val="0"/>
              <w:kinsoku/>
              <w:wordWrap/>
              <w:overflowPunct/>
              <w:topLinePunct w:val="0"/>
              <w:autoSpaceDE/>
              <w:autoSpaceDN/>
              <w:bidi w:val="0"/>
              <w:spacing w:line="360" w:lineRule="auto"/>
              <w:ind w:firstLine="480"/>
              <w:textAlignment w:val="auto"/>
              <w:rPr>
                <w:rFonts w:hint="eastAsia" w:cs="Times New Roman"/>
                <w:color w:val="auto"/>
                <w:sz w:val="24"/>
                <w:highlight w:val="none"/>
                <w:lang w:eastAsia="zh-CN"/>
              </w:rPr>
            </w:pPr>
            <w:r>
              <w:rPr>
                <w:rFonts w:hint="default" w:ascii="Times New Roman" w:hAnsi="Times New Roman" w:eastAsia="宋体" w:cs="Times New Roman"/>
                <w:color w:val="auto"/>
                <w:kern w:val="0"/>
                <w:sz w:val="24"/>
                <w:szCs w:val="24"/>
                <w:highlight w:val="none"/>
                <w:lang w:val="en-US" w:eastAsia="zh-CN" w:bidi="ar"/>
              </w:rPr>
              <w:t>根据《建设项目环境风险评价技术导则 HJ169-2018》附表 B 和附录 C 突发环境事件风险物质及临界量表，根据本项目环境风险物质最大存在总量（以折纯计）与其对应的临界</w:t>
            </w:r>
            <w:r>
              <w:rPr>
                <w:rFonts w:hint="default" w:ascii="Times New Roman" w:hAnsi="Times New Roman" w:cs="Times New Roman"/>
                <w:color w:val="auto"/>
                <w:sz w:val="24"/>
                <w:highlight w:val="none"/>
              </w:rPr>
              <w:t>量，计算（Q），计算公式如下</w:t>
            </w:r>
            <w:r>
              <w:rPr>
                <w:rFonts w:hint="eastAsia" w:cs="Times New Roman"/>
                <w:color w:val="auto"/>
                <w:sz w:val="24"/>
                <w:highlight w:val="none"/>
                <w:lang w:eastAsia="zh-CN"/>
              </w:rPr>
              <w:t>：</w:t>
            </w:r>
          </w:p>
          <w:p>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当存在多种危险物质时，则按下式计算物质总量与其临界量比值（Q）：</w:t>
            </w:r>
          </w:p>
          <w:p>
            <w:pPr>
              <w:pStyle w:val="80"/>
              <w:keepNext w:val="0"/>
              <w:keepLines w:val="0"/>
              <w:pageBreakBefore w:val="0"/>
              <w:widowControl w:val="0"/>
              <w:kinsoku/>
              <w:wordWrap/>
              <w:overflowPunct/>
              <w:topLinePunct w:val="0"/>
              <w:autoSpaceDE/>
              <w:autoSpaceDN/>
              <w:bidi w:val="0"/>
              <w:spacing w:before="0" w:line="360" w:lineRule="auto"/>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Q=q1/Q1+q2/Q2+…+qn/Qn</w:t>
            </w:r>
          </w:p>
          <w:p>
            <w:pPr>
              <w:pStyle w:val="80"/>
              <w:keepNext w:val="0"/>
              <w:keepLines w:val="0"/>
              <w:pageBreakBefore w:val="0"/>
              <w:widowControl w:val="0"/>
              <w:kinsoku/>
              <w:wordWrap/>
              <w:overflowPunct/>
              <w:topLinePunct w:val="0"/>
              <w:autoSpaceDE/>
              <w:autoSpaceDN/>
              <w:bidi w:val="0"/>
              <w:spacing w:before="0" w:line="360" w:lineRule="auto"/>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式中：q1，q2，...，qn——每种危险物质的最大存在总量，t；</w:t>
            </w:r>
          </w:p>
          <w:p>
            <w:pPr>
              <w:pStyle w:val="80"/>
              <w:keepNext w:val="0"/>
              <w:keepLines w:val="0"/>
              <w:pageBreakBefore w:val="0"/>
              <w:widowControl w:val="0"/>
              <w:kinsoku/>
              <w:wordWrap/>
              <w:overflowPunct/>
              <w:topLinePunct w:val="0"/>
              <w:autoSpaceDE/>
              <w:autoSpaceDN/>
              <w:bidi w:val="0"/>
              <w:spacing w:before="0" w:line="360" w:lineRule="auto"/>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Q1,Q2,...,Qn——每种危险物质的临界量，t。</w:t>
            </w:r>
          </w:p>
          <w:p>
            <w:pPr>
              <w:pStyle w:val="80"/>
              <w:keepNext w:val="0"/>
              <w:keepLines w:val="0"/>
              <w:pageBreakBefore w:val="0"/>
              <w:widowControl w:val="0"/>
              <w:kinsoku/>
              <w:wordWrap/>
              <w:overflowPunct/>
              <w:topLinePunct w:val="0"/>
              <w:autoSpaceDE/>
              <w:autoSpaceDN/>
              <w:bidi w:val="0"/>
              <w:spacing w:before="0" w:line="360" w:lineRule="auto"/>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当Q＜1时，该项目环境风险潜势为Ⅰ。</w:t>
            </w:r>
          </w:p>
          <w:p>
            <w:pPr>
              <w:pStyle w:val="80"/>
              <w:keepNext w:val="0"/>
              <w:keepLines w:val="0"/>
              <w:pageBreakBefore w:val="0"/>
              <w:widowControl w:val="0"/>
              <w:kinsoku/>
              <w:wordWrap/>
              <w:overflowPunct/>
              <w:topLinePunct w:val="0"/>
              <w:autoSpaceDE/>
              <w:autoSpaceDN/>
              <w:bidi w:val="0"/>
              <w:spacing w:before="0" w:line="360" w:lineRule="auto"/>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当Q≥1时，将Q值划分为：（1）1≤Q＜10；（2）10≤Q＜100；（3）Q≥100。</w:t>
            </w:r>
          </w:p>
          <w:p>
            <w:pPr>
              <w:pStyle w:val="80"/>
              <w:keepNext w:val="0"/>
              <w:keepLines w:val="0"/>
              <w:pageBreakBefore w:val="0"/>
              <w:widowControl w:val="0"/>
              <w:kinsoku/>
              <w:wordWrap/>
              <w:overflowPunct/>
              <w:topLinePunct w:val="0"/>
              <w:autoSpaceDE/>
              <w:autoSpaceDN/>
              <w:bidi w:val="0"/>
              <w:spacing w:before="0" w:line="360" w:lineRule="auto"/>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项目物料存储情况见表4</w:t>
            </w:r>
            <w:r>
              <w:rPr>
                <w:rFonts w:hint="eastAsia" w:cs="Times New Roman"/>
                <w:color w:val="auto"/>
                <w:highlight w:val="none"/>
                <w:lang w:val="en-US" w:eastAsia="zh-CN"/>
              </w:rPr>
              <w:t>.4</w:t>
            </w:r>
            <w:r>
              <w:rPr>
                <w:rFonts w:hint="default" w:ascii="Times New Roman" w:hAnsi="Times New Roman" w:cs="Times New Roman"/>
                <w:color w:val="auto"/>
                <w:highlight w:val="none"/>
              </w:rPr>
              <w:t>-</w:t>
            </w:r>
            <w:r>
              <w:rPr>
                <w:rFonts w:hint="eastAsia" w:cs="Times New Roman"/>
                <w:color w:val="auto"/>
                <w:highlight w:val="none"/>
                <w:lang w:val="en-US" w:eastAsia="zh-CN"/>
              </w:rPr>
              <w:t>1</w:t>
            </w:r>
            <w:r>
              <w:rPr>
                <w:rFonts w:hint="default" w:ascii="Times New Roman" w:hAnsi="Times New Roman" w:cs="Times New Roman"/>
                <w:color w:val="auto"/>
                <w:highlight w:val="none"/>
              </w:rPr>
              <w:t>。</w:t>
            </w:r>
          </w:p>
          <w:p>
            <w:pPr>
              <w:pStyle w:val="34"/>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表4</w:t>
            </w:r>
            <w:r>
              <w:rPr>
                <w:rFonts w:hint="eastAsia" w:ascii="Times New Roman" w:hAnsi="Times New Roman" w:cs="Times New Roman"/>
                <w:b/>
                <w:bCs/>
                <w:color w:val="auto"/>
                <w:highlight w:val="none"/>
                <w:lang w:val="en-US" w:eastAsia="zh-CN"/>
              </w:rPr>
              <w:t>.4</w:t>
            </w:r>
            <w:r>
              <w:rPr>
                <w:rFonts w:hint="default" w:ascii="Times New Roman" w:hAnsi="Times New Roman" w:eastAsia="宋体" w:cs="Times New Roman"/>
                <w:b/>
                <w:bCs/>
                <w:color w:val="auto"/>
                <w:highlight w:val="none"/>
              </w:rPr>
              <w:t>-</w:t>
            </w:r>
            <w:r>
              <w:rPr>
                <w:rFonts w:hint="eastAsia" w:ascii="Times New Roman" w:hAnsi="Times New Roman" w:cs="Times New Roman"/>
                <w:b/>
                <w:bCs/>
                <w:color w:val="auto"/>
                <w:kern w:val="2"/>
                <w:sz w:val="24"/>
                <w:szCs w:val="24"/>
                <w:highlight w:val="none"/>
                <w:lang w:val="en-US" w:eastAsia="zh-CN" w:bidi="ar-SA"/>
              </w:rPr>
              <w:t>1</w:t>
            </w:r>
            <w:r>
              <w:rPr>
                <w:rFonts w:hint="default" w:ascii="Times New Roman" w:hAnsi="Times New Roman" w:eastAsia="宋体" w:cs="Times New Roman"/>
                <w:b/>
                <w:bCs/>
                <w:color w:val="auto"/>
                <w:kern w:val="2"/>
                <w:sz w:val="24"/>
                <w:szCs w:val="24"/>
                <w:highlight w:val="none"/>
                <w:lang w:val="en-US" w:eastAsia="zh-CN" w:bidi="ar-SA"/>
              </w:rPr>
              <w:t xml:space="preserve">  </w:t>
            </w:r>
            <w:r>
              <w:rPr>
                <w:rFonts w:hint="default" w:ascii="Times New Roman" w:hAnsi="Times New Roman" w:eastAsia="宋体" w:cs="Times New Roman"/>
                <w:b/>
                <w:bCs/>
                <w:color w:val="auto"/>
                <w:highlight w:val="none"/>
              </w:rPr>
              <w:t>项目物料存储情况</w:t>
            </w:r>
          </w:p>
          <w:tbl>
            <w:tblPr>
              <w:tblStyle w:val="28"/>
              <w:tblW w:w="4995"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68"/>
              <w:gridCol w:w="1789"/>
              <w:gridCol w:w="1322"/>
              <w:gridCol w:w="1266"/>
              <w:gridCol w:w="2300"/>
              <w:gridCol w:w="966"/>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340" w:hRule="atLeast"/>
                <w:jc w:val="center"/>
              </w:trPr>
              <w:tc>
                <w:tcPr>
                  <w:tcW w:w="456" w:type="pct"/>
                  <w:tcBorders>
                    <w:tl2br w:val="nil"/>
                    <w:tr2bl w:val="nil"/>
                  </w:tcBorders>
                  <w:noWrap w:val="0"/>
                  <w:vAlign w:val="center"/>
                </w:tcPr>
                <w:p>
                  <w:pPr>
                    <w:spacing w:line="240" w:lineRule="auto"/>
                    <w:jc w:val="center"/>
                    <w:rPr>
                      <w:color w:val="auto"/>
                      <w:sz w:val="21"/>
                      <w:szCs w:val="21"/>
                      <w:highlight w:val="none"/>
                    </w:rPr>
                  </w:pPr>
                  <w:r>
                    <w:rPr>
                      <w:color w:val="auto"/>
                      <w:sz w:val="21"/>
                      <w:szCs w:val="21"/>
                      <w:highlight w:val="none"/>
                    </w:rPr>
                    <w:t>序号</w:t>
                  </w:r>
                </w:p>
              </w:tc>
              <w:tc>
                <w:tcPr>
                  <w:tcW w:w="1063" w:type="pct"/>
                  <w:tcBorders>
                    <w:tl2br w:val="nil"/>
                    <w:tr2bl w:val="nil"/>
                  </w:tcBorders>
                  <w:noWrap w:val="0"/>
                  <w:vAlign w:val="center"/>
                </w:tcPr>
                <w:p>
                  <w:pPr>
                    <w:spacing w:line="240" w:lineRule="auto"/>
                    <w:jc w:val="center"/>
                    <w:rPr>
                      <w:color w:val="auto"/>
                      <w:sz w:val="21"/>
                      <w:szCs w:val="21"/>
                      <w:highlight w:val="none"/>
                    </w:rPr>
                  </w:pPr>
                  <w:r>
                    <w:rPr>
                      <w:color w:val="auto"/>
                      <w:sz w:val="21"/>
                      <w:szCs w:val="21"/>
                      <w:highlight w:val="none"/>
                    </w:rPr>
                    <w:t>物质名称</w:t>
                  </w:r>
                </w:p>
              </w:tc>
              <w:tc>
                <w:tcPr>
                  <w:tcW w:w="785" w:type="pct"/>
                  <w:tcBorders>
                    <w:tl2br w:val="nil"/>
                    <w:tr2bl w:val="nil"/>
                  </w:tcBorders>
                  <w:noWrap w:val="0"/>
                  <w:vAlign w:val="center"/>
                </w:tcPr>
                <w:p>
                  <w:pPr>
                    <w:spacing w:line="240" w:lineRule="auto"/>
                    <w:jc w:val="center"/>
                    <w:rPr>
                      <w:color w:val="auto"/>
                      <w:sz w:val="21"/>
                      <w:szCs w:val="21"/>
                      <w:highlight w:val="none"/>
                    </w:rPr>
                  </w:pPr>
                  <w:r>
                    <w:rPr>
                      <w:color w:val="auto"/>
                      <w:sz w:val="21"/>
                      <w:szCs w:val="21"/>
                      <w:highlight w:val="none"/>
                    </w:rPr>
                    <w:t>CAS</w:t>
                  </w:r>
                </w:p>
              </w:tc>
              <w:tc>
                <w:tcPr>
                  <w:tcW w:w="752" w:type="pct"/>
                  <w:tcBorders>
                    <w:tl2br w:val="nil"/>
                    <w:tr2bl w:val="nil"/>
                  </w:tcBorders>
                  <w:noWrap w:val="0"/>
                  <w:vAlign w:val="center"/>
                </w:tcPr>
                <w:p>
                  <w:pPr>
                    <w:spacing w:line="240" w:lineRule="auto"/>
                    <w:jc w:val="center"/>
                    <w:rPr>
                      <w:color w:val="auto"/>
                      <w:sz w:val="21"/>
                      <w:szCs w:val="21"/>
                      <w:highlight w:val="none"/>
                    </w:rPr>
                  </w:pPr>
                  <w:r>
                    <w:rPr>
                      <w:color w:val="auto"/>
                      <w:sz w:val="21"/>
                      <w:szCs w:val="21"/>
                      <w:highlight w:val="none"/>
                    </w:rPr>
                    <w:t>临界量(t)</w:t>
                  </w:r>
                </w:p>
              </w:tc>
              <w:tc>
                <w:tcPr>
                  <w:tcW w:w="1367" w:type="pct"/>
                  <w:tcBorders>
                    <w:tl2br w:val="nil"/>
                    <w:tr2bl w:val="nil"/>
                  </w:tcBorders>
                  <w:noWrap w:val="0"/>
                  <w:vAlign w:val="center"/>
                </w:tcPr>
                <w:p>
                  <w:pPr>
                    <w:spacing w:line="240" w:lineRule="auto"/>
                    <w:jc w:val="center"/>
                    <w:rPr>
                      <w:color w:val="auto"/>
                      <w:sz w:val="21"/>
                      <w:szCs w:val="21"/>
                      <w:highlight w:val="none"/>
                    </w:rPr>
                  </w:pPr>
                  <w:r>
                    <w:rPr>
                      <w:rFonts w:hint="eastAsia"/>
                      <w:color w:val="auto"/>
                      <w:sz w:val="21"/>
                      <w:szCs w:val="21"/>
                      <w:highlight w:val="none"/>
                      <w:lang w:val="en-US" w:eastAsia="zh-CN"/>
                    </w:rPr>
                    <w:t>最大</w:t>
                  </w:r>
                  <w:r>
                    <w:rPr>
                      <w:color w:val="auto"/>
                      <w:sz w:val="21"/>
                      <w:szCs w:val="21"/>
                      <w:highlight w:val="none"/>
                    </w:rPr>
                    <w:t>存储量(t)</w:t>
                  </w:r>
                </w:p>
              </w:tc>
              <w:tc>
                <w:tcPr>
                  <w:tcW w:w="574" w:type="pct"/>
                  <w:tcBorders>
                    <w:tl2br w:val="nil"/>
                    <w:tr2bl w:val="nil"/>
                  </w:tcBorders>
                  <w:noWrap w:val="0"/>
                  <w:vAlign w:val="center"/>
                </w:tcPr>
                <w:p>
                  <w:pPr>
                    <w:spacing w:line="240" w:lineRule="auto"/>
                    <w:jc w:val="center"/>
                    <w:rPr>
                      <w:color w:val="auto"/>
                      <w:sz w:val="21"/>
                      <w:szCs w:val="21"/>
                      <w:highlight w:val="none"/>
                    </w:rPr>
                  </w:pPr>
                  <w:r>
                    <w:rPr>
                      <w:color w:val="auto"/>
                      <w:sz w:val="21"/>
                      <w:szCs w:val="21"/>
                      <w:highlight w:val="none"/>
                    </w:rPr>
                    <w:t>q/Q</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56" w:type="pct"/>
                  <w:tcBorders>
                    <w:tl2br w:val="nil"/>
                    <w:tr2bl w:val="nil"/>
                  </w:tcBorders>
                  <w:noWrap w:val="0"/>
                  <w:vAlign w:val="center"/>
                </w:tcPr>
                <w:p>
                  <w:pPr>
                    <w:shd w:val="clear"/>
                    <w:spacing w:line="240" w:lineRule="auto"/>
                    <w:jc w:val="center"/>
                    <w:rPr>
                      <w:color w:val="auto"/>
                      <w:sz w:val="21"/>
                      <w:szCs w:val="21"/>
                      <w:highlight w:val="none"/>
                    </w:rPr>
                  </w:pPr>
                  <w:r>
                    <w:rPr>
                      <w:color w:val="auto"/>
                      <w:sz w:val="21"/>
                      <w:szCs w:val="21"/>
                      <w:highlight w:val="none"/>
                    </w:rPr>
                    <w:t>1</w:t>
                  </w:r>
                </w:p>
              </w:tc>
              <w:tc>
                <w:tcPr>
                  <w:tcW w:w="1063" w:type="pct"/>
                  <w:tcBorders>
                    <w:tl2br w:val="nil"/>
                    <w:tr2bl w:val="nil"/>
                  </w:tcBorders>
                  <w:noWrap w:val="0"/>
                  <w:vAlign w:val="center"/>
                </w:tcPr>
                <w:p>
                  <w:pPr>
                    <w:shd w:val="clear"/>
                    <w:spacing w:line="240" w:lineRule="auto"/>
                    <w:jc w:val="center"/>
                    <w:rPr>
                      <w:color w:val="auto"/>
                      <w:sz w:val="21"/>
                      <w:szCs w:val="21"/>
                      <w:highlight w:val="none"/>
                    </w:rPr>
                  </w:pPr>
                  <w:r>
                    <w:rPr>
                      <w:rFonts w:hint="eastAsia" w:cs="Times New Roman"/>
                      <w:color w:val="auto"/>
                      <w:kern w:val="0"/>
                      <w:sz w:val="21"/>
                      <w:szCs w:val="21"/>
                      <w:highlight w:val="none"/>
                      <w:lang w:val="en-US" w:eastAsia="zh-CN" w:bidi="ar"/>
                    </w:rPr>
                    <w:t>机油</w:t>
                  </w:r>
                </w:p>
              </w:tc>
              <w:tc>
                <w:tcPr>
                  <w:tcW w:w="785" w:type="pct"/>
                  <w:tcBorders>
                    <w:tl2br w:val="nil"/>
                    <w:tr2bl w:val="nil"/>
                  </w:tcBorders>
                  <w:noWrap w:val="0"/>
                  <w:vAlign w:val="center"/>
                </w:tcPr>
                <w:p>
                  <w:pPr>
                    <w:shd w:val="clear"/>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752" w:type="pct"/>
                  <w:tcBorders>
                    <w:tl2br w:val="nil"/>
                    <w:tr2bl w:val="nil"/>
                  </w:tcBorders>
                  <w:noWrap w:val="0"/>
                  <w:vAlign w:val="center"/>
                </w:tcPr>
                <w:p>
                  <w:pPr>
                    <w:shd w:val="clear"/>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2500</w:t>
                  </w:r>
                </w:p>
              </w:tc>
              <w:tc>
                <w:tcPr>
                  <w:tcW w:w="1367" w:type="pct"/>
                  <w:tcBorders>
                    <w:tl2br w:val="nil"/>
                    <w:tr2bl w:val="nil"/>
                  </w:tcBorders>
                  <w:noWrap w:val="0"/>
                  <w:vAlign w:val="center"/>
                </w:tcPr>
                <w:p>
                  <w:pPr>
                    <w:shd w:val="clear"/>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0.5</w:t>
                  </w:r>
                </w:p>
              </w:tc>
              <w:tc>
                <w:tcPr>
                  <w:tcW w:w="574" w:type="pct"/>
                  <w:tcBorders>
                    <w:tl2br w:val="nil"/>
                    <w:tr2bl w:val="nil"/>
                  </w:tcBorders>
                  <w:noWrap w:val="0"/>
                  <w:vAlign w:val="center"/>
                </w:tcPr>
                <w:p>
                  <w:pPr>
                    <w:shd w:val="clear"/>
                    <w:spacing w:line="240" w:lineRule="auto"/>
                    <w:jc w:val="center"/>
                    <w:rPr>
                      <w:rFonts w:hint="eastAsia" w:eastAsia="宋体"/>
                      <w:color w:val="auto"/>
                      <w:sz w:val="21"/>
                      <w:szCs w:val="21"/>
                      <w:highlight w:val="none"/>
                      <w:lang w:eastAsia="zh-CN"/>
                    </w:rPr>
                  </w:pPr>
                  <w:r>
                    <w:rPr>
                      <w:rFonts w:hint="eastAsia" w:eastAsia="宋体"/>
                      <w:color w:val="auto"/>
                      <w:sz w:val="21"/>
                      <w:szCs w:val="21"/>
                      <w:highlight w:val="none"/>
                      <w:lang w:eastAsia="zh-CN"/>
                    </w:rPr>
                    <w:t>0.0002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56" w:type="pct"/>
                  <w:tcBorders>
                    <w:tl2br w:val="nil"/>
                    <w:tr2bl w:val="nil"/>
                  </w:tcBorders>
                  <w:noWrap w:val="0"/>
                  <w:vAlign w:val="center"/>
                </w:tcPr>
                <w:p>
                  <w:pPr>
                    <w:shd w:val="clear"/>
                    <w:spacing w:line="240" w:lineRule="auto"/>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2</w:t>
                  </w:r>
                </w:p>
              </w:tc>
              <w:tc>
                <w:tcPr>
                  <w:tcW w:w="1063" w:type="pct"/>
                  <w:tcBorders>
                    <w:tl2br w:val="nil"/>
                    <w:tr2bl w:val="nil"/>
                  </w:tcBorders>
                  <w:noWrap w:val="0"/>
                  <w:vAlign w:val="center"/>
                </w:tcPr>
                <w:p>
                  <w:pPr>
                    <w:keepNext w:val="0"/>
                    <w:keepLines w:val="0"/>
                    <w:widowControl/>
                    <w:suppressLineNumbers w:val="0"/>
                    <w:shd w:val="clear"/>
                    <w:jc w:val="center"/>
                    <w:rPr>
                      <w:color w:val="auto"/>
                      <w:sz w:val="21"/>
                      <w:szCs w:val="21"/>
                      <w:highlight w:val="none"/>
                    </w:rPr>
                  </w:pPr>
                  <w:r>
                    <w:rPr>
                      <w:rFonts w:hint="eastAsia" w:cs="Times New Roman"/>
                      <w:color w:val="auto"/>
                      <w:sz w:val="21"/>
                      <w:szCs w:val="21"/>
                      <w:highlight w:val="none"/>
                      <w:lang w:val="en-US" w:eastAsia="zh-CN"/>
                    </w:rPr>
                    <w:t>树脂</w:t>
                  </w:r>
                </w:p>
              </w:tc>
              <w:tc>
                <w:tcPr>
                  <w:tcW w:w="785" w:type="pct"/>
                  <w:tcBorders>
                    <w:tl2br w:val="nil"/>
                    <w:tr2bl w:val="nil"/>
                  </w:tcBorders>
                  <w:noWrap w:val="0"/>
                  <w:vAlign w:val="center"/>
                </w:tcPr>
                <w:p>
                  <w:pPr>
                    <w:shd w:val="clear"/>
                    <w:spacing w:line="240" w:lineRule="auto"/>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752" w:type="pct"/>
                  <w:tcBorders>
                    <w:tl2br w:val="nil"/>
                    <w:tr2bl w:val="nil"/>
                  </w:tcBorders>
                  <w:noWrap w:val="0"/>
                  <w:vAlign w:val="center"/>
                </w:tcPr>
                <w:p>
                  <w:pPr>
                    <w:shd w:val="clear"/>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50</w:t>
                  </w:r>
                </w:p>
              </w:tc>
              <w:tc>
                <w:tcPr>
                  <w:tcW w:w="1367" w:type="pct"/>
                  <w:tcBorders>
                    <w:tl2br w:val="nil"/>
                    <w:tr2bl w:val="nil"/>
                  </w:tcBorders>
                  <w:noWrap w:val="0"/>
                  <w:vAlign w:val="center"/>
                </w:tcPr>
                <w:p>
                  <w:pPr>
                    <w:shd w:val="clear"/>
                    <w:spacing w:line="240" w:lineRule="auto"/>
                    <w:jc w:val="center"/>
                    <w:rPr>
                      <w:rFonts w:hint="eastAsia" w:eastAsia="宋体"/>
                      <w:color w:val="auto"/>
                      <w:sz w:val="21"/>
                      <w:szCs w:val="21"/>
                      <w:highlight w:val="none"/>
                      <w:lang w:val="en-US" w:eastAsia="zh-CN"/>
                    </w:rPr>
                  </w:pPr>
                  <w:r>
                    <w:rPr>
                      <w:rFonts w:hint="eastAsia" w:cs="Times New Roman"/>
                      <w:color w:val="auto"/>
                      <w:sz w:val="21"/>
                      <w:szCs w:val="21"/>
                      <w:highlight w:val="none"/>
                      <w:lang w:val="en-US" w:eastAsia="zh-CN"/>
                    </w:rPr>
                    <w:t>1</w:t>
                  </w:r>
                </w:p>
              </w:tc>
              <w:tc>
                <w:tcPr>
                  <w:tcW w:w="574" w:type="pct"/>
                  <w:tcBorders>
                    <w:tl2br w:val="nil"/>
                    <w:tr2bl w:val="nil"/>
                  </w:tcBorders>
                  <w:noWrap w:val="0"/>
                  <w:vAlign w:val="center"/>
                </w:tcPr>
                <w:p>
                  <w:pPr>
                    <w:shd w:val="clear"/>
                    <w:spacing w:line="240" w:lineRule="auto"/>
                    <w:jc w:val="center"/>
                    <w:rPr>
                      <w:rFonts w:hint="default" w:eastAsia="宋体"/>
                      <w:color w:val="auto"/>
                      <w:sz w:val="21"/>
                      <w:szCs w:val="21"/>
                      <w:highlight w:val="none"/>
                      <w:lang w:val="en-US" w:eastAsia="zh-CN"/>
                    </w:rPr>
                  </w:pPr>
                  <w:r>
                    <w:rPr>
                      <w:rFonts w:hint="default" w:eastAsia="宋体"/>
                      <w:color w:val="auto"/>
                      <w:sz w:val="21"/>
                      <w:szCs w:val="21"/>
                      <w:highlight w:val="none"/>
                      <w:lang w:val="en-US" w:eastAsia="zh-CN"/>
                    </w:rPr>
                    <w:t>0.02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56" w:type="pct"/>
                  <w:tcBorders>
                    <w:tl2br w:val="nil"/>
                    <w:tr2bl w:val="nil"/>
                  </w:tcBorders>
                  <w:noWrap w:val="0"/>
                  <w:vAlign w:val="center"/>
                </w:tcPr>
                <w:p>
                  <w:pPr>
                    <w:shd w:val="clear"/>
                    <w:spacing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3</w:t>
                  </w:r>
                </w:p>
              </w:tc>
              <w:tc>
                <w:tcPr>
                  <w:tcW w:w="1063" w:type="pct"/>
                  <w:tcBorders>
                    <w:tl2br w:val="nil"/>
                    <w:tr2bl w:val="nil"/>
                  </w:tcBorders>
                  <w:noWrap w:val="0"/>
                  <w:vAlign w:val="center"/>
                </w:tcPr>
                <w:p>
                  <w:pPr>
                    <w:keepNext w:val="0"/>
                    <w:keepLines w:val="0"/>
                    <w:widowControl/>
                    <w:suppressLineNumbers w:val="0"/>
                    <w:shd w:val="clea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固化剂</w:t>
                  </w:r>
                </w:p>
              </w:tc>
              <w:tc>
                <w:tcPr>
                  <w:tcW w:w="785" w:type="pct"/>
                  <w:tcBorders>
                    <w:tl2br w:val="nil"/>
                    <w:tr2bl w:val="nil"/>
                  </w:tcBorders>
                  <w:noWrap w:val="0"/>
                  <w:vAlign w:val="center"/>
                </w:tcPr>
                <w:p>
                  <w:pPr>
                    <w:shd w:val="clear"/>
                    <w:spacing w:line="240" w:lineRule="auto"/>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752" w:type="pct"/>
                  <w:tcBorders>
                    <w:tl2br w:val="nil"/>
                    <w:tr2bl w:val="nil"/>
                  </w:tcBorders>
                  <w:noWrap w:val="0"/>
                  <w:vAlign w:val="center"/>
                </w:tcPr>
                <w:p>
                  <w:pPr>
                    <w:shd w:val="clear"/>
                    <w:spacing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50</w:t>
                  </w:r>
                </w:p>
              </w:tc>
              <w:tc>
                <w:tcPr>
                  <w:tcW w:w="1367" w:type="pct"/>
                  <w:tcBorders>
                    <w:tl2br w:val="nil"/>
                    <w:tr2bl w:val="nil"/>
                  </w:tcBorders>
                  <w:noWrap w:val="0"/>
                  <w:vAlign w:val="center"/>
                </w:tcPr>
                <w:p>
                  <w:pPr>
                    <w:shd w:val="clear"/>
                    <w:spacing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0.2</w:t>
                  </w:r>
                </w:p>
              </w:tc>
              <w:tc>
                <w:tcPr>
                  <w:tcW w:w="574" w:type="pct"/>
                  <w:tcBorders>
                    <w:tl2br w:val="nil"/>
                    <w:tr2bl w:val="nil"/>
                  </w:tcBorders>
                  <w:noWrap w:val="0"/>
                  <w:vAlign w:val="center"/>
                </w:tcPr>
                <w:p>
                  <w:pPr>
                    <w:shd w:val="clear"/>
                    <w:spacing w:line="240" w:lineRule="auto"/>
                    <w:jc w:val="center"/>
                    <w:rPr>
                      <w:rFonts w:hint="eastAsia"/>
                      <w:color w:val="auto"/>
                      <w:sz w:val="21"/>
                      <w:szCs w:val="21"/>
                      <w:highlight w:val="none"/>
                      <w:lang w:val="en-US" w:eastAsia="zh-CN"/>
                    </w:rPr>
                  </w:pPr>
                  <w:r>
                    <w:rPr>
                      <w:rFonts w:hint="eastAsia"/>
                      <w:color w:val="auto"/>
                      <w:sz w:val="21"/>
                      <w:szCs w:val="21"/>
                      <w:highlight w:val="none"/>
                      <w:lang w:val="en-US" w:eastAsia="zh-CN"/>
                    </w:rPr>
                    <w:t>0.004</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56" w:type="pct"/>
                  <w:tcBorders>
                    <w:tl2br w:val="nil"/>
                    <w:tr2bl w:val="nil"/>
                  </w:tcBorders>
                  <w:noWrap w:val="0"/>
                  <w:vAlign w:val="center"/>
                </w:tcPr>
                <w:p>
                  <w:pPr>
                    <w:shd w:val="clear"/>
                    <w:spacing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4</w:t>
                  </w:r>
                </w:p>
              </w:tc>
              <w:tc>
                <w:tcPr>
                  <w:tcW w:w="1063" w:type="pct"/>
                  <w:tcBorders>
                    <w:tl2br w:val="nil"/>
                    <w:tr2bl w:val="nil"/>
                  </w:tcBorders>
                  <w:noWrap w:val="0"/>
                  <w:vAlign w:val="center"/>
                </w:tcPr>
                <w:p>
                  <w:pPr>
                    <w:keepNext w:val="0"/>
                    <w:keepLines w:val="0"/>
                    <w:widowControl/>
                    <w:suppressLineNumbers w:val="0"/>
                    <w:shd w:val="clea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脱模剂</w:t>
                  </w:r>
                </w:p>
              </w:tc>
              <w:tc>
                <w:tcPr>
                  <w:tcW w:w="785" w:type="pct"/>
                  <w:tcBorders>
                    <w:tl2br w:val="nil"/>
                    <w:tr2bl w:val="nil"/>
                  </w:tcBorders>
                  <w:noWrap w:val="0"/>
                  <w:vAlign w:val="center"/>
                </w:tcPr>
                <w:p>
                  <w:pPr>
                    <w:shd w:val="clear"/>
                    <w:spacing w:line="240" w:lineRule="auto"/>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752" w:type="pct"/>
                  <w:tcBorders>
                    <w:tl2br w:val="nil"/>
                    <w:tr2bl w:val="nil"/>
                  </w:tcBorders>
                  <w:noWrap w:val="0"/>
                  <w:vAlign w:val="center"/>
                </w:tcPr>
                <w:p>
                  <w:pPr>
                    <w:shd w:val="clear"/>
                    <w:spacing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50</w:t>
                  </w:r>
                </w:p>
              </w:tc>
              <w:tc>
                <w:tcPr>
                  <w:tcW w:w="1367" w:type="pct"/>
                  <w:tcBorders>
                    <w:tl2br w:val="nil"/>
                    <w:tr2bl w:val="nil"/>
                  </w:tcBorders>
                  <w:noWrap w:val="0"/>
                  <w:vAlign w:val="center"/>
                </w:tcPr>
                <w:p>
                  <w:pPr>
                    <w:shd w:val="clear"/>
                    <w:spacing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0.5</w:t>
                  </w:r>
                </w:p>
              </w:tc>
              <w:tc>
                <w:tcPr>
                  <w:tcW w:w="574" w:type="pct"/>
                  <w:tcBorders>
                    <w:tl2br w:val="nil"/>
                    <w:tr2bl w:val="nil"/>
                  </w:tcBorders>
                  <w:noWrap w:val="0"/>
                  <w:vAlign w:val="center"/>
                </w:tcPr>
                <w:p>
                  <w:pPr>
                    <w:shd w:val="clear"/>
                    <w:spacing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56" w:type="pct"/>
                  <w:tcBorders>
                    <w:tl2br w:val="nil"/>
                    <w:tr2bl w:val="nil"/>
                  </w:tcBorders>
                  <w:noWrap w:val="0"/>
                  <w:vAlign w:val="center"/>
                </w:tcPr>
                <w:p>
                  <w:pPr>
                    <w:shd w:val="clear"/>
                    <w:spacing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5</w:t>
                  </w:r>
                </w:p>
              </w:tc>
              <w:tc>
                <w:tcPr>
                  <w:tcW w:w="1063" w:type="pct"/>
                  <w:tcBorders>
                    <w:tl2br w:val="nil"/>
                    <w:tr2bl w:val="nil"/>
                  </w:tcBorders>
                  <w:noWrap w:val="0"/>
                  <w:vAlign w:val="center"/>
                </w:tcPr>
                <w:p>
                  <w:pPr>
                    <w:keepNext w:val="0"/>
                    <w:keepLines w:val="0"/>
                    <w:widowControl/>
                    <w:suppressLineNumbers w:val="0"/>
                    <w:shd w:val="clea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乳化液</w:t>
                  </w:r>
                </w:p>
              </w:tc>
              <w:tc>
                <w:tcPr>
                  <w:tcW w:w="785" w:type="pct"/>
                  <w:tcBorders>
                    <w:tl2br w:val="nil"/>
                    <w:tr2bl w:val="nil"/>
                  </w:tcBorders>
                  <w:noWrap w:val="0"/>
                  <w:vAlign w:val="center"/>
                </w:tcPr>
                <w:p>
                  <w:pPr>
                    <w:shd w:val="clear"/>
                    <w:spacing w:line="240" w:lineRule="auto"/>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752" w:type="pct"/>
                  <w:tcBorders>
                    <w:tl2br w:val="nil"/>
                    <w:tr2bl w:val="nil"/>
                  </w:tcBorders>
                  <w:noWrap w:val="0"/>
                  <w:vAlign w:val="center"/>
                </w:tcPr>
                <w:p>
                  <w:pPr>
                    <w:shd w:val="clear"/>
                    <w:spacing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50</w:t>
                  </w:r>
                </w:p>
              </w:tc>
              <w:tc>
                <w:tcPr>
                  <w:tcW w:w="1367" w:type="pct"/>
                  <w:tcBorders>
                    <w:tl2br w:val="nil"/>
                    <w:tr2bl w:val="nil"/>
                  </w:tcBorders>
                  <w:noWrap w:val="0"/>
                  <w:vAlign w:val="center"/>
                </w:tcPr>
                <w:p>
                  <w:pPr>
                    <w:shd w:val="clear"/>
                    <w:spacing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1</w:t>
                  </w:r>
                </w:p>
              </w:tc>
              <w:tc>
                <w:tcPr>
                  <w:tcW w:w="574" w:type="pct"/>
                  <w:tcBorders>
                    <w:tl2br w:val="nil"/>
                    <w:tr2bl w:val="nil"/>
                  </w:tcBorders>
                  <w:noWrap w:val="0"/>
                  <w:vAlign w:val="center"/>
                </w:tcPr>
                <w:p>
                  <w:pPr>
                    <w:shd w:val="clear"/>
                    <w:spacing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0.02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56" w:type="pct"/>
                  <w:tcBorders>
                    <w:tl2br w:val="nil"/>
                    <w:tr2bl w:val="nil"/>
                  </w:tcBorders>
                  <w:noWrap w:val="0"/>
                  <w:vAlign w:val="center"/>
                </w:tcPr>
                <w:p>
                  <w:pPr>
                    <w:shd w:val="clear"/>
                    <w:spacing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6</w:t>
                  </w:r>
                </w:p>
              </w:tc>
              <w:tc>
                <w:tcPr>
                  <w:tcW w:w="1063" w:type="pct"/>
                  <w:tcBorders>
                    <w:tl2br w:val="nil"/>
                    <w:tr2bl w:val="nil"/>
                  </w:tcBorders>
                  <w:noWrap w:val="0"/>
                  <w:vAlign w:val="center"/>
                </w:tcPr>
                <w:p>
                  <w:pPr>
                    <w:keepNext w:val="0"/>
                    <w:keepLines w:val="0"/>
                    <w:widowControl/>
                    <w:suppressLineNumbers w:val="0"/>
                    <w:shd w:val="clear"/>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水性漆</w:t>
                  </w:r>
                </w:p>
              </w:tc>
              <w:tc>
                <w:tcPr>
                  <w:tcW w:w="785" w:type="pct"/>
                  <w:tcBorders>
                    <w:tl2br w:val="nil"/>
                    <w:tr2bl w:val="nil"/>
                  </w:tcBorders>
                  <w:noWrap w:val="0"/>
                  <w:vAlign w:val="center"/>
                </w:tcPr>
                <w:p>
                  <w:pPr>
                    <w:shd w:val="clear"/>
                    <w:spacing w:line="240" w:lineRule="auto"/>
                    <w:jc w:val="center"/>
                    <w:rPr>
                      <w:rFonts w:hint="eastAsia"/>
                      <w:color w:val="auto"/>
                      <w:sz w:val="21"/>
                      <w:szCs w:val="21"/>
                      <w:highlight w:val="none"/>
                      <w:lang w:val="en-US" w:eastAsia="zh-CN"/>
                    </w:rPr>
                  </w:pPr>
                </w:p>
              </w:tc>
              <w:tc>
                <w:tcPr>
                  <w:tcW w:w="752" w:type="pct"/>
                  <w:tcBorders>
                    <w:tl2br w:val="nil"/>
                    <w:tr2bl w:val="nil"/>
                  </w:tcBorders>
                  <w:noWrap w:val="0"/>
                  <w:vAlign w:val="center"/>
                </w:tcPr>
                <w:p>
                  <w:pPr>
                    <w:shd w:val="clear"/>
                    <w:spacing w:line="240" w:lineRule="auto"/>
                    <w:jc w:val="center"/>
                    <w:rPr>
                      <w:rFonts w:hint="eastAsia"/>
                      <w:color w:val="auto"/>
                      <w:sz w:val="21"/>
                      <w:szCs w:val="21"/>
                      <w:highlight w:val="none"/>
                      <w:lang w:val="en-US" w:eastAsia="zh-CN"/>
                    </w:rPr>
                  </w:pPr>
                  <w:r>
                    <w:rPr>
                      <w:rFonts w:hint="eastAsia"/>
                      <w:color w:val="auto"/>
                      <w:sz w:val="21"/>
                      <w:szCs w:val="21"/>
                      <w:highlight w:val="none"/>
                      <w:lang w:val="en-US" w:eastAsia="zh-CN"/>
                    </w:rPr>
                    <w:t>50</w:t>
                  </w:r>
                </w:p>
              </w:tc>
              <w:tc>
                <w:tcPr>
                  <w:tcW w:w="1367" w:type="pct"/>
                  <w:tcBorders>
                    <w:tl2br w:val="nil"/>
                    <w:tr2bl w:val="nil"/>
                  </w:tcBorders>
                  <w:noWrap w:val="0"/>
                  <w:vAlign w:val="center"/>
                </w:tcPr>
                <w:p>
                  <w:pPr>
                    <w:shd w:val="clear"/>
                    <w:spacing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0.2</w:t>
                  </w:r>
                </w:p>
              </w:tc>
              <w:tc>
                <w:tcPr>
                  <w:tcW w:w="574" w:type="pct"/>
                  <w:tcBorders>
                    <w:tl2br w:val="nil"/>
                    <w:tr2bl w:val="nil"/>
                  </w:tcBorders>
                  <w:noWrap w:val="0"/>
                  <w:vAlign w:val="center"/>
                </w:tcPr>
                <w:p>
                  <w:pPr>
                    <w:shd w:val="clear"/>
                    <w:spacing w:line="240" w:lineRule="auto"/>
                    <w:jc w:val="center"/>
                    <w:rPr>
                      <w:rFonts w:hint="eastAsia"/>
                      <w:color w:val="auto"/>
                      <w:sz w:val="21"/>
                      <w:szCs w:val="21"/>
                      <w:highlight w:val="none"/>
                      <w:lang w:val="en-US" w:eastAsia="zh-CN"/>
                    </w:rPr>
                  </w:pPr>
                  <w:r>
                    <w:rPr>
                      <w:rFonts w:hint="eastAsia"/>
                      <w:color w:val="auto"/>
                      <w:sz w:val="21"/>
                      <w:szCs w:val="21"/>
                      <w:highlight w:val="none"/>
                      <w:lang w:val="en-US" w:eastAsia="zh-CN"/>
                    </w:rPr>
                    <w:t>0.004</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56" w:type="pct"/>
                  <w:tcBorders>
                    <w:tl2br w:val="nil"/>
                    <w:tr2bl w:val="nil"/>
                  </w:tcBorders>
                  <w:noWrap w:val="0"/>
                  <w:vAlign w:val="center"/>
                </w:tcPr>
                <w:p>
                  <w:pPr>
                    <w:shd w:val="clear"/>
                    <w:spacing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7</w:t>
                  </w:r>
                </w:p>
              </w:tc>
              <w:tc>
                <w:tcPr>
                  <w:tcW w:w="1063" w:type="pct"/>
                  <w:tcBorders>
                    <w:tl2br w:val="nil"/>
                    <w:tr2bl w:val="nil"/>
                  </w:tcBorders>
                  <w:noWrap w:val="0"/>
                  <w:vAlign w:val="center"/>
                </w:tcPr>
                <w:p>
                  <w:pPr>
                    <w:keepNext w:val="0"/>
                    <w:keepLines w:val="0"/>
                    <w:widowControl/>
                    <w:suppressLineNumbers w:val="0"/>
                    <w:shd w:val="clear"/>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废活性炭</w:t>
                  </w:r>
                </w:p>
              </w:tc>
              <w:tc>
                <w:tcPr>
                  <w:tcW w:w="785" w:type="pct"/>
                  <w:tcBorders>
                    <w:tl2br w:val="nil"/>
                    <w:tr2bl w:val="nil"/>
                  </w:tcBorders>
                  <w:noWrap w:val="0"/>
                  <w:vAlign w:val="center"/>
                </w:tcPr>
                <w:p>
                  <w:pPr>
                    <w:shd w:val="clear"/>
                    <w:spacing w:line="240" w:lineRule="auto"/>
                    <w:jc w:val="center"/>
                    <w:rPr>
                      <w:rFonts w:hint="eastAsia"/>
                      <w:color w:val="auto"/>
                      <w:sz w:val="21"/>
                      <w:szCs w:val="21"/>
                      <w:highlight w:val="none"/>
                      <w:lang w:val="en-US" w:eastAsia="zh-CN"/>
                    </w:rPr>
                  </w:pPr>
                </w:p>
              </w:tc>
              <w:tc>
                <w:tcPr>
                  <w:tcW w:w="752" w:type="pct"/>
                  <w:tcBorders>
                    <w:tl2br w:val="nil"/>
                    <w:tr2bl w:val="nil"/>
                  </w:tcBorders>
                  <w:noWrap w:val="0"/>
                  <w:vAlign w:val="center"/>
                </w:tcPr>
                <w:p>
                  <w:pPr>
                    <w:shd w:val="clear"/>
                    <w:spacing w:line="240" w:lineRule="auto"/>
                    <w:jc w:val="center"/>
                    <w:rPr>
                      <w:rFonts w:hint="eastAsia"/>
                      <w:color w:val="auto"/>
                      <w:sz w:val="21"/>
                      <w:szCs w:val="21"/>
                      <w:highlight w:val="none"/>
                      <w:lang w:val="en-US" w:eastAsia="zh-CN"/>
                    </w:rPr>
                  </w:pPr>
                  <w:r>
                    <w:rPr>
                      <w:rFonts w:hint="eastAsia"/>
                      <w:color w:val="auto"/>
                      <w:sz w:val="21"/>
                      <w:szCs w:val="21"/>
                      <w:highlight w:val="none"/>
                      <w:lang w:val="en-US" w:eastAsia="zh-CN"/>
                    </w:rPr>
                    <w:t>50</w:t>
                  </w:r>
                </w:p>
              </w:tc>
              <w:tc>
                <w:tcPr>
                  <w:tcW w:w="1367" w:type="pct"/>
                  <w:tcBorders>
                    <w:tl2br w:val="nil"/>
                    <w:tr2bl w:val="nil"/>
                  </w:tcBorders>
                  <w:noWrap w:val="0"/>
                  <w:vAlign w:val="center"/>
                </w:tcPr>
                <w:p>
                  <w:pPr>
                    <w:shd w:val="clear"/>
                    <w:spacing w:line="240" w:lineRule="auto"/>
                    <w:jc w:val="center"/>
                    <w:rPr>
                      <w:rFonts w:hint="default"/>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9.013</w:t>
                  </w:r>
                </w:p>
              </w:tc>
              <w:tc>
                <w:tcPr>
                  <w:tcW w:w="574" w:type="pct"/>
                  <w:tcBorders>
                    <w:tl2br w:val="nil"/>
                    <w:tr2bl w:val="nil"/>
                  </w:tcBorders>
                  <w:noWrap w:val="0"/>
                  <w:vAlign w:val="center"/>
                </w:tcPr>
                <w:p>
                  <w:pPr>
                    <w:shd w:val="clear"/>
                    <w:spacing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0.18026</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425" w:type="pct"/>
                  <w:gridSpan w:val="5"/>
                  <w:tcBorders>
                    <w:tl2br w:val="nil"/>
                    <w:tr2bl w:val="nil"/>
                  </w:tcBorders>
                  <w:noWrap w:val="0"/>
                  <w:vAlign w:val="center"/>
                </w:tcPr>
                <w:p>
                  <w:pPr>
                    <w:shd w:val="clear"/>
                    <w:spacing w:line="240" w:lineRule="auto"/>
                    <w:jc w:val="center"/>
                    <w:rPr>
                      <w:color w:val="auto"/>
                      <w:sz w:val="21"/>
                      <w:szCs w:val="21"/>
                      <w:highlight w:val="none"/>
                    </w:rPr>
                  </w:pPr>
                  <w:r>
                    <w:rPr>
                      <w:color w:val="auto"/>
                      <w:sz w:val="21"/>
                      <w:szCs w:val="21"/>
                      <w:highlight w:val="none"/>
                    </w:rPr>
                    <w:t>合计</w:t>
                  </w:r>
                </w:p>
              </w:tc>
              <w:tc>
                <w:tcPr>
                  <w:tcW w:w="574" w:type="pct"/>
                  <w:tcBorders>
                    <w:tl2br w:val="nil"/>
                    <w:tr2bl w:val="nil"/>
                  </w:tcBorders>
                  <w:noWrap w:val="0"/>
                  <w:vAlign w:val="center"/>
                </w:tcPr>
                <w:p>
                  <w:pPr>
                    <w:shd w:val="clear"/>
                    <w:spacing w:line="240" w:lineRule="auto"/>
                    <w:jc w:val="center"/>
                    <w:rPr>
                      <w:color w:val="auto"/>
                      <w:sz w:val="21"/>
                      <w:szCs w:val="21"/>
                      <w:highlight w:val="none"/>
                    </w:rPr>
                  </w:pPr>
                  <w:r>
                    <w:rPr>
                      <w:rFonts w:hint="eastAsia"/>
                      <w:color w:val="auto"/>
                      <w:sz w:val="21"/>
                      <w:szCs w:val="21"/>
                      <w:highlight w:val="none"/>
                    </w:rPr>
                    <w:t>0.23846</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000" w:type="pct"/>
                  <w:gridSpan w:val="6"/>
                  <w:tcBorders>
                    <w:tl2br w:val="nil"/>
                    <w:tr2bl w:val="nil"/>
                  </w:tcBorders>
                  <w:noWrap w:val="0"/>
                  <w:vAlign w:val="center"/>
                </w:tcPr>
                <w:p>
                  <w:pPr>
                    <w:keepNext w:val="0"/>
                    <w:keepLines w:val="0"/>
                    <w:widowControl/>
                    <w:suppressLineNumbers w:val="0"/>
                    <w:jc w:val="left"/>
                    <w:rPr>
                      <w:color w:val="auto"/>
                      <w:sz w:val="21"/>
                      <w:szCs w:val="21"/>
                      <w:highlight w:val="none"/>
                    </w:rPr>
                  </w:pPr>
                  <w:r>
                    <w:rPr>
                      <w:rFonts w:hint="eastAsia" w:ascii="宋体" w:hAnsi="宋体" w:eastAsia="宋体" w:cs="宋体"/>
                      <w:color w:val="auto"/>
                      <w:kern w:val="0"/>
                      <w:sz w:val="21"/>
                      <w:szCs w:val="21"/>
                      <w:highlight w:val="none"/>
                      <w:lang w:val="en-US" w:eastAsia="zh-CN" w:bidi="ar"/>
                    </w:rPr>
                    <w:t>备注：废活性炭、废乳化液属于《建设项目环境风险评价技术导则》（</w:t>
                  </w:r>
                  <w:r>
                    <w:rPr>
                      <w:rFonts w:hint="default" w:ascii="Times New Roman" w:hAnsi="Times New Roman" w:eastAsia="宋体" w:cs="Times New Roman"/>
                      <w:color w:val="auto"/>
                      <w:kern w:val="0"/>
                      <w:sz w:val="21"/>
                      <w:szCs w:val="21"/>
                      <w:highlight w:val="none"/>
                      <w:lang w:val="en-US" w:eastAsia="zh-CN" w:bidi="ar"/>
                    </w:rPr>
                    <w:t>HJ169-2018</w:t>
                  </w:r>
                  <w:r>
                    <w:rPr>
                      <w:rFonts w:hint="eastAsia" w:ascii="宋体" w:hAnsi="宋体" w:eastAsia="宋体" w:cs="宋体"/>
                      <w:color w:val="auto"/>
                      <w:kern w:val="0"/>
                      <w:sz w:val="21"/>
                      <w:szCs w:val="21"/>
                      <w:highlight w:val="none"/>
                      <w:lang w:val="en-US" w:eastAsia="zh-CN" w:bidi="ar"/>
                    </w:rPr>
                    <w:t>）健康危险急性毒性物质（类别</w:t>
                  </w:r>
                  <w:r>
                    <w:rPr>
                      <w:rFonts w:hint="default" w:ascii="Times New Roman" w:hAnsi="Times New Roman"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，类别</w:t>
                  </w:r>
                  <w:r>
                    <w:rPr>
                      <w:rFonts w:hint="default" w:ascii="Times New Roman" w:hAnsi="Times New Roman" w:eastAsia="宋体" w:cs="Times New Roman"/>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），临界量为</w:t>
                  </w:r>
                  <w:r>
                    <w:rPr>
                      <w:rFonts w:hint="default" w:ascii="Times New Roman" w:hAnsi="Times New Roman" w:eastAsia="宋体" w:cs="Times New Roman"/>
                      <w:color w:val="auto"/>
                      <w:kern w:val="0"/>
                      <w:sz w:val="21"/>
                      <w:szCs w:val="21"/>
                      <w:highlight w:val="none"/>
                      <w:lang w:val="en-US" w:eastAsia="zh-CN" w:bidi="ar"/>
                    </w:rPr>
                    <w:t>50t</w:t>
                  </w:r>
                  <w:r>
                    <w:rPr>
                      <w:rFonts w:hint="eastAsia" w:ascii="宋体" w:hAnsi="宋体" w:eastAsia="宋体" w:cs="宋体"/>
                      <w:color w:val="auto"/>
                      <w:kern w:val="0"/>
                      <w:sz w:val="21"/>
                      <w:szCs w:val="21"/>
                      <w:highlight w:val="none"/>
                      <w:lang w:val="en-US" w:eastAsia="zh-CN" w:bidi="ar"/>
                    </w:rPr>
                    <w:t>。</w:t>
                  </w:r>
                </w:p>
              </w:tc>
            </w:tr>
          </w:tbl>
          <w:p>
            <w:pPr>
              <w:pStyle w:val="80"/>
              <w:keepNext w:val="0"/>
              <w:keepLines w:val="0"/>
              <w:pageBreakBefore w:val="0"/>
              <w:widowControl w:val="0"/>
              <w:shd w:val="clear"/>
              <w:kinsoku/>
              <w:wordWrap/>
              <w:overflowPunct/>
              <w:topLinePunct w:val="0"/>
              <w:autoSpaceDE/>
              <w:autoSpaceDN/>
              <w:bidi w:val="0"/>
              <w:adjustRightInd w:val="0"/>
              <w:snapToGrid w:val="0"/>
              <w:spacing w:before="157" w:beforeLines="50" w:line="360" w:lineRule="auto"/>
              <w:ind w:firstLine="480" w:firstLineChars="200"/>
              <w:textAlignment w:val="auto"/>
              <w:rPr>
                <w:color w:val="auto"/>
                <w:highlight w:val="none"/>
              </w:rPr>
            </w:pPr>
            <w:r>
              <w:rPr>
                <w:color w:val="auto"/>
                <w:highlight w:val="none"/>
              </w:rPr>
              <w:t>由结果可见， 本项目危险物质数量与临界量比值Q=</w:t>
            </w:r>
            <w:r>
              <w:rPr>
                <w:rFonts w:hint="eastAsia"/>
                <w:color w:val="auto"/>
                <w:highlight w:val="none"/>
                <w:lang w:val="en-US" w:eastAsia="zh-CN"/>
              </w:rPr>
              <w:t>0.23846</w:t>
            </w:r>
            <w:r>
              <w:rPr>
                <w:color w:val="auto"/>
                <w:highlight w:val="none"/>
              </w:rPr>
              <w:t>＜1。 根据《建设项目环境风险评价技术导则》 （HJ 169-2018）附录C，当Q＜1 时， 可直接判断该项目环境风险潜势为Ⅰ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（3）评价等级确定</w:t>
            </w:r>
          </w:p>
          <w:p>
            <w:pPr>
              <w:pStyle w:val="80"/>
              <w:keepNext w:val="0"/>
              <w:keepLines w:val="0"/>
              <w:pageBreakBefore w:val="0"/>
              <w:widowControl w:val="0"/>
              <w:kinsoku/>
              <w:wordWrap/>
              <w:overflowPunct/>
              <w:topLinePunct w:val="0"/>
              <w:autoSpaceDE/>
              <w:autoSpaceDN/>
              <w:bidi w:val="0"/>
              <w:adjustRightInd w:val="0"/>
              <w:snapToGrid w:val="0"/>
              <w:spacing w:before="0"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根据《建设项目环境风险评价技术导则》（HJ 169-2018），评价工作等级划分见表4</w:t>
            </w:r>
            <w:r>
              <w:rPr>
                <w:rFonts w:hint="eastAsia" w:cs="Times New Roman"/>
                <w:color w:val="auto"/>
                <w:highlight w:val="none"/>
                <w:lang w:val="en-US" w:eastAsia="zh-CN"/>
              </w:rPr>
              <w:t>.4</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2</w:t>
            </w:r>
            <w:r>
              <w:rPr>
                <w:rFonts w:hint="default" w:ascii="Times New Roman" w:hAnsi="Times New Roman" w:cs="Times New Roman"/>
                <w:color w:val="auto"/>
                <w:highlight w:val="none"/>
              </w:rPr>
              <w:t>。</w:t>
            </w:r>
          </w:p>
          <w:p>
            <w:pPr>
              <w:pStyle w:val="34"/>
              <w:spacing w:before="120" w:beforeLines="50" w:line="360" w:lineRule="auto"/>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w:t>
            </w:r>
            <w:r>
              <w:rPr>
                <w:rFonts w:hint="default" w:ascii="Times New Roman" w:hAnsi="Times New Roman" w:cs="Times New Roman"/>
                <w:b/>
                <w:bCs/>
                <w:color w:val="auto"/>
                <w:highlight w:val="none"/>
                <w:lang w:val="en-US" w:eastAsia="zh-CN"/>
              </w:rPr>
              <w:t>4</w:t>
            </w:r>
            <w:r>
              <w:rPr>
                <w:rFonts w:hint="eastAsia" w:ascii="Times New Roman" w:hAnsi="Times New Roman" w:cs="Times New Roman"/>
                <w:b/>
                <w:bCs/>
                <w:color w:val="auto"/>
                <w:highlight w:val="none"/>
                <w:lang w:val="en-US" w:eastAsia="zh-CN"/>
              </w:rPr>
              <w:t>.4</w:t>
            </w:r>
            <w:r>
              <w:rPr>
                <w:rFonts w:hint="default" w:ascii="Times New Roman" w:hAnsi="Times New Roman" w:cs="Times New Roman"/>
                <w:b/>
                <w:bCs/>
                <w:color w:val="auto"/>
                <w:highlight w:val="none"/>
                <w:lang w:val="en-US" w:eastAsia="zh-CN"/>
              </w:rPr>
              <w:t>-</w:t>
            </w:r>
            <w:r>
              <w:rPr>
                <w:rFonts w:hint="eastAsia" w:ascii="Times New Roman" w:hAnsi="Times New Roman" w:cs="Times New Roman"/>
                <w:b/>
                <w:bCs/>
                <w:color w:val="auto"/>
                <w:highlight w:val="none"/>
                <w:lang w:val="en-US" w:eastAsia="zh-CN"/>
              </w:rPr>
              <w:t>2</w:t>
            </w:r>
            <w:r>
              <w:rPr>
                <w:rFonts w:hint="default" w:ascii="Times New Roman" w:hAnsi="Times New Roman" w:cs="Times New Roman"/>
                <w:b/>
                <w:bCs/>
                <w:color w:val="auto"/>
                <w:highlight w:val="none"/>
              </w:rPr>
              <w:t xml:space="preserve"> 评价工作等级划分</w:t>
            </w:r>
          </w:p>
          <w:tbl>
            <w:tblPr>
              <w:tblStyle w:val="28"/>
              <w:tblW w:w="8516"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2141"/>
              <w:gridCol w:w="1592"/>
              <w:gridCol w:w="1594"/>
              <w:gridCol w:w="1594"/>
              <w:gridCol w:w="1595"/>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141" w:type="dxa"/>
                  <w:tcBorders>
                    <w:tl2br w:val="nil"/>
                    <w:tr2bl w:val="nil"/>
                  </w:tcBorders>
                  <w:noWrap w:val="0"/>
                  <w:vAlign w:val="center"/>
                </w:tcPr>
                <w:p>
                  <w:pPr>
                    <w:spacing w:line="240" w:lineRule="auto"/>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环境风险潜势</w:t>
                  </w:r>
                </w:p>
              </w:tc>
              <w:tc>
                <w:tcPr>
                  <w:tcW w:w="1592" w:type="dxa"/>
                  <w:tcBorders>
                    <w:tl2br w:val="nil"/>
                    <w:tr2bl w:val="nil"/>
                  </w:tcBorders>
                  <w:noWrap w:val="0"/>
                  <w:vAlign w:val="center"/>
                </w:tcPr>
                <w:p>
                  <w:pPr>
                    <w:spacing w:line="240" w:lineRule="auto"/>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Ⅳ、Ⅳ +</w:t>
                  </w:r>
                </w:p>
              </w:tc>
              <w:tc>
                <w:tcPr>
                  <w:tcW w:w="1594" w:type="dxa"/>
                  <w:tcBorders>
                    <w:tl2br w:val="nil"/>
                    <w:tr2bl w:val="nil"/>
                  </w:tcBorders>
                  <w:noWrap w:val="0"/>
                  <w:vAlign w:val="center"/>
                </w:tcPr>
                <w:p>
                  <w:pPr>
                    <w:spacing w:line="240" w:lineRule="auto"/>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Ⅲ</w:t>
                  </w:r>
                </w:p>
              </w:tc>
              <w:tc>
                <w:tcPr>
                  <w:tcW w:w="1594" w:type="dxa"/>
                  <w:tcBorders>
                    <w:tl2br w:val="nil"/>
                    <w:tr2bl w:val="nil"/>
                  </w:tcBorders>
                  <w:noWrap w:val="0"/>
                  <w:vAlign w:val="center"/>
                </w:tcPr>
                <w:p>
                  <w:pPr>
                    <w:spacing w:line="240" w:lineRule="auto"/>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Ⅱ</w:t>
                  </w:r>
                </w:p>
              </w:tc>
              <w:tc>
                <w:tcPr>
                  <w:tcW w:w="1595" w:type="dxa"/>
                  <w:tcBorders>
                    <w:tl2br w:val="nil"/>
                    <w:tr2bl w:val="nil"/>
                  </w:tcBorders>
                  <w:noWrap w:val="0"/>
                  <w:vAlign w:val="center"/>
                </w:tcPr>
                <w:p>
                  <w:pPr>
                    <w:spacing w:line="240" w:lineRule="auto"/>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141" w:type="dxa"/>
                  <w:tcBorders>
                    <w:tl2br w:val="nil"/>
                    <w:tr2bl w:val="nil"/>
                  </w:tcBorders>
                  <w:noWrap w:val="0"/>
                  <w:vAlign w:val="center"/>
                </w:tcPr>
                <w:p>
                  <w:pPr>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评价工作等级</w:t>
                  </w:r>
                </w:p>
              </w:tc>
              <w:tc>
                <w:tcPr>
                  <w:tcW w:w="1592" w:type="dxa"/>
                  <w:tcBorders>
                    <w:tl2br w:val="nil"/>
                    <w:tr2bl w:val="nil"/>
                  </w:tcBorders>
                  <w:noWrap w:val="0"/>
                  <w:vAlign w:val="center"/>
                </w:tcPr>
                <w:p>
                  <w:pPr>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一</w:t>
                  </w:r>
                </w:p>
              </w:tc>
              <w:tc>
                <w:tcPr>
                  <w:tcW w:w="1594" w:type="dxa"/>
                  <w:tcBorders>
                    <w:tl2br w:val="nil"/>
                    <w:tr2bl w:val="nil"/>
                  </w:tcBorders>
                  <w:noWrap w:val="0"/>
                  <w:vAlign w:val="center"/>
                </w:tcPr>
                <w:p>
                  <w:pPr>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二</w:t>
                  </w:r>
                </w:p>
              </w:tc>
              <w:tc>
                <w:tcPr>
                  <w:tcW w:w="1594" w:type="dxa"/>
                  <w:tcBorders>
                    <w:tl2br w:val="nil"/>
                    <w:tr2bl w:val="nil"/>
                  </w:tcBorders>
                  <w:noWrap w:val="0"/>
                  <w:vAlign w:val="center"/>
                </w:tcPr>
                <w:p>
                  <w:pPr>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三</w:t>
                  </w:r>
                </w:p>
              </w:tc>
              <w:tc>
                <w:tcPr>
                  <w:tcW w:w="1595" w:type="dxa"/>
                  <w:tcBorders>
                    <w:tl2br w:val="nil"/>
                    <w:tr2bl w:val="nil"/>
                  </w:tcBorders>
                  <w:noWrap w:val="0"/>
                  <w:vAlign w:val="center"/>
                </w:tcPr>
                <w:p>
                  <w:pPr>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简单分析a</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8516" w:type="dxa"/>
                  <w:gridSpan w:val="5"/>
                  <w:tcBorders>
                    <w:tl2br w:val="nil"/>
                    <w:tr2bl w:val="nil"/>
                  </w:tcBorders>
                  <w:noWrap w:val="0"/>
                  <w:vAlign w:val="center"/>
                </w:tcPr>
                <w:p>
                  <w:pPr>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a是相对于详细评价工作内容而言，在描述危险物质、环境影响途径、环境危害后果、风险防范措施等方面给出定性的说明。见附录 A。</w:t>
                  </w:r>
                </w:p>
              </w:tc>
            </w:tr>
          </w:tbl>
          <w:p>
            <w:pPr>
              <w:pStyle w:val="80"/>
              <w:pageBreakBefore w:val="0"/>
              <w:widowControl w:val="0"/>
              <w:kinsoku/>
              <w:wordWrap/>
              <w:overflowPunct/>
              <w:topLinePunct w:val="0"/>
              <w:autoSpaceDE/>
              <w:autoSpaceDN/>
              <w:bidi w:val="0"/>
              <w:spacing w:before="120" w:beforeLines="50" w:line="360" w:lineRule="auto"/>
              <w:ind w:firstLine="480"/>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本项目环境风险潜势为Ⅰ级，</w:t>
            </w:r>
            <w:r>
              <w:rPr>
                <w:rFonts w:hint="default" w:ascii="Times New Roman" w:hAnsi="Times New Roman" w:cs="Times New Roman"/>
                <w:color w:val="auto"/>
                <w:highlight w:val="none"/>
              </w:rPr>
              <w:t>项目环境风险评价工作等级简单分析即可。</w:t>
            </w:r>
          </w:p>
          <w:p>
            <w:pPr>
              <w:spacing w:line="360" w:lineRule="auto"/>
              <w:rPr>
                <w:rFonts w:hint="default" w:ascii="Times New Roman" w:hAnsi="Times New Roman" w:eastAsia="宋体" w:cs="Times New Roman"/>
                <w:b/>
                <w:color w:val="auto"/>
                <w:sz w:val="24"/>
                <w:highlight w:val="none"/>
              </w:rPr>
            </w:pPr>
            <w:bookmarkStart w:id="1" w:name="_Toc36731409"/>
            <w:bookmarkStart w:id="2" w:name="_Toc36740093"/>
            <w:r>
              <w:rPr>
                <w:rFonts w:hint="eastAsia" w:cs="Times New Roman"/>
                <w:b/>
                <w:bCs/>
                <w:color w:val="auto"/>
                <w:sz w:val="24"/>
                <w:highlight w:val="none"/>
                <w:lang w:val="en-US" w:eastAsia="zh-CN"/>
              </w:rPr>
              <w:t>4.4.2</w:t>
            </w:r>
            <w:r>
              <w:rPr>
                <w:rFonts w:hint="eastAsia" w:ascii="Times New Roman" w:hAnsi="Times New Roman" w:eastAsia="宋体" w:cs="Times New Roman"/>
                <w:b/>
                <w:color w:val="auto"/>
                <w:sz w:val="24"/>
                <w:highlight w:val="none"/>
                <w:lang w:val="en-US" w:eastAsia="zh-CN"/>
              </w:rPr>
              <w:t>、</w:t>
            </w:r>
            <w:r>
              <w:rPr>
                <w:rFonts w:hint="default" w:ascii="Times New Roman" w:hAnsi="Times New Roman" w:eastAsia="宋体" w:cs="Times New Roman"/>
                <w:b/>
                <w:color w:val="auto"/>
                <w:sz w:val="24"/>
                <w:highlight w:val="none"/>
              </w:rPr>
              <w:t>环境风险类型及可能影响途径</w:t>
            </w:r>
            <w:bookmarkEnd w:id="1"/>
            <w:bookmarkEnd w:id="2"/>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项目环境风险类型、危险物质向环境转移的可能途径具体如下表。</w:t>
            </w:r>
          </w:p>
          <w:p>
            <w:pPr>
              <w:pStyle w:val="77"/>
              <w:adjustRightInd w:val="0"/>
              <w:spacing w:before="120" w:beforeLines="50"/>
              <w:ind w:firstLine="0" w:firstLineChars="0"/>
              <w:jc w:val="center"/>
              <w:rPr>
                <w:rFonts w:hint="default" w:ascii="Times New Roman" w:hAnsi="Times New Roman" w:eastAsia="宋体" w:cs="Times New Roman"/>
                <w:b/>
                <w:bCs w:val="0"/>
                <w:color w:val="auto"/>
                <w:spacing w:val="0"/>
                <w:highlight w:val="none"/>
              </w:rPr>
            </w:pPr>
            <w:r>
              <w:rPr>
                <w:rFonts w:hint="default" w:ascii="Times New Roman" w:hAnsi="Times New Roman" w:eastAsia="宋体" w:cs="Times New Roman"/>
                <w:b/>
                <w:bCs w:val="0"/>
                <w:color w:val="auto"/>
                <w:spacing w:val="0"/>
                <w:highlight w:val="none"/>
              </w:rPr>
              <w:t>表</w:t>
            </w:r>
            <w:r>
              <w:rPr>
                <w:rFonts w:hint="eastAsia" w:ascii="Times New Roman" w:hAnsi="Times New Roman" w:eastAsia="宋体" w:cs="Times New Roman"/>
                <w:b/>
                <w:bCs w:val="0"/>
                <w:color w:val="auto"/>
                <w:spacing w:val="0"/>
                <w:highlight w:val="none"/>
                <w:lang w:val="en-US" w:eastAsia="zh-CN"/>
              </w:rPr>
              <w:t>4</w:t>
            </w:r>
            <w:r>
              <w:rPr>
                <w:rFonts w:hint="eastAsia" w:ascii="Times New Roman" w:hAnsi="Times New Roman" w:cs="Times New Roman"/>
                <w:b/>
                <w:bCs w:val="0"/>
                <w:color w:val="auto"/>
                <w:spacing w:val="0"/>
                <w:highlight w:val="none"/>
                <w:lang w:val="en-US" w:eastAsia="zh-CN"/>
              </w:rPr>
              <w:t>.4</w:t>
            </w:r>
            <w:r>
              <w:rPr>
                <w:rFonts w:hint="eastAsia" w:ascii="Times New Roman" w:hAnsi="Times New Roman" w:eastAsia="宋体" w:cs="Times New Roman"/>
                <w:b/>
                <w:bCs w:val="0"/>
                <w:color w:val="auto"/>
                <w:spacing w:val="0"/>
                <w:highlight w:val="none"/>
                <w:lang w:val="en-US" w:eastAsia="zh-CN"/>
              </w:rPr>
              <w:t>-</w:t>
            </w:r>
            <w:r>
              <w:rPr>
                <w:rFonts w:hint="eastAsia" w:ascii="Times New Roman" w:hAnsi="Times New Roman" w:cs="Times New Roman"/>
                <w:b/>
                <w:bCs w:val="0"/>
                <w:color w:val="auto"/>
                <w:spacing w:val="0"/>
                <w:highlight w:val="none"/>
                <w:lang w:val="en-US" w:eastAsia="zh-CN"/>
              </w:rPr>
              <w:t>3</w:t>
            </w:r>
            <w:r>
              <w:rPr>
                <w:rFonts w:hint="default" w:ascii="Times New Roman" w:hAnsi="Times New Roman" w:eastAsia="宋体" w:cs="Times New Roman"/>
                <w:b/>
                <w:bCs w:val="0"/>
                <w:color w:val="auto"/>
                <w:spacing w:val="0"/>
                <w:highlight w:val="none"/>
              </w:rPr>
              <w:t xml:space="preserve"> 事故污染影响</w:t>
            </w:r>
            <w:r>
              <w:rPr>
                <w:rFonts w:hint="eastAsia" w:ascii="Times New Roman" w:hAnsi="Times New Roman" w:cs="Times New Roman"/>
                <w:b/>
                <w:bCs w:val="0"/>
                <w:color w:val="auto"/>
                <w:spacing w:val="0"/>
                <w:highlight w:val="none"/>
                <w:lang w:eastAsia="zh-CN"/>
              </w:rPr>
              <w:t>途径</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34"/>
              <w:gridCol w:w="1316"/>
              <w:gridCol w:w="2102"/>
              <w:gridCol w:w="30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929" w:type="dxa"/>
                  <w:noWrap w:val="0"/>
                  <w:vAlign w:val="center"/>
                </w:tcPr>
                <w:p>
                  <w:pP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事故类型</w:t>
                  </w:r>
                </w:p>
              </w:tc>
              <w:tc>
                <w:tcPr>
                  <w:tcW w:w="1313" w:type="dxa"/>
                  <w:noWrap w:val="0"/>
                  <w:vAlign w:val="center"/>
                </w:tcPr>
                <w:p>
                  <w:pP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事故位置</w:t>
                  </w:r>
                </w:p>
              </w:tc>
              <w:tc>
                <w:tcPr>
                  <w:tcW w:w="2097" w:type="dxa"/>
                  <w:noWrap w:val="0"/>
                  <w:vAlign w:val="center"/>
                </w:tcPr>
                <w:p>
                  <w:pP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发生事故的原因</w:t>
                  </w:r>
                </w:p>
              </w:tc>
              <w:tc>
                <w:tcPr>
                  <w:tcW w:w="3059" w:type="dxa"/>
                  <w:noWrap w:val="0"/>
                  <w:vAlign w:val="center"/>
                </w:tcPr>
                <w:p>
                  <w:pP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kern w:val="0"/>
                      <w:szCs w:val="21"/>
                      <w:highlight w:val="none"/>
                    </w:rPr>
                    <w:t>污染物转移途径及危害形式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7" w:hRule="exact"/>
              </w:trPr>
              <w:tc>
                <w:tcPr>
                  <w:tcW w:w="1929"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原料</w:t>
                  </w:r>
                  <w:r>
                    <w:rPr>
                      <w:rFonts w:hint="default" w:ascii="Times New Roman" w:hAnsi="Times New Roman" w:eastAsia="宋体" w:cs="Times New Roman"/>
                      <w:color w:val="auto"/>
                      <w:szCs w:val="21"/>
                      <w:highlight w:val="none"/>
                    </w:rPr>
                    <w:t>泄漏</w:t>
                  </w:r>
                  <w:r>
                    <w:rPr>
                      <w:rFonts w:hint="eastAsia" w:cs="Times New Roman"/>
                      <w:color w:val="auto"/>
                      <w:szCs w:val="21"/>
                      <w:highlight w:val="none"/>
                      <w:lang w:val="en-US" w:eastAsia="zh-CN"/>
                    </w:rPr>
                    <w:t>遇明火或高温导致火灾</w:t>
                  </w:r>
                  <w:r>
                    <w:rPr>
                      <w:rFonts w:hint="default" w:ascii="Times New Roman" w:hAnsi="Times New Roman" w:eastAsia="宋体" w:cs="Times New Roman"/>
                      <w:color w:val="auto"/>
                      <w:szCs w:val="21"/>
                      <w:highlight w:val="none"/>
                      <w:lang w:val="en-US" w:eastAsia="zh-CN"/>
                    </w:rPr>
                    <w:t>对周围环境的影响</w:t>
                  </w:r>
                </w:p>
              </w:tc>
              <w:tc>
                <w:tcPr>
                  <w:tcW w:w="1313"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原料仓库</w:t>
                  </w:r>
                </w:p>
              </w:tc>
              <w:tc>
                <w:tcPr>
                  <w:tcW w:w="2097" w:type="dxa"/>
                  <w:noWrap w:val="0"/>
                  <w:vAlign w:val="center"/>
                </w:tcPr>
                <w:p>
                  <w:pPr>
                    <w:jc w:val="center"/>
                    <w:rPr>
                      <w:rFonts w:hint="default" w:ascii="Times New Roman" w:hAnsi="Times New Roman" w:eastAsia="宋体" w:cs="Times New Roman"/>
                      <w:color w:val="auto"/>
                      <w:szCs w:val="21"/>
                      <w:highlight w:val="none"/>
                    </w:rPr>
                  </w:pPr>
                  <w:r>
                    <w:rPr>
                      <w:rFonts w:hint="eastAsia" w:ascii="Times New Roman" w:hAnsi="Times New Roman" w:cs="Times New Roman"/>
                      <w:color w:val="auto"/>
                      <w:szCs w:val="21"/>
                      <w:highlight w:val="none"/>
                      <w:lang w:val="en-US" w:eastAsia="zh-CN"/>
                    </w:rPr>
                    <w:t>泄露</w:t>
                  </w:r>
                </w:p>
              </w:tc>
              <w:tc>
                <w:tcPr>
                  <w:tcW w:w="3059"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highlight w:val="none"/>
                    </w:rPr>
                    <w:t>洗消废水通过雨水管网进入水环境，污染周边水体</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火灾、爆炸事故燃烧废气污染周边大气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7" w:hRule="exact"/>
              </w:trPr>
              <w:tc>
                <w:tcPr>
                  <w:tcW w:w="1929"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危废</w:t>
                  </w:r>
                  <w:r>
                    <w:rPr>
                      <w:rFonts w:hint="eastAsia" w:cs="Times New Roman"/>
                      <w:color w:val="auto"/>
                      <w:szCs w:val="21"/>
                      <w:highlight w:val="none"/>
                      <w:lang w:val="en-US" w:eastAsia="zh-CN"/>
                    </w:rPr>
                    <w:t>泄漏</w:t>
                  </w:r>
                  <w:r>
                    <w:rPr>
                      <w:rFonts w:hint="default" w:ascii="Times New Roman" w:hAnsi="Times New Roman" w:eastAsia="宋体" w:cs="Times New Roman"/>
                      <w:color w:val="auto"/>
                      <w:szCs w:val="21"/>
                      <w:highlight w:val="none"/>
                      <w:lang w:val="en-US" w:eastAsia="zh-CN"/>
                    </w:rPr>
                    <w:t>对周围环境的影响</w:t>
                  </w:r>
                </w:p>
              </w:tc>
              <w:tc>
                <w:tcPr>
                  <w:tcW w:w="1313" w:type="dxa"/>
                  <w:noWrap w:val="0"/>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危废</w:t>
                  </w:r>
                  <w:r>
                    <w:rPr>
                      <w:rFonts w:hint="eastAsia" w:ascii="Times New Roman" w:hAnsi="Times New Roman" w:cs="Times New Roman"/>
                      <w:bCs/>
                      <w:color w:val="auto"/>
                      <w:szCs w:val="21"/>
                      <w:highlight w:val="none"/>
                      <w:lang w:val="en-US" w:eastAsia="zh-CN"/>
                    </w:rPr>
                    <w:t>暂存间</w:t>
                  </w:r>
                </w:p>
              </w:tc>
              <w:tc>
                <w:tcPr>
                  <w:tcW w:w="2097"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ascii="Times New Roman" w:hAnsi="Times New Roman" w:eastAsia="宋体" w:cs="Times New Roman"/>
                      <w:color w:val="auto"/>
                      <w:highlight w:val="none"/>
                    </w:rPr>
                    <w:t>危险废物储存容器</w:t>
                  </w:r>
                  <w:r>
                    <w:rPr>
                      <w:rFonts w:hint="eastAsia" w:ascii="Times New Roman" w:hAnsi="Times New Roman" w:eastAsia="宋体" w:cs="Times New Roman"/>
                      <w:color w:val="auto"/>
                      <w:szCs w:val="21"/>
                      <w:highlight w:val="none"/>
                      <w:lang w:val="en-US" w:eastAsia="zh-CN"/>
                    </w:rPr>
                    <w:t>倾倒/破损</w:t>
                  </w:r>
                </w:p>
              </w:tc>
              <w:tc>
                <w:tcPr>
                  <w:tcW w:w="3059" w:type="dxa"/>
                  <w:noWrap w:val="0"/>
                  <w:vAlign w:val="center"/>
                </w:tcPr>
                <w:p>
                  <w:pPr>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被吸附的有机废气短时间内可能会挥发，</w:t>
                  </w:r>
                  <w:r>
                    <w:rPr>
                      <w:rFonts w:ascii="Times New Roman" w:hAnsi="Times New Roman" w:eastAsia="宋体" w:cs="Times New Roman"/>
                      <w:color w:val="auto"/>
                      <w:highlight w:val="none"/>
                    </w:rPr>
                    <w:t>对周围环境及</w:t>
                  </w:r>
                  <w:r>
                    <w:rPr>
                      <w:rFonts w:hint="eastAsia" w:ascii="Times New Roman" w:hAnsi="Times New Roman" w:eastAsia="宋体" w:cs="Times New Roman"/>
                      <w:color w:val="auto"/>
                      <w:highlight w:val="none"/>
                      <w:lang w:val="en-US" w:eastAsia="zh-CN"/>
                    </w:rPr>
                    <w:t>工作</w:t>
                  </w:r>
                  <w:r>
                    <w:rPr>
                      <w:rFonts w:ascii="Times New Roman" w:hAnsi="Times New Roman" w:eastAsia="宋体" w:cs="Times New Roman"/>
                      <w:color w:val="auto"/>
                      <w:highlight w:val="none"/>
                    </w:rPr>
                    <w:t>人员造成不利影响</w:t>
                  </w:r>
                </w:p>
              </w:tc>
            </w:tr>
          </w:tbl>
          <w:p>
            <w:pPr>
              <w:pStyle w:val="7"/>
              <w:spacing w:before="120" w:beforeLines="50"/>
              <w:rPr>
                <w:rFonts w:hint="eastAsia"/>
                <w:bCs/>
                <w:color w:val="auto"/>
                <w:szCs w:val="24"/>
                <w:highlight w:val="none"/>
                <w:shd w:val="clear" w:color="auto" w:fill="auto"/>
              </w:rPr>
            </w:pPr>
            <w:r>
              <w:rPr>
                <w:rFonts w:hint="eastAsia" w:cs="Times New Roman"/>
                <w:b/>
                <w:bCs/>
                <w:color w:val="auto"/>
                <w:sz w:val="24"/>
                <w:highlight w:val="none"/>
                <w:lang w:val="en-US" w:eastAsia="zh-CN"/>
              </w:rPr>
              <w:t>4.4.3</w:t>
            </w:r>
            <w:r>
              <w:rPr>
                <w:rFonts w:hint="eastAsia"/>
                <w:bCs/>
                <w:color w:val="auto"/>
                <w:sz w:val="24"/>
                <w:szCs w:val="24"/>
                <w:highlight w:val="none"/>
                <w:shd w:val="clear" w:color="auto" w:fill="auto"/>
                <w:lang w:val="en-US" w:eastAsia="zh-CN"/>
              </w:rPr>
              <w:t>、风险评价分析</w:t>
            </w:r>
          </w:p>
          <w:p>
            <w:pPr>
              <w:adjustRightInd w:val="0"/>
              <w:snapToGrid w:val="0"/>
              <w:spacing w:line="360" w:lineRule="auto"/>
              <w:ind w:firstLine="480" w:firstLineChars="200"/>
              <w:jc w:val="both"/>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（1）大气环境风险影响分析</w:t>
            </w:r>
          </w:p>
          <w:p>
            <w:pPr>
              <w:pStyle w:val="4"/>
              <w:spacing w:line="360" w:lineRule="auto"/>
              <w:ind w:firstLine="482"/>
              <w:jc w:val="both"/>
              <w:rPr>
                <w:rFonts w:hint="default" w:ascii="Times New Roman" w:hAnsi="Times New Roman" w:eastAsia="宋体" w:cs="Times New Roman"/>
                <w:bCs/>
                <w:color w:val="auto"/>
                <w:sz w:val="24"/>
                <w:highlight w:val="none"/>
                <w:lang w:val="en-US" w:eastAsia="zh-CN"/>
              </w:rPr>
            </w:pPr>
            <w:r>
              <w:rPr>
                <w:rFonts w:hint="eastAsia" w:ascii="Times New Roman" w:hAnsi="Times New Roman" w:cs="Times New Roman"/>
                <w:bCs/>
                <w:color w:val="auto"/>
                <w:sz w:val="24"/>
                <w:highlight w:val="none"/>
                <w:lang w:val="en-US" w:eastAsia="zh-CN"/>
              </w:rPr>
              <w:t>原料</w:t>
            </w:r>
            <w:r>
              <w:rPr>
                <w:rFonts w:hint="default" w:ascii="Times New Roman" w:hAnsi="Times New Roman" w:cs="Times New Roman"/>
                <w:bCs/>
                <w:color w:val="auto"/>
                <w:sz w:val="24"/>
                <w:highlight w:val="none"/>
                <w:lang w:val="en-US" w:eastAsia="zh-CN"/>
              </w:rPr>
              <w:t>泄漏</w:t>
            </w:r>
            <w:r>
              <w:rPr>
                <w:rFonts w:hint="eastAsia" w:ascii="Times New Roman" w:hAnsi="Times New Roman" w:cs="Times New Roman"/>
                <w:bCs/>
                <w:color w:val="auto"/>
                <w:sz w:val="24"/>
                <w:highlight w:val="none"/>
                <w:lang w:val="en-US" w:eastAsia="zh-CN"/>
              </w:rPr>
              <w:t>遇明火</w:t>
            </w:r>
            <w:r>
              <w:rPr>
                <w:rFonts w:hint="default" w:ascii="Times New Roman" w:hAnsi="Times New Roman" w:cs="Times New Roman"/>
                <w:bCs/>
                <w:color w:val="auto"/>
                <w:sz w:val="24"/>
                <w:highlight w:val="none"/>
                <w:lang w:val="en-US" w:eastAsia="zh-CN"/>
              </w:rPr>
              <w:t>引发的火灾燃烧过程主要产物为二氧化碳和水，以及不完全燃烧产物一氧化碳。次生污染物一氧化碳会对周边人群造成中毒等影响。本项目厂区</w:t>
            </w:r>
            <w:r>
              <w:rPr>
                <w:rFonts w:hint="eastAsia" w:ascii="Times New Roman" w:hAnsi="Times New Roman" w:cs="Times New Roman"/>
                <w:bCs/>
                <w:color w:val="auto"/>
                <w:sz w:val="24"/>
                <w:highlight w:val="none"/>
                <w:lang w:val="en-US" w:eastAsia="zh-CN"/>
              </w:rPr>
              <w:t>原料仓库原料储存量较小</w:t>
            </w:r>
            <w:r>
              <w:rPr>
                <w:rFonts w:hint="default" w:ascii="Times New Roman" w:hAnsi="Times New Roman" w:cs="Times New Roman"/>
                <w:b w:val="0"/>
                <w:bCs w:val="0"/>
                <w:color w:val="auto"/>
                <w:kern w:val="0"/>
                <w:sz w:val="24"/>
                <w:szCs w:val="24"/>
                <w:highlight w:val="none"/>
                <w:lang w:bidi="ar"/>
              </w:rPr>
              <w:t>，</w:t>
            </w:r>
            <w:r>
              <w:rPr>
                <w:rFonts w:hint="eastAsia" w:ascii="Times New Roman" w:hAnsi="Times New Roman" w:cs="Times New Roman"/>
                <w:b w:val="0"/>
                <w:bCs w:val="0"/>
                <w:color w:val="auto"/>
                <w:kern w:val="0"/>
                <w:sz w:val="24"/>
                <w:szCs w:val="24"/>
                <w:highlight w:val="none"/>
                <w:lang w:val="en-US" w:eastAsia="zh-CN" w:bidi="ar"/>
              </w:rPr>
              <w:t>遇到火灾事故</w:t>
            </w:r>
            <w:r>
              <w:rPr>
                <w:rFonts w:hint="default" w:ascii="Times New Roman" w:hAnsi="Times New Roman" w:cs="Times New Roman"/>
                <w:b w:val="0"/>
                <w:bCs w:val="0"/>
                <w:color w:val="auto"/>
                <w:kern w:val="0"/>
                <w:sz w:val="24"/>
                <w:szCs w:val="24"/>
                <w:highlight w:val="none"/>
                <w:lang w:bidi="ar"/>
              </w:rPr>
              <w:t>不会发生厂区车间内部气</w:t>
            </w:r>
            <w:r>
              <w:rPr>
                <w:rFonts w:hint="eastAsia" w:ascii="Times New Roman" w:hAnsi="Times New Roman" w:cs="Times New Roman"/>
                <w:b w:val="0"/>
                <w:bCs w:val="0"/>
                <w:color w:val="auto"/>
                <w:kern w:val="0"/>
                <w:sz w:val="24"/>
                <w:szCs w:val="24"/>
                <w:highlight w:val="none"/>
                <w:lang w:val="en-US" w:eastAsia="zh-CN" w:bidi="ar"/>
              </w:rPr>
              <w:t>体</w:t>
            </w:r>
            <w:r>
              <w:rPr>
                <w:rFonts w:hint="default" w:ascii="Times New Roman" w:hAnsi="Times New Roman" w:cs="Times New Roman"/>
                <w:b w:val="0"/>
                <w:bCs w:val="0"/>
                <w:color w:val="auto"/>
                <w:kern w:val="0"/>
                <w:sz w:val="24"/>
                <w:szCs w:val="24"/>
                <w:highlight w:val="none"/>
                <w:lang w:bidi="ar"/>
              </w:rPr>
              <w:t>浓度聚积现</w:t>
            </w:r>
            <w:r>
              <w:rPr>
                <w:rFonts w:hint="default" w:ascii="Times New Roman" w:hAnsi="Times New Roman" w:eastAsia="宋体" w:cs="Times New Roman"/>
                <w:bCs/>
                <w:color w:val="auto"/>
                <w:sz w:val="24"/>
                <w:highlight w:val="none"/>
                <w:lang w:val="en-US" w:eastAsia="zh-CN"/>
              </w:rPr>
              <w:t>象，对车间、周边环境空气质量及人群的影响较小。</w:t>
            </w:r>
          </w:p>
          <w:p>
            <w:pPr>
              <w:pStyle w:val="4"/>
              <w:spacing w:line="360" w:lineRule="auto"/>
              <w:ind w:firstLine="482"/>
              <w:jc w:val="both"/>
              <w:rPr>
                <w:rFonts w:hint="default" w:ascii="Times New Roman" w:hAnsi="Times New Roman" w:eastAsia="宋体" w:cs="Times New Roman"/>
                <w:bCs/>
                <w:color w:val="auto"/>
                <w:sz w:val="24"/>
                <w:highlight w:val="none"/>
                <w:lang w:val="en-US" w:eastAsia="zh-CN"/>
              </w:rPr>
            </w:pPr>
            <w:r>
              <w:rPr>
                <w:rFonts w:hint="eastAsia" w:ascii="Times New Roman" w:hAnsi="Times New Roman" w:cs="Times New Roman"/>
                <w:bCs/>
                <w:color w:val="auto"/>
                <w:sz w:val="24"/>
                <w:highlight w:val="none"/>
                <w:lang w:val="en-US" w:eastAsia="zh-CN"/>
              </w:rPr>
              <w:t>危废</w:t>
            </w:r>
            <w:r>
              <w:rPr>
                <w:rFonts w:hint="default" w:ascii="Times New Roman" w:hAnsi="Times New Roman" w:eastAsia="宋体" w:cs="Times New Roman"/>
                <w:bCs/>
                <w:color w:val="auto"/>
                <w:sz w:val="24"/>
                <w:highlight w:val="none"/>
                <w:lang w:val="en-US" w:eastAsia="zh-CN"/>
              </w:rPr>
              <w:t>发生泄漏（容器破损或倾倒）短时间内可能会有挥发性有机物散发，若在相对密闭的室内泄漏，气体达到一定浓度可能导致呼吸困难。项目厂区</w:t>
            </w:r>
            <w:r>
              <w:rPr>
                <w:rFonts w:hint="eastAsia" w:ascii="Times New Roman" w:hAnsi="Times New Roman" w:cs="Times New Roman"/>
                <w:bCs/>
                <w:color w:val="auto"/>
                <w:sz w:val="24"/>
                <w:highlight w:val="none"/>
                <w:lang w:val="en-US" w:eastAsia="zh-CN"/>
              </w:rPr>
              <w:t>危废</w:t>
            </w:r>
            <w:r>
              <w:rPr>
                <w:rFonts w:hint="default" w:ascii="Times New Roman" w:hAnsi="Times New Roman" w:eastAsia="宋体" w:cs="Times New Roman"/>
                <w:bCs/>
                <w:color w:val="auto"/>
                <w:sz w:val="24"/>
                <w:highlight w:val="none"/>
                <w:lang w:val="en-US" w:eastAsia="zh-CN"/>
              </w:rPr>
              <w:t>储存量较小，可及时清理</w:t>
            </w:r>
            <w:r>
              <w:rPr>
                <w:rFonts w:hint="eastAsia" w:ascii="Times New Roman" w:hAnsi="Times New Roman" w:cs="Times New Roman"/>
                <w:bCs/>
                <w:color w:val="auto"/>
                <w:sz w:val="24"/>
                <w:highlight w:val="none"/>
                <w:lang w:val="en-US" w:eastAsia="zh-CN"/>
              </w:rPr>
              <w:t>泄漏</w:t>
            </w:r>
            <w:r>
              <w:rPr>
                <w:rFonts w:hint="default" w:ascii="Times New Roman" w:hAnsi="Times New Roman" w:eastAsia="宋体" w:cs="Times New Roman"/>
                <w:bCs/>
                <w:color w:val="auto"/>
                <w:sz w:val="24"/>
                <w:highlight w:val="none"/>
                <w:lang w:val="en-US" w:eastAsia="zh-CN"/>
              </w:rPr>
              <w:t>的</w:t>
            </w:r>
            <w:r>
              <w:rPr>
                <w:rFonts w:hint="eastAsia" w:ascii="Times New Roman" w:hAnsi="Times New Roman" w:cs="Times New Roman"/>
                <w:bCs/>
                <w:color w:val="auto"/>
                <w:sz w:val="24"/>
                <w:highlight w:val="none"/>
                <w:lang w:val="en-US" w:eastAsia="zh-CN"/>
              </w:rPr>
              <w:t>危废</w:t>
            </w:r>
            <w:r>
              <w:rPr>
                <w:rFonts w:hint="default" w:ascii="Times New Roman" w:hAnsi="Times New Roman" w:eastAsia="宋体" w:cs="Times New Roman"/>
                <w:bCs/>
                <w:color w:val="auto"/>
                <w:sz w:val="24"/>
                <w:highlight w:val="none"/>
                <w:lang w:val="en-US" w:eastAsia="zh-CN"/>
              </w:rPr>
              <w:t>并迅速转移至空桶中密封保存，减少有机废气挥发量，对车间工人的影响较小。</w:t>
            </w:r>
            <w:r>
              <w:rPr>
                <w:rFonts w:hint="eastAsia" w:ascii="Times New Roman" w:hAnsi="Times New Roman" w:eastAsia="宋体" w:cs="Times New Roman"/>
                <w:bCs/>
                <w:color w:val="auto"/>
                <w:sz w:val="24"/>
                <w:highlight w:val="none"/>
                <w:lang w:val="en-US" w:eastAsia="zh-CN"/>
              </w:rPr>
              <w:t>项目拟设置一间危废暂存间，危废定点存放，不受风吹、日晒、雨淋，贮存场所墙面及地面拟按危废要求设置防渗层及相应的防渗措施，厂区发生</w:t>
            </w:r>
            <w:r>
              <w:rPr>
                <w:rFonts w:hint="eastAsia" w:ascii="Times New Roman" w:hAnsi="Times New Roman" w:cs="Times New Roman"/>
                <w:bCs/>
                <w:color w:val="auto"/>
                <w:sz w:val="24"/>
                <w:highlight w:val="none"/>
                <w:lang w:val="en-US" w:eastAsia="zh-CN"/>
              </w:rPr>
              <w:t>泄漏</w:t>
            </w:r>
            <w:r>
              <w:rPr>
                <w:rFonts w:hint="eastAsia" w:ascii="Times New Roman" w:hAnsi="Times New Roman" w:eastAsia="宋体" w:cs="Times New Roman"/>
                <w:bCs/>
                <w:color w:val="auto"/>
                <w:sz w:val="24"/>
                <w:highlight w:val="none"/>
                <w:lang w:val="en-US" w:eastAsia="zh-CN"/>
              </w:rPr>
              <w:t>可在贮存点直接清理，不会影响到周边的地表水、地下水、土壤等。</w:t>
            </w:r>
          </w:p>
          <w:p>
            <w:pPr>
              <w:adjustRightInd w:val="0"/>
              <w:snapToGrid w:val="0"/>
              <w:spacing w:line="360" w:lineRule="auto"/>
              <w:ind w:firstLine="480" w:firstLineChars="200"/>
              <w:jc w:val="both"/>
              <w:rPr>
                <w:rFonts w:hint="eastAsia" w:ascii="Times New Roman" w:hAnsi="Times New Roman" w:eastAsia="宋体" w:cs="Times New Roman"/>
                <w:bCs/>
                <w:color w:val="auto"/>
                <w:kern w:val="2"/>
                <w:sz w:val="24"/>
                <w:szCs w:val="20"/>
                <w:highlight w:val="none"/>
                <w:lang w:val="en-US" w:eastAsia="zh-CN" w:bidi="ar-SA"/>
              </w:rPr>
            </w:pPr>
            <w:r>
              <w:rPr>
                <w:rFonts w:hint="eastAsia" w:ascii="Times New Roman" w:hAnsi="Times New Roman" w:eastAsia="宋体" w:cs="Times New Roman"/>
                <w:bCs/>
                <w:color w:val="auto"/>
                <w:kern w:val="2"/>
                <w:sz w:val="24"/>
                <w:szCs w:val="20"/>
                <w:highlight w:val="none"/>
                <w:lang w:val="en-US" w:eastAsia="zh-CN" w:bidi="ar-SA"/>
              </w:rPr>
              <w:t>（2）水环境风险影响分析</w:t>
            </w:r>
          </w:p>
          <w:p>
            <w:pPr>
              <w:pStyle w:val="4"/>
              <w:spacing w:line="360" w:lineRule="auto"/>
              <w:ind w:firstLine="482"/>
              <w:jc w:val="both"/>
              <w:rPr>
                <w:rFonts w:hint="default" w:ascii="Times New Roman" w:hAnsi="Times New Roman"/>
                <w:bCs/>
                <w:color w:val="auto"/>
                <w:sz w:val="24"/>
                <w:highlight w:val="none"/>
                <w:lang w:val="en-US" w:eastAsia="zh-CN"/>
              </w:rPr>
            </w:pPr>
            <w:r>
              <w:rPr>
                <w:rFonts w:hint="default" w:ascii="Times New Roman" w:hAnsi="Times New Roman"/>
                <w:bCs/>
                <w:color w:val="auto"/>
                <w:sz w:val="24"/>
                <w:highlight w:val="none"/>
                <w:lang w:val="en-US" w:eastAsia="zh-CN"/>
              </w:rPr>
              <w:t>火灾事故产生的消防事故废水水质较简单，另外，可采用消防沙袋等围堵设施厂区的出入口及雨水排放口实施围堵，消防废水可沿厂区内废水收集沟收集，对周边水环境影响</w:t>
            </w:r>
            <w:r>
              <w:rPr>
                <w:rFonts w:hint="eastAsia" w:ascii="Times New Roman" w:hAnsi="Times New Roman"/>
                <w:bCs/>
                <w:color w:val="auto"/>
                <w:sz w:val="24"/>
                <w:highlight w:val="none"/>
                <w:lang w:val="en-US" w:eastAsia="zh-CN"/>
              </w:rPr>
              <w:t>较</w:t>
            </w:r>
            <w:r>
              <w:rPr>
                <w:rFonts w:hint="default" w:ascii="Times New Roman" w:hAnsi="Times New Roman"/>
                <w:bCs/>
                <w:color w:val="auto"/>
                <w:sz w:val="24"/>
                <w:highlight w:val="none"/>
                <w:lang w:val="en-US" w:eastAsia="zh-CN"/>
              </w:rPr>
              <w:t>小</w:t>
            </w:r>
            <w:r>
              <w:rPr>
                <w:rFonts w:hint="eastAsia" w:ascii="Times New Roman" w:hAnsi="Times New Roman"/>
                <w:bCs/>
                <w:color w:val="auto"/>
                <w:sz w:val="24"/>
                <w:highlight w:val="none"/>
                <w:lang w:val="en-US" w:eastAsia="zh-CN"/>
              </w:rPr>
              <w:t>。</w:t>
            </w:r>
          </w:p>
          <w:p>
            <w:pPr>
              <w:pStyle w:val="7"/>
              <w:keepNext/>
              <w:keepLines/>
              <w:pageBreakBefore w:val="0"/>
              <w:widowControl w:val="0"/>
              <w:kinsoku/>
              <w:wordWrap/>
              <w:overflowPunct/>
              <w:topLinePunct w:val="0"/>
              <w:autoSpaceDE/>
              <w:autoSpaceDN/>
              <w:bidi w:val="0"/>
              <w:adjustRightInd w:val="0"/>
              <w:snapToGrid w:val="0"/>
              <w:spacing w:before="0" w:after="0" w:line="360" w:lineRule="auto"/>
              <w:textAlignment w:val="auto"/>
              <w:rPr>
                <w:rFonts w:hint="eastAsia"/>
                <w:bCs/>
                <w:color w:val="auto"/>
                <w:szCs w:val="24"/>
                <w:highlight w:val="none"/>
                <w:shd w:val="clear" w:color="auto" w:fill="auto"/>
              </w:rPr>
            </w:pPr>
            <w:r>
              <w:rPr>
                <w:rFonts w:hint="eastAsia" w:cs="Times New Roman"/>
                <w:b/>
                <w:bCs/>
                <w:color w:val="auto"/>
                <w:sz w:val="24"/>
                <w:highlight w:val="none"/>
                <w:lang w:val="en-US" w:eastAsia="zh-CN"/>
              </w:rPr>
              <w:t>4.4.4</w:t>
            </w:r>
            <w:r>
              <w:rPr>
                <w:rFonts w:hint="eastAsia"/>
                <w:bCs/>
                <w:color w:val="auto"/>
                <w:sz w:val="24"/>
                <w:szCs w:val="24"/>
                <w:highlight w:val="none"/>
                <w:shd w:val="clear" w:color="auto" w:fill="auto"/>
                <w:lang w:val="en-US" w:eastAsia="zh-CN"/>
              </w:rPr>
              <w:t>、环境风险防范措施</w:t>
            </w:r>
          </w:p>
          <w:p>
            <w:pPr>
              <w:spacing w:line="360" w:lineRule="auto"/>
              <w:ind w:firstLine="480" w:firstLineChars="200"/>
              <w:jc w:val="both"/>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为做到安全生产，使事故风险减小到最低限度，企业的生产管理部门应加强安全生产管理，制定完备、有效的安全防范措施，尽可能降低各项事故发生的概率。</w:t>
            </w:r>
          </w:p>
          <w:p>
            <w:pPr>
              <w:spacing w:line="360" w:lineRule="auto"/>
              <w:ind w:firstLine="480" w:firstLineChars="200"/>
              <w:jc w:val="both"/>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1</w:t>
            </w:r>
            <w:r>
              <w:rPr>
                <w:rFonts w:hint="eastAsia" w:ascii="Times New Roman" w:hAnsi="Times New Roman" w:eastAsia="宋体" w:cs="Times New Roman"/>
                <w:color w:val="auto"/>
                <w:sz w:val="24"/>
                <w:highlight w:val="none"/>
                <w:lang w:eastAsia="zh-CN"/>
              </w:rPr>
              <w:t>）化学品贮运安全防范措施</w:t>
            </w:r>
          </w:p>
          <w:p>
            <w:pPr>
              <w:spacing w:line="360" w:lineRule="auto"/>
              <w:ind w:firstLine="480" w:firstLineChars="200"/>
              <w:jc w:val="both"/>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A、化学品原料在运输到本项目厂区时，需由有相应运输资质的单位进行运输，由专人专车运输到本厂区。</w:t>
            </w:r>
          </w:p>
          <w:p>
            <w:pPr>
              <w:spacing w:line="360" w:lineRule="auto"/>
              <w:ind w:firstLine="480" w:firstLineChars="200"/>
              <w:jc w:val="both"/>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B、在装卸化学品原料过程中，操作人员应轻装轻卸，严禁摔碰、翻滚，防止包装材料破损，并禁止肩扛、背负。</w:t>
            </w:r>
          </w:p>
          <w:p>
            <w:pPr>
              <w:spacing w:line="360" w:lineRule="auto"/>
              <w:ind w:firstLine="480" w:firstLineChars="200"/>
              <w:jc w:val="both"/>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C、生产操作员工上岗前接受培训，在生产中严格按照操作规程来进行操作，避免因操作失误造成物料的泄漏。</w:t>
            </w:r>
          </w:p>
          <w:p>
            <w:pPr>
              <w:spacing w:line="360" w:lineRule="auto"/>
              <w:ind w:firstLine="480" w:firstLineChars="200"/>
              <w:jc w:val="both"/>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D、各种物料应按其相应堆存规范堆置，禁止堆叠过高，防止滚动。</w:t>
            </w:r>
          </w:p>
          <w:p>
            <w:pPr>
              <w:spacing w:line="360" w:lineRule="auto"/>
              <w:ind w:firstLine="480" w:firstLineChars="200"/>
              <w:jc w:val="both"/>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E、有毒、有害危险品物质的堆存，应建立严格的管理和规章制度，原料装卸、使用时，全过程应有人在现场监督，一旦发生事故，立即采取防范措施。</w:t>
            </w:r>
          </w:p>
          <w:p>
            <w:pPr>
              <w:spacing w:line="360" w:lineRule="auto"/>
              <w:ind w:firstLine="480" w:firstLineChars="200"/>
              <w:jc w:val="both"/>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F、应避免生产区的原料产生跑冒滴漏。</w:t>
            </w:r>
          </w:p>
          <w:p>
            <w:pPr>
              <w:spacing w:line="360" w:lineRule="auto"/>
              <w:ind w:firstLine="480" w:firstLineChars="200"/>
              <w:jc w:val="both"/>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2</w:t>
            </w:r>
            <w:r>
              <w:rPr>
                <w:rFonts w:hint="eastAsia" w:ascii="Times New Roman" w:hAnsi="Times New Roman" w:eastAsia="宋体" w:cs="Times New Roman"/>
                <w:color w:val="auto"/>
                <w:sz w:val="24"/>
                <w:highlight w:val="none"/>
                <w:lang w:eastAsia="zh-CN"/>
              </w:rPr>
              <w:t>）消防系统防范措施</w:t>
            </w:r>
          </w:p>
          <w:p>
            <w:pPr>
              <w:spacing w:line="360" w:lineRule="auto"/>
              <w:ind w:firstLine="480" w:firstLineChars="200"/>
              <w:jc w:val="both"/>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A、建立</w:t>
            </w:r>
            <w:r>
              <w:rPr>
                <w:rFonts w:hint="eastAsia" w:cs="Times New Roman"/>
                <w:color w:val="auto"/>
                <w:sz w:val="24"/>
                <w:highlight w:val="none"/>
                <w:lang w:eastAsia="zh-CN"/>
              </w:rPr>
              <w:t>火灾报警系统</w:t>
            </w:r>
            <w:r>
              <w:rPr>
                <w:rFonts w:hint="eastAsia" w:ascii="Times New Roman" w:hAnsi="Times New Roman" w:eastAsia="宋体" w:cs="Times New Roman"/>
                <w:color w:val="auto"/>
                <w:sz w:val="24"/>
                <w:highlight w:val="none"/>
                <w:lang w:eastAsia="zh-CN"/>
              </w:rPr>
              <w:t>，设置手动报警按钮，可进行火灾的手动报警。</w:t>
            </w:r>
          </w:p>
          <w:p>
            <w:pPr>
              <w:spacing w:line="360" w:lineRule="auto"/>
              <w:ind w:firstLine="480" w:firstLineChars="200"/>
              <w:jc w:val="both"/>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B、车间室内外配置一定数量手提式干粉灭火器及推车式干粉灭火器，以扑灭初期火灾及零星火灾。各建筑物室内配置一定数量的防火、防烟面具，以便火灾时人员疏散使用。</w:t>
            </w:r>
          </w:p>
          <w:p>
            <w:pPr>
              <w:spacing w:line="360" w:lineRule="auto"/>
              <w:ind w:firstLine="480" w:firstLineChars="200"/>
              <w:jc w:val="both"/>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3</w:t>
            </w:r>
            <w:r>
              <w:rPr>
                <w:rFonts w:hint="eastAsia" w:ascii="Times New Roman" w:hAnsi="Times New Roman" w:eastAsia="宋体" w:cs="Times New Roman"/>
                <w:color w:val="auto"/>
                <w:sz w:val="24"/>
                <w:highlight w:val="none"/>
                <w:lang w:eastAsia="zh-CN"/>
              </w:rPr>
              <w:t>）生产工艺及管理防范措施</w:t>
            </w:r>
          </w:p>
          <w:p>
            <w:pPr>
              <w:spacing w:line="360" w:lineRule="auto"/>
              <w:ind w:firstLine="480" w:firstLineChars="200"/>
              <w:jc w:val="both"/>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A、加强作业人员操作技能、设备使用、作业程序和应急反应等方面的教育与培训。</w:t>
            </w:r>
          </w:p>
          <w:p>
            <w:pPr>
              <w:spacing w:line="360" w:lineRule="auto"/>
              <w:ind w:firstLine="480" w:firstLineChars="200"/>
              <w:jc w:val="both"/>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B、加强设备的维护和保养，定期检测设备，保证在有效期内使用。</w:t>
            </w:r>
          </w:p>
          <w:p>
            <w:pPr>
              <w:spacing w:line="360" w:lineRule="auto"/>
              <w:ind w:firstLine="480" w:firstLineChars="200"/>
              <w:jc w:val="both"/>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C、针对危险作业区域可能发生的液体物料泄漏、火灾及中毒等重大事故，制定切实可行的应急预案，并定期进行演练。</w:t>
            </w:r>
          </w:p>
          <w:p>
            <w:pPr>
              <w:spacing w:line="360" w:lineRule="auto"/>
              <w:ind w:firstLine="480" w:firstLineChars="200"/>
              <w:jc w:val="both"/>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D、在生产过程中，员工应正确穿戴防护用品。</w:t>
            </w:r>
          </w:p>
          <w:p>
            <w:pPr>
              <w:spacing w:line="360" w:lineRule="auto"/>
              <w:ind w:firstLine="480" w:firstLineChars="200"/>
              <w:jc w:val="both"/>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E、在工艺操作中，员工需严格按照工艺操作规程进行，禁止违规操作。</w:t>
            </w:r>
          </w:p>
          <w:p>
            <w:pPr>
              <w:spacing w:line="360" w:lineRule="auto"/>
              <w:ind w:firstLine="480" w:firstLineChars="200"/>
              <w:jc w:val="both"/>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F、防止泄漏化学品或消防废水进入附近地表水体及市政管网的措施。</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4</w:t>
            </w:r>
            <w:r>
              <w:rPr>
                <w:rFonts w:hint="default" w:ascii="Times New Roman" w:hAnsi="Times New Roman" w:eastAsia="宋体" w:cs="Times New Roman"/>
                <w:color w:val="auto"/>
                <w:kern w:val="0"/>
                <w:sz w:val="24"/>
                <w:szCs w:val="24"/>
                <w:highlight w:val="none"/>
                <w:lang w:val="en-US" w:eastAsia="zh-CN" w:bidi="ar"/>
              </w:rPr>
              <w:t>）危险废物处置措施</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项目厂区内应设置有专门的危废贮存场所，危废贮存场所应按《环境保护图形标志固体废物贮存（处置）场》（GB15562.2-1995）要求设置警示标志。</w:t>
            </w:r>
            <w:r>
              <w:rPr>
                <w:rFonts w:hint="eastAsia" w:ascii="Times New Roman" w:hAnsi="Times New Roman" w:eastAsia="宋体" w:cs="Times New Roman"/>
                <w:color w:val="auto"/>
                <w:kern w:val="0"/>
                <w:sz w:val="24"/>
                <w:szCs w:val="24"/>
                <w:highlight w:val="none"/>
                <w:lang w:val="en-US" w:eastAsia="zh-CN" w:bidi="ar"/>
              </w:rPr>
              <w:t>危废用</w:t>
            </w:r>
            <w:r>
              <w:rPr>
                <w:rFonts w:hint="default" w:ascii="Times New Roman" w:hAnsi="Times New Roman" w:eastAsia="宋体" w:cs="Times New Roman"/>
                <w:color w:val="auto"/>
                <w:kern w:val="0"/>
                <w:sz w:val="24"/>
                <w:szCs w:val="24"/>
                <w:highlight w:val="none"/>
                <w:lang w:val="en-US" w:eastAsia="zh-CN" w:bidi="ar"/>
              </w:rPr>
              <w:t xml:space="preserve">固定容器盛装，贮存容器采用聚乙烯或不锈钢等材质，具有耐酸碱腐蚀；避免禁忌物混存；贮存区四周用围墙及屋顶隔离，防止雨水流入，同时采用耐腐蚀的硬化地面和基础防渗层，如地面铺设20cm厚水泥，表面铺设三层环氧树脂防腐层；贮存区设置门锁及专人管理，平时均上锁，防止不相关人员进入，管理人员必须对入库和出库的危废种类、数量造册登记，并填写交接记录，由入库人、管理人、出库人签字，防止危废流失。严格按国家相关法规标准严格处理。 </w:t>
            </w:r>
          </w:p>
          <w:p>
            <w:pPr>
              <w:pStyle w:val="95"/>
              <w:pageBreakBefore w:val="0"/>
              <w:kinsoku/>
              <w:wordWrap/>
              <w:overflowPunct/>
              <w:topLinePunct w:val="0"/>
              <w:autoSpaceDE/>
              <w:autoSpaceDN/>
              <w:bidi w:val="0"/>
              <w:adjustRightInd w:val="0"/>
              <w:snapToGrid w:val="0"/>
              <w:spacing w:before="0" w:beforeLines="0" w:after="0" w:afterLines="0" w:line="360" w:lineRule="auto"/>
              <w:textAlignment w:val="auto"/>
              <w:rPr>
                <w:color w:val="auto"/>
              </w:rPr>
            </w:pPr>
            <w:r>
              <w:rPr>
                <w:rFonts w:hint="eastAsia"/>
                <w:color w:val="auto"/>
              </w:rPr>
              <w:t>4.</w:t>
            </w:r>
            <w:r>
              <w:rPr>
                <w:rFonts w:hint="eastAsia"/>
                <w:color w:val="auto"/>
                <w:lang w:val="en-US" w:eastAsia="zh-CN"/>
              </w:rPr>
              <w:t>4.5</w:t>
            </w:r>
            <w:r>
              <w:rPr>
                <w:rFonts w:hint="eastAsia"/>
                <w:color w:val="auto"/>
              </w:rPr>
              <w:t>混凝土建筑结构环境风险分析</w:t>
            </w:r>
          </w:p>
          <w:p>
            <w:pPr>
              <w:pStyle w:val="89"/>
              <w:pageBreakBefore w:val="0"/>
              <w:kinsoku/>
              <w:wordWrap/>
              <w:overflowPunct/>
              <w:topLinePunct w:val="0"/>
              <w:autoSpaceDE/>
              <w:autoSpaceDN/>
              <w:bidi w:val="0"/>
              <w:adjustRightInd w:val="0"/>
              <w:snapToGrid w:val="0"/>
              <w:spacing w:line="360" w:lineRule="auto"/>
              <w:ind w:firstLine="480" w:firstLineChars="200"/>
              <w:textAlignment w:val="auto"/>
              <w:rPr>
                <w:color w:val="auto"/>
              </w:rPr>
            </w:pPr>
            <w:r>
              <w:rPr>
                <w:rFonts w:hint="eastAsia"/>
                <w:color w:val="auto"/>
              </w:rPr>
              <w:t>（1）压铸工序对混凝土结构影响分析</w:t>
            </w:r>
          </w:p>
          <w:p>
            <w:pPr>
              <w:pStyle w:val="89"/>
              <w:pageBreakBefore w:val="0"/>
              <w:kinsoku/>
              <w:wordWrap/>
              <w:overflowPunct/>
              <w:topLinePunct w:val="0"/>
              <w:autoSpaceDE/>
              <w:autoSpaceDN/>
              <w:bidi w:val="0"/>
              <w:adjustRightInd w:val="0"/>
              <w:snapToGrid w:val="0"/>
              <w:spacing w:line="360" w:lineRule="auto"/>
              <w:ind w:firstLine="480" w:firstLineChars="200"/>
              <w:textAlignment w:val="auto"/>
              <w:rPr>
                <w:color w:val="auto"/>
              </w:rPr>
            </w:pPr>
            <w:r>
              <w:rPr>
                <w:rFonts w:hint="eastAsia"/>
                <w:color w:val="auto"/>
              </w:rPr>
              <w:t>项目压铸机位于厂房1F，厂房为混凝土结构建筑。根据冶金工业部建筑研究院编著的《耐火混凝土》，以石灰岩、花岗岩等为</w:t>
            </w:r>
            <w:r>
              <w:rPr>
                <w:rFonts w:hint="eastAsia"/>
                <w:color w:val="auto"/>
                <w:lang w:eastAsia="zh-CN"/>
              </w:rPr>
              <w:t>骨料</w:t>
            </w:r>
            <w:r>
              <w:rPr>
                <w:rFonts w:hint="eastAsia"/>
                <w:color w:val="auto"/>
              </w:rPr>
              <w:t>的普通混凝土耐热性较差，只能用于200℃以下的温度环境，项目所租厂房使用的混凝土为普通混凝土。参考西安建筑大学高洁编制的《不同热源温度下自然通风建筑室内热环境评价方法研究》，该文以西安地区某钢铁厂房为测试对象，于2014年夏季对热轧厂房室内热环境参数进行连续测试，其中加热炉内温度可达1000℃以上，中轧区热源表面温度约为800℃左右，冷床表面温度约为650℃，包装区热源约140℃。在自然通风的情况下根据生产工艺顺序及室内热源温度选择四个热源附近工人直接暴露于热环境的地点作为测点（图4.</w:t>
            </w:r>
            <w:r>
              <w:rPr>
                <w:rFonts w:hint="eastAsia"/>
                <w:color w:val="auto"/>
                <w:lang w:val="en-US" w:eastAsia="zh-CN"/>
              </w:rPr>
              <w:t>4</w:t>
            </w:r>
            <w:r>
              <w:rPr>
                <w:rFonts w:hint="eastAsia"/>
                <w:color w:val="auto"/>
              </w:rPr>
              <w:t>-1），离地1.1m，测量结果（图4.</w:t>
            </w:r>
            <w:r>
              <w:rPr>
                <w:rFonts w:hint="eastAsia"/>
                <w:color w:val="auto"/>
                <w:lang w:val="en-US" w:eastAsia="zh-CN"/>
              </w:rPr>
              <w:t>4</w:t>
            </w:r>
            <w:r>
              <w:rPr>
                <w:rFonts w:hint="eastAsia"/>
                <w:color w:val="auto"/>
              </w:rPr>
              <w:t>-2）表明该厂房空气温度为35.4℃~37℃。垂直方向上最高气温为P3测点上方3.5m（离地4.6m）处，约为39.5℃，夏季工况测点垂直空气温度分布见图4.</w:t>
            </w:r>
            <w:r>
              <w:rPr>
                <w:rFonts w:hint="eastAsia"/>
                <w:color w:val="auto"/>
                <w:lang w:val="en-US" w:eastAsia="zh-CN"/>
              </w:rPr>
              <w:t>4</w:t>
            </w:r>
            <w:r>
              <w:rPr>
                <w:rFonts w:hint="eastAsia"/>
                <w:color w:val="auto"/>
              </w:rPr>
              <w:t>-3。</w:t>
            </w:r>
          </w:p>
          <w:p>
            <w:pPr>
              <w:pStyle w:val="89"/>
              <w:pageBreakBefore w:val="0"/>
              <w:kinsoku/>
              <w:wordWrap/>
              <w:overflowPunct/>
              <w:topLinePunct w:val="0"/>
              <w:autoSpaceDE/>
              <w:autoSpaceDN/>
              <w:bidi w:val="0"/>
              <w:adjustRightInd w:val="0"/>
              <w:snapToGrid w:val="0"/>
              <w:spacing w:line="360" w:lineRule="auto"/>
              <w:ind w:firstLine="480" w:firstLineChars="200"/>
              <w:textAlignment w:val="auto"/>
              <w:rPr>
                <w:color w:val="auto"/>
              </w:rPr>
            </w:pPr>
            <w:r>
              <w:rPr>
                <w:color w:val="auto"/>
              </w:rPr>
              <w:drawing>
                <wp:inline distT="0" distB="0" distL="114300" distR="114300">
                  <wp:extent cx="5113655" cy="1224915"/>
                  <wp:effectExtent l="0" t="0" r="10795" b="13335"/>
                  <wp:docPr id="533"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图片 117"/>
                          <pic:cNvPicPr>
                            <a:picLocks noChangeAspect="1"/>
                          </pic:cNvPicPr>
                        </pic:nvPicPr>
                        <pic:blipFill>
                          <a:blip r:embed="rId39"/>
                          <a:stretch>
                            <a:fillRect/>
                          </a:stretch>
                        </pic:blipFill>
                        <pic:spPr>
                          <a:xfrm>
                            <a:off x="0" y="0"/>
                            <a:ext cx="5113655" cy="1224915"/>
                          </a:xfrm>
                          <a:prstGeom prst="rect">
                            <a:avLst/>
                          </a:prstGeom>
                          <a:noFill/>
                          <a:ln>
                            <a:noFill/>
                          </a:ln>
                        </pic:spPr>
                      </pic:pic>
                    </a:graphicData>
                  </a:graphic>
                </wp:inline>
              </w:drawing>
            </w:r>
          </w:p>
          <w:p>
            <w:pPr>
              <w:pStyle w:val="91"/>
              <w:pageBreakBefore w:val="0"/>
              <w:kinsoku/>
              <w:wordWrap/>
              <w:overflowPunct/>
              <w:topLinePunct w:val="0"/>
              <w:autoSpaceDE/>
              <w:autoSpaceDN/>
              <w:bidi w:val="0"/>
              <w:adjustRightInd w:val="0"/>
              <w:snapToGrid w:val="0"/>
              <w:spacing w:line="360" w:lineRule="auto"/>
              <w:ind w:firstLine="482" w:firstLineChars="200"/>
              <w:textAlignment w:val="auto"/>
              <w:rPr>
                <w:color w:val="auto"/>
              </w:rPr>
            </w:pPr>
            <w:r>
              <w:rPr>
                <w:rFonts w:hint="eastAsia"/>
                <w:color w:val="auto"/>
              </w:rPr>
              <w:t>图4.</w:t>
            </w:r>
            <w:r>
              <w:rPr>
                <w:rFonts w:hint="eastAsia"/>
                <w:color w:val="auto"/>
                <w:lang w:val="en-US" w:eastAsia="zh-CN"/>
              </w:rPr>
              <w:t>4</w:t>
            </w:r>
            <w:r>
              <w:rPr>
                <w:rFonts w:hint="eastAsia"/>
                <w:color w:val="auto"/>
              </w:rPr>
              <w:t>-1 厂房热源布置及测点位置平面图（P表示测点）</w:t>
            </w:r>
          </w:p>
          <w:p>
            <w:pPr>
              <w:pStyle w:val="89"/>
              <w:pageBreakBefore w:val="0"/>
              <w:kinsoku/>
              <w:wordWrap/>
              <w:overflowPunct/>
              <w:topLinePunct w:val="0"/>
              <w:autoSpaceDE/>
              <w:autoSpaceDN/>
              <w:bidi w:val="0"/>
              <w:adjustRightInd w:val="0"/>
              <w:snapToGrid w:val="0"/>
              <w:spacing w:line="360" w:lineRule="auto"/>
              <w:ind w:left="0" w:leftChars="0" w:firstLine="0" w:firstLineChars="0"/>
              <w:textAlignment w:val="auto"/>
              <w:rPr>
                <w:color w:val="auto"/>
              </w:rPr>
            </w:pPr>
            <w:r>
              <w:rPr>
                <w:color w:val="auto"/>
              </w:rPr>
              <w:drawing>
                <wp:inline distT="0" distB="0" distL="114300" distR="114300">
                  <wp:extent cx="5172075" cy="3097530"/>
                  <wp:effectExtent l="0" t="0" r="9525" b="7620"/>
                  <wp:docPr id="534"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图片 118"/>
                          <pic:cNvPicPr>
                            <a:picLocks noChangeAspect="1"/>
                          </pic:cNvPicPr>
                        </pic:nvPicPr>
                        <pic:blipFill>
                          <a:blip r:embed="rId40"/>
                          <a:srcRect t="17252"/>
                          <a:stretch>
                            <a:fillRect/>
                          </a:stretch>
                        </pic:blipFill>
                        <pic:spPr>
                          <a:xfrm>
                            <a:off x="0" y="0"/>
                            <a:ext cx="5172075" cy="3097530"/>
                          </a:xfrm>
                          <a:prstGeom prst="rect">
                            <a:avLst/>
                          </a:prstGeom>
                          <a:noFill/>
                          <a:ln>
                            <a:noFill/>
                          </a:ln>
                        </pic:spPr>
                      </pic:pic>
                    </a:graphicData>
                  </a:graphic>
                </wp:inline>
              </w:drawing>
            </w:r>
          </w:p>
          <w:p>
            <w:pPr>
              <w:pStyle w:val="91"/>
              <w:pageBreakBefore w:val="0"/>
              <w:kinsoku/>
              <w:wordWrap/>
              <w:overflowPunct/>
              <w:topLinePunct w:val="0"/>
              <w:autoSpaceDE/>
              <w:autoSpaceDN/>
              <w:bidi w:val="0"/>
              <w:adjustRightInd w:val="0"/>
              <w:snapToGrid w:val="0"/>
              <w:spacing w:line="360" w:lineRule="auto"/>
              <w:jc w:val="center"/>
              <w:textAlignment w:val="auto"/>
              <w:rPr>
                <w:color w:val="auto"/>
              </w:rPr>
            </w:pPr>
            <w:r>
              <w:rPr>
                <w:rFonts w:hint="eastAsia"/>
                <w:color w:val="auto"/>
              </w:rPr>
              <w:t>图4.</w:t>
            </w:r>
            <w:r>
              <w:rPr>
                <w:rFonts w:hint="eastAsia"/>
                <w:color w:val="auto"/>
                <w:lang w:val="en-US" w:eastAsia="zh-CN"/>
              </w:rPr>
              <w:t>4</w:t>
            </w:r>
            <w:r>
              <w:rPr>
                <w:rFonts w:hint="eastAsia"/>
                <w:color w:val="auto"/>
              </w:rPr>
              <w:t>-2不同测点环境参数统计结果</w:t>
            </w:r>
          </w:p>
          <w:p>
            <w:pPr>
              <w:pStyle w:val="89"/>
              <w:pageBreakBefore w:val="0"/>
              <w:kinsoku/>
              <w:wordWrap/>
              <w:overflowPunct/>
              <w:topLinePunct w:val="0"/>
              <w:autoSpaceDE/>
              <w:autoSpaceDN/>
              <w:bidi w:val="0"/>
              <w:adjustRightInd w:val="0"/>
              <w:snapToGrid w:val="0"/>
              <w:spacing w:line="360" w:lineRule="auto"/>
              <w:jc w:val="both"/>
              <w:textAlignment w:val="auto"/>
              <w:rPr>
                <w:color w:val="auto"/>
              </w:rPr>
            </w:pPr>
            <w:r>
              <w:rPr>
                <w:color w:val="auto"/>
              </w:rPr>
              <w:drawing>
                <wp:inline distT="0" distB="0" distL="114300" distR="114300">
                  <wp:extent cx="4914900" cy="2162175"/>
                  <wp:effectExtent l="0" t="0" r="0" b="9525"/>
                  <wp:docPr id="535"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图片 121"/>
                          <pic:cNvPicPr>
                            <a:picLocks noChangeAspect="1"/>
                          </pic:cNvPicPr>
                        </pic:nvPicPr>
                        <pic:blipFill>
                          <a:blip r:embed="rId41"/>
                          <a:stretch>
                            <a:fillRect/>
                          </a:stretch>
                        </pic:blipFill>
                        <pic:spPr>
                          <a:xfrm>
                            <a:off x="0" y="0"/>
                            <a:ext cx="4914900" cy="2162175"/>
                          </a:xfrm>
                          <a:prstGeom prst="rect">
                            <a:avLst/>
                          </a:prstGeom>
                          <a:noFill/>
                          <a:ln>
                            <a:noFill/>
                          </a:ln>
                        </pic:spPr>
                      </pic:pic>
                    </a:graphicData>
                  </a:graphic>
                </wp:inline>
              </w:drawing>
            </w:r>
          </w:p>
          <w:p>
            <w:pPr>
              <w:pStyle w:val="89"/>
              <w:pageBreakBefore w:val="0"/>
              <w:kinsoku/>
              <w:wordWrap/>
              <w:overflowPunct/>
              <w:topLinePunct w:val="0"/>
              <w:autoSpaceDE/>
              <w:autoSpaceDN/>
              <w:bidi w:val="0"/>
              <w:adjustRightInd w:val="0"/>
              <w:snapToGrid w:val="0"/>
              <w:spacing w:line="360" w:lineRule="auto"/>
              <w:ind w:firstLine="480" w:firstLineChars="200"/>
              <w:jc w:val="both"/>
              <w:textAlignment w:val="auto"/>
              <w:rPr>
                <w:color w:val="auto"/>
              </w:rPr>
            </w:pPr>
            <w:r>
              <w:rPr>
                <w:color w:val="auto"/>
              </w:rPr>
              <w:drawing>
                <wp:inline distT="0" distB="0" distL="114300" distR="114300">
                  <wp:extent cx="4731385" cy="2223770"/>
                  <wp:effectExtent l="0" t="0" r="12065" b="5080"/>
                  <wp:docPr id="536"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图片 120"/>
                          <pic:cNvPicPr>
                            <a:picLocks noChangeAspect="1"/>
                          </pic:cNvPicPr>
                        </pic:nvPicPr>
                        <pic:blipFill>
                          <a:blip r:embed="rId42"/>
                          <a:srcRect l="-1167" b="9509"/>
                          <a:stretch>
                            <a:fillRect/>
                          </a:stretch>
                        </pic:blipFill>
                        <pic:spPr>
                          <a:xfrm>
                            <a:off x="0" y="0"/>
                            <a:ext cx="4731385" cy="2223770"/>
                          </a:xfrm>
                          <a:prstGeom prst="rect">
                            <a:avLst/>
                          </a:prstGeom>
                          <a:noFill/>
                          <a:ln>
                            <a:noFill/>
                          </a:ln>
                        </pic:spPr>
                      </pic:pic>
                    </a:graphicData>
                  </a:graphic>
                </wp:inline>
              </w:drawing>
            </w:r>
          </w:p>
          <w:p>
            <w:pPr>
              <w:pStyle w:val="91"/>
              <w:pageBreakBefore w:val="0"/>
              <w:kinsoku/>
              <w:wordWrap/>
              <w:overflowPunct/>
              <w:topLinePunct w:val="0"/>
              <w:autoSpaceDE/>
              <w:autoSpaceDN/>
              <w:bidi w:val="0"/>
              <w:adjustRightInd w:val="0"/>
              <w:snapToGrid w:val="0"/>
              <w:spacing w:line="360" w:lineRule="auto"/>
              <w:ind w:firstLine="482" w:firstLineChars="200"/>
              <w:textAlignment w:val="auto"/>
              <w:rPr>
                <w:color w:val="auto"/>
              </w:rPr>
            </w:pPr>
            <w:r>
              <w:rPr>
                <w:rFonts w:hint="eastAsia"/>
                <w:color w:val="auto"/>
              </w:rPr>
              <w:t>图4.</w:t>
            </w:r>
            <w:r>
              <w:rPr>
                <w:rFonts w:hint="eastAsia"/>
                <w:color w:val="auto"/>
                <w:lang w:val="en-US" w:eastAsia="zh-CN"/>
              </w:rPr>
              <w:t>4</w:t>
            </w:r>
            <w:r>
              <w:rPr>
                <w:rFonts w:hint="eastAsia"/>
                <w:color w:val="auto"/>
              </w:rPr>
              <w:t>-3夏季工况下测点不同高度空气温度的实值与模拟值对比</w:t>
            </w:r>
          </w:p>
          <w:p>
            <w:pPr>
              <w:pStyle w:val="89"/>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项目工序使用的压铸机最高加热炉内温度440℃，热源温度小于上述文中热轧厂热源，厂房1楼层高6m，压铸机高度1.8m，理论上在自然通风情况下项目压铸车间离地1.1m处气温不超过37℃，垂直温度气温不会超过39.5℃，因此压铸工序设置在厂房1F对混凝土建筑结构影响较小。</w:t>
            </w:r>
          </w:p>
          <w:p>
            <w:pPr>
              <w:pStyle w:val="89"/>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（2）风险防范措施</w:t>
            </w:r>
          </w:p>
          <w:p>
            <w:pPr>
              <w:pStyle w:val="89"/>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①采用工业冷风机对厂房1楼进行主动通风降温，建议控制在30℃以下，避免室温过高。</w:t>
            </w:r>
          </w:p>
          <w:p>
            <w:pPr>
              <w:pStyle w:val="89"/>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②压铸机与混凝土结构尽量保持1m安全距离。</w:t>
            </w:r>
          </w:p>
          <w:p>
            <w:pPr>
              <w:pStyle w:val="89"/>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③须定期开展房屋安全检查（如：房屋建筑出现裂缝、倾斜和不均匀沉降等），为防患于未然和房屋安全使用，应当对房屋进行常规安全检查，频次不得少于每年一次，发现房屋存在安全隐患的，应立即停产，疏散厂区内人员，同时上报属地应急管理局，并及时查明原因，进行安全鉴定，并采取有效措施解危，属地政府同意后方可复产。</w:t>
            </w:r>
          </w:p>
          <w:p>
            <w:pPr>
              <w:pStyle w:val="34"/>
              <w:pageBreakBefore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t>④承重结构5m内有压铸机应安装隔热板。</w:t>
            </w:r>
          </w:p>
          <w:p>
            <w:pPr>
              <w:pStyle w:val="7"/>
              <w:keepNext/>
              <w:keepLines/>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eastAsia"/>
                <w:bCs/>
                <w:color w:val="auto"/>
                <w:sz w:val="24"/>
                <w:szCs w:val="24"/>
                <w:shd w:val="clear" w:color="auto" w:fill="auto"/>
              </w:rPr>
            </w:pPr>
            <w:r>
              <w:rPr>
                <w:rFonts w:hint="eastAsia" w:cs="Times New Roman"/>
                <w:b/>
                <w:bCs/>
                <w:color w:val="auto"/>
                <w:sz w:val="24"/>
                <w:lang w:val="en-US" w:eastAsia="zh-CN"/>
              </w:rPr>
              <w:t>4.4.6</w:t>
            </w:r>
            <w:r>
              <w:rPr>
                <w:rFonts w:hint="eastAsia"/>
                <w:bCs/>
                <w:color w:val="auto"/>
                <w:sz w:val="24"/>
                <w:szCs w:val="24"/>
                <w:shd w:val="clear" w:color="auto" w:fill="auto"/>
                <w:lang w:val="en-US" w:eastAsia="zh-CN"/>
              </w:rPr>
              <w:t>、</w:t>
            </w:r>
            <w:r>
              <w:rPr>
                <w:rFonts w:hint="eastAsia"/>
                <w:bCs/>
                <w:color w:val="auto"/>
                <w:sz w:val="24"/>
                <w:szCs w:val="24"/>
                <w:shd w:val="clear" w:color="auto" w:fill="auto"/>
              </w:rPr>
              <w:t>环境风险分析结论</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hint="eastAsia"/>
                <w:color w:val="auto"/>
                <w:kern w:val="0"/>
                <w:sz w:val="24"/>
                <w:szCs w:val="24"/>
                <w:lang w:val="en-US" w:eastAsia="zh-CN" w:bidi="ar"/>
              </w:rPr>
            </w:pPr>
            <w:r>
              <w:rPr>
                <w:rFonts w:hint="eastAsia"/>
                <w:color w:val="auto"/>
                <w:kern w:val="0"/>
                <w:sz w:val="24"/>
                <w:szCs w:val="24"/>
                <w:lang w:bidi="ar"/>
              </w:rPr>
              <w:t>项目环境风险潜势为I，环境风险小，在严格落实各项风险防范措施后，环境风险可防可控</w:t>
            </w:r>
            <w:r>
              <w:rPr>
                <w:rFonts w:hint="eastAsia"/>
                <w:color w:val="auto"/>
                <w:kern w:val="0"/>
                <w:sz w:val="24"/>
                <w:szCs w:val="24"/>
                <w:lang w:eastAsia="zh-CN" w:bidi="ar"/>
              </w:rPr>
              <w:t>，</w:t>
            </w:r>
            <w:r>
              <w:rPr>
                <w:rFonts w:hint="eastAsia"/>
                <w:color w:val="auto"/>
                <w:kern w:val="0"/>
                <w:sz w:val="24"/>
                <w:szCs w:val="24"/>
                <w:lang w:val="en-US" w:eastAsia="zh-CN" w:bidi="ar"/>
              </w:rPr>
              <w:t>对环境影响较小。</w:t>
            </w:r>
          </w:p>
          <w:p>
            <w:pPr>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color w:val="auto"/>
                <w:sz w:val="28"/>
                <w:szCs w:val="28"/>
              </w:rPr>
            </w:pPr>
            <w:r>
              <w:rPr>
                <w:rFonts w:hint="eastAsia" w:cs="Times New Roman"/>
                <w:b/>
                <w:color w:val="auto"/>
                <w:sz w:val="28"/>
                <w:szCs w:val="28"/>
                <w:lang w:val="en-US" w:eastAsia="zh-CN"/>
              </w:rPr>
              <w:t>4.5</w:t>
            </w:r>
            <w:r>
              <w:rPr>
                <w:rFonts w:hint="default" w:ascii="Times New Roman" w:hAnsi="Times New Roman" w:cs="Times New Roman"/>
                <w:b/>
                <w:color w:val="auto"/>
                <w:sz w:val="28"/>
                <w:szCs w:val="28"/>
              </w:rPr>
              <w:t>、电磁辐射</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项目不涉及电磁辐射。</w:t>
            </w:r>
          </w:p>
          <w:p>
            <w:pPr>
              <w:spacing w:line="360" w:lineRule="auto"/>
              <w:rPr>
                <w:rFonts w:hint="default" w:ascii="Times New Roman" w:hAnsi="Times New Roman" w:cs="Times New Roman"/>
                <w:b/>
                <w:color w:val="auto"/>
                <w:sz w:val="28"/>
                <w:szCs w:val="28"/>
              </w:rPr>
            </w:pPr>
            <w:r>
              <w:rPr>
                <w:rFonts w:hint="eastAsia" w:cs="Times New Roman"/>
                <w:b/>
                <w:color w:val="auto"/>
                <w:sz w:val="28"/>
                <w:szCs w:val="28"/>
                <w:lang w:val="en-US" w:eastAsia="zh-CN"/>
              </w:rPr>
              <w:t>4.6</w:t>
            </w:r>
            <w:r>
              <w:rPr>
                <w:rFonts w:hint="default" w:ascii="Times New Roman" w:hAnsi="Times New Roman" w:cs="Times New Roman"/>
                <w:b/>
                <w:color w:val="auto"/>
                <w:sz w:val="28"/>
                <w:szCs w:val="28"/>
              </w:rPr>
              <w:t>、生态</w:t>
            </w:r>
          </w:p>
          <w:p>
            <w:pPr>
              <w:spacing w:line="360" w:lineRule="auto"/>
              <w:rPr>
                <w:rFonts w:hint="default" w:ascii="Times New Roman" w:hAnsi="Times New Roman" w:cs="Times New Roman"/>
                <w:bCs/>
                <w:color w:val="auto"/>
                <w:kern w:val="0"/>
                <w:sz w:val="24"/>
                <w:szCs w:val="22"/>
              </w:rPr>
            </w:pPr>
            <w:r>
              <w:rPr>
                <w:rFonts w:hint="default" w:ascii="Times New Roman" w:hAnsi="Times New Roman" w:cs="Times New Roman"/>
                <w:bCs/>
                <w:color w:val="auto"/>
                <w:kern w:val="0"/>
                <w:sz w:val="24"/>
                <w:szCs w:val="22"/>
              </w:rPr>
              <w:t>建设项目用地范围内不包含生态环境保护目标。</w:t>
            </w:r>
          </w:p>
          <w:p>
            <w:pPr>
              <w:spacing w:line="360" w:lineRule="auto"/>
              <w:rPr>
                <w:rFonts w:hint="default" w:ascii="Times New Roman" w:hAnsi="Times New Roman" w:cs="Times New Roman"/>
                <w:b/>
                <w:color w:val="auto"/>
                <w:sz w:val="28"/>
                <w:szCs w:val="28"/>
                <w:highlight w:val="none"/>
              </w:rPr>
            </w:pPr>
            <w:r>
              <w:rPr>
                <w:rFonts w:hint="eastAsia" w:cs="Times New Roman"/>
                <w:b/>
                <w:color w:val="auto"/>
                <w:sz w:val="28"/>
                <w:szCs w:val="28"/>
                <w:highlight w:val="none"/>
                <w:lang w:val="en-US" w:eastAsia="zh-CN"/>
              </w:rPr>
              <w:t>4.5</w:t>
            </w:r>
            <w:r>
              <w:rPr>
                <w:rFonts w:hint="default" w:ascii="Times New Roman" w:hAnsi="Times New Roman" w:cs="Times New Roman"/>
                <w:b/>
                <w:color w:val="auto"/>
                <w:sz w:val="28"/>
                <w:szCs w:val="28"/>
                <w:highlight w:val="none"/>
              </w:rPr>
              <w:t>、电磁辐射</w:t>
            </w:r>
          </w:p>
          <w:p>
            <w:pPr>
              <w:spacing w:line="360" w:lineRule="auto"/>
              <w:ind w:firstLine="48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项目不涉及电磁辐射。</w:t>
            </w:r>
          </w:p>
          <w:p>
            <w:pPr>
              <w:spacing w:line="360" w:lineRule="auto"/>
              <w:rPr>
                <w:rFonts w:hint="default" w:ascii="Times New Roman" w:hAnsi="Times New Roman" w:cs="Times New Roman"/>
                <w:b/>
                <w:color w:val="auto"/>
                <w:sz w:val="28"/>
                <w:szCs w:val="28"/>
                <w:highlight w:val="none"/>
              </w:rPr>
            </w:pPr>
            <w:r>
              <w:rPr>
                <w:rFonts w:hint="eastAsia" w:cs="Times New Roman"/>
                <w:b/>
                <w:color w:val="auto"/>
                <w:sz w:val="28"/>
                <w:szCs w:val="28"/>
                <w:highlight w:val="none"/>
                <w:lang w:val="en-US" w:eastAsia="zh-CN"/>
              </w:rPr>
              <w:t>4.6</w:t>
            </w:r>
            <w:r>
              <w:rPr>
                <w:rFonts w:hint="default" w:ascii="Times New Roman" w:hAnsi="Times New Roman" w:cs="Times New Roman"/>
                <w:b/>
                <w:color w:val="auto"/>
                <w:sz w:val="28"/>
                <w:szCs w:val="28"/>
                <w:highlight w:val="none"/>
              </w:rPr>
              <w:t>、生态</w:t>
            </w:r>
          </w:p>
          <w:p>
            <w:pPr>
              <w:pStyle w:val="7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color w:val="auto"/>
                <w:kern w:val="0"/>
                <w:sz w:val="24"/>
                <w:highlight w:val="none"/>
              </w:rPr>
            </w:pPr>
            <w:r>
              <w:rPr>
                <w:rFonts w:hint="default" w:ascii="Times New Roman" w:hAnsi="Times New Roman" w:cs="Times New Roman"/>
                <w:bCs/>
                <w:color w:val="auto"/>
                <w:kern w:val="0"/>
                <w:sz w:val="24"/>
                <w:szCs w:val="22"/>
                <w:highlight w:val="none"/>
              </w:rPr>
              <w:t>建设项目用地范围内不包含生态环境保护目标。</w:t>
            </w:r>
          </w:p>
        </w:tc>
      </w:tr>
    </w:tbl>
    <w:p>
      <w:pPr>
        <w:adjustRightInd w:val="0"/>
        <w:snapToGrid w:val="0"/>
        <w:spacing w:line="360" w:lineRule="auto"/>
        <w:rPr>
          <w:rFonts w:ascii="宋体" w:cs="宋体"/>
          <w:b/>
          <w:color w:val="auto"/>
          <w:kern w:val="0"/>
          <w:sz w:val="28"/>
          <w:szCs w:val="28"/>
          <w:highlight w:val="none"/>
        </w:rPr>
      </w:pPr>
    </w:p>
    <w:p>
      <w:pPr>
        <w:pStyle w:val="58"/>
        <w:rPr>
          <w:snapToGrid w:val="0"/>
          <w:color w:val="auto"/>
          <w:highlight w:val="none"/>
        </w:rPr>
      </w:pPr>
      <w:r>
        <w:rPr>
          <w:rFonts w:hint="eastAsia"/>
          <w:snapToGrid w:val="0"/>
          <w:color w:val="auto"/>
          <w:highlight w:val="none"/>
        </w:rPr>
        <w:t>五、</w:t>
      </w:r>
      <w:bookmarkStart w:id="3" w:name="_Hlk54167917"/>
      <w:r>
        <w:rPr>
          <w:rFonts w:hint="eastAsia"/>
          <w:snapToGrid w:val="0"/>
          <w:color w:val="auto"/>
          <w:highlight w:val="none"/>
        </w:rPr>
        <w:t>环境保护措施监督检查清单</w:t>
      </w:r>
      <w:bookmarkEnd w:id="3"/>
    </w:p>
    <w:tbl>
      <w:tblPr>
        <w:tblStyle w:val="28"/>
        <w:tblW w:w="914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5"/>
        <w:gridCol w:w="1764"/>
        <w:gridCol w:w="1095"/>
        <w:gridCol w:w="1530"/>
        <w:gridCol w:w="40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45" w:type="dxa"/>
            <w:tcBorders>
              <w:tl2br w:val="single" w:color="auto" w:sz="4" w:space="0"/>
            </w:tcBorders>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righ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内容</w:t>
            </w:r>
          </w:p>
          <w:p>
            <w:pPr>
              <w:keepNext w:val="0"/>
              <w:keepLines w:val="0"/>
              <w:pageBreakBefore w:val="0"/>
              <w:kinsoku/>
              <w:wordWrap/>
              <w:overflowPunct/>
              <w:topLinePunct w:val="0"/>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b/>
                <w:bCs/>
                <w:color w:val="auto"/>
                <w:sz w:val="24"/>
                <w:szCs w:val="24"/>
                <w:highlight w:val="none"/>
              </w:rPr>
            </w:pPr>
          </w:p>
          <w:p>
            <w:pPr>
              <w:keepNext w:val="0"/>
              <w:keepLines w:val="0"/>
              <w:pageBreakBefore w:val="0"/>
              <w:kinsoku/>
              <w:wordWrap/>
              <w:overflowPunct/>
              <w:topLinePunct w:val="0"/>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要素</w:t>
            </w:r>
          </w:p>
        </w:tc>
        <w:tc>
          <w:tcPr>
            <w:tcW w:w="1764" w:type="dxa"/>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排放口(编号、名称)/污染源</w:t>
            </w:r>
          </w:p>
        </w:tc>
        <w:tc>
          <w:tcPr>
            <w:tcW w:w="1095" w:type="dxa"/>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污染物项目</w:t>
            </w:r>
          </w:p>
        </w:tc>
        <w:tc>
          <w:tcPr>
            <w:tcW w:w="1530" w:type="dxa"/>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环境保护措施</w:t>
            </w:r>
          </w:p>
        </w:tc>
        <w:tc>
          <w:tcPr>
            <w:tcW w:w="4006" w:type="dxa"/>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45" w:type="dxa"/>
            <w:vMerge w:val="restart"/>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eastAsia="宋体"/>
                <w:color w:val="auto"/>
                <w:sz w:val="24"/>
                <w:szCs w:val="24"/>
                <w:highlight w:val="none"/>
                <w:lang w:val="en-US" w:eastAsia="zh-CN"/>
              </w:rPr>
            </w:pPr>
            <w:r>
              <w:rPr>
                <w:rFonts w:hint="eastAsia"/>
                <w:color w:val="auto"/>
                <w:sz w:val="24"/>
                <w:szCs w:val="24"/>
                <w:highlight w:val="none"/>
                <w:lang w:val="en-US" w:eastAsia="zh-CN"/>
              </w:rPr>
              <w:t>大气环境</w:t>
            </w:r>
          </w:p>
        </w:tc>
        <w:tc>
          <w:tcPr>
            <w:tcW w:w="1764" w:type="dxa"/>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熔化、浇注废气排放口</w:t>
            </w:r>
          </w:p>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kern w:val="0"/>
                <w:sz w:val="24"/>
                <w:szCs w:val="24"/>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（DA001）</w:t>
            </w:r>
          </w:p>
        </w:tc>
        <w:tc>
          <w:tcPr>
            <w:tcW w:w="1095" w:type="dxa"/>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kern w:val="0"/>
                <w:sz w:val="24"/>
                <w:szCs w:val="24"/>
                <w:highlight w:val="none"/>
                <w:vertAlign w:val="baseline"/>
                <w:lang w:val="en-US" w:eastAsia="zh-CN" w:bidi="ar"/>
              </w:rPr>
            </w:pPr>
            <w:r>
              <w:rPr>
                <w:rFonts w:hint="eastAsia" w:cs="Times New Roman"/>
                <w:b w:val="0"/>
                <w:bCs w:val="0"/>
                <w:color w:val="auto"/>
                <w:kern w:val="0"/>
                <w:sz w:val="21"/>
                <w:szCs w:val="21"/>
                <w:vertAlign w:val="baseline"/>
                <w:lang w:val="en-US" w:eastAsia="zh-CN" w:bidi="ar"/>
              </w:rPr>
              <w:t>颗粒物、</w:t>
            </w:r>
            <w:r>
              <w:rPr>
                <w:rFonts w:hint="default" w:ascii="Times New Roman" w:hAnsi="Times New Roman" w:eastAsia="宋体" w:cs="Times New Roman"/>
                <w:b w:val="0"/>
                <w:bCs w:val="0"/>
                <w:color w:val="auto"/>
                <w:kern w:val="0"/>
                <w:sz w:val="21"/>
                <w:szCs w:val="21"/>
                <w:vertAlign w:val="baseline"/>
                <w:lang w:val="en-US" w:eastAsia="zh-CN" w:bidi="ar"/>
              </w:rPr>
              <w:t>非甲烷总烃</w:t>
            </w:r>
          </w:p>
        </w:tc>
        <w:tc>
          <w:tcPr>
            <w:tcW w:w="1530" w:type="dxa"/>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auto"/>
              <w:rPr>
                <w:rFonts w:hint="eastAsia"/>
                <w:color w:val="auto"/>
                <w:kern w:val="0"/>
                <w:sz w:val="24"/>
                <w:szCs w:val="24"/>
                <w:highlight w:val="none"/>
                <w:vertAlign w:val="baseline"/>
                <w:lang w:val="en-US" w:eastAsia="zh-CN"/>
              </w:rPr>
            </w:pPr>
            <w:r>
              <w:rPr>
                <w:rFonts w:hint="eastAsia"/>
                <w:b w:val="0"/>
                <w:bCs w:val="0"/>
                <w:color w:val="auto"/>
                <w:kern w:val="0"/>
                <w:sz w:val="21"/>
                <w:szCs w:val="21"/>
                <w:highlight w:val="none"/>
                <w:vertAlign w:val="baseline"/>
                <w:lang w:val="en-US" w:eastAsia="zh-CN"/>
              </w:rPr>
              <w:t>布袋除尘器、二级活性炭吸附装置</w:t>
            </w:r>
          </w:p>
        </w:tc>
        <w:tc>
          <w:tcPr>
            <w:tcW w:w="4006" w:type="dxa"/>
            <w:noWrap w:val="0"/>
            <w:vAlign w:val="center"/>
          </w:tcPr>
          <w:p>
            <w:pPr>
              <w:pStyle w:val="34"/>
              <w:keepNext w:val="0"/>
              <w:keepLines w:val="0"/>
              <w:pageBreakBefore w:val="0"/>
              <w:kinsoku/>
              <w:wordWrap/>
              <w:overflowPunct/>
              <w:topLinePunct w:val="0"/>
              <w:bidi w:val="0"/>
              <w:adjustRightInd w:val="0"/>
              <w:snapToGrid w:val="0"/>
              <w:spacing w:after="0" w:line="240" w:lineRule="auto"/>
              <w:ind w:left="0" w:leftChars="0" w:right="0" w:rightChars="0" w:firstLine="0" w:firstLineChars="0"/>
              <w:jc w:val="center"/>
              <w:textAlignment w:val="auto"/>
              <w:rPr>
                <w:rFonts w:hint="eastAsia" w:ascii="宋体" w:hAnsi="宋体" w:cs="宋体"/>
                <w:color w:val="auto"/>
                <w:kern w:val="0"/>
                <w:sz w:val="24"/>
                <w:szCs w:val="24"/>
                <w:highlight w:val="none"/>
                <w:lang w:val="en-US" w:eastAsia="zh-CN" w:bidi="ar"/>
              </w:rPr>
            </w:pPr>
            <w:r>
              <w:rPr>
                <w:rFonts w:hint="default" w:ascii="Times New Roman" w:hAnsi="Times New Roman" w:eastAsia="宋体" w:cs="Times New Roman"/>
                <w:color w:val="auto"/>
                <w:kern w:val="0"/>
                <w:sz w:val="21"/>
                <w:szCs w:val="21"/>
                <w:lang w:val="en-US" w:eastAsia="zh-CN" w:bidi="ar"/>
              </w:rPr>
              <w:t>执行《铸造工业大气污染物排放标准》（GB39726-2020）表1标准限值</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颗粒物</w:t>
            </w:r>
            <w:r>
              <w:rPr>
                <w:rFonts w:hint="default" w:ascii="Times New Roman" w:hAnsi="Times New Roman" w:eastAsia="宋体" w:cs="Times New Roman"/>
                <w:color w:val="auto"/>
                <w:kern w:val="0"/>
                <w:sz w:val="21"/>
                <w:szCs w:val="21"/>
                <w:lang w:val="en-US" w:eastAsia="zh-CN" w:bidi="ar"/>
              </w:rPr>
              <w:t>≤30mg/m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非甲烷总烃</w:t>
            </w:r>
            <w:r>
              <w:rPr>
                <w:rFonts w:hint="default" w:ascii="Times New Roman" w:hAnsi="Times New Roman" w:eastAsia="宋体" w:cs="Times New Roman"/>
                <w:color w:val="auto"/>
                <w:kern w:val="0"/>
                <w:sz w:val="21"/>
                <w:szCs w:val="21"/>
                <w:lang w:val="en-US" w:eastAsia="zh-CN" w:bidi="ar"/>
              </w:rPr>
              <w:t>≤100mg/m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45" w:type="dxa"/>
            <w:vMerge w:val="continue"/>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color w:val="auto"/>
                <w:sz w:val="24"/>
                <w:szCs w:val="24"/>
                <w:highlight w:val="none"/>
              </w:rPr>
            </w:pPr>
          </w:p>
        </w:tc>
        <w:tc>
          <w:tcPr>
            <w:tcW w:w="1764" w:type="dxa"/>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搅砂及制芯废气排放口</w:t>
            </w:r>
          </w:p>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kern w:val="0"/>
                <w:sz w:val="24"/>
                <w:szCs w:val="24"/>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（DA00</w:t>
            </w:r>
            <w:r>
              <w:rPr>
                <w:rFonts w:hint="eastAsia" w:cs="Times New Roman"/>
                <w:b w:val="0"/>
                <w:bCs w:val="0"/>
                <w:color w:val="auto"/>
                <w:kern w:val="0"/>
                <w:sz w:val="21"/>
                <w:szCs w:val="21"/>
                <w:highlight w:val="none"/>
                <w:vertAlign w:val="baseline"/>
                <w:lang w:val="en-US" w:eastAsia="zh-CN" w:bidi="ar"/>
              </w:rPr>
              <w:t>2</w:t>
            </w:r>
            <w:r>
              <w:rPr>
                <w:rFonts w:hint="default" w:ascii="Times New Roman" w:hAnsi="Times New Roman" w:eastAsia="宋体" w:cs="Times New Roman"/>
                <w:b w:val="0"/>
                <w:bCs w:val="0"/>
                <w:color w:val="auto"/>
                <w:kern w:val="0"/>
                <w:sz w:val="21"/>
                <w:szCs w:val="21"/>
                <w:highlight w:val="none"/>
                <w:vertAlign w:val="baseline"/>
                <w:lang w:val="en-US" w:eastAsia="zh-CN" w:bidi="ar"/>
              </w:rPr>
              <w:t>）</w:t>
            </w:r>
          </w:p>
        </w:tc>
        <w:tc>
          <w:tcPr>
            <w:tcW w:w="1095" w:type="dxa"/>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kern w:val="0"/>
                <w:sz w:val="24"/>
                <w:szCs w:val="24"/>
                <w:highlight w:val="none"/>
                <w:vertAlign w:val="baseline"/>
                <w:lang w:val="en-US" w:eastAsia="zh-CN" w:bidi="ar"/>
              </w:rPr>
            </w:pPr>
            <w:r>
              <w:rPr>
                <w:rFonts w:hint="eastAsia" w:cs="Times New Roman"/>
                <w:b w:val="0"/>
                <w:bCs w:val="0"/>
                <w:color w:val="auto"/>
                <w:kern w:val="0"/>
                <w:sz w:val="21"/>
                <w:szCs w:val="21"/>
                <w:vertAlign w:val="baseline"/>
                <w:lang w:val="en-US" w:eastAsia="zh-CN" w:bidi="ar"/>
              </w:rPr>
              <w:t>颗粒物、</w:t>
            </w:r>
            <w:r>
              <w:rPr>
                <w:rFonts w:hint="default" w:ascii="Times New Roman" w:hAnsi="Times New Roman" w:eastAsia="宋体" w:cs="Times New Roman"/>
                <w:b w:val="0"/>
                <w:bCs w:val="0"/>
                <w:color w:val="auto"/>
                <w:kern w:val="0"/>
                <w:sz w:val="21"/>
                <w:szCs w:val="21"/>
                <w:vertAlign w:val="baseline"/>
                <w:lang w:val="en-US" w:eastAsia="zh-CN" w:bidi="ar"/>
              </w:rPr>
              <w:t>非甲烷总烃</w:t>
            </w:r>
          </w:p>
        </w:tc>
        <w:tc>
          <w:tcPr>
            <w:tcW w:w="1530" w:type="dxa"/>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color w:val="auto"/>
                <w:kern w:val="0"/>
                <w:sz w:val="24"/>
                <w:szCs w:val="24"/>
                <w:highlight w:val="none"/>
                <w:vertAlign w:val="baseline"/>
                <w:lang w:val="en-US" w:eastAsia="zh-CN"/>
              </w:rPr>
            </w:pPr>
            <w:r>
              <w:rPr>
                <w:rFonts w:hint="eastAsia" w:cs="Times New Roman"/>
                <w:color w:val="auto"/>
                <w:kern w:val="0"/>
                <w:sz w:val="21"/>
                <w:szCs w:val="21"/>
                <w:lang w:val="en-US" w:eastAsia="zh-CN" w:bidi="ar"/>
              </w:rPr>
              <w:t>水喷淋、二级</w:t>
            </w:r>
            <w:r>
              <w:rPr>
                <w:rFonts w:hint="default" w:ascii="Times New Roman" w:hAnsi="Times New Roman" w:eastAsia="宋体" w:cs="Times New Roman"/>
                <w:color w:val="auto"/>
                <w:kern w:val="0"/>
                <w:sz w:val="21"/>
                <w:szCs w:val="21"/>
                <w:lang w:val="en-US" w:eastAsia="zh-CN" w:bidi="ar"/>
              </w:rPr>
              <w:t>活性炭吸附</w:t>
            </w:r>
            <w:r>
              <w:rPr>
                <w:rFonts w:hint="eastAsia" w:cs="Times New Roman"/>
                <w:color w:val="auto"/>
                <w:kern w:val="0"/>
                <w:sz w:val="21"/>
                <w:szCs w:val="21"/>
                <w:lang w:val="en-US" w:eastAsia="zh-CN" w:bidi="ar"/>
              </w:rPr>
              <w:t>装置</w:t>
            </w:r>
          </w:p>
        </w:tc>
        <w:tc>
          <w:tcPr>
            <w:tcW w:w="4006" w:type="dxa"/>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ascii="宋体" w:hAnsi="宋体" w:cs="宋体"/>
                <w:color w:val="auto"/>
                <w:kern w:val="0"/>
                <w:sz w:val="24"/>
                <w:szCs w:val="24"/>
                <w:highlight w:val="none"/>
                <w:lang w:val="en-US" w:eastAsia="zh-CN" w:bidi="ar"/>
              </w:rPr>
            </w:pPr>
            <w:r>
              <w:rPr>
                <w:rFonts w:hint="default" w:ascii="Times New Roman" w:hAnsi="Times New Roman" w:eastAsia="宋体" w:cs="Times New Roman"/>
                <w:color w:val="auto"/>
                <w:kern w:val="0"/>
                <w:sz w:val="21"/>
                <w:szCs w:val="21"/>
                <w:lang w:val="en-US" w:eastAsia="zh-CN" w:bidi="ar"/>
              </w:rPr>
              <w:t>执行《铸造工业大气污染物排放标准》（GB39726-2020）表1标准限值</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颗粒物</w:t>
            </w:r>
            <w:r>
              <w:rPr>
                <w:rFonts w:hint="default" w:ascii="Times New Roman" w:hAnsi="Times New Roman" w:eastAsia="宋体" w:cs="Times New Roman"/>
                <w:color w:val="auto"/>
                <w:kern w:val="0"/>
                <w:sz w:val="21"/>
                <w:szCs w:val="21"/>
                <w:lang w:val="en-US" w:eastAsia="zh-CN" w:bidi="ar"/>
              </w:rPr>
              <w:t>≤30mg/m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非甲烷总烃</w:t>
            </w:r>
            <w:r>
              <w:rPr>
                <w:rFonts w:hint="default" w:ascii="Times New Roman" w:hAnsi="Times New Roman" w:eastAsia="宋体" w:cs="Times New Roman"/>
                <w:color w:val="auto"/>
                <w:kern w:val="0"/>
                <w:sz w:val="21"/>
                <w:szCs w:val="21"/>
                <w:lang w:val="en-US" w:eastAsia="zh-CN" w:bidi="ar"/>
              </w:rPr>
              <w:t>≤100mg/m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45" w:type="dxa"/>
            <w:vMerge w:val="continue"/>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color w:val="auto"/>
                <w:sz w:val="24"/>
                <w:szCs w:val="24"/>
                <w:highlight w:val="none"/>
              </w:rPr>
            </w:pPr>
          </w:p>
        </w:tc>
        <w:tc>
          <w:tcPr>
            <w:tcW w:w="1764" w:type="dxa"/>
            <w:noWrap w:val="0"/>
            <w:vAlign w:val="center"/>
          </w:tcPr>
          <w:p>
            <w:pPr>
              <w:pStyle w:val="2"/>
              <w:keepNext w:val="0"/>
              <w:keepLines w:val="0"/>
              <w:pageBreakBefore w:val="0"/>
              <w:numPr>
                <w:ilvl w:val="0"/>
                <w:numId w:val="0"/>
              </w:numP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落砂</w:t>
            </w:r>
            <w:r>
              <w:rPr>
                <w:rFonts w:hint="eastAsia" w:ascii="Times New Roman" w:eastAsia="宋体" w:cs="Times New Roman"/>
                <w:color w:val="auto"/>
                <w:kern w:val="0"/>
                <w:sz w:val="21"/>
                <w:szCs w:val="21"/>
                <w:lang w:val="en-US" w:eastAsia="zh-CN" w:bidi="ar"/>
              </w:rPr>
              <w:t>、压铸、锻造</w:t>
            </w:r>
            <w:r>
              <w:rPr>
                <w:rFonts w:hint="default" w:ascii="Times New Roman" w:hAnsi="Times New Roman" w:eastAsia="宋体" w:cs="Times New Roman"/>
                <w:color w:val="auto"/>
                <w:kern w:val="0"/>
                <w:sz w:val="21"/>
                <w:szCs w:val="21"/>
                <w:lang w:val="en-US" w:eastAsia="zh-CN" w:bidi="ar"/>
              </w:rPr>
              <w:t>废气</w:t>
            </w:r>
            <w:r>
              <w:rPr>
                <w:rFonts w:hint="default" w:ascii="Times New Roman" w:hAnsi="Times New Roman" w:eastAsia="宋体" w:cs="Times New Roman"/>
                <w:color w:val="auto"/>
                <w:sz w:val="21"/>
                <w:szCs w:val="21"/>
                <w:lang w:val="en-US" w:eastAsia="zh-CN"/>
              </w:rPr>
              <w:t>排放口</w:t>
            </w:r>
          </w:p>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kern w:val="0"/>
                <w:sz w:val="24"/>
                <w:szCs w:val="24"/>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（DA00</w:t>
            </w:r>
            <w:r>
              <w:rPr>
                <w:rFonts w:hint="eastAsia" w:cs="Times New Roman"/>
                <w:b w:val="0"/>
                <w:bCs w:val="0"/>
                <w:color w:val="auto"/>
                <w:kern w:val="0"/>
                <w:sz w:val="21"/>
                <w:szCs w:val="21"/>
                <w:highlight w:val="none"/>
                <w:vertAlign w:val="baseline"/>
                <w:lang w:val="en-US" w:eastAsia="zh-CN" w:bidi="ar"/>
              </w:rPr>
              <w:t>3</w:t>
            </w:r>
            <w:r>
              <w:rPr>
                <w:rFonts w:hint="default" w:ascii="Times New Roman" w:hAnsi="Times New Roman" w:eastAsia="宋体" w:cs="Times New Roman"/>
                <w:b w:val="0"/>
                <w:bCs w:val="0"/>
                <w:color w:val="auto"/>
                <w:kern w:val="0"/>
                <w:sz w:val="21"/>
                <w:szCs w:val="21"/>
                <w:highlight w:val="none"/>
                <w:vertAlign w:val="baseline"/>
                <w:lang w:val="en-US" w:eastAsia="zh-CN" w:bidi="ar"/>
              </w:rPr>
              <w:t>）</w:t>
            </w:r>
          </w:p>
        </w:tc>
        <w:tc>
          <w:tcPr>
            <w:tcW w:w="1095" w:type="dxa"/>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kern w:val="0"/>
                <w:sz w:val="24"/>
                <w:szCs w:val="24"/>
                <w:highlight w:val="none"/>
                <w:vertAlign w:val="baseline"/>
                <w:lang w:val="en-US" w:eastAsia="zh-CN" w:bidi="ar"/>
              </w:rPr>
            </w:pPr>
            <w:r>
              <w:rPr>
                <w:rFonts w:hint="eastAsia" w:cs="Times New Roman"/>
                <w:b w:val="0"/>
                <w:bCs w:val="0"/>
                <w:color w:val="auto"/>
                <w:kern w:val="0"/>
                <w:sz w:val="21"/>
                <w:szCs w:val="21"/>
                <w:vertAlign w:val="baseline"/>
                <w:lang w:val="en-US" w:eastAsia="zh-CN" w:bidi="ar"/>
              </w:rPr>
              <w:t>颗粒物</w:t>
            </w:r>
          </w:p>
        </w:tc>
        <w:tc>
          <w:tcPr>
            <w:tcW w:w="1530" w:type="dxa"/>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color w:val="auto"/>
                <w:kern w:val="0"/>
                <w:sz w:val="24"/>
                <w:szCs w:val="24"/>
                <w:highlight w:val="none"/>
                <w:vertAlign w:val="baseline"/>
                <w:lang w:val="en-US" w:eastAsia="zh-CN"/>
              </w:rPr>
            </w:pPr>
            <w:r>
              <w:rPr>
                <w:rFonts w:hint="default" w:cs="Times New Roman"/>
                <w:b w:val="0"/>
                <w:bCs w:val="0"/>
                <w:color w:val="auto"/>
                <w:kern w:val="0"/>
                <w:sz w:val="21"/>
                <w:szCs w:val="21"/>
                <w:vertAlign w:val="baseline"/>
                <w:lang w:val="en-US" w:eastAsia="zh-CN" w:bidi="ar"/>
              </w:rPr>
              <w:t>布袋除尘器</w:t>
            </w:r>
          </w:p>
        </w:tc>
        <w:tc>
          <w:tcPr>
            <w:tcW w:w="4006" w:type="dxa"/>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ascii="宋体" w:hAnsi="宋体" w:cs="宋体"/>
                <w:color w:val="auto"/>
                <w:kern w:val="0"/>
                <w:sz w:val="24"/>
                <w:szCs w:val="24"/>
                <w:highlight w:val="none"/>
                <w:lang w:val="en-US" w:eastAsia="zh-CN" w:bidi="ar"/>
              </w:rPr>
            </w:pPr>
            <w:r>
              <w:rPr>
                <w:rFonts w:hint="eastAsia" w:ascii="宋体" w:hAnsi="宋体" w:cs="宋体"/>
                <w:color w:val="auto"/>
                <w:kern w:val="0"/>
                <w:sz w:val="21"/>
                <w:szCs w:val="21"/>
                <w:lang w:val="en-US" w:eastAsia="zh-CN" w:bidi="ar"/>
              </w:rPr>
              <w:t>执行</w:t>
            </w:r>
            <w:r>
              <w:rPr>
                <w:rFonts w:hint="eastAsia" w:ascii="宋体" w:hAnsi="宋体" w:eastAsia="宋体" w:cs="宋体"/>
                <w:color w:val="auto"/>
                <w:kern w:val="0"/>
                <w:sz w:val="21"/>
                <w:szCs w:val="21"/>
                <w:lang w:val="en-US" w:eastAsia="zh-CN" w:bidi="ar"/>
              </w:rPr>
              <w:t>《铸造工业大气污染物排放标准》（</w:t>
            </w:r>
            <w:r>
              <w:rPr>
                <w:rFonts w:hint="default" w:ascii="Times New Roman" w:hAnsi="Times New Roman" w:eastAsia="宋体" w:cs="Times New Roman"/>
                <w:color w:val="auto"/>
                <w:kern w:val="0"/>
                <w:sz w:val="21"/>
                <w:szCs w:val="21"/>
                <w:lang w:val="en-US" w:eastAsia="zh-CN" w:bidi="ar"/>
              </w:rPr>
              <w:t>GB39726-2020</w:t>
            </w:r>
            <w:r>
              <w:rPr>
                <w:rFonts w:hint="eastAsia" w:ascii="宋体" w:hAnsi="宋体" w:eastAsia="宋体" w:cs="宋体"/>
                <w:color w:val="auto"/>
                <w:kern w:val="0"/>
                <w:sz w:val="21"/>
                <w:szCs w:val="21"/>
                <w:lang w:val="en-US" w:eastAsia="zh-CN" w:bidi="ar"/>
              </w:rPr>
              <w:t>）表</w:t>
            </w:r>
            <w:r>
              <w:rPr>
                <w:rFonts w:hint="default" w:ascii="Times New Roman" w:hAnsi="Times New Roman" w:eastAsia="宋体" w:cs="Times New Roman"/>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标准限值</w:t>
            </w:r>
            <w:r>
              <w:rPr>
                <w:rFonts w:hint="eastAsia"/>
                <w:color w:val="auto"/>
                <w:sz w:val="21"/>
                <w:szCs w:val="21"/>
                <w:lang w:eastAsia="zh-CN"/>
              </w:rPr>
              <w:t>（</w:t>
            </w:r>
            <w:r>
              <w:rPr>
                <w:rFonts w:hint="default" w:ascii="Times New Roman" w:hAnsi="Times New Roman" w:eastAsia="宋体" w:cs="Times New Roman"/>
                <w:color w:val="auto"/>
                <w:kern w:val="0"/>
                <w:sz w:val="21"/>
                <w:szCs w:val="21"/>
                <w:lang w:val="en-US" w:eastAsia="zh-CN" w:bidi="ar"/>
              </w:rPr>
              <w:t>≤</w:t>
            </w:r>
            <w:r>
              <w:rPr>
                <w:rFonts w:hint="eastAsia" w:cs="Times New Roman"/>
                <w:color w:val="auto"/>
                <w:kern w:val="0"/>
                <w:sz w:val="21"/>
                <w:szCs w:val="21"/>
                <w:lang w:val="en-US" w:eastAsia="zh-CN" w:bidi="ar"/>
              </w:rPr>
              <w:t>3</w:t>
            </w:r>
            <w:r>
              <w:rPr>
                <w:rFonts w:hint="default" w:ascii="Times New Roman" w:hAnsi="Times New Roman" w:eastAsia="宋体" w:cs="Times New Roman"/>
                <w:color w:val="auto"/>
                <w:kern w:val="0"/>
                <w:sz w:val="21"/>
                <w:szCs w:val="21"/>
                <w:lang w:val="en-US" w:eastAsia="zh-CN" w:bidi="ar"/>
              </w:rPr>
              <w:t>0mg/m</w:t>
            </w:r>
            <w:r>
              <w:rPr>
                <w:rFonts w:hint="default" w:ascii="Times New Roman" w:hAnsi="Times New Roman" w:eastAsia="宋体" w:cs="Times New Roman"/>
                <w:color w:val="auto"/>
                <w:kern w:val="0"/>
                <w:sz w:val="21"/>
                <w:szCs w:val="21"/>
                <w:vertAlign w:val="superscript"/>
                <w:lang w:val="en-US" w:eastAsia="zh-CN" w:bidi="ar"/>
              </w:rPr>
              <w:t>3</w:t>
            </w:r>
            <w:r>
              <w:rPr>
                <w:rFonts w:hint="eastAsia"/>
                <w:color w:val="auto"/>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45" w:type="dxa"/>
            <w:vMerge w:val="continue"/>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color w:val="auto"/>
                <w:sz w:val="24"/>
                <w:szCs w:val="24"/>
                <w:highlight w:val="none"/>
              </w:rPr>
            </w:pPr>
          </w:p>
        </w:tc>
        <w:tc>
          <w:tcPr>
            <w:tcW w:w="1764" w:type="dxa"/>
            <w:noWrap w:val="0"/>
            <w:vAlign w:val="center"/>
          </w:tcPr>
          <w:p>
            <w:pPr>
              <w:pStyle w:val="2"/>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抛光</w:t>
            </w:r>
            <w:r>
              <w:rPr>
                <w:rFonts w:hint="eastAsia" w:ascii="Times New Roman" w:eastAsia="宋体" w:cs="Times New Roman"/>
                <w:color w:val="auto"/>
                <w:sz w:val="21"/>
                <w:szCs w:val="21"/>
                <w:lang w:val="en-US" w:eastAsia="zh-CN"/>
              </w:rPr>
              <w:t>、抛丸</w:t>
            </w:r>
            <w:r>
              <w:rPr>
                <w:rFonts w:hint="default" w:ascii="Times New Roman" w:hAnsi="Times New Roman" w:eastAsia="宋体" w:cs="Times New Roman"/>
                <w:color w:val="auto"/>
                <w:sz w:val="21"/>
                <w:szCs w:val="21"/>
                <w:lang w:val="en-US" w:eastAsia="zh-CN"/>
              </w:rPr>
              <w:t>废气排放口</w:t>
            </w:r>
          </w:p>
          <w:p>
            <w:pPr>
              <w:pStyle w:val="2"/>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kern w:val="0"/>
                <w:sz w:val="24"/>
                <w:szCs w:val="24"/>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（DA00</w:t>
            </w:r>
            <w:r>
              <w:rPr>
                <w:rFonts w:hint="eastAsia" w:ascii="Times New Roman" w:eastAsia="宋体" w:cs="Times New Roman"/>
                <w:b w:val="0"/>
                <w:bCs w:val="0"/>
                <w:color w:val="auto"/>
                <w:kern w:val="0"/>
                <w:sz w:val="21"/>
                <w:szCs w:val="21"/>
                <w:highlight w:val="none"/>
                <w:vertAlign w:val="baseline"/>
                <w:lang w:val="en-US" w:eastAsia="zh-CN" w:bidi="ar"/>
              </w:rPr>
              <w:t>4</w:t>
            </w:r>
            <w:r>
              <w:rPr>
                <w:rFonts w:hint="default" w:ascii="Times New Roman" w:hAnsi="Times New Roman" w:eastAsia="宋体" w:cs="Times New Roman"/>
                <w:b w:val="0"/>
                <w:bCs w:val="0"/>
                <w:color w:val="auto"/>
                <w:kern w:val="0"/>
                <w:sz w:val="21"/>
                <w:szCs w:val="21"/>
                <w:highlight w:val="none"/>
                <w:vertAlign w:val="baseline"/>
                <w:lang w:val="en-US" w:eastAsia="zh-CN" w:bidi="ar"/>
              </w:rPr>
              <w:t>）</w:t>
            </w:r>
          </w:p>
        </w:tc>
        <w:tc>
          <w:tcPr>
            <w:tcW w:w="1095" w:type="dxa"/>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kern w:val="0"/>
                <w:sz w:val="24"/>
                <w:szCs w:val="24"/>
                <w:highlight w:val="none"/>
                <w:vertAlign w:val="baseline"/>
                <w:lang w:val="en-US" w:eastAsia="zh-CN" w:bidi="ar"/>
              </w:rPr>
            </w:pPr>
            <w:r>
              <w:rPr>
                <w:rFonts w:hint="eastAsia" w:cs="Times New Roman"/>
                <w:b w:val="0"/>
                <w:bCs w:val="0"/>
                <w:color w:val="auto"/>
                <w:kern w:val="0"/>
                <w:sz w:val="21"/>
                <w:szCs w:val="21"/>
                <w:vertAlign w:val="baseline"/>
                <w:lang w:val="en-US" w:eastAsia="zh-CN" w:bidi="ar"/>
              </w:rPr>
              <w:t>颗粒物</w:t>
            </w:r>
          </w:p>
        </w:tc>
        <w:tc>
          <w:tcPr>
            <w:tcW w:w="1530" w:type="dxa"/>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auto"/>
              <w:rPr>
                <w:rFonts w:hint="eastAsia"/>
                <w:color w:val="auto"/>
                <w:kern w:val="0"/>
                <w:sz w:val="24"/>
                <w:szCs w:val="24"/>
                <w:highlight w:val="none"/>
                <w:vertAlign w:val="baseline"/>
                <w:lang w:val="en-US" w:eastAsia="zh-CN"/>
              </w:rPr>
            </w:pPr>
            <w:r>
              <w:rPr>
                <w:rFonts w:hint="eastAsia"/>
                <w:color w:val="auto"/>
                <w:kern w:val="0"/>
                <w:sz w:val="21"/>
                <w:szCs w:val="21"/>
                <w:highlight w:val="none"/>
                <w:vertAlign w:val="baseline"/>
                <w:lang w:val="en-US" w:eastAsia="zh-CN"/>
              </w:rPr>
              <w:t>布袋除尘器</w:t>
            </w:r>
          </w:p>
        </w:tc>
        <w:tc>
          <w:tcPr>
            <w:tcW w:w="4006" w:type="dxa"/>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ascii="宋体" w:hAnsi="宋体" w:cs="宋体"/>
                <w:color w:val="auto"/>
                <w:kern w:val="0"/>
                <w:sz w:val="24"/>
                <w:szCs w:val="24"/>
                <w:highlight w:val="none"/>
                <w:lang w:val="en-US" w:eastAsia="zh-CN" w:bidi="ar"/>
              </w:rPr>
            </w:pPr>
            <w:r>
              <w:rPr>
                <w:rFonts w:hint="eastAsia" w:ascii="宋体" w:hAnsi="宋体" w:cs="宋体"/>
                <w:color w:val="auto"/>
                <w:kern w:val="0"/>
                <w:sz w:val="21"/>
                <w:szCs w:val="21"/>
                <w:lang w:val="en-US" w:eastAsia="zh-CN" w:bidi="ar"/>
              </w:rPr>
              <w:t>执行</w:t>
            </w:r>
            <w:r>
              <w:rPr>
                <w:rFonts w:hint="eastAsia" w:ascii="宋体" w:hAnsi="宋体" w:eastAsia="宋体" w:cs="宋体"/>
                <w:color w:val="auto"/>
                <w:kern w:val="0"/>
                <w:sz w:val="21"/>
                <w:szCs w:val="21"/>
                <w:lang w:val="en-US" w:eastAsia="zh-CN" w:bidi="ar"/>
              </w:rPr>
              <w:t>《铸造工业大气污染物排放标准》（</w:t>
            </w:r>
            <w:r>
              <w:rPr>
                <w:rFonts w:hint="default" w:ascii="Times New Roman" w:hAnsi="Times New Roman" w:eastAsia="宋体" w:cs="Times New Roman"/>
                <w:color w:val="auto"/>
                <w:kern w:val="0"/>
                <w:sz w:val="21"/>
                <w:szCs w:val="21"/>
                <w:lang w:val="en-US" w:eastAsia="zh-CN" w:bidi="ar"/>
              </w:rPr>
              <w:t>GB39726-2020</w:t>
            </w:r>
            <w:r>
              <w:rPr>
                <w:rFonts w:hint="eastAsia" w:ascii="宋体" w:hAnsi="宋体" w:eastAsia="宋体" w:cs="宋体"/>
                <w:color w:val="auto"/>
                <w:kern w:val="0"/>
                <w:sz w:val="21"/>
                <w:szCs w:val="21"/>
                <w:lang w:val="en-US" w:eastAsia="zh-CN" w:bidi="ar"/>
              </w:rPr>
              <w:t>）表</w:t>
            </w:r>
            <w:r>
              <w:rPr>
                <w:rFonts w:hint="default" w:ascii="Times New Roman" w:hAnsi="Times New Roman" w:eastAsia="宋体" w:cs="Times New Roman"/>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标准限值</w:t>
            </w:r>
            <w:r>
              <w:rPr>
                <w:rFonts w:hint="eastAsia"/>
                <w:color w:val="auto"/>
                <w:sz w:val="21"/>
                <w:szCs w:val="21"/>
                <w:lang w:eastAsia="zh-CN"/>
              </w:rPr>
              <w:t>（</w:t>
            </w:r>
            <w:r>
              <w:rPr>
                <w:rFonts w:hint="default" w:ascii="Times New Roman" w:hAnsi="Times New Roman" w:eastAsia="宋体" w:cs="Times New Roman"/>
                <w:color w:val="auto"/>
                <w:kern w:val="0"/>
                <w:sz w:val="21"/>
                <w:szCs w:val="21"/>
                <w:lang w:val="en-US" w:eastAsia="zh-CN" w:bidi="ar"/>
              </w:rPr>
              <w:t>≤</w:t>
            </w:r>
            <w:r>
              <w:rPr>
                <w:rFonts w:hint="eastAsia" w:cs="Times New Roman"/>
                <w:color w:val="auto"/>
                <w:kern w:val="0"/>
                <w:sz w:val="21"/>
                <w:szCs w:val="21"/>
                <w:lang w:val="en-US" w:eastAsia="zh-CN" w:bidi="ar"/>
              </w:rPr>
              <w:t>3</w:t>
            </w:r>
            <w:r>
              <w:rPr>
                <w:rFonts w:hint="default" w:ascii="Times New Roman" w:hAnsi="Times New Roman" w:eastAsia="宋体" w:cs="Times New Roman"/>
                <w:color w:val="auto"/>
                <w:kern w:val="0"/>
                <w:sz w:val="21"/>
                <w:szCs w:val="21"/>
                <w:lang w:val="en-US" w:eastAsia="zh-CN" w:bidi="ar"/>
              </w:rPr>
              <w:t>0mg/m</w:t>
            </w:r>
            <w:r>
              <w:rPr>
                <w:rFonts w:hint="default" w:ascii="Times New Roman" w:hAnsi="Times New Roman" w:eastAsia="宋体" w:cs="Times New Roman"/>
                <w:color w:val="auto"/>
                <w:kern w:val="0"/>
                <w:sz w:val="21"/>
                <w:szCs w:val="21"/>
                <w:vertAlign w:val="superscript"/>
                <w:lang w:val="en-US" w:eastAsia="zh-CN" w:bidi="ar"/>
              </w:rPr>
              <w:t>3</w:t>
            </w:r>
            <w:r>
              <w:rPr>
                <w:rFonts w:hint="eastAsia"/>
                <w:color w:val="auto"/>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45" w:type="dxa"/>
            <w:vMerge w:val="continue"/>
            <w:noWrap w:val="0"/>
            <w:vAlign w:val="center"/>
          </w:tcPr>
          <w:p>
            <w:pPr>
              <w:pStyle w:val="34"/>
              <w:rPr>
                <w:color w:val="auto"/>
                <w:highlight w:val="none"/>
              </w:rPr>
            </w:pPr>
          </w:p>
        </w:tc>
        <w:tc>
          <w:tcPr>
            <w:tcW w:w="1764" w:type="dxa"/>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注塑</w:t>
            </w:r>
            <w:r>
              <w:rPr>
                <w:rFonts w:hint="default" w:ascii="Times New Roman" w:hAnsi="Times New Roman" w:eastAsia="宋体" w:cs="Times New Roman"/>
                <w:color w:val="auto"/>
                <w:sz w:val="21"/>
                <w:szCs w:val="21"/>
                <w:highlight w:val="none"/>
                <w:lang w:val="en-US" w:eastAsia="zh-CN"/>
              </w:rPr>
              <w:t>废气排放口</w:t>
            </w:r>
            <w:r>
              <w:rPr>
                <w:rFonts w:hint="default" w:ascii="Times New Roman" w:hAnsi="Times New Roman" w:eastAsia="宋体" w:cs="Times New Roman"/>
                <w:b w:val="0"/>
                <w:bCs w:val="0"/>
                <w:color w:val="auto"/>
                <w:kern w:val="0"/>
                <w:sz w:val="21"/>
                <w:szCs w:val="21"/>
                <w:highlight w:val="none"/>
                <w:vertAlign w:val="baseline"/>
                <w:lang w:val="en-US" w:eastAsia="zh-CN" w:bidi="ar"/>
              </w:rPr>
              <w:t>（DA00</w:t>
            </w:r>
            <w:r>
              <w:rPr>
                <w:rFonts w:hint="eastAsia" w:cs="Times New Roman"/>
                <w:b w:val="0"/>
                <w:bCs w:val="0"/>
                <w:color w:val="auto"/>
                <w:kern w:val="0"/>
                <w:sz w:val="21"/>
                <w:szCs w:val="21"/>
                <w:highlight w:val="none"/>
                <w:vertAlign w:val="baseline"/>
                <w:lang w:val="en-US" w:eastAsia="zh-CN" w:bidi="ar"/>
              </w:rPr>
              <w:t>5</w:t>
            </w:r>
            <w:r>
              <w:rPr>
                <w:rFonts w:hint="default" w:ascii="Times New Roman" w:hAnsi="Times New Roman" w:eastAsia="宋体" w:cs="Times New Roman"/>
                <w:b w:val="0"/>
                <w:bCs w:val="0"/>
                <w:color w:val="auto"/>
                <w:kern w:val="0"/>
                <w:sz w:val="21"/>
                <w:szCs w:val="21"/>
                <w:highlight w:val="none"/>
                <w:vertAlign w:val="baseline"/>
                <w:lang w:val="en-US" w:eastAsia="zh-CN" w:bidi="ar"/>
              </w:rPr>
              <w:t>）</w:t>
            </w:r>
          </w:p>
        </w:tc>
        <w:tc>
          <w:tcPr>
            <w:tcW w:w="1095" w:type="dxa"/>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非甲烷总烃</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vertAlign w:val="baseline"/>
                <w:lang w:val="en-US" w:eastAsia="zh-CN"/>
              </w:rPr>
            </w:pPr>
            <w:r>
              <w:rPr>
                <w:rFonts w:hint="eastAsia" w:cs="Times New Roman"/>
                <w:color w:val="auto"/>
                <w:kern w:val="0"/>
                <w:sz w:val="21"/>
                <w:szCs w:val="21"/>
                <w:highlight w:val="none"/>
                <w:lang w:val="en-US" w:eastAsia="zh-CN"/>
              </w:rPr>
              <w:t>二级活性炭吸附装置</w:t>
            </w:r>
          </w:p>
        </w:tc>
        <w:tc>
          <w:tcPr>
            <w:tcW w:w="4006" w:type="dxa"/>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ascii="宋体" w:hAnsi="宋体" w:cs="宋体"/>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rPr>
              <w:t>执行《合成树脂工业污染物排放标准》(GB31572-2015)表4标准限值</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bidi="ar"/>
              </w:rPr>
              <w:t>≤100.0mg/m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bidi="ar"/>
              </w:rPr>
              <w:t>单位产品非甲烷总烃排放量限值执行《合成树脂工业污染物排放标准》（GB31572-2015）表4中的排放标准（≤0.5kg/t产品）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45" w:type="dxa"/>
            <w:vMerge w:val="continue"/>
            <w:noWrap w:val="0"/>
            <w:vAlign w:val="center"/>
          </w:tcPr>
          <w:p>
            <w:pPr>
              <w:pStyle w:val="34"/>
              <w:rPr>
                <w:color w:val="auto"/>
                <w:highlight w:val="none"/>
              </w:rPr>
            </w:pPr>
          </w:p>
        </w:tc>
        <w:tc>
          <w:tcPr>
            <w:tcW w:w="1764" w:type="dxa"/>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喷漆、烘干</w:t>
            </w:r>
            <w:r>
              <w:rPr>
                <w:rFonts w:hint="eastAsia" w:ascii="Times New Roman" w:hAnsi="Times New Roman" w:cs="Times New Roman"/>
                <w:color w:val="auto"/>
                <w:kern w:val="2"/>
                <w:sz w:val="21"/>
                <w:szCs w:val="21"/>
                <w:highlight w:val="none"/>
                <w:lang w:val="en-US" w:eastAsia="zh-CN" w:bidi="ar-SA"/>
              </w:rPr>
              <w:t>、</w:t>
            </w:r>
          </w:p>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压合、封边</w:t>
            </w:r>
            <w:r>
              <w:rPr>
                <w:rFonts w:hint="eastAsia" w:ascii="Times New Roman" w:hAnsi="Times New Roman" w:cs="Times New Roman"/>
                <w:color w:val="auto"/>
                <w:kern w:val="2"/>
                <w:sz w:val="21"/>
                <w:szCs w:val="21"/>
                <w:highlight w:val="none"/>
                <w:lang w:val="en-US" w:eastAsia="zh-CN" w:bidi="ar-SA"/>
              </w:rPr>
              <w:t>、</w:t>
            </w:r>
          </w:p>
          <w:p>
            <w:pPr>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开料、磨光、机加工</w:t>
            </w:r>
            <w:r>
              <w:rPr>
                <w:rFonts w:hint="default" w:ascii="Times New Roman" w:hAnsi="Times New Roman" w:eastAsia="宋体" w:cs="Times New Roman"/>
                <w:color w:val="auto"/>
                <w:kern w:val="2"/>
                <w:sz w:val="21"/>
                <w:szCs w:val="21"/>
                <w:highlight w:val="none"/>
                <w:lang w:val="en-US" w:eastAsia="zh-CN" w:bidi="ar-SA"/>
              </w:rPr>
              <w:t>废气</w:t>
            </w:r>
            <w:r>
              <w:rPr>
                <w:rFonts w:hint="default" w:ascii="Times New Roman" w:hAnsi="Times New Roman" w:eastAsia="宋体" w:cs="Times New Roman"/>
                <w:color w:val="auto"/>
                <w:sz w:val="21"/>
                <w:szCs w:val="21"/>
                <w:highlight w:val="none"/>
                <w:lang w:val="en-US" w:eastAsia="zh-CN"/>
              </w:rPr>
              <w:t>排放口</w:t>
            </w:r>
            <w:r>
              <w:rPr>
                <w:rFonts w:hint="default" w:ascii="Times New Roman" w:hAnsi="Times New Roman" w:eastAsia="宋体" w:cs="Times New Roman"/>
                <w:b w:val="0"/>
                <w:bCs w:val="0"/>
                <w:color w:val="auto"/>
                <w:kern w:val="0"/>
                <w:sz w:val="21"/>
                <w:szCs w:val="21"/>
                <w:highlight w:val="none"/>
                <w:vertAlign w:val="baseline"/>
                <w:lang w:val="en-US" w:eastAsia="zh-CN" w:bidi="ar"/>
              </w:rPr>
              <w:t>（DA00</w:t>
            </w:r>
            <w:r>
              <w:rPr>
                <w:rFonts w:hint="eastAsia" w:cs="Times New Roman"/>
                <w:b w:val="0"/>
                <w:bCs w:val="0"/>
                <w:color w:val="auto"/>
                <w:kern w:val="0"/>
                <w:sz w:val="21"/>
                <w:szCs w:val="21"/>
                <w:highlight w:val="none"/>
                <w:vertAlign w:val="baseline"/>
                <w:lang w:val="en-US" w:eastAsia="zh-CN" w:bidi="ar"/>
              </w:rPr>
              <w:t>6</w:t>
            </w:r>
            <w:r>
              <w:rPr>
                <w:rFonts w:hint="default" w:ascii="Times New Roman" w:hAnsi="Times New Roman" w:eastAsia="宋体" w:cs="Times New Roman"/>
                <w:b w:val="0"/>
                <w:bCs w:val="0"/>
                <w:color w:val="auto"/>
                <w:kern w:val="0"/>
                <w:sz w:val="21"/>
                <w:szCs w:val="21"/>
                <w:highlight w:val="none"/>
                <w:vertAlign w:val="baseline"/>
                <w:lang w:val="en-US" w:eastAsia="zh-CN" w:bidi="ar"/>
              </w:rPr>
              <w:t>）</w:t>
            </w:r>
          </w:p>
        </w:tc>
        <w:tc>
          <w:tcPr>
            <w:tcW w:w="1095" w:type="dxa"/>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漆雾、非甲烷总烃</w:t>
            </w:r>
          </w:p>
        </w:tc>
        <w:tc>
          <w:tcPr>
            <w:tcW w:w="1530" w:type="dxa"/>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auto"/>
              <w:rPr>
                <w:rFonts w:hint="default"/>
                <w:color w:val="auto"/>
                <w:kern w:val="0"/>
                <w:sz w:val="21"/>
                <w:szCs w:val="21"/>
                <w:highlight w:val="none"/>
                <w:vertAlign w:val="baseline"/>
                <w:lang w:val="en-US" w:eastAsia="zh-CN"/>
              </w:rPr>
            </w:pPr>
            <w:r>
              <w:rPr>
                <w:rFonts w:hint="eastAsia" w:ascii="Times New Roman" w:hAnsi="Times New Roman" w:eastAsia="宋体" w:cs="Times New Roman"/>
                <w:color w:val="auto"/>
                <w:kern w:val="2"/>
                <w:sz w:val="21"/>
                <w:szCs w:val="21"/>
                <w:highlight w:val="none"/>
                <w:vertAlign w:val="baseline"/>
                <w:lang w:val="en-US" w:eastAsia="zh-CN" w:bidi="ar-SA"/>
              </w:rPr>
              <w:t>水帘除漆雾</w:t>
            </w:r>
            <w:r>
              <w:rPr>
                <w:rFonts w:hint="eastAsia" w:cs="Times New Roman"/>
                <w:color w:val="auto"/>
                <w:kern w:val="2"/>
                <w:sz w:val="21"/>
                <w:szCs w:val="21"/>
                <w:highlight w:val="none"/>
                <w:vertAlign w:val="baseline"/>
                <w:lang w:val="en-US" w:eastAsia="zh-CN" w:bidi="ar-SA"/>
              </w:rPr>
              <w:t>、二级</w:t>
            </w:r>
            <w:r>
              <w:rPr>
                <w:rFonts w:hint="eastAsia" w:ascii="Times New Roman" w:hAnsi="Times New Roman" w:eastAsia="宋体" w:cs="Times New Roman"/>
                <w:color w:val="auto"/>
                <w:kern w:val="2"/>
                <w:sz w:val="21"/>
                <w:szCs w:val="21"/>
                <w:highlight w:val="none"/>
                <w:vertAlign w:val="baseline"/>
                <w:lang w:val="en-US" w:eastAsia="zh-CN" w:bidi="ar-SA"/>
              </w:rPr>
              <w:t>活性炭吸附装置</w:t>
            </w:r>
            <w:r>
              <w:rPr>
                <w:rFonts w:hint="eastAsia" w:cs="Times New Roman"/>
                <w:color w:val="auto"/>
                <w:kern w:val="2"/>
                <w:sz w:val="21"/>
                <w:szCs w:val="21"/>
                <w:highlight w:val="none"/>
                <w:vertAlign w:val="baseline"/>
                <w:lang w:val="en-US" w:eastAsia="zh-CN" w:bidi="ar-SA"/>
              </w:rPr>
              <w:t>、布袋除尘器</w:t>
            </w:r>
          </w:p>
        </w:tc>
        <w:tc>
          <w:tcPr>
            <w:tcW w:w="4006" w:type="dxa"/>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ascii="宋体" w:hAnsi="宋体" w:cs="宋体"/>
                <w:color w:val="auto"/>
                <w:kern w:val="0"/>
                <w:sz w:val="21"/>
                <w:szCs w:val="21"/>
                <w:highlight w:val="none"/>
                <w:lang w:val="en-US" w:eastAsia="zh-CN" w:bidi="ar"/>
              </w:rPr>
            </w:pPr>
            <w:r>
              <w:rPr>
                <w:rFonts w:hint="default" w:ascii="Times New Roman" w:hAnsi="Times New Roman" w:eastAsia="宋体" w:cs="Times New Roman"/>
                <w:color w:val="auto"/>
                <w:kern w:val="2"/>
                <w:sz w:val="21"/>
                <w:szCs w:val="21"/>
                <w:highlight w:val="none"/>
                <w:vertAlign w:val="baseline"/>
                <w:lang w:val="en-US" w:eastAsia="zh-CN" w:bidi="ar-SA"/>
              </w:rPr>
              <w:t>非甲烷总烃排放执行《工业涂装工序挥发性有机物排放标准》（DB35/1783-2018）表1家具制造行业标准限值（50mg/m</w:t>
            </w:r>
            <w:r>
              <w:rPr>
                <w:rFonts w:hint="default" w:ascii="Times New Roman" w:hAnsi="Times New Roman" w:eastAsia="宋体" w:cs="Times New Roman"/>
                <w:color w:val="auto"/>
                <w:kern w:val="2"/>
                <w:sz w:val="21"/>
                <w:szCs w:val="21"/>
                <w:highlight w:val="none"/>
                <w:vertAlign w:val="superscript"/>
                <w:lang w:val="en-US" w:eastAsia="zh-CN" w:bidi="ar-SA"/>
              </w:rPr>
              <w:t>3</w:t>
            </w:r>
            <w:r>
              <w:rPr>
                <w:rFonts w:hint="default" w:ascii="Times New Roman" w:hAnsi="Times New Roman" w:eastAsia="宋体" w:cs="Times New Roman"/>
                <w:color w:val="auto"/>
                <w:kern w:val="2"/>
                <w:sz w:val="21"/>
                <w:szCs w:val="21"/>
                <w:highlight w:val="none"/>
                <w:vertAlign w:val="baseline"/>
                <w:lang w:val="en-US" w:eastAsia="zh-CN" w:bidi="ar-SA"/>
              </w:rPr>
              <w:t>）</w:t>
            </w:r>
            <w:r>
              <w:rPr>
                <w:rFonts w:hint="eastAsia" w:ascii="Times New Roman" w:hAnsi="Times New Roman" w:eastAsia="宋体" w:cs="Times New Roman"/>
                <w:color w:val="auto"/>
                <w:kern w:val="2"/>
                <w:sz w:val="21"/>
                <w:szCs w:val="21"/>
                <w:highlight w:val="none"/>
                <w:vertAlign w:val="baseline"/>
                <w:lang w:val="en-US" w:eastAsia="zh-CN" w:bidi="ar-SA"/>
              </w:rPr>
              <w:t>；颗粒物排放执行</w:t>
            </w:r>
            <w:r>
              <w:rPr>
                <w:rFonts w:hint="default" w:ascii="Times New Roman" w:hAnsi="Times New Roman" w:eastAsia="宋体" w:cs="Times New Roman"/>
                <w:color w:val="auto"/>
                <w:kern w:val="2"/>
                <w:sz w:val="21"/>
                <w:szCs w:val="21"/>
                <w:highlight w:val="none"/>
                <w:vertAlign w:val="baseline"/>
                <w:lang w:val="en-US" w:eastAsia="zh-CN" w:bidi="ar-SA"/>
              </w:rPr>
              <w:t>《大气污染物综合排放标准》 (GB16297-1996)表2排放监控浓度限值（≤120mg/m</w:t>
            </w:r>
            <w:r>
              <w:rPr>
                <w:rFonts w:hint="default" w:ascii="Times New Roman" w:hAnsi="Times New Roman" w:eastAsia="宋体" w:cs="Times New Roman"/>
                <w:color w:val="auto"/>
                <w:kern w:val="2"/>
                <w:sz w:val="21"/>
                <w:szCs w:val="21"/>
                <w:highlight w:val="none"/>
                <w:vertAlign w:val="superscript"/>
                <w:lang w:val="en-US" w:eastAsia="zh-CN" w:bidi="ar-SA"/>
              </w:rPr>
              <w:t>3</w:t>
            </w:r>
            <w:r>
              <w:rPr>
                <w:rFonts w:hint="default" w:ascii="Times New Roman" w:hAnsi="Times New Roman" w:eastAsia="宋体" w:cs="Times New Roman"/>
                <w:color w:val="auto"/>
                <w:kern w:val="2"/>
                <w:sz w:val="21"/>
                <w:szCs w:val="21"/>
                <w:highlight w:val="none"/>
                <w:vertAlign w:val="baseline"/>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5" w:type="dxa"/>
            <w:vMerge w:val="continue"/>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rPr>
            </w:pPr>
          </w:p>
        </w:tc>
        <w:tc>
          <w:tcPr>
            <w:tcW w:w="1764" w:type="dxa"/>
            <w:noWrap w:val="0"/>
            <w:vAlign w:val="center"/>
          </w:tcPr>
          <w:p>
            <w:pPr>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食堂废气排放口（DA00</w:t>
            </w:r>
            <w:r>
              <w:rPr>
                <w:rFonts w:hint="eastAsia" w:cs="Times New Roman"/>
                <w:color w:val="auto"/>
                <w:sz w:val="21"/>
                <w:szCs w:val="21"/>
                <w:highlight w:val="none"/>
                <w:lang w:val="en-US" w:eastAsia="zh-CN"/>
              </w:rPr>
              <w:t>7</w:t>
            </w:r>
            <w:r>
              <w:rPr>
                <w:rFonts w:hint="eastAsia" w:ascii="Times New Roman" w:hAnsi="Times New Roman" w:eastAsia="宋体" w:cs="Times New Roman"/>
                <w:color w:val="auto"/>
                <w:sz w:val="21"/>
                <w:szCs w:val="21"/>
                <w:highlight w:val="none"/>
                <w:lang w:val="en-US" w:eastAsia="zh-CN"/>
              </w:rPr>
              <w:t>）</w:t>
            </w:r>
          </w:p>
        </w:tc>
        <w:tc>
          <w:tcPr>
            <w:tcW w:w="1095" w:type="dxa"/>
            <w:noWrap w:val="0"/>
            <w:vAlign w:val="center"/>
          </w:tcPr>
          <w:p>
            <w:pPr>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油烟</w:t>
            </w:r>
          </w:p>
        </w:tc>
        <w:tc>
          <w:tcPr>
            <w:tcW w:w="1530" w:type="dxa"/>
            <w:noWrap w:val="0"/>
            <w:vAlign w:val="center"/>
          </w:tcPr>
          <w:p>
            <w:pPr>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油烟净化机</w:t>
            </w:r>
          </w:p>
        </w:tc>
        <w:tc>
          <w:tcPr>
            <w:tcW w:w="400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《饮食业油烟排放标准（试行）》（GB18483-2001）表2限值（≤2mg/m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油烟≤2mg/m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，最低去除效率为75%）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745" w:type="dxa"/>
            <w:vMerge w:val="continue"/>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rPr>
            </w:pPr>
          </w:p>
        </w:tc>
        <w:tc>
          <w:tcPr>
            <w:tcW w:w="1764" w:type="dxa"/>
            <w:vMerge w:val="restart"/>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无组织</w:t>
            </w:r>
          </w:p>
        </w:tc>
        <w:tc>
          <w:tcPr>
            <w:tcW w:w="1095" w:type="dxa"/>
            <w:vMerge w:val="restart"/>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颗粒物</w:t>
            </w:r>
          </w:p>
        </w:tc>
        <w:tc>
          <w:tcPr>
            <w:tcW w:w="1530" w:type="dxa"/>
            <w:vMerge w:val="restart"/>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w:t>
            </w:r>
          </w:p>
        </w:tc>
        <w:tc>
          <w:tcPr>
            <w:tcW w:w="40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1"/>
                <w:szCs w:val="21"/>
                <w:highlight w:val="none"/>
                <w:lang w:val="en-US" w:eastAsia="zh-CN"/>
              </w:rPr>
              <w:t>厂界：《大气污染物综合排放标准》（GB16297-1996）表2中规定的无组织排放限值（1.0mg/m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745" w:type="dxa"/>
            <w:vMerge w:val="continue"/>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left"/>
              <w:textAlignment w:val="auto"/>
              <w:rPr>
                <w:color w:val="auto"/>
                <w:sz w:val="24"/>
                <w:szCs w:val="24"/>
                <w:highlight w:val="none"/>
              </w:rPr>
            </w:pPr>
          </w:p>
        </w:tc>
        <w:tc>
          <w:tcPr>
            <w:tcW w:w="1764" w:type="dxa"/>
            <w:vMerge w:val="continue"/>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left"/>
              <w:textAlignment w:val="auto"/>
              <w:rPr>
                <w:rFonts w:hint="eastAsia" w:ascii="Times New Roman" w:hAnsi="Times New Roman" w:eastAsia="宋体" w:cs="Times New Roman"/>
                <w:b w:val="0"/>
                <w:bCs w:val="0"/>
                <w:color w:val="auto"/>
                <w:kern w:val="0"/>
                <w:sz w:val="21"/>
                <w:szCs w:val="21"/>
                <w:highlight w:val="none"/>
                <w:vertAlign w:val="baseline"/>
                <w:lang w:val="en-US" w:eastAsia="zh-CN" w:bidi="ar"/>
              </w:rPr>
            </w:pPr>
          </w:p>
        </w:tc>
        <w:tc>
          <w:tcPr>
            <w:tcW w:w="1095" w:type="dxa"/>
            <w:vMerge w:val="continue"/>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left"/>
              <w:textAlignment w:val="auto"/>
              <w:rPr>
                <w:rFonts w:hint="eastAsia" w:ascii="Times New Roman" w:hAnsi="Times New Roman" w:eastAsia="宋体" w:cs="Times New Roman"/>
                <w:b w:val="0"/>
                <w:bCs w:val="0"/>
                <w:color w:val="auto"/>
                <w:kern w:val="0"/>
                <w:sz w:val="21"/>
                <w:szCs w:val="21"/>
                <w:highlight w:val="none"/>
                <w:vertAlign w:val="baseline"/>
                <w:lang w:val="en-US" w:eastAsia="zh-CN" w:bidi="ar"/>
              </w:rPr>
            </w:pPr>
          </w:p>
        </w:tc>
        <w:tc>
          <w:tcPr>
            <w:tcW w:w="1530" w:type="dxa"/>
            <w:vMerge w:val="continue"/>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left"/>
              <w:textAlignment w:val="auto"/>
              <w:rPr>
                <w:rFonts w:hint="eastAsia" w:ascii="Times New Roman" w:hAnsi="Times New Roman" w:eastAsia="宋体" w:cs="Times New Roman"/>
                <w:b w:val="0"/>
                <w:bCs w:val="0"/>
                <w:color w:val="auto"/>
                <w:kern w:val="0"/>
                <w:sz w:val="21"/>
                <w:szCs w:val="21"/>
                <w:highlight w:val="none"/>
                <w:vertAlign w:val="baseline"/>
                <w:lang w:val="en-US" w:eastAsia="zh-CN" w:bidi="ar"/>
              </w:rPr>
            </w:pPr>
          </w:p>
        </w:tc>
        <w:tc>
          <w:tcPr>
            <w:tcW w:w="4006" w:type="dxa"/>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厂区内：《铸造工业大气污染物排放标准》（GB39726-2020）附录A表A.1标准限值（</w:t>
            </w:r>
            <w:r>
              <w:rPr>
                <w:rFonts w:hint="default" w:ascii="Times New Roman" w:hAnsi="Times New Roman" w:cs="Times New Roman"/>
                <w:color w:val="auto"/>
                <w:kern w:val="0"/>
                <w:sz w:val="21"/>
                <w:szCs w:val="21"/>
                <w:highlight w:val="none"/>
                <w:lang w:val="en-US" w:eastAsia="zh-CN" w:bidi="ar"/>
              </w:rPr>
              <w:t>5</w:t>
            </w:r>
            <w:r>
              <w:rPr>
                <w:rFonts w:hint="default" w:ascii="Times New Roman" w:hAnsi="Times New Roman" w:eastAsia="宋体" w:cs="Times New Roman"/>
                <w:color w:val="auto"/>
                <w:kern w:val="0"/>
                <w:sz w:val="21"/>
                <w:szCs w:val="21"/>
                <w:highlight w:val="none"/>
                <w:lang w:val="en-US" w:eastAsia="zh-CN" w:bidi="ar"/>
              </w:rPr>
              <w:t>mg/m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5" w:type="dxa"/>
            <w:vMerge w:val="continue"/>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rPr>
            </w:pPr>
          </w:p>
        </w:tc>
        <w:tc>
          <w:tcPr>
            <w:tcW w:w="1764" w:type="dxa"/>
            <w:vMerge w:val="continue"/>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kern w:val="0"/>
                <w:sz w:val="21"/>
                <w:szCs w:val="21"/>
                <w:highlight w:val="none"/>
                <w:vertAlign w:val="baseline"/>
                <w:lang w:val="en-US" w:eastAsia="zh-CN" w:bidi="ar"/>
              </w:rPr>
            </w:pPr>
          </w:p>
        </w:tc>
        <w:tc>
          <w:tcPr>
            <w:tcW w:w="1095" w:type="dxa"/>
            <w:vMerge w:val="restart"/>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cs="Times New Roman"/>
                <w:b w:val="0"/>
                <w:bCs w:val="0"/>
                <w:color w:val="auto"/>
                <w:kern w:val="0"/>
                <w:sz w:val="21"/>
                <w:szCs w:val="21"/>
                <w:highlight w:val="none"/>
                <w:vertAlign w:val="baseline"/>
                <w:lang w:val="en-US" w:eastAsia="zh-CN" w:bidi="ar"/>
              </w:rPr>
            </w:pPr>
            <w:r>
              <w:rPr>
                <w:rFonts w:hint="default" w:cs="Times New Roman"/>
                <w:b w:val="0"/>
                <w:bCs w:val="0"/>
                <w:color w:val="auto"/>
                <w:kern w:val="0"/>
                <w:sz w:val="21"/>
                <w:szCs w:val="21"/>
                <w:highlight w:val="none"/>
                <w:vertAlign w:val="baseline"/>
                <w:lang w:val="en-US" w:eastAsia="zh-CN" w:bidi="ar"/>
              </w:rPr>
              <w:t>非甲烷</w:t>
            </w:r>
          </w:p>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kern w:val="0"/>
                <w:sz w:val="21"/>
                <w:szCs w:val="21"/>
                <w:highlight w:val="none"/>
                <w:vertAlign w:val="baseline"/>
                <w:lang w:val="en-US" w:eastAsia="zh-CN" w:bidi="ar"/>
              </w:rPr>
            </w:pPr>
            <w:r>
              <w:rPr>
                <w:rFonts w:hint="default" w:cs="Times New Roman"/>
                <w:b w:val="0"/>
                <w:bCs w:val="0"/>
                <w:color w:val="auto"/>
                <w:kern w:val="0"/>
                <w:sz w:val="21"/>
                <w:szCs w:val="21"/>
                <w:highlight w:val="none"/>
                <w:vertAlign w:val="baseline"/>
                <w:lang w:val="en-US" w:eastAsia="zh-CN" w:bidi="ar"/>
              </w:rPr>
              <w:t>总烃</w:t>
            </w:r>
          </w:p>
        </w:tc>
        <w:tc>
          <w:tcPr>
            <w:tcW w:w="1530" w:type="dxa"/>
            <w:vMerge w:val="restart"/>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w:t>
            </w:r>
          </w:p>
        </w:tc>
        <w:tc>
          <w:tcPr>
            <w:tcW w:w="4006" w:type="dxa"/>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厂界</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非甲烷总烃无组织监控点浓度执行《工业涂装工序挥发性有机物排放标准》（DB35/1783-2018）中表4规定的排放限值</w:t>
            </w:r>
            <w:r>
              <w:rPr>
                <w:rFonts w:hint="eastAsia" w:cs="Times New Roman"/>
                <w:color w:val="auto"/>
                <w:kern w:val="0"/>
                <w:sz w:val="21"/>
                <w:szCs w:val="21"/>
                <w:highlight w:val="none"/>
                <w:lang w:val="en-US" w:eastAsia="zh-CN" w:bidi="ar"/>
              </w:rPr>
              <w:t>（</w:t>
            </w:r>
            <w:r>
              <w:rPr>
                <w:rFonts w:hint="default" w:ascii="Arial" w:hAnsi="Arial" w:cs="Arial"/>
                <w:color w:val="auto"/>
                <w:kern w:val="0"/>
                <w:sz w:val="21"/>
                <w:szCs w:val="21"/>
                <w:highlight w:val="none"/>
                <w:lang w:val="en-US" w:eastAsia="zh-CN" w:bidi="ar"/>
              </w:rPr>
              <w:t>≤</w:t>
            </w:r>
            <w:r>
              <w:rPr>
                <w:rFonts w:hint="eastAsia" w:cs="Times New Roman"/>
                <w:color w:val="auto"/>
                <w:kern w:val="0"/>
                <w:sz w:val="21"/>
                <w:szCs w:val="21"/>
                <w:highlight w:val="none"/>
                <w:lang w:val="en-US" w:eastAsia="zh-CN" w:bidi="ar"/>
              </w:rPr>
              <w:t>2</w:t>
            </w:r>
            <w:r>
              <w:rPr>
                <w:rFonts w:hint="eastAsia" w:ascii="Times New Roman" w:hAnsi="Times New Roman" w:eastAsia="宋体" w:cs="Times New Roman"/>
                <w:color w:val="auto"/>
                <w:kern w:val="0"/>
                <w:sz w:val="21"/>
                <w:szCs w:val="21"/>
                <w:highlight w:val="none"/>
                <w:lang w:val="en-US" w:eastAsia="zh-CN" w:bidi="ar"/>
              </w:rPr>
              <w:t>.0</w:t>
            </w:r>
            <w:r>
              <w:rPr>
                <w:rFonts w:hint="default" w:ascii="Times New Roman" w:hAnsi="Times New Roman" w:eastAsia="宋体" w:cs="Times New Roman"/>
                <w:color w:val="auto"/>
                <w:kern w:val="0"/>
                <w:sz w:val="21"/>
                <w:szCs w:val="21"/>
                <w:highlight w:val="none"/>
                <w:lang w:val="en-US" w:eastAsia="zh-CN" w:bidi="ar"/>
              </w:rPr>
              <w:t>mg/m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eastAsia" w:cs="Times New Roman"/>
                <w:color w:val="auto"/>
                <w:kern w:val="0"/>
                <w:sz w:val="21"/>
                <w:szCs w:val="21"/>
                <w:highlight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5" w:type="dxa"/>
            <w:vMerge w:val="continue"/>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rPr>
            </w:pPr>
          </w:p>
        </w:tc>
        <w:tc>
          <w:tcPr>
            <w:tcW w:w="1764" w:type="dxa"/>
            <w:vMerge w:val="continue"/>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auto"/>
              <w:rPr>
                <w:rFonts w:hint="eastAsia" w:ascii="Times New Roman" w:eastAsia="宋体" w:cs="Times New Roman"/>
                <w:b w:val="0"/>
                <w:bCs w:val="0"/>
                <w:color w:val="auto"/>
                <w:kern w:val="0"/>
                <w:sz w:val="24"/>
                <w:szCs w:val="24"/>
                <w:highlight w:val="none"/>
                <w:vertAlign w:val="baseline"/>
                <w:lang w:val="en-US" w:eastAsia="zh-CN" w:bidi="ar"/>
              </w:rPr>
            </w:pPr>
          </w:p>
        </w:tc>
        <w:tc>
          <w:tcPr>
            <w:tcW w:w="1095" w:type="dxa"/>
            <w:vMerge w:val="continue"/>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cs="Times New Roman"/>
                <w:color w:val="auto"/>
                <w:kern w:val="2"/>
                <w:sz w:val="24"/>
                <w:szCs w:val="24"/>
                <w:highlight w:val="none"/>
                <w:lang w:val="en-US" w:eastAsia="zh-CN" w:bidi="ar-SA"/>
              </w:rPr>
            </w:pPr>
          </w:p>
        </w:tc>
        <w:tc>
          <w:tcPr>
            <w:tcW w:w="1530" w:type="dxa"/>
            <w:vMerge w:val="continue"/>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4"/>
                <w:szCs w:val="24"/>
                <w:highlight w:val="none"/>
                <w:lang w:val="en-US" w:eastAsia="zh-CN" w:bidi="ar"/>
              </w:rPr>
            </w:pPr>
          </w:p>
        </w:tc>
        <w:tc>
          <w:tcPr>
            <w:tcW w:w="4006" w:type="dxa"/>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0000FF"/>
                <w:kern w:val="0"/>
                <w:sz w:val="21"/>
                <w:szCs w:val="21"/>
                <w:highlight w:val="none"/>
                <w:lang w:val="en-US" w:eastAsia="zh-CN" w:bidi="ar"/>
              </w:rPr>
              <w:t>厂区内：</w:t>
            </w:r>
            <w:r>
              <w:rPr>
                <w:rFonts w:hint="default" w:ascii="Times New Roman" w:hAnsi="Times New Roman" w:eastAsia="宋体" w:cs="Times New Roman"/>
                <w:color w:val="0000FF"/>
                <w:kern w:val="0"/>
                <w:sz w:val="21"/>
                <w:szCs w:val="21"/>
                <w:lang w:val="en-US" w:eastAsia="zh-CN" w:bidi="ar"/>
              </w:rPr>
              <w:t>非甲烷总烃厂区内监控点处1h平均浓度值排放执行《工业涂装工序挥发性有机物排放标准》（DB35/1783-2018）中表3</w:t>
            </w:r>
            <w:r>
              <w:rPr>
                <w:rFonts w:hint="eastAsia" w:cs="Times New Roman"/>
                <w:color w:val="0000FF"/>
                <w:kern w:val="0"/>
                <w:sz w:val="21"/>
                <w:szCs w:val="21"/>
                <w:lang w:val="en-US" w:eastAsia="zh-CN" w:bidi="ar"/>
              </w:rPr>
              <w:t>限值</w:t>
            </w:r>
            <w:r>
              <w:rPr>
                <w:rFonts w:hint="eastAsia" w:ascii="Times New Roman" w:hAnsi="Times New Roman" w:eastAsia="宋体" w:cs="Times New Roman"/>
                <w:color w:val="0000FF"/>
                <w:sz w:val="21"/>
                <w:szCs w:val="21"/>
                <w:lang w:val="en-US" w:eastAsia="zh-CN"/>
              </w:rPr>
              <w:t>（8</w:t>
            </w:r>
            <w:r>
              <w:rPr>
                <w:rFonts w:hint="default" w:ascii="Times New Roman" w:hAnsi="Times New Roman" w:eastAsia="宋体" w:cs="Times New Roman"/>
                <w:color w:val="0000FF"/>
                <w:sz w:val="21"/>
                <w:szCs w:val="21"/>
                <w:lang w:val="en-US" w:eastAsia="zh-CN"/>
              </w:rPr>
              <w:t>mg/m</w:t>
            </w:r>
            <w:r>
              <w:rPr>
                <w:rFonts w:hint="default" w:ascii="Times New Roman" w:hAnsi="Times New Roman" w:eastAsia="宋体" w:cs="Times New Roman"/>
                <w:color w:val="0000FF"/>
                <w:sz w:val="21"/>
                <w:szCs w:val="21"/>
                <w:vertAlign w:val="superscript"/>
                <w:lang w:val="en-US" w:eastAsia="zh-CN"/>
              </w:rPr>
              <w:t>3</w:t>
            </w:r>
            <w:r>
              <w:rPr>
                <w:rFonts w:hint="eastAsia" w:ascii="Times New Roman" w:hAnsi="Times New Roman" w:eastAsia="宋体" w:cs="Times New Roman"/>
                <w:color w:val="0000FF"/>
                <w:sz w:val="21"/>
                <w:szCs w:val="21"/>
                <w:lang w:val="en-US" w:eastAsia="zh-CN"/>
              </w:rPr>
              <w:t>）</w:t>
            </w:r>
            <w:r>
              <w:rPr>
                <w:rFonts w:hint="eastAsia" w:cs="Times New Roman"/>
                <w:color w:val="0000FF"/>
                <w:kern w:val="0"/>
                <w:sz w:val="21"/>
                <w:szCs w:val="21"/>
                <w:lang w:val="en-US" w:eastAsia="zh-CN" w:bidi="ar"/>
              </w:rPr>
              <w:t>；</w:t>
            </w:r>
            <w:r>
              <w:rPr>
                <w:rFonts w:hint="default" w:ascii="Times New Roman" w:hAnsi="Times New Roman" w:eastAsia="宋体" w:cs="Times New Roman"/>
                <w:color w:val="0000FF"/>
                <w:kern w:val="0"/>
                <w:sz w:val="21"/>
                <w:szCs w:val="21"/>
                <w:lang w:val="en-US" w:eastAsia="zh-CN" w:bidi="ar"/>
              </w:rPr>
              <w:t>非甲烷总烃厂区内监控点处任意一次浓度值排放执行《铸造工业大气污染物排放标准》(GB39726-2020)附表A</w:t>
            </w:r>
            <w:r>
              <w:rPr>
                <w:rFonts w:hint="eastAsia" w:ascii="Times New Roman" w:hAnsi="Times New Roman" w:eastAsia="宋体" w:cs="Times New Roman"/>
                <w:color w:val="0000FF"/>
                <w:kern w:val="0"/>
                <w:sz w:val="21"/>
                <w:szCs w:val="21"/>
                <w:lang w:val="en-US" w:eastAsia="zh-CN" w:bidi="ar"/>
              </w:rPr>
              <w:t>.1</w:t>
            </w:r>
            <w:r>
              <w:rPr>
                <w:rFonts w:hint="default" w:ascii="Times New Roman" w:hAnsi="Times New Roman" w:eastAsia="宋体" w:cs="Times New Roman"/>
                <w:color w:val="0000FF"/>
                <w:kern w:val="0"/>
                <w:sz w:val="21"/>
                <w:szCs w:val="21"/>
                <w:lang w:val="en-US" w:eastAsia="zh-CN" w:bidi="ar"/>
              </w:rPr>
              <w:t>规定的排放限</w:t>
            </w:r>
            <w:r>
              <w:rPr>
                <w:rFonts w:hint="eastAsia" w:cs="Times New Roman"/>
                <w:color w:val="0000FF"/>
                <w:kern w:val="0"/>
                <w:sz w:val="21"/>
                <w:szCs w:val="21"/>
                <w:lang w:val="en-US" w:eastAsia="zh-CN" w:bidi="ar"/>
              </w:rPr>
              <w:t>值</w:t>
            </w:r>
            <w:r>
              <w:rPr>
                <w:rFonts w:hint="eastAsia" w:ascii="Times New Roman" w:hAnsi="Times New Roman" w:eastAsia="宋体" w:cs="Times New Roman"/>
                <w:color w:val="0000FF"/>
                <w:sz w:val="21"/>
                <w:szCs w:val="21"/>
                <w:lang w:val="en-US" w:eastAsia="zh-CN"/>
              </w:rPr>
              <w:t>（</w:t>
            </w:r>
            <w:r>
              <w:rPr>
                <w:rFonts w:hint="default" w:ascii="Times New Roman" w:hAnsi="Times New Roman" w:eastAsia="宋体" w:cs="Times New Roman"/>
                <w:color w:val="0000FF"/>
                <w:sz w:val="21"/>
                <w:szCs w:val="21"/>
              </w:rPr>
              <w:t>≤</w:t>
            </w:r>
            <w:r>
              <w:rPr>
                <w:rFonts w:hint="eastAsia" w:ascii="Times New Roman" w:hAnsi="Times New Roman" w:eastAsia="宋体" w:cs="Times New Roman"/>
                <w:color w:val="0000FF"/>
                <w:sz w:val="21"/>
                <w:szCs w:val="21"/>
                <w:lang w:val="en-US" w:eastAsia="zh-CN"/>
              </w:rPr>
              <w:t>3</w:t>
            </w:r>
            <w:r>
              <w:rPr>
                <w:rFonts w:ascii="Times New Roman" w:hAnsi="Times New Roman" w:eastAsia="宋体" w:cs="Times New Roman"/>
                <w:color w:val="0000FF"/>
                <w:sz w:val="21"/>
                <w:szCs w:val="21"/>
              </w:rPr>
              <w:t>0</w:t>
            </w:r>
            <w:r>
              <w:rPr>
                <w:rFonts w:hint="default" w:ascii="Times New Roman" w:hAnsi="Times New Roman" w:eastAsia="宋体" w:cs="Times New Roman"/>
                <w:color w:val="0000FF"/>
                <w:sz w:val="21"/>
                <w:szCs w:val="21"/>
                <w:lang w:val="en-US" w:eastAsia="zh-CN"/>
              </w:rPr>
              <w:t>mg/m</w:t>
            </w:r>
            <w:r>
              <w:rPr>
                <w:rFonts w:hint="default" w:ascii="Times New Roman" w:hAnsi="Times New Roman" w:eastAsia="宋体" w:cs="Times New Roman"/>
                <w:color w:val="0000FF"/>
                <w:sz w:val="21"/>
                <w:szCs w:val="21"/>
                <w:vertAlign w:val="superscript"/>
                <w:lang w:val="en-US" w:eastAsia="zh-CN"/>
              </w:rPr>
              <w:t>3</w:t>
            </w:r>
            <w:r>
              <w:rPr>
                <w:rFonts w:hint="eastAsia" w:ascii="Times New Roman" w:hAnsi="Times New Roman" w:eastAsia="宋体" w:cs="Times New Roman"/>
                <w:color w:val="0000FF"/>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18" w:hRule="atLeast"/>
          <w:jc w:val="center"/>
        </w:trPr>
        <w:tc>
          <w:tcPr>
            <w:tcW w:w="745" w:type="dxa"/>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地表水环境</w:t>
            </w:r>
          </w:p>
        </w:tc>
        <w:tc>
          <w:tcPr>
            <w:tcW w:w="1764" w:type="dxa"/>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outlineLvl w:val="0"/>
              <w:rPr>
                <w:rFonts w:hint="default"/>
                <w:color w:val="auto"/>
                <w:sz w:val="21"/>
                <w:szCs w:val="21"/>
                <w:highlight w:val="none"/>
              </w:rPr>
            </w:pPr>
            <w:r>
              <w:rPr>
                <w:rFonts w:hint="default"/>
                <w:color w:val="auto"/>
                <w:sz w:val="21"/>
                <w:szCs w:val="21"/>
                <w:highlight w:val="none"/>
              </w:rPr>
              <w:t>生活污水</w:t>
            </w:r>
          </w:p>
          <w:p>
            <w:pPr>
              <w:pStyle w:val="34"/>
              <w:ind w:left="0" w:leftChars="0" w:firstLine="0" w:firstLineChars="0"/>
              <w:jc w:val="center"/>
              <w:rPr>
                <w:rFonts w:hint="default" w:eastAsia="宋体"/>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(DW001)</w:t>
            </w:r>
          </w:p>
        </w:tc>
        <w:tc>
          <w:tcPr>
            <w:tcW w:w="1095" w:type="dxa"/>
            <w:noWrap w:val="0"/>
            <w:vAlign w:val="center"/>
          </w:tcPr>
          <w:p>
            <w:pPr>
              <w:pStyle w:val="10"/>
              <w:keepNext w:val="0"/>
              <w:keepLines w:val="0"/>
              <w:pageBreakBefore w:val="0"/>
              <w:kinsoku/>
              <w:wordWrap/>
              <w:overflowPunct/>
              <w:topLinePunct w:val="0"/>
              <w:bidi w:val="0"/>
              <w:adjustRightInd w:val="0"/>
              <w:snapToGrid w:val="0"/>
              <w:spacing w:before="0" w:before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废水量、</w:t>
            </w:r>
            <w:r>
              <w:rPr>
                <w:rFonts w:hint="default" w:ascii="Times New Roman" w:hAnsi="Times New Roman" w:eastAsia="宋体" w:cs="Times New Roman"/>
                <w:color w:val="auto"/>
                <w:sz w:val="21"/>
                <w:szCs w:val="21"/>
                <w:highlight w:val="none"/>
                <w:lang w:val="en-US" w:eastAsia="zh-CN"/>
              </w:rPr>
              <w:t>pH、</w:t>
            </w:r>
            <w:r>
              <w:rPr>
                <w:rFonts w:hint="default" w:ascii="Times New Roman" w:hAnsi="Times New Roman" w:eastAsia="宋体" w:cs="Times New Roman"/>
                <w:color w:val="auto"/>
                <w:sz w:val="21"/>
                <w:szCs w:val="21"/>
                <w:highlight w:val="none"/>
              </w:rPr>
              <w:t>COD、</w:t>
            </w:r>
            <w:r>
              <w:rPr>
                <w:rFonts w:hint="default" w:ascii="Times New Roman" w:hAnsi="Times New Roman" w:eastAsia="宋体" w:cs="Times New Roman"/>
                <w:bCs/>
                <w:color w:val="auto"/>
                <w:sz w:val="21"/>
                <w:szCs w:val="21"/>
                <w:highlight w:val="none"/>
              </w:rPr>
              <w:t>BOD</w:t>
            </w:r>
            <w:r>
              <w:rPr>
                <w:rFonts w:hint="default" w:ascii="Times New Roman" w:hAnsi="Times New Roman" w:eastAsia="宋体" w:cs="Times New Roman"/>
                <w:bCs/>
                <w:color w:val="auto"/>
                <w:sz w:val="21"/>
                <w:szCs w:val="21"/>
                <w:highlight w:val="none"/>
                <w:vertAlign w:val="subscript"/>
              </w:rPr>
              <w:t>5</w:t>
            </w:r>
            <w:r>
              <w:rPr>
                <w:rFonts w:hint="default" w:ascii="Times New Roman" w:hAnsi="Times New Roman" w:eastAsia="宋体" w:cs="Times New Roman"/>
                <w:bCs/>
                <w:color w:val="auto"/>
                <w:sz w:val="21"/>
                <w:szCs w:val="21"/>
                <w:highlight w:val="none"/>
              </w:rPr>
              <w:t>、</w:t>
            </w:r>
            <w:r>
              <w:rPr>
                <w:rFonts w:hint="default" w:ascii="Times New Roman" w:hAnsi="Times New Roman" w:eastAsia="宋体" w:cs="Times New Roman"/>
                <w:color w:val="auto"/>
                <w:sz w:val="21"/>
                <w:szCs w:val="21"/>
                <w:highlight w:val="none"/>
              </w:rPr>
              <w:t>SS、</w:t>
            </w:r>
            <w:r>
              <w:rPr>
                <w:rFonts w:hint="default" w:ascii="Times New Roman" w:hAnsi="Times New Roman" w:eastAsia="宋体" w:cs="Times New Roman"/>
                <w:bCs/>
                <w:color w:val="auto"/>
                <w:sz w:val="21"/>
                <w:szCs w:val="21"/>
                <w:highlight w:val="none"/>
              </w:rPr>
              <w:t>氨氮</w:t>
            </w:r>
          </w:p>
        </w:tc>
        <w:tc>
          <w:tcPr>
            <w:tcW w:w="1530" w:type="dxa"/>
            <w:noWrap w:val="0"/>
            <w:vAlign w:val="center"/>
          </w:tcPr>
          <w:p>
            <w:pPr>
              <w:pStyle w:val="10"/>
              <w:keepNext w:val="0"/>
              <w:keepLines w:val="0"/>
              <w:pageBreakBefore w:val="0"/>
              <w:kinsoku/>
              <w:wordWrap/>
              <w:overflowPunct/>
              <w:topLinePunct w:val="0"/>
              <w:bidi w:val="0"/>
              <w:adjustRightInd w:val="0"/>
              <w:snapToGrid w:val="0"/>
              <w:spacing w:before="0" w:beforeLines="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化粪池</w:t>
            </w:r>
            <w:r>
              <w:rPr>
                <w:rFonts w:hint="eastAsia" w:ascii="Times New Roman" w:hAnsi="Times New Roman" w:eastAsia="宋体" w:cs="Times New Roman"/>
                <w:bCs/>
                <w:color w:val="auto"/>
                <w:sz w:val="21"/>
                <w:szCs w:val="21"/>
                <w:highlight w:val="none"/>
                <w:lang w:eastAsia="zh-CN"/>
              </w:rPr>
              <w:t>处理后纳入南安市污水处理厂处理后排入</w:t>
            </w:r>
            <w:r>
              <w:rPr>
                <w:rFonts w:hint="eastAsia" w:ascii="Times New Roman" w:hAnsi="Times New Roman" w:eastAsia="宋体" w:cs="Times New Roman"/>
                <w:bCs/>
                <w:color w:val="auto"/>
                <w:sz w:val="21"/>
                <w:szCs w:val="21"/>
                <w:highlight w:val="none"/>
                <w:lang w:val="en-US" w:eastAsia="zh-CN"/>
              </w:rPr>
              <w:t>西溪</w:t>
            </w:r>
          </w:p>
        </w:tc>
        <w:tc>
          <w:tcPr>
            <w:tcW w:w="4006" w:type="dxa"/>
            <w:noWrap w:val="0"/>
            <w:vAlign w:val="center"/>
          </w:tcPr>
          <w:p>
            <w:pPr>
              <w:pStyle w:val="10"/>
              <w:keepNext w:val="0"/>
              <w:keepLines w:val="0"/>
              <w:pageBreakBefore w:val="0"/>
              <w:kinsoku/>
              <w:wordWrap/>
              <w:overflowPunct/>
              <w:topLinePunct w:val="0"/>
              <w:bidi w:val="0"/>
              <w:adjustRightInd w:val="0"/>
              <w:snapToGrid w:val="0"/>
              <w:spacing w:before="0" w:beforeLines="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《污水综合排放标准》（GB8978-1996）表4三级标准（</w:t>
            </w:r>
            <w:r>
              <w:rPr>
                <w:rFonts w:hint="default" w:ascii="Times New Roman" w:hAnsi="Times New Roman" w:eastAsia="宋体" w:cs="Times New Roman"/>
                <w:color w:val="auto"/>
                <w:kern w:val="0"/>
                <w:sz w:val="21"/>
                <w:szCs w:val="21"/>
                <w:highlight w:val="none"/>
                <w:lang w:val="en-US" w:eastAsia="zh-CN" w:bidi="ar"/>
              </w:rPr>
              <w:t>NH</w:t>
            </w:r>
            <w:r>
              <w:rPr>
                <w:rFonts w:hint="default" w:ascii="Times New Roman" w:hAnsi="Times New Roman" w:eastAsia="宋体" w:cs="Times New Roman"/>
                <w:color w:val="auto"/>
                <w:kern w:val="0"/>
                <w:sz w:val="21"/>
                <w:szCs w:val="21"/>
                <w:highlight w:val="none"/>
                <w:vertAlign w:val="sub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-N</w:t>
            </w:r>
            <w:r>
              <w:rPr>
                <w:rFonts w:hint="default" w:ascii="Times New Roman" w:hAnsi="Times New Roman" w:eastAsia="宋体" w:cs="Times New Roman"/>
                <w:bCs/>
                <w:color w:val="auto"/>
                <w:sz w:val="21"/>
                <w:szCs w:val="21"/>
                <w:highlight w:val="none"/>
                <w:lang w:val="en-US" w:eastAsia="zh-CN"/>
              </w:rPr>
              <w:t>参照执行《污水排入城镇下水道水质标准》（GB/T31962-2015）表1B等级标准）</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pH≤6</w:t>
            </w:r>
            <w:r>
              <w:rPr>
                <w:rFonts w:hint="default" w:ascii="Times New Roman" w:hAnsi="Times New Roman" w:eastAsia="宋体"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rPr>
              <w:t>9</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COD≤500</w:t>
            </w:r>
            <w:r>
              <w:rPr>
                <w:rFonts w:hint="eastAsia" w:ascii="Times New Roman" w:hAnsi="Times New Roman" w:eastAsia="宋体" w:cs="Times New Roman"/>
                <w:bCs/>
                <w:color w:val="auto"/>
                <w:sz w:val="21"/>
                <w:szCs w:val="21"/>
                <w:highlight w:val="none"/>
                <w:lang w:val="en-US" w:eastAsia="zh-CN"/>
              </w:rPr>
              <w:t>mg/L</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BOD</w:t>
            </w:r>
            <w:r>
              <w:rPr>
                <w:rFonts w:hint="default" w:ascii="Times New Roman" w:hAnsi="Times New Roman" w:eastAsia="宋体" w:cs="Times New Roman"/>
                <w:bCs/>
                <w:color w:val="auto"/>
                <w:sz w:val="21"/>
                <w:szCs w:val="21"/>
                <w:highlight w:val="none"/>
                <w:vertAlign w:val="subscript"/>
              </w:rPr>
              <w:t>5</w:t>
            </w:r>
            <w:r>
              <w:rPr>
                <w:rFonts w:hint="default" w:ascii="Times New Roman" w:hAnsi="Times New Roman" w:eastAsia="宋体" w:cs="Times New Roman"/>
                <w:bCs/>
                <w:color w:val="auto"/>
                <w:sz w:val="21"/>
                <w:szCs w:val="21"/>
                <w:highlight w:val="none"/>
              </w:rPr>
              <w:t>≤300</w:t>
            </w:r>
            <w:r>
              <w:rPr>
                <w:rFonts w:hint="eastAsia" w:ascii="Times New Roman" w:hAnsi="Times New Roman" w:eastAsia="宋体" w:cs="Times New Roman"/>
                <w:bCs/>
                <w:color w:val="auto"/>
                <w:sz w:val="21"/>
                <w:szCs w:val="21"/>
                <w:highlight w:val="none"/>
                <w:lang w:val="en-US" w:eastAsia="zh-CN"/>
              </w:rPr>
              <w:t>mg/L</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SS≤</w:t>
            </w:r>
            <w:r>
              <w:rPr>
                <w:rFonts w:hint="default" w:ascii="Times New Roman" w:hAnsi="Times New Roman" w:eastAsia="宋体" w:cs="Times New Roman"/>
                <w:bCs/>
                <w:color w:val="auto"/>
                <w:sz w:val="21"/>
                <w:szCs w:val="21"/>
                <w:highlight w:val="none"/>
                <w:lang w:val="en-US" w:eastAsia="zh-CN"/>
              </w:rPr>
              <w:t>4</w:t>
            </w:r>
            <w:r>
              <w:rPr>
                <w:rFonts w:hint="default" w:ascii="Times New Roman" w:hAnsi="Times New Roman" w:eastAsia="宋体" w:cs="Times New Roman"/>
                <w:bCs/>
                <w:color w:val="auto"/>
                <w:sz w:val="21"/>
                <w:szCs w:val="21"/>
                <w:highlight w:val="none"/>
              </w:rPr>
              <w:t>00</w:t>
            </w:r>
            <w:r>
              <w:rPr>
                <w:rFonts w:hint="eastAsia" w:ascii="Times New Roman" w:hAnsi="Times New Roman" w:eastAsia="宋体" w:cs="Times New Roman"/>
                <w:bCs/>
                <w:color w:val="auto"/>
                <w:sz w:val="21"/>
                <w:szCs w:val="21"/>
                <w:highlight w:val="none"/>
                <w:lang w:val="en-US" w:eastAsia="zh-CN"/>
              </w:rPr>
              <w:t>mg/L</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NH</w:t>
            </w:r>
            <w:r>
              <w:rPr>
                <w:rFonts w:hint="default" w:ascii="Times New Roman" w:hAnsi="Times New Roman" w:eastAsia="宋体" w:cs="Times New Roman"/>
                <w:bCs/>
                <w:color w:val="auto"/>
                <w:sz w:val="21"/>
                <w:szCs w:val="21"/>
                <w:highlight w:val="none"/>
                <w:vertAlign w:val="subscript"/>
              </w:rPr>
              <w:t>3</w:t>
            </w:r>
            <w:r>
              <w:rPr>
                <w:rFonts w:hint="default" w:ascii="Times New Roman" w:hAnsi="Times New Roman" w:eastAsia="宋体" w:cs="Times New Roman"/>
                <w:bCs/>
                <w:color w:val="auto"/>
                <w:sz w:val="21"/>
                <w:szCs w:val="21"/>
                <w:highlight w:val="none"/>
              </w:rPr>
              <w:t>-N≤</w:t>
            </w:r>
            <w:r>
              <w:rPr>
                <w:rFonts w:hint="default" w:ascii="Times New Roman" w:hAnsi="Times New Roman" w:eastAsia="宋体" w:cs="Times New Roman"/>
                <w:bCs/>
                <w:color w:val="auto"/>
                <w:sz w:val="21"/>
                <w:szCs w:val="21"/>
                <w:highlight w:val="none"/>
                <w:lang w:val="en-US" w:eastAsia="zh-CN"/>
              </w:rPr>
              <w:t>45</w:t>
            </w:r>
            <w:r>
              <w:rPr>
                <w:rFonts w:hint="eastAsia" w:ascii="Times New Roman" w:hAnsi="Times New Roman" w:eastAsia="宋体" w:cs="Times New Roman"/>
                <w:bCs/>
                <w:color w:val="auto"/>
                <w:sz w:val="21"/>
                <w:szCs w:val="21"/>
                <w:highlight w:val="none"/>
                <w:lang w:val="en-US" w:eastAsia="zh-CN"/>
              </w:rPr>
              <w:t>mg/L</w:t>
            </w:r>
            <w:r>
              <w:rPr>
                <w:rFonts w:hint="default" w:ascii="Times New Roman" w:hAnsi="Times New Roman" w:eastAsia="宋体" w:cs="Times New Roman"/>
                <w:bCs/>
                <w:color w:val="auto"/>
                <w:sz w:val="21"/>
                <w:szCs w:val="21"/>
                <w:highlight w:val="none"/>
                <w:lang w:eastAsia="zh-CN"/>
              </w:rPr>
              <w:t>、</w:t>
            </w:r>
            <w:r>
              <w:rPr>
                <w:rFonts w:hint="eastAsia" w:ascii="Times New Roman" w:hAnsi="Times New Roman" w:eastAsia="宋体" w:cs="Times New Roman"/>
                <w:bCs/>
                <w:color w:val="auto"/>
                <w:sz w:val="21"/>
                <w:szCs w:val="21"/>
                <w:highlight w:val="none"/>
                <w:lang w:val="en-US" w:eastAsia="zh-CN"/>
              </w:rPr>
              <w:t>动植物油</w:t>
            </w:r>
            <w:r>
              <w:rPr>
                <w:rFonts w:hint="default" w:ascii="Times New Roman" w:hAnsi="Times New Roman" w:eastAsia="宋体" w:cs="Times New Roman"/>
                <w:bCs/>
                <w:color w:val="auto"/>
                <w:sz w:val="21"/>
                <w:szCs w:val="21"/>
                <w:highlight w:val="none"/>
              </w:rPr>
              <w:t>≤</w:t>
            </w:r>
            <w:r>
              <w:rPr>
                <w:rFonts w:hint="eastAsia" w:ascii="Times New Roman" w:hAnsi="Times New Roman" w:eastAsia="宋体" w:cs="Times New Roman"/>
                <w:bCs/>
                <w:color w:val="auto"/>
                <w:sz w:val="21"/>
                <w:szCs w:val="21"/>
                <w:highlight w:val="none"/>
                <w:lang w:val="en-US" w:eastAsia="zh-CN"/>
              </w:rPr>
              <w:t xml:space="preserve">100mg/L </w:t>
            </w:r>
            <w:r>
              <w:rPr>
                <w:rFonts w:hint="default" w:ascii="Times New Roman" w:hAnsi="Times New Roman" w:eastAsia="宋体" w:cs="Times New Roman"/>
                <w:bCs/>
                <w:color w:val="auto"/>
                <w:sz w:val="21"/>
                <w:szCs w:val="21"/>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5" w:type="dxa"/>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w:t>
            </w:r>
          </w:p>
        </w:tc>
        <w:tc>
          <w:tcPr>
            <w:tcW w:w="1764" w:type="dxa"/>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w:t>
            </w:r>
          </w:p>
        </w:tc>
        <w:tc>
          <w:tcPr>
            <w:tcW w:w="1095" w:type="dxa"/>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等效连续A声级</w:t>
            </w:r>
          </w:p>
        </w:tc>
        <w:tc>
          <w:tcPr>
            <w:tcW w:w="1530" w:type="dxa"/>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基础减振、设备维护</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夜间不生产</w:t>
            </w:r>
          </w:p>
        </w:tc>
        <w:tc>
          <w:tcPr>
            <w:tcW w:w="4006" w:type="dxa"/>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color w:val="auto"/>
                <w:sz w:val="21"/>
                <w:szCs w:val="21"/>
                <w:highlight w:val="none"/>
              </w:rPr>
              <w:t>项目</w:t>
            </w:r>
            <w:r>
              <w:rPr>
                <w:color w:val="auto"/>
                <w:sz w:val="21"/>
                <w:szCs w:val="21"/>
                <w:highlight w:val="none"/>
              </w:rPr>
              <w:t>运营期</w:t>
            </w:r>
            <w:r>
              <w:rPr>
                <w:rFonts w:hint="eastAsia"/>
                <w:color w:val="auto"/>
                <w:sz w:val="21"/>
                <w:szCs w:val="21"/>
                <w:highlight w:val="none"/>
                <w:lang w:val="en-US" w:eastAsia="zh-CN"/>
              </w:rPr>
              <w:t>厂界</w:t>
            </w:r>
            <w:r>
              <w:rPr>
                <w:rFonts w:hint="eastAsia"/>
                <w:color w:val="auto"/>
                <w:sz w:val="21"/>
                <w:szCs w:val="21"/>
                <w:highlight w:val="none"/>
              </w:rPr>
              <w:t>噪声执行</w:t>
            </w:r>
            <w:r>
              <w:rPr>
                <w:color w:val="auto"/>
                <w:sz w:val="21"/>
                <w:szCs w:val="21"/>
                <w:highlight w:val="none"/>
              </w:rPr>
              <w:t>《工业企业</w:t>
            </w:r>
            <w:r>
              <w:rPr>
                <w:bCs/>
                <w:color w:val="auto"/>
                <w:sz w:val="21"/>
                <w:szCs w:val="21"/>
                <w:highlight w:val="none"/>
              </w:rPr>
              <w:t>厂界</w:t>
            </w:r>
            <w:r>
              <w:rPr>
                <w:color w:val="auto"/>
                <w:sz w:val="21"/>
                <w:szCs w:val="21"/>
                <w:highlight w:val="none"/>
              </w:rPr>
              <w:t>环境噪声排放标准》（GB12348-2008）</w:t>
            </w:r>
            <w:r>
              <w:rPr>
                <w:rFonts w:hint="eastAsia"/>
                <w:color w:val="auto"/>
                <w:sz w:val="21"/>
                <w:szCs w:val="21"/>
                <w:highlight w:val="none"/>
              </w:rPr>
              <w:t>3</w:t>
            </w:r>
            <w:r>
              <w:rPr>
                <w:color w:val="auto"/>
                <w:sz w:val="21"/>
                <w:szCs w:val="21"/>
                <w:highlight w:val="none"/>
              </w:rPr>
              <w:t>类标准</w:t>
            </w:r>
            <w:r>
              <w:rPr>
                <w:rFonts w:hint="eastAsia"/>
                <w:color w:val="auto"/>
                <w:sz w:val="21"/>
                <w:szCs w:val="21"/>
                <w:highlight w:val="none"/>
                <w:lang w:eastAsia="zh-CN"/>
              </w:rPr>
              <w:t>，</w:t>
            </w:r>
            <w:r>
              <w:rPr>
                <w:rFonts w:hint="default" w:ascii="Times New Roman" w:hAnsi="Times New Roman" w:eastAsia="宋体" w:cs="Times New Roman"/>
                <w:color w:val="auto"/>
                <w:sz w:val="21"/>
                <w:szCs w:val="21"/>
                <w:highlight w:val="none"/>
              </w:rPr>
              <w:t>即昼间</w:t>
            </w:r>
            <w:r>
              <w:rPr>
                <w:rFonts w:hint="default" w:ascii="Times New Roman" w:hAnsi="Times New Roman" w:eastAsia="宋体" w:cs="Times New Roman"/>
                <w:bCs/>
                <w:color w:val="auto"/>
                <w:sz w:val="21"/>
                <w:szCs w:val="21"/>
                <w:highlight w:val="none"/>
              </w:rPr>
              <w:t>≤</w:t>
            </w:r>
            <w:r>
              <w:rPr>
                <w:rFonts w:hint="default" w:ascii="Times New Roman" w:hAnsi="Times New Roman" w:eastAsia="宋体" w:cs="Times New Roman"/>
                <w:color w:val="auto"/>
                <w:sz w:val="21"/>
                <w:szCs w:val="21"/>
                <w:highlight w:val="none"/>
              </w:rPr>
              <w:t>6</w:t>
            </w: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dB(A)、夜间</w:t>
            </w:r>
            <w:r>
              <w:rPr>
                <w:rFonts w:hint="default" w:ascii="Times New Roman" w:hAnsi="Times New Roman" w:eastAsia="宋体" w:cs="Times New Roman"/>
                <w:bCs/>
                <w:color w:val="auto"/>
                <w:sz w:val="21"/>
                <w:szCs w:val="21"/>
                <w:highlight w:val="none"/>
              </w:rPr>
              <w:t>≤</w:t>
            </w:r>
            <w:r>
              <w:rPr>
                <w:rFonts w:hint="default" w:ascii="Times New Roman" w:hAnsi="Times New Roman" w:eastAsia="宋体" w:cs="Times New Roman"/>
                <w:color w:val="auto"/>
                <w:sz w:val="21"/>
                <w:szCs w:val="21"/>
                <w:highlight w:val="none"/>
              </w:rPr>
              <w:t>5</w:t>
            </w: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dB(A)</w:t>
            </w:r>
            <w:r>
              <w:rPr>
                <w:rFonts w:hint="eastAsia"/>
                <w:color w:val="auto"/>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745" w:type="dxa"/>
            <w:noWrap w:val="0"/>
            <w:vAlign w:val="center"/>
          </w:tcPr>
          <w:p>
            <w:pPr>
              <w:keepNext w:val="0"/>
              <w:keepLines w:val="0"/>
              <w:pageBreakBefore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电磁辐射</w:t>
            </w:r>
          </w:p>
        </w:tc>
        <w:tc>
          <w:tcPr>
            <w:tcW w:w="1764" w:type="dxa"/>
            <w:noWrap w:val="0"/>
            <w:vAlign w:val="center"/>
          </w:tcPr>
          <w:p>
            <w:pPr>
              <w:keepNext w:val="0"/>
              <w:keepLines w:val="0"/>
              <w:pageBreakBefore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095" w:type="dxa"/>
            <w:noWrap w:val="0"/>
            <w:vAlign w:val="center"/>
          </w:tcPr>
          <w:p>
            <w:pPr>
              <w:keepNext w:val="0"/>
              <w:keepLines w:val="0"/>
              <w:pageBreakBefore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530" w:type="dxa"/>
            <w:noWrap w:val="0"/>
            <w:vAlign w:val="center"/>
          </w:tcPr>
          <w:p>
            <w:pPr>
              <w:keepNext w:val="0"/>
              <w:keepLines w:val="0"/>
              <w:pageBreakBefore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4006" w:type="dxa"/>
            <w:noWrap w:val="0"/>
            <w:vAlign w:val="center"/>
          </w:tcPr>
          <w:p>
            <w:pPr>
              <w:keepNext w:val="0"/>
              <w:keepLines w:val="0"/>
              <w:pageBreakBefore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45" w:type="dxa"/>
            <w:vMerge w:val="restart"/>
            <w:noWrap w:val="0"/>
            <w:vAlign w:val="center"/>
          </w:tcPr>
          <w:p>
            <w:pPr>
              <w:keepNext w:val="0"/>
              <w:keepLines w:val="0"/>
              <w:pageBreakBefore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固体废物</w:t>
            </w:r>
          </w:p>
        </w:tc>
        <w:tc>
          <w:tcPr>
            <w:tcW w:w="8395" w:type="dxa"/>
            <w:gridSpan w:val="4"/>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eastAsia" w:ascii="宋体" w:hAnsi="宋体" w:eastAsia="宋体" w:cs="宋体"/>
                <w:color w:val="auto"/>
                <w:kern w:val="0"/>
                <w:sz w:val="24"/>
                <w:szCs w:val="24"/>
                <w:highlight w:val="none"/>
                <w:lang w:val="en-US" w:eastAsia="zh-CN" w:bidi="ar"/>
              </w:rPr>
              <w:t>生活垃圾设置垃圾桶进行统一收集，交由环卫部门定期清理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45" w:type="dxa"/>
            <w:vMerge w:val="continue"/>
            <w:noWrap w:val="0"/>
            <w:vAlign w:val="center"/>
          </w:tcPr>
          <w:p>
            <w:pPr>
              <w:keepNext w:val="0"/>
              <w:keepLines w:val="0"/>
              <w:pageBreakBefore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rPr>
            </w:pPr>
          </w:p>
        </w:tc>
        <w:tc>
          <w:tcPr>
            <w:tcW w:w="8395" w:type="dxa"/>
            <w:gridSpan w:val="4"/>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eastAsia="zh-CN"/>
              </w:rPr>
            </w:pPr>
            <w:r>
              <w:rPr>
                <w:rFonts w:hint="eastAsia" w:ascii="宋体" w:hAnsi="宋体" w:eastAsia="宋体" w:cs="宋体"/>
                <w:color w:val="auto"/>
                <w:kern w:val="0"/>
                <w:sz w:val="24"/>
                <w:szCs w:val="24"/>
                <w:highlight w:val="none"/>
                <w:lang w:val="en-US" w:eastAsia="zh-CN" w:bidi="ar"/>
              </w:rPr>
              <w:t>一般固体废物：项目</w:t>
            </w:r>
            <w:r>
              <w:rPr>
                <w:rFonts w:hint="default" w:ascii="Times New Roman" w:hAnsi="Times New Roman" w:eastAsia="宋体" w:cs="Times New Roman"/>
                <w:color w:val="auto"/>
                <w:kern w:val="0"/>
                <w:sz w:val="24"/>
                <w:szCs w:val="24"/>
                <w:highlight w:val="none"/>
                <w:lang w:val="en-US" w:eastAsia="zh-CN" w:bidi="ar"/>
              </w:rPr>
              <w:t>水龙头不合格品及金属边角料</w:t>
            </w:r>
            <w:r>
              <w:rPr>
                <w:rFonts w:hint="eastAsia" w:cs="Times New Roman"/>
                <w:color w:val="auto"/>
                <w:kern w:val="0"/>
                <w:sz w:val="24"/>
                <w:szCs w:val="24"/>
                <w:highlight w:val="none"/>
                <w:lang w:val="en-US" w:eastAsia="zh-CN" w:bidi="ar"/>
              </w:rPr>
              <w:t>由相关单位回收利用，角阀、地漏、挂件、淋浴柱、卫浴挂件、水槽不合格品及金属边角料、生产进水软管不合格品及边角料由相关单位回收利用，</w:t>
            </w:r>
            <w:r>
              <w:rPr>
                <w:rFonts w:hint="default" w:ascii="Times New Roman" w:hAnsi="Times New Roman" w:eastAsia="宋体" w:cs="Times New Roman"/>
                <w:color w:val="auto"/>
                <w:kern w:val="0"/>
                <w:sz w:val="24"/>
                <w:szCs w:val="24"/>
                <w:highlight w:val="none"/>
                <w:lang w:val="en-US" w:eastAsia="zh-CN" w:bidi="ar"/>
              </w:rPr>
              <w:t>炉渣</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废砂</w:t>
            </w:r>
            <w:r>
              <w:rPr>
                <w:rFonts w:hint="eastAsia"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布袋除尘器收集粉尘</w:t>
            </w:r>
            <w:r>
              <w:rPr>
                <w:rFonts w:hint="eastAsia" w:ascii="Times New Roman" w:hAnsi="Times New Roman" w:cs="Times New Roman"/>
                <w:color w:val="auto"/>
                <w:kern w:val="0"/>
                <w:sz w:val="24"/>
                <w:szCs w:val="24"/>
                <w:highlight w:val="none"/>
                <w:lang w:val="en-US" w:eastAsia="zh-CN" w:bidi="ar"/>
              </w:rPr>
              <w:t>、废木材边角料</w:t>
            </w:r>
            <w:r>
              <w:rPr>
                <w:rFonts w:hint="default" w:ascii="Times New Roman" w:hAnsi="Times New Roman" w:eastAsia="宋体" w:cs="Times New Roman"/>
                <w:color w:val="auto"/>
                <w:kern w:val="0"/>
                <w:sz w:val="24"/>
                <w:szCs w:val="24"/>
                <w:highlight w:val="none"/>
                <w:lang w:val="en-US" w:eastAsia="zh-CN" w:bidi="ar"/>
              </w:rPr>
              <w:t>集中收集后</w:t>
            </w:r>
            <w:r>
              <w:rPr>
                <w:rFonts w:eastAsia="F4"/>
                <w:color w:val="auto"/>
                <w:sz w:val="24"/>
                <w:highlight w:val="none"/>
              </w:rPr>
              <w:t>外售给有关物资回收单位</w:t>
            </w:r>
            <w:r>
              <w:rPr>
                <w:rFonts w:hint="eastAsia" w:ascii="宋体" w:hAnsi="宋体" w:eastAsia="宋体" w:cs="宋体"/>
                <w:color w:val="auto"/>
                <w:kern w:val="0"/>
                <w:sz w:val="24"/>
                <w:szCs w:val="24"/>
                <w:highlight w:val="none"/>
                <w:lang w:val="en-US" w:eastAsia="zh-CN" w:bidi="ar"/>
              </w:rPr>
              <w:t>；</w:t>
            </w:r>
            <w:r>
              <w:rPr>
                <w:rFonts w:hint="eastAsia"/>
                <w:bCs/>
                <w:color w:val="auto"/>
                <w:kern w:val="0"/>
                <w:sz w:val="24"/>
                <w:szCs w:val="24"/>
                <w:highlight w:val="none"/>
              </w:rPr>
              <w:t>项目</w:t>
            </w:r>
            <w:r>
              <w:rPr>
                <w:rFonts w:hint="eastAsia"/>
                <w:bCs/>
                <w:color w:val="auto"/>
                <w:kern w:val="0"/>
                <w:sz w:val="24"/>
                <w:szCs w:val="24"/>
                <w:highlight w:val="none"/>
                <w:lang w:val="en-US" w:eastAsia="zh-CN"/>
              </w:rPr>
              <w:t>拟</w:t>
            </w:r>
            <w:r>
              <w:rPr>
                <w:rFonts w:hint="eastAsia"/>
                <w:bCs/>
                <w:color w:val="auto"/>
                <w:kern w:val="0"/>
                <w:sz w:val="24"/>
                <w:szCs w:val="24"/>
                <w:highlight w:val="none"/>
              </w:rPr>
              <w:t>在生产车间内设置一般工业固体废物暂存场所，</w:t>
            </w:r>
            <w:r>
              <w:rPr>
                <w:rFonts w:hint="default" w:ascii="Times New Roman" w:hAnsi="Times New Roman" w:cs="Times New Roman"/>
                <w:color w:val="auto"/>
                <w:sz w:val="24"/>
                <w:szCs w:val="24"/>
                <w:highlight w:val="none"/>
              </w:rPr>
              <w:t>项目一般工业固体废物暂存</w:t>
            </w:r>
            <w:r>
              <w:rPr>
                <w:rFonts w:hint="eastAsia" w:ascii="Times New Roman" w:hAnsi="Times New Roman" w:cs="Times New Roman"/>
                <w:color w:val="auto"/>
                <w:sz w:val="24"/>
                <w:szCs w:val="24"/>
                <w:highlight w:val="none"/>
                <w:lang w:val="en-US" w:eastAsia="zh-CN"/>
              </w:rPr>
              <w:t>场所</w:t>
            </w:r>
            <w:r>
              <w:rPr>
                <w:rFonts w:hint="default" w:ascii="Times New Roman" w:hAnsi="Times New Roman" w:cs="Times New Roman"/>
                <w:color w:val="auto"/>
                <w:sz w:val="24"/>
                <w:szCs w:val="24"/>
                <w:highlight w:val="none"/>
              </w:rPr>
              <w:t>应根据《一般工业固体废物贮存和填埋污染控制标准》（GB18599-2020）标准要求规范化建设</w:t>
            </w:r>
            <w:r>
              <w:rPr>
                <w:rFonts w:hint="eastAsia" w:eastAsia="F4"/>
                <w:color w:val="auto"/>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5" w:type="dxa"/>
            <w:vMerge w:val="continue"/>
            <w:noWrap w:val="0"/>
            <w:vAlign w:val="center"/>
          </w:tcPr>
          <w:p>
            <w:pPr>
              <w:keepNext w:val="0"/>
              <w:keepLines w:val="0"/>
              <w:pageBreakBefore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rPr>
            </w:pPr>
          </w:p>
        </w:tc>
        <w:tc>
          <w:tcPr>
            <w:tcW w:w="8395" w:type="dxa"/>
            <w:gridSpan w:val="4"/>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危险固废：</w:t>
            </w:r>
            <w:r>
              <w:rPr>
                <w:rFonts w:hint="eastAsia"/>
                <w:color w:val="auto"/>
                <w:sz w:val="24"/>
                <w:szCs w:val="24"/>
                <w:highlight w:val="none"/>
                <w:lang w:val="en-US" w:eastAsia="zh-CN"/>
              </w:rPr>
              <w:t>废活性炭、</w:t>
            </w:r>
            <w:r>
              <w:rPr>
                <w:rFonts w:hint="eastAsia" w:ascii="Times New Roman" w:hAnsi="Times New Roman" w:cs="Times New Roman"/>
                <w:color w:val="auto"/>
                <w:kern w:val="0"/>
                <w:sz w:val="24"/>
                <w:szCs w:val="24"/>
                <w:lang w:val="en-US" w:eastAsia="zh-CN" w:bidi="ar"/>
              </w:rPr>
              <w:t>铝合金炉渣</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highlight w:val="none"/>
                <w:lang w:val="en-US" w:eastAsia="zh-CN" w:bidi="ar"/>
              </w:rPr>
              <w:t>废机油</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废乳化液经收集后暂存于危废暂存间，定期委托有资质单位处置</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危废暂存间按照</w:t>
            </w:r>
            <w:r>
              <w:rPr>
                <w:rFonts w:hint="default" w:ascii="Times New Roman" w:hAnsi="Times New Roman" w:eastAsia="宋体" w:cs="Times New Roman"/>
                <w:color w:val="auto"/>
                <w:sz w:val="24"/>
                <w:szCs w:val="24"/>
                <w:highlight w:val="none"/>
              </w:rPr>
              <w:t>《危险废物贮存污染控制标准》(GB18597-2023)</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公告2023年 第6号</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bidi="ar"/>
              </w:rPr>
              <w:t>中相关要求设置防腐、防渗、防漏地面（基础必须防渗，防渗层为至少1m 厚粘土层（渗透系数≤10</w:t>
            </w:r>
            <w:r>
              <w:rPr>
                <w:rFonts w:hint="default" w:ascii="Times New Roman" w:hAnsi="Times New Roman" w:eastAsia="宋体" w:cs="Times New Roman"/>
                <w:color w:val="auto"/>
                <w:kern w:val="0"/>
                <w:sz w:val="24"/>
                <w:szCs w:val="24"/>
                <w:highlight w:val="none"/>
                <w:vertAlign w:val="superscript"/>
                <w:lang w:val="en-US" w:eastAsia="zh-CN" w:bidi="ar"/>
              </w:rPr>
              <w:t>-7</w:t>
            </w:r>
            <w:r>
              <w:rPr>
                <w:rFonts w:hint="default" w:ascii="Times New Roman" w:hAnsi="Times New Roman" w:eastAsia="宋体" w:cs="Times New Roman"/>
                <w:color w:val="auto"/>
                <w:kern w:val="0"/>
                <w:sz w:val="24"/>
                <w:szCs w:val="24"/>
                <w:highlight w:val="none"/>
                <w:lang w:val="en-US" w:eastAsia="zh-CN" w:bidi="ar"/>
              </w:rPr>
              <w:t xml:space="preserve"> cm/s），或2mm厚高密度聚乙烯，或至少2mm厚</w:t>
            </w:r>
            <w:r>
              <w:rPr>
                <w:rFonts w:hint="eastAsia" w:cs="Times New Roman"/>
                <w:color w:val="auto"/>
                <w:kern w:val="0"/>
                <w:sz w:val="24"/>
                <w:szCs w:val="24"/>
                <w:highlight w:val="none"/>
                <w:lang w:val="en-US" w:eastAsia="zh-CN" w:bidi="ar"/>
              </w:rPr>
              <w:t>的其他</w:t>
            </w:r>
            <w:r>
              <w:rPr>
                <w:rFonts w:hint="default" w:ascii="Times New Roman" w:hAnsi="Times New Roman" w:eastAsia="宋体" w:cs="Times New Roman"/>
                <w:color w:val="auto"/>
                <w:kern w:val="0"/>
                <w:sz w:val="24"/>
                <w:szCs w:val="24"/>
                <w:highlight w:val="none"/>
                <w:lang w:val="en-US" w:eastAsia="zh-CN" w:bidi="ar"/>
              </w:rPr>
              <w:t>人工材料，渗透系数≤10</w:t>
            </w:r>
            <w:r>
              <w:rPr>
                <w:rFonts w:hint="default" w:ascii="Times New Roman" w:hAnsi="Times New Roman" w:eastAsia="宋体" w:cs="Times New Roman"/>
                <w:color w:val="auto"/>
                <w:kern w:val="0"/>
                <w:sz w:val="24"/>
                <w:szCs w:val="24"/>
                <w:highlight w:val="none"/>
                <w:vertAlign w:val="superscript"/>
                <w:lang w:val="en-US" w:eastAsia="zh-CN" w:bidi="ar"/>
              </w:rPr>
              <w:t>-10</w:t>
            </w:r>
            <w:r>
              <w:rPr>
                <w:rFonts w:hint="default" w:ascii="Times New Roman" w:hAnsi="Times New Roman" w:eastAsia="宋体" w:cs="Times New Roman"/>
                <w:color w:val="auto"/>
                <w:kern w:val="0"/>
                <w:sz w:val="24"/>
                <w:szCs w:val="24"/>
                <w:highlight w:val="none"/>
                <w:lang w:val="en-US" w:eastAsia="zh-CN" w:bidi="ar"/>
              </w:rPr>
              <w:t>cm/s）</w:t>
            </w:r>
            <w:r>
              <w:rPr>
                <w:rFonts w:hint="eastAsia" w:ascii="Times New Roman" w:hAnsi="Times New Roman" w:eastAsia="宋体" w:cs="Times New Roman"/>
                <w:color w:val="auto"/>
                <w:kern w:val="0"/>
                <w:sz w:val="24"/>
                <w:szCs w:val="24"/>
                <w:highlight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11" w:hRule="atLeast"/>
          <w:jc w:val="center"/>
        </w:trPr>
        <w:tc>
          <w:tcPr>
            <w:tcW w:w="745" w:type="dxa"/>
            <w:noWrap w:val="0"/>
            <w:vAlign w:val="center"/>
          </w:tcPr>
          <w:p>
            <w:pPr>
              <w:keepNext w:val="0"/>
              <w:keepLines w:val="0"/>
              <w:pageBreakBefore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土壤及地下水污染防治措施</w:t>
            </w:r>
          </w:p>
        </w:tc>
        <w:tc>
          <w:tcPr>
            <w:tcW w:w="8395" w:type="dxa"/>
            <w:gridSpan w:val="4"/>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建设单位对产污区域地面进行土地硬化处理，危废暂存间按照</w:t>
            </w:r>
            <w:r>
              <w:rPr>
                <w:rFonts w:hint="default" w:ascii="Times New Roman" w:hAnsi="Times New Roman" w:eastAsia="宋体" w:cs="Times New Roman"/>
                <w:color w:val="auto"/>
                <w:sz w:val="24"/>
                <w:szCs w:val="24"/>
                <w:highlight w:val="none"/>
              </w:rPr>
              <w:t>《危险废物贮存污染控制标准》(GB18597-2023)</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公告2023年 第6号</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bidi="ar"/>
              </w:rPr>
              <w:t>要求设置防腐、防渗、防漏地面（基础必须防渗，防渗层为至少1m 厚粘土层（渗透系数≤10</w:t>
            </w:r>
            <w:r>
              <w:rPr>
                <w:rFonts w:hint="default" w:ascii="Times New Roman" w:hAnsi="Times New Roman" w:eastAsia="宋体" w:cs="Times New Roman"/>
                <w:color w:val="auto"/>
                <w:kern w:val="0"/>
                <w:sz w:val="24"/>
                <w:szCs w:val="24"/>
                <w:highlight w:val="none"/>
                <w:vertAlign w:val="superscript"/>
                <w:lang w:val="en-US" w:eastAsia="zh-CN" w:bidi="ar"/>
              </w:rPr>
              <w:t>-7</w:t>
            </w:r>
            <w:r>
              <w:rPr>
                <w:rFonts w:hint="default" w:ascii="Times New Roman" w:hAnsi="Times New Roman" w:eastAsia="宋体" w:cs="Times New Roman"/>
                <w:color w:val="auto"/>
                <w:kern w:val="0"/>
                <w:sz w:val="24"/>
                <w:szCs w:val="24"/>
                <w:highlight w:val="none"/>
                <w:lang w:val="en-US" w:eastAsia="zh-CN" w:bidi="ar"/>
              </w:rPr>
              <w:t xml:space="preserve"> cm/s），或2mm厚高密度聚乙烯，或至少2mm厚</w:t>
            </w:r>
            <w:r>
              <w:rPr>
                <w:rFonts w:hint="eastAsia" w:cs="Times New Roman"/>
                <w:color w:val="auto"/>
                <w:kern w:val="0"/>
                <w:sz w:val="24"/>
                <w:szCs w:val="24"/>
                <w:highlight w:val="none"/>
                <w:lang w:val="en-US" w:eastAsia="zh-CN" w:bidi="ar"/>
              </w:rPr>
              <w:t>的其他</w:t>
            </w:r>
            <w:r>
              <w:rPr>
                <w:rFonts w:hint="default" w:ascii="Times New Roman" w:hAnsi="Times New Roman" w:eastAsia="宋体" w:cs="Times New Roman"/>
                <w:color w:val="auto"/>
                <w:kern w:val="0"/>
                <w:sz w:val="24"/>
                <w:szCs w:val="24"/>
                <w:highlight w:val="none"/>
                <w:lang w:val="en-US" w:eastAsia="zh-CN" w:bidi="ar"/>
              </w:rPr>
              <w:t>人工材料，渗透系数≤10</w:t>
            </w:r>
            <w:r>
              <w:rPr>
                <w:rFonts w:hint="default" w:ascii="Times New Roman" w:hAnsi="Times New Roman" w:eastAsia="宋体" w:cs="Times New Roman"/>
                <w:color w:val="auto"/>
                <w:kern w:val="0"/>
                <w:sz w:val="24"/>
                <w:szCs w:val="24"/>
                <w:highlight w:val="none"/>
                <w:vertAlign w:val="superscript"/>
                <w:lang w:val="en-US" w:eastAsia="zh-CN" w:bidi="ar"/>
              </w:rPr>
              <w:t>-10</w:t>
            </w:r>
            <w:r>
              <w:rPr>
                <w:rFonts w:hint="default" w:ascii="Times New Roman" w:hAnsi="Times New Roman" w:eastAsia="宋体" w:cs="Times New Roman"/>
                <w:color w:val="auto"/>
                <w:kern w:val="0"/>
                <w:sz w:val="24"/>
                <w:szCs w:val="24"/>
                <w:highlight w:val="none"/>
                <w:lang w:val="en-US" w:eastAsia="zh-CN" w:bidi="ar"/>
              </w:rPr>
              <w:t>cm/s），故项目生产过程中对该区域的地下水基本不会产生影响。</w:t>
            </w:r>
            <w:r>
              <w:rPr>
                <w:rFonts w:hint="eastAsia" w:ascii="宋体" w:hAnsi="宋体" w:eastAsia="宋体" w:cs="宋体"/>
                <w:color w:val="auto"/>
                <w:kern w:val="0"/>
                <w:sz w:val="24"/>
                <w:szCs w:val="24"/>
                <w:highlight w:val="none"/>
                <w:lang w:val="en-US" w:eastAsia="zh-CN" w:bidi="ar"/>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5" w:hRule="atLeast"/>
          <w:jc w:val="center"/>
        </w:trPr>
        <w:tc>
          <w:tcPr>
            <w:tcW w:w="745" w:type="dxa"/>
            <w:noWrap w:val="0"/>
            <w:vAlign w:val="center"/>
          </w:tcPr>
          <w:p>
            <w:pPr>
              <w:keepNext w:val="0"/>
              <w:keepLines w:val="0"/>
              <w:pageBreakBefore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生态保护措施</w:t>
            </w:r>
          </w:p>
        </w:tc>
        <w:tc>
          <w:tcPr>
            <w:tcW w:w="8395" w:type="dxa"/>
            <w:gridSpan w:val="4"/>
            <w:noWrap w:val="0"/>
            <w:vAlign w:val="center"/>
          </w:tcPr>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27" w:hRule="atLeast"/>
          <w:jc w:val="center"/>
        </w:trPr>
        <w:tc>
          <w:tcPr>
            <w:tcW w:w="745" w:type="dxa"/>
            <w:noWrap w:val="0"/>
            <w:vAlign w:val="center"/>
          </w:tcPr>
          <w:p>
            <w:pPr>
              <w:keepNext w:val="0"/>
              <w:keepLines w:val="0"/>
              <w:pageBreakBefore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宋体" w:cs="Times New Roman"/>
                <w:color w:val="auto"/>
                <w:spacing w:val="-8"/>
                <w:sz w:val="24"/>
                <w:szCs w:val="24"/>
                <w:highlight w:val="none"/>
              </w:rPr>
            </w:pPr>
            <w:r>
              <w:rPr>
                <w:rFonts w:hint="default" w:ascii="Times New Roman" w:hAnsi="Times New Roman" w:eastAsia="宋体" w:cs="Times New Roman"/>
                <w:color w:val="auto"/>
                <w:spacing w:val="-8"/>
                <w:sz w:val="24"/>
                <w:szCs w:val="24"/>
                <w:highlight w:val="none"/>
              </w:rPr>
              <w:t>环境风险</w:t>
            </w:r>
          </w:p>
          <w:p>
            <w:pPr>
              <w:keepNext w:val="0"/>
              <w:keepLines w:val="0"/>
              <w:pageBreakBefore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宋体" w:cs="Times New Roman"/>
                <w:color w:val="auto"/>
                <w:spacing w:val="-8"/>
                <w:sz w:val="24"/>
                <w:szCs w:val="24"/>
                <w:highlight w:val="none"/>
              </w:rPr>
            </w:pPr>
            <w:r>
              <w:rPr>
                <w:rFonts w:hint="default" w:ascii="Times New Roman" w:hAnsi="Times New Roman" w:eastAsia="宋体" w:cs="Times New Roman"/>
                <w:color w:val="auto"/>
                <w:spacing w:val="-8"/>
                <w:sz w:val="24"/>
                <w:szCs w:val="24"/>
                <w:highlight w:val="none"/>
              </w:rPr>
              <w:t>防范措施</w:t>
            </w:r>
          </w:p>
        </w:tc>
        <w:tc>
          <w:tcPr>
            <w:tcW w:w="8395" w:type="dxa"/>
            <w:gridSpan w:val="4"/>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sz w:val="24"/>
                <w:szCs w:val="24"/>
                <w:highlight w:val="none"/>
                <w:lang w:val="en-US" w:eastAsia="zh-CN"/>
              </w:rPr>
              <w:t>加强</w:t>
            </w:r>
            <w:r>
              <w:rPr>
                <w:rFonts w:hint="eastAsia" w:ascii="Times New Roman" w:hAnsi="Times New Roman" w:eastAsia="宋体" w:cs="Times New Roman"/>
                <w:color w:val="auto"/>
                <w:sz w:val="24"/>
                <w:szCs w:val="24"/>
                <w:highlight w:val="none"/>
                <w:lang w:eastAsia="zh-CN"/>
              </w:rPr>
              <w:t>化学品贮运安全防范措施、消防系统防范措施生产工艺及管理防范措施、</w:t>
            </w:r>
            <w:r>
              <w:rPr>
                <w:rFonts w:hint="default" w:ascii="Times New Roman" w:hAnsi="Times New Roman" w:eastAsia="宋体" w:cs="Times New Roman"/>
                <w:color w:val="auto"/>
                <w:kern w:val="0"/>
                <w:sz w:val="24"/>
                <w:szCs w:val="24"/>
                <w:highlight w:val="none"/>
                <w:lang w:val="en-US" w:eastAsia="zh-CN" w:bidi="ar"/>
              </w:rPr>
              <w:t>危险废物处置措施</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92" w:hRule="atLeast"/>
          <w:jc w:val="center"/>
        </w:trPr>
        <w:tc>
          <w:tcPr>
            <w:tcW w:w="745" w:type="dxa"/>
            <w:vMerge w:val="restart"/>
            <w:noWrap w:val="0"/>
            <w:vAlign w:val="center"/>
          </w:tcPr>
          <w:p>
            <w:pPr>
              <w:keepNext w:val="0"/>
              <w:keepLines w:val="0"/>
              <w:pageBreakBefore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宋体" w:cs="Times New Roman"/>
                <w:color w:val="auto"/>
                <w:spacing w:val="-8"/>
                <w:sz w:val="24"/>
                <w:szCs w:val="24"/>
                <w:highlight w:val="none"/>
              </w:rPr>
            </w:pPr>
            <w:r>
              <w:rPr>
                <w:rFonts w:hint="default" w:ascii="Times New Roman" w:hAnsi="Times New Roman" w:eastAsia="宋体" w:cs="Times New Roman"/>
                <w:color w:val="auto"/>
                <w:spacing w:val="-8"/>
                <w:sz w:val="24"/>
                <w:szCs w:val="24"/>
                <w:highlight w:val="none"/>
              </w:rPr>
              <w:t>其他环境</w:t>
            </w:r>
          </w:p>
          <w:p>
            <w:pPr>
              <w:keepNext w:val="0"/>
              <w:keepLines w:val="0"/>
              <w:pageBreakBefore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宋体" w:cs="Times New Roman"/>
                <w:color w:val="auto"/>
                <w:spacing w:val="-8"/>
                <w:sz w:val="24"/>
                <w:szCs w:val="24"/>
                <w:highlight w:val="none"/>
              </w:rPr>
            </w:pPr>
            <w:r>
              <w:rPr>
                <w:rFonts w:hint="default" w:ascii="Times New Roman" w:hAnsi="Times New Roman" w:eastAsia="宋体" w:cs="Times New Roman"/>
                <w:color w:val="auto"/>
                <w:spacing w:val="-8"/>
                <w:sz w:val="24"/>
                <w:szCs w:val="24"/>
                <w:highlight w:val="none"/>
              </w:rPr>
              <w:t>管理要求</w:t>
            </w:r>
          </w:p>
        </w:tc>
        <w:tc>
          <w:tcPr>
            <w:tcW w:w="8395" w:type="dxa"/>
            <w:gridSpan w:val="4"/>
            <w:noWrap w:val="0"/>
            <w:vAlign w:val="center"/>
          </w:tcPr>
          <w:p>
            <w:pPr>
              <w:pStyle w:val="7"/>
              <w:keepNext w:val="0"/>
              <w:keepLines w:val="0"/>
              <w:pageBreakBefore w:val="0"/>
              <w:tabs>
                <w:tab w:val="left" w:pos="900"/>
              </w:tabs>
              <w:kinsoku/>
              <w:wordWrap/>
              <w:overflowPunct/>
              <w:topLinePunct w:val="0"/>
              <w:autoSpaceDE/>
              <w:autoSpaceDN/>
              <w:bidi w:val="0"/>
              <w:adjustRightInd w:val="0"/>
              <w:snapToGrid w:val="0"/>
              <w:spacing w:before="0" w:beforeLines="0" w:after="0" w:afterLines="0" w:line="360" w:lineRule="auto"/>
              <w:ind w:right="0" w:rightChars="0" w:firstLine="0" w:firstLineChars="0"/>
              <w:textAlignment w:val="auto"/>
              <w:rPr>
                <w:rFonts w:hint="default"/>
                <w:color w:val="auto"/>
                <w:sz w:val="24"/>
                <w:szCs w:val="24"/>
                <w:highlight w:val="none"/>
              </w:rPr>
            </w:pPr>
            <w:r>
              <w:rPr>
                <w:rFonts w:hint="default"/>
                <w:color w:val="auto"/>
                <w:sz w:val="24"/>
                <w:szCs w:val="24"/>
                <w:highlight w:val="none"/>
              </w:rPr>
              <w:t>5.1环境管理的主要内容</w:t>
            </w:r>
          </w:p>
          <w:p>
            <w:pPr>
              <w:pStyle w:val="13"/>
              <w:keepNext w:val="0"/>
              <w:keepLines w:val="0"/>
              <w:pageBreakBefore w:val="0"/>
              <w:widowControl/>
              <w:kinsoku/>
              <w:wordWrap/>
              <w:overflowPunct/>
              <w:topLinePunct w:val="0"/>
              <w:autoSpaceDE/>
              <w:autoSpaceDN/>
              <w:bidi w:val="0"/>
              <w:adjustRightInd w:val="0"/>
              <w:snapToGrid w:val="0"/>
              <w:spacing w:before="0" w:after="0" w:line="360" w:lineRule="auto"/>
              <w:ind w:left="0" w:leftChars="0" w:right="0" w:rightChars="0" w:firstLine="480" w:firstLineChars="200"/>
              <w:jc w:val="left"/>
              <w:textAlignment w:val="auto"/>
              <w:rPr>
                <w:rFonts w:hint="default"/>
                <w:color w:val="auto"/>
                <w:sz w:val="24"/>
                <w:szCs w:val="24"/>
                <w:highlight w:val="none"/>
              </w:rPr>
            </w:pPr>
            <w:r>
              <w:rPr>
                <w:rFonts w:hint="default"/>
                <w:color w:val="auto"/>
                <w:sz w:val="24"/>
                <w:szCs w:val="24"/>
                <w:highlight w:val="none"/>
              </w:rPr>
              <w:t>（1）及时开展企业自主环保验收和备案工作。贯彻执行调试期间建立的环保工作机构和工作制度以及监视性监测制度，并不断总结经验提高管理水平。</w:t>
            </w:r>
          </w:p>
          <w:p>
            <w:pPr>
              <w:pStyle w:val="13"/>
              <w:keepNext w:val="0"/>
              <w:keepLines w:val="0"/>
              <w:pageBreakBefore w:val="0"/>
              <w:widowControl/>
              <w:kinsoku/>
              <w:wordWrap/>
              <w:overflowPunct/>
              <w:topLinePunct w:val="0"/>
              <w:autoSpaceDE/>
              <w:autoSpaceDN/>
              <w:bidi w:val="0"/>
              <w:adjustRightInd w:val="0"/>
              <w:snapToGrid w:val="0"/>
              <w:spacing w:before="0" w:after="0" w:line="360" w:lineRule="auto"/>
              <w:ind w:left="0" w:leftChars="0" w:right="0" w:rightChars="0" w:firstLine="480" w:firstLineChars="200"/>
              <w:jc w:val="left"/>
              <w:textAlignment w:val="auto"/>
              <w:rPr>
                <w:rFonts w:hint="default"/>
                <w:color w:val="auto"/>
                <w:sz w:val="24"/>
                <w:szCs w:val="24"/>
                <w:highlight w:val="none"/>
              </w:rPr>
            </w:pPr>
            <w:r>
              <w:rPr>
                <w:rFonts w:hint="default"/>
                <w:color w:val="auto"/>
                <w:sz w:val="24"/>
                <w:szCs w:val="24"/>
                <w:highlight w:val="none"/>
              </w:rPr>
              <w:t>（2）制定各环保设施操作规程，定期维修制度，使各项环保设施在生产过程中处于良好的运行状态，如环保设施出现故障，应立即停厂检修，严禁非正常排放。</w:t>
            </w:r>
          </w:p>
          <w:p>
            <w:pPr>
              <w:pStyle w:val="13"/>
              <w:keepNext w:val="0"/>
              <w:keepLines w:val="0"/>
              <w:pageBreakBefore w:val="0"/>
              <w:widowControl/>
              <w:kinsoku/>
              <w:wordWrap/>
              <w:overflowPunct/>
              <w:topLinePunct w:val="0"/>
              <w:autoSpaceDE/>
              <w:autoSpaceDN/>
              <w:bidi w:val="0"/>
              <w:adjustRightInd w:val="0"/>
              <w:snapToGrid w:val="0"/>
              <w:spacing w:before="0" w:after="0" w:line="360" w:lineRule="auto"/>
              <w:ind w:left="0" w:leftChars="0" w:right="0" w:rightChars="0" w:firstLine="480" w:firstLineChars="200"/>
              <w:jc w:val="left"/>
              <w:textAlignment w:val="auto"/>
              <w:rPr>
                <w:rFonts w:hint="default"/>
                <w:color w:val="auto"/>
                <w:sz w:val="24"/>
                <w:szCs w:val="24"/>
                <w:highlight w:val="none"/>
              </w:rPr>
            </w:pPr>
            <w:r>
              <w:rPr>
                <w:rFonts w:hint="default"/>
                <w:color w:val="auto"/>
                <w:sz w:val="24"/>
                <w:szCs w:val="24"/>
                <w:highlight w:val="none"/>
              </w:rPr>
              <w:t>（3）对技术工作进行上岗前的环保知识法规教育及操作规程的培训，使各项环保设施的操作规范化，保证环保设施的正常运转。</w:t>
            </w:r>
          </w:p>
          <w:p>
            <w:pPr>
              <w:pStyle w:val="13"/>
              <w:keepNext w:val="0"/>
              <w:keepLines w:val="0"/>
              <w:pageBreakBefore w:val="0"/>
              <w:widowControl/>
              <w:kinsoku/>
              <w:wordWrap/>
              <w:overflowPunct/>
              <w:topLinePunct w:val="0"/>
              <w:autoSpaceDE/>
              <w:autoSpaceDN/>
              <w:bidi w:val="0"/>
              <w:adjustRightInd w:val="0"/>
              <w:snapToGrid w:val="0"/>
              <w:spacing w:before="0" w:after="0" w:line="360" w:lineRule="auto"/>
              <w:ind w:left="0"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color w:val="auto"/>
                <w:sz w:val="24"/>
                <w:szCs w:val="24"/>
                <w:highlight w:val="none"/>
              </w:rPr>
              <w:t>（4）加强环境监测工作，重点是各污染源的监测，并注意做好记录，不弄虚作假。监测中如发现异常情况应及时向有关部门通报，及时采取应急措施，防止事故排放。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92" w:hRule="atLeast"/>
          <w:jc w:val="center"/>
        </w:trPr>
        <w:tc>
          <w:tcPr>
            <w:tcW w:w="745" w:type="dxa"/>
            <w:vMerge w:val="continue"/>
            <w:noWrap w:val="0"/>
            <w:vAlign w:val="center"/>
          </w:tcPr>
          <w:p>
            <w:pPr>
              <w:keepNext w:val="0"/>
              <w:keepLines w:val="0"/>
              <w:pageBreakBefore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宋体" w:cs="Times New Roman"/>
                <w:color w:val="auto"/>
                <w:spacing w:val="-8"/>
                <w:sz w:val="24"/>
                <w:szCs w:val="24"/>
                <w:highlight w:val="none"/>
              </w:rPr>
            </w:pPr>
          </w:p>
        </w:tc>
        <w:tc>
          <w:tcPr>
            <w:tcW w:w="8395" w:type="dxa"/>
            <w:gridSpan w:val="4"/>
            <w:noWrap w:val="0"/>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360" w:lineRule="auto"/>
              <w:ind w:left="0" w:leftChars="0" w:right="0" w:rightChars="0" w:firstLine="480" w:firstLineChars="200"/>
              <w:jc w:val="left"/>
              <w:textAlignment w:val="auto"/>
              <w:rPr>
                <w:rFonts w:hint="default"/>
                <w:color w:val="auto"/>
                <w:sz w:val="24"/>
                <w:szCs w:val="24"/>
                <w:highlight w:val="none"/>
              </w:rPr>
            </w:pPr>
            <w:r>
              <w:rPr>
                <w:rFonts w:hint="default"/>
                <w:color w:val="auto"/>
                <w:sz w:val="24"/>
                <w:szCs w:val="24"/>
                <w:highlight w:val="none"/>
              </w:rPr>
              <w:t>（5）建立本公司的环境保护档案。档案包括：</w:t>
            </w:r>
          </w:p>
          <w:p>
            <w:pPr>
              <w:pStyle w:val="13"/>
              <w:keepNext w:val="0"/>
              <w:keepLines w:val="0"/>
              <w:pageBreakBefore w:val="0"/>
              <w:widowControl/>
              <w:kinsoku/>
              <w:wordWrap/>
              <w:overflowPunct/>
              <w:topLinePunct w:val="0"/>
              <w:autoSpaceDE/>
              <w:autoSpaceDN/>
              <w:bidi w:val="0"/>
              <w:adjustRightInd w:val="0"/>
              <w:snapToGrid w:val="0"/>
              <w:spacing w:before="0" w:after="0" w:line="360" w:lineRule="auto"/>
              <w:ind w:left="0" w:leftChars="0" w:right="0" w:rightChars="0" w:firstLine="480" w:firstLineChars="200"/>
              <w:jc w:val="left"/>
              <w:textAlignment w:val="auto"/>
              <w:rPr>
                <w:rFonts w:hint="default"/>
                <w:color w:val="auto"/>
                <w:sz w:val="24"/>
                <w:szCs w:val="24"/>
                <w:highlight w:val="none"/>
              </w:rPr>
            </w:pPr>
            <w:r>
              <w:rPr>
                <w:rFonts w:hint="default"/>
                <w:color w:val="auto"/>
                <w:sz w:val="24"/>
                <w:szCs w:val="24"/>
                <w:highlight w:val="none"/>
              </w:rPr>
              <w:t>①污染物排放情况，污染物治理设施的运行、操作和管理情况；</w:t>
            </w:r>
          </w:p>
          <w:p>
            <w:pPr>
              <w:pStyle w:val="13"/>
              <w:keepNext w:val="0"/>
              <w:keepLines w:val="0"/>
              <w:pageBreakBefore w:val="0"/>
              <w:widowControl/>
              <w:kinsoku/>
              <w:wordWrap/>
              <w:overflowPunct/>
              <w:topLinePunct w:val="0"/>
              <w:autoSpaceDE/>
              <w:autoSpaceDN/>
              <w:bidi w:val="0"/>
              <w:adjustRightInd w:val="0"/>
              <w:snapToGrid w:val="0"/>
              <w:spacing w:before="0" w:after="0" w:line="360" w:lineRule="auto"/>
              <w:ind w:left="0" w:leftChars="0" w:right="0" w:rightChars="0" w:firstLine="480" w:firstLineChars="200"/>
              <w:jc w:val="left"/>
              <w:textAlignment w:val="auto"/>
              <w:rPr>
                <w:rFonts w:hint="default"/>
                <w:color w:val="auto"/>
                <w:sz w:val="24"/>
                <w:szCs w:val="24"/>
                <w:highlight w:val="none"/>
              </w:rPr>
            </w:pPr>
            <w:r>
              <w:rPr>
                <w:rFonts w:hint="default"/>
                <w:color w:val="auto"/>
                <w:sz w:val="24"/>
                <w:szCs w:val="24"/>
                <w:highlight w:val="none"/>
              </w:rPr>
              <w:t>②限期治理执行情况；</w:t>
            </w:r>
          </w:p>
          <w:p>
            <w:pPr>
              <w:pStyle w:val="13"/>
              <w:keepNext w:val="0"/>
              <w:keepLines w:val="0"/>
              <w:pageBreakBefore w:val="0"/>
              <w:widowControl/>
              <w:kinsoku/>
              <w:wordWrap/>
              <w:overflowPunct/>
              <w:topLinePunct w:val="0"/>
              <w:autoSpaceDE/>
              <w:autoSpaceDN/>
              <w:bidi w:val="0"/>
              <w:adjustRightInd w:val="0"/>
              <w:snapToGrid w:val="0"/>
              <w:spacing w:before="0" w:after="0" w:line="360" w:lineRule="auto"/>
              <w:ind w:left="0" w:leftChars="0" w:right="0" w:rightChars="0" w:firstLine="480" w:firstLineChars="200"/>
              <w:jc w:val="left"/>
              <w:textAlignment w:val="auto"/>
              <w:rPr>
                <w:rFonts w:hint="default"/>
                <w:color w:val="auto"/>
                <w:sz w:val="24"/>
                <w:szCs w:val="24"/>
                <w:highlight w:val="none"/>
              </w:rPr>
            </w:pPr>
            <w:r>
              <w:rPr>
                <w:rFonts w:hint="default"/>
                <w:color w:val="auto"/>
                <w:sz w:val="24"/>
                <w:szCs w:val="24"/>
                <w:highlight w:val="none"/>
              </w:rPr>
              <w:t>③事故情况及有关记录；</w:t>
            </w:r>
          </w:p>
          <w:p>
            <w:pPr>
              <w:pStyle w:val="13"/>
              <w:keepNext w:val="0"/>
              <w:keepLines w:val="0"/>
              <w:pageBreakBefore w:val="0"/>
              <w:widowControl/>
              <w:kinsoku/>
              <w:wordWrap/>
              <w:overflowPunct/>
              <w:topLinePunct w:val="0"/>
              <w:autoSpaceDE/>
              <w:autoSpaceDN/>
              <w:bidi w:val="0"/>
              <w:adjustRightInd w:val="0"/>
              <w:snapToGrid w:val="0"/>
              <w:spacing w:before="0" w:after="0" w:line="360" w:lineRule="auto"/>
              <w:ind w:left="0" w:leftChars="0" w:right="0" w:rightChars="0" w:firstLine="480" w:firstLineChars="200"/>
              <w:jc w:val="left"/>
              <w:textAlignment w:val="auto"/>
              <w:rPr>
                <w:rFonts w:hint="default"/>
                <w:color w:val="auto"/>
                <w:sz w:val="24"/>
                <w:szCs w:val="24"/>
                <w:highlight w:val="none"/>
              </w:rPr>
            </w:pPr>
            <w:r>
              <w:rPr>
                <w:rFonts w:hint="default"/>
                <w:color w:val="auto"/>
                <w:sz w:val="24"/>
                <w:szCs w:val="24"/>
                <w:highlight w:val="none"/>
              </w:rPr>
              <w:t>④采用的监测分析方法和监测记录；</w:t>
            </w:r>
          </w:p>
          <w:p>
            <w:pPr>
              <w:pStyle w:val="13"/>
              <w:keepNext w:val="0"/>
              <w:keepLines w:val="0"/>
              <w:pageBreakBefore w:val="0"/>
              <w:widowControl/>
              <w:kinsoku/>
              <w:wordWrap/>
              <w:overflowPunct/>
              <w:topLinePunct w:val="0"/>
              <w:autoSpaceDE/>
              <w:autoSpaceDN/>
              <w:bidi w:val="0"/>
              <w:adjustRightInd w:val="0"/>
              <w:snapToGrid w:val="0"/>
              <w:spacing w:before="0" w:after="0" w:line="360" w:lineRule="auto"/>
              <w:ind w:left="0" w:leftChars="0" w:right="0" w:rightChars="0" w:firstLine="480" w:firstLineChars="200"/>
              <w:jc w:val="left"/>
              <w:textAlignment w:val="auto"/>
              <w:rPr>
                <w:rFonts w:hint="default"/>
                <w:color w:val="auto"/>
                <w:sz w:val="24"/>
                <w:szCs w:val="24"/>
                <w:highlight w:val="none"/>
              </w:rPr>
            </w:pPr>
            <w:r>
              <w:rPr>
                <w:rFonts w:hint="default"/>
                <w:color w:val="auto"/>
                <w:sz w:val="24"/>
                <w:szCs w:val="24"/>
                <w:highlight w:val="none"/>
              </w:rPr>
              <w:t>⑤与污染有关的生产工艺、原材料使用方面的资料；</w:t>
            </w:r>
          </w:p>
          <w:p>
            <w:pPr>
              <w:pStyle w:val="13"/>
              <w:keepNext w:val="0"/>
              <w:keepLines w:val="0"/>
              <w:pageBreakBefore w:val="0"/>
              <w:widowControl/>
              <w:kinsoku/>
              <w:wordWrap/>
              <w:overflowPunct/>
              <w:topLinePunct w:val="0"/>
              <w:autoSpaceDE/>
              <w:autoSpaceDN/>
              <w:bidi w:val="0"/>
              <w:adjustRightInd w:val="0"/>
              <w:snapToGrid w:val="0"/>
              <w:spacing w:before="0" w:after="0" w:line="360" w:lineRule="auto"/>
              <w:ind w:left="0" w:leftChars="0" w:right="0" w:rightChars="0" w:firstLine="480" w:firstLineChars="200"/>
              <w:jc w:val="left"/>
              <w:textAlignment w:val="auto"/>
              <w:rPr>
                <w:rFonts w:hint="default"/>
                <w:color w:val="auto"/>
                <w:sz w:val="24"/>
                <w:szCs w:val="24"/>
                <w:highlight w:val="none"/>
              </w:rPr>
            </w:pPr>
            <w:r>
              <w:rPr>
                <w:rFonts w:hint="default"/>
                <w:color w:val="auto"/>
                <w:sz w:val="24"/>
                <w:szCs w:val="24"/>
                <w:highlight w:val="none"/>
              </w:rPr>
              <w:t>⑥其他与污染防治有关的情况和资料等。</w:t>
            </w:r>
          </w:p>
          <w:p>
            <w:pPr>
              <w:pStyle w:val="7"/>
              <w:keepNext w:val="0"/>
              <w:keepLines w:val="0"/>
              <w:pageBreakBefore w:val="0"/>
              <w:tabs>
                <w:tab w:val="left" w:pos="900"/>
              </w:tabs>
              <w:kinsoku/>
              <w:wordWrap/>
              <w:overflowPunct/>
              <w:topLinePunct w:val="0"/>
              <w:autoSpaceDE/>
              <w:autoSpaceDN/>
              <w:bidi w:val="0"/>
              <w:adjustRightInd w:val="0"/>
              <w:snapToGrid w:val="0"/>
              <w:spacing w:before="0" w:beforeLines="0" w:after="0" w:afterLines="0" w:line="360" w:lineRule="auto"/>
              <w:ind w:right="0" w:rightChars="0" w:firstLine="0" w:firstLineChars="0"/>
              <w:textAlignment w:val="auto"/>
              <w:rPr>
                <w:rFonts w:hint="default"/>
                <w:color w:val="auto"/>
                <w:sz w:val="24"/>
                <w:szCs w:val="24"/>
                <w:highlight w:val="none"/>
              </w:rPr>
            </w:pPr>
            <w:r>
              <w:rPr>
                <w:rFonts w:hint="default"/>
                <w:color w:val="auto"/>
                <w:sz w:val="24"/>
                <w:szCs w:val="24"/>
                <w:highlight w:val="none"/>
              </w:rPr>
              <w:t>5.2排污许可证申请要求</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color w:val="auto"/>
                <w:sz w:val="24"/>
                <w:szCs w:val="24"/>
                <w:highlight w:val="none"/>
                <w:lang w:eastAsia="zh-CN"/>
              </w:rPr>
            </w:pPr>
            <w:r>
              <w:rPr>
                <w:rFonts w:hint="eastAsia"/>
                <w:color w:val="auto"/>
                <w:sz w:val="24"/>
                <w:szCs w:val="24"/>
                <w:highlight w:val="none"/>
                <w:lang w:val="en-US" w:eastAsia="zh-CN"/>
              </w:rPr>
              <w:t>根据《排污许可证管理办法》要求，纳入排污许可管理的建设项目，排污单位应当在启动生产设施或者实际排污之前，按照国家排污许可有关管理规定要求，申请排污许可证，不得无证排污或不按证排污。 建设单位投产前应对照《固定污染源排污许可分类管理名录》（</w:t>
            </w:r>
            <w:r>
              <w:rPr>
                <w:rFonts w:hint="default"/>
                <w:color w:val="auto"/>
                <w:sz w:val="24"/>
                <w:szCs w:val="24"/>
                <w:highlight w:val="none"/>
                <w:lang w:val="en-US" w:eastAsia="zh-CN"/>
              </w:rPr>
              <w:t xml:space="preserve">2019 </w:t>
            </w:r>
            <w:r>
              <w:rPr>
                <w:rFonts w:hint="eastAsia"/>
                <w:color w:val="auto"/>
                <w:sz w:val="24"/>
                <w:szCs w:val="24"/>
                <w:highlight w:val="none"/>
                <w:lang w:val="en-US" w:eastAsia="zh-CN"/>
              </w:rPr>
              <w:t>版）相关规定及时申请并取得排污许可证，并按照排污许可证的规定排放污染物。</w:t>
            </w:r>
            <w:r>
              <w:rPr>
                <w:rFonts w:hint="eastAsia"/>
                <w:color w:val="auto"/>
                <w:sz w:val="24"/>
                <w:szCs w:val="24"/>
                <w:highlight w:val="none"/>
              </w:rPr>
              <w:t>对照《固定污染源排污许可分类管理名录》（2019年版），本项目属于</w:t>
            </w:r>
            <w:r>
              <w:rPr>
                <w:rFonts w:hint="eastAsia"/>
                <w:color w:val="auto"/>
                <w:sz w:val="24"/>
                <w:szCs w:val="24"/>
                <w:highlight w:val="none"/>
                <w:lang w:val="en-US" w:eastAsia="zh-CN"/>
              </w:rPr>
              <w:t>登记管理类</w:t>
            </w:r>
            <w:r>
              <w:rPr>
                <w:rFonts w:hint="eastAsia"/>
                <w:color w:val="auto"/>
                <w:sz w:val="24"/>
                <w:szCs w:val="24"/>
                <w:highlight w:val="none"/>
                <w:lang w:eastAsia="zh-CN"/>
              </w:rPr>
              <w:t>。</w:t>
            </w:r>
          </w:p>
          <w:p>
            <w:pPr>
              <w:pStyle w:val="7"/>
              <w:keepNext w:val="0"/>
              <w:keepLines w:val="0"/>
              <w:pageBreakBefore w:val="0"/>
              <w:tabs>
                <w:tab w:val="left" w:pos="900"/>
              </w:tabs>
              <w:kinsoku/>
              <w:wordWrap/>
              <w:overflowPunct/>
              <w:topLinePunct w:val="0"/>
              <w:autoSpaceDE/>
              <w:autoSpaceDN/>
              <w:bidi w:val="0"/>
              <w:adjustRightInd w:val="0"/>
              <w:snapToGrid w:val="0"/>
              <w:spacing w:before="0" w:beforeLines="0" w:after="0" w:afterLines="0" w:line="360" w:lineRule="auto"/>
              <w:ind w:right="0" w:rightChars="0" w:firstLine="0" w:firstLineChars="0"/>
              <w:textAlignment w:val="auto"/>
              <w:rPr>
                <w:rFonts w:hint="default"/>
                <w:color w:val="auto"/>
                <w:sz w:val="24"/>
                <w:szCs w:val="24"/>
                <w:highlight w:val="none"/>
              </w:rPr>
            </w:pPr>
            <w:r>
              <w:rPr>
                <w:rFonts w:hint="default"/>
                <w:color w:val="auto"/>
                <w:sz w:val="24"/>
                <w:szCs w:val="24"/>
                <w:highlight w:val="none"/>
              </w:rPr>
              <w:t>5.3排污口规范化管理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pacing w:val="0"/>
                <w:sz w:val="24"/>
                <w:highlight w:val="none"/>
                <w:lang w:eastAsia="zh-CN"/>
              </w:rPr>
            </w:pPr>
            <w:r>
              <w:rPr>
                <w:rFonts w:hint="eastAsia"/>
                <w:color w:val="auto"/>
                <w:spacing w:val="0"/>
                <w:sz w:val="24"/>
                <w:highlight w:val="none"/>
                <w:lang w:eastAsia="zh-CN"/>
              </w:rPr>
              <w:t>根据国家、地方颁布的有关环境保护规定，排气筒、厂区废水总排放口、噪声排放源和固废贮存处置场所均应按《环境保护图形标志--排放口(源)》（GB15562.1-1995、GB15562.2-1995）、</w:t>
            </w:r>
            <w:r>
              <w:rPr>
                <w:rFonts w:hint="eastAsia"/>
                <w:color w:val="auto"/>
                <w:sz w:val="24"/>
                <w:highlight w:val="none"/>
                <w:lang w:eastAsia="zh-CN"/>
              </w:rPr>
              <w:t>《危险废物识别标志设置技术规范》（HJ1276</w:t>
            </w:r>
            <w:r>
              <w:rPr>
                <w:rFonts w:hint="eastAsia"/>
                <w:color w:val="auto"/>
                <w:sz w:val="24"/>
                <w:highlight w:val="none"/>
                <w:lang w:val="en-US" w:eastAsia="zh-CN"/>
              </w:rPr>
              <w:t>-</w:t>
            </w:r>
            <w:r>
              <w:rPr>
                <w:rFonts w:hint="eastAsia"/>
                <w:color w:val="auto"/>
                <w:sz w:val="24"/>
                <w:highlight w:val="none"/>
                <w:lang w:eastAsia="zh-CN"/>
              </w:rPr>
              <w:t>2022）</w:t>
            </w:r>
            <w:r>
              <w:rPr>
                <w:rFonts w:hint="eastAsia"/>
                <w:color w:val="auto"/>
                <w:spacing w:val="0"/>
                <w:sz w:val="24"/>
                <w:highlight w:val="none"/>
                <w:lang w:eastAsia="zh-CN"/>
              </w:rPr>
              <w:t>要求设立明显标志，具体标识见表5</w:t>
            </w:r>
            <w:r>
              <w:rPr>
                <w:rFonts w:hint="eastAsia"/>
                <w:color w:val="auto"/>
                <w:spacing w:val="0"/>
                <w:sz w:val="24"/>
                <w:highlight w:val="none"/>
                <w:lang w:val="en-US" w:eastAsia="zh-CN"/>
              </w:rPr>
              <w:t>.3</w:t>
            </w:r>
            <w:r>
              <w:rPr>
                <w:rFonts w:hint="eastAsia"/>
                <w:color w:val="auto"/>
                <w:spacing w:val="0"/>
                <w:sz w:val="24"/>
                <w:highlight w:val="none"/>
                <w:lang w:eastAsia="zh-CN"/>
              </w:rPr>
              <w:t>-</w:t>
            </w:r>
            <w:r>
              <w:rPr>
                <w:rFonts w:hint="eastAsia"/>
                <w:color w:val="auto"/>
                <w:spacing w:val="0"/>
                <w:sz w:val="24"/>
                <w:highlight w:val="none"/>
                <w:lang w:val="en-US" w:eastAsia="zh-CN"/>
              </w:rPr>
              <w:t>1</w:t>
            </w:r>
            <w:r>
              <w:rPr>
                <w:rFonts w:hint="eastAsia"/>
                <w:color w:val="auto"/>
                <w:spacing w:val="0"/>
                <w:sz w:val="24"/>
                <w:highlight w:val="none"/>
                <w:lang w:eastAsia="zh-CN"/>
              </w:rPr>
              <w:t>。标志牌应设在与之功能相应的醒目处，并保持清晰、完整。</w:t>
            </w:r>
          </w:p>
          <w:p>
            <w:pPr>
              <w:pStyle w:val="77"/>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bCs w:val="0"/>
                <w:color w:val="auto"/>
                <w:spacing w:val="0"/>
                <w:kern w:val="2"/>
                <w:sz w:val="24"/>
                <w:szCs w:val="24"/>
                <w:highlight w:val="none"/>
                <w:lang w:val="en-US" w:eastAsia="zh-CN" w:bidi="ar-SA"/>
              </w:rPr>
            </w:pPr>
            <w:r>
              <w:rPr>
                <w:rFonts w:hint="default" w:ascii="Times New Roman" w:hAnsi="Times New Roman" w:eastAsia="宋体" w:cs="Times New Roman"/>
                <w:b/>
                <w:bCs w:val="0"/>
                <w:color w:val="auto"/>
                <w:spacing w:val="0"/>
                <w:kern w:val="2"/>
                <w:sz w:val="24"/>
                <w:szCs w:val="24"/>
                <w:highlight w:val="none"/>
                <w:lang w:val="en-US" w:eastAsia="zh-CN" w:bidi="ar-SA"/>
              </w:rPr>
              <w:t>表</w:t>
            </w:r>
            <w:r>
              <w:rPr>
                <w:rFonts w:hint="eastAsia" w:ascii="Times New Roman" w:hAnsi="Times New Roman" w:eastAsia="宋体" w:cs="Times New Roman"/>
                <w:b/>
                <w:bCs w:val="0"/>
                <w:color w:val="auto"/>
                <w:spacing w:val="0"/>
                <w:kern w:val="2"/>
                <w:sz w:val="24"/>
                <w:szCs w:val="24"/>
                <w:highlight w:val="none"/>
                <w:lang w:val="en-US" w:eastAsia="zh-CN" w:bidi="ar-SA"/>
              </w:rPr>
              <w:t>5</w:t>
            </w:r>
            <w:r>
              <w:rPr>
                <w:rFonts w:hint="eastAsia" w:ascii="Times New Roman" w:hAnsi="Times New Roman" w:cs="Times New Roman"/>
                <w:b/>
                <w:bCs w:val="0"/>
                <w:color w:val="auto"/>
                <w:spacing w:val="0"/>
                <w:kern w:val="2"/>
                <w:sz w:val="24"/>
                <w:szCs w:val="24"/>
                <w:highlight w:val="none"/>
                <w:lang w:val="en-US" w:eastAsia="zh-CN" w:bidi="ar-SA"/>
              </w:rPr>
              <w:t>.3-</w:t>
            </w:r>
            <w:r>
              <w:rPr>
                <w:rFonts w:hint="eastAsia" w:ascii="Times New Roman" w:hAnsi="Times New Roman" w:eastAsia="宋体" w:cs="Times New Roman"/>
                <w:b/>
                <w:bCs w:val="0"/>
                <w:color w:val="auto"/>
                <w:spacing w:val="0"/>
                <w:kern w:val="2"/>
                <w:sz w:val="24"/>
                <w:szCs w:val="24"/>
                <w:highlight w:val="none"/>
                <w:lang w:val="en-US" w:eastAsia="zh-CN" w:bidi="ar-SA"/>
              </w:rPr>
              <w:t>1</w:t>
            </w:r>
            <w:r>
              <w:rPr>
                <w:rFonts w:hint="default" w:ascii="Times New Roman" w:hAnsi="Times New Roman" w:eastAsia="宋体" w:cs="Times New Roman"/>
                <w:b/>
                <w:bCs w:val="0"/>
                <w:color w:val="auto"/>
                <w:spacing w:val="0"/>
                <w:kern w:val="2"/>
                <w:sz w:val="24"/>
                <w:szCs w:val="24"/>
                <w:highlight w:val="none"/>
                <w:lang w:val="en-US" w:eastAsia="zh-CN" w:bidi="ar-SA"/>
              </w:rPr>
              <w:t xml:space="preserve">  各排污口（源）标志牌设置示意图</w:t>
            </w:r>
          </w:p>
          <w:tbl>
            <w:tblPr>
              <w:tblStyle w:val="28"/>
              <w:tblW w:w="5000" w:type="pct"/>
              <w:tblInd w:w="0" w:type="dxa"/>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473"/>
              <w:gridCol w:w="1341"/>
              <w:gridCol w:w="1341"/>
              <w:gridCol w:w="1341"/>
              <w:gridCol w:w="1341"/>
              <w:gridCol w:w="1341"/>
            </w:tblGrid>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trPr>
              <w:tc>
                <w:tcPr>
                  <w:tcW w:w="1697" w:type="dxa"/>
                  <w:tcBorders>
                    <w:top w:val="single" w:color="auto" w:sz="12" w:space="0"/>
                    <w:left w:val="nil"/>
                    <w:bottom w:val="single" w:color="auto" w:sz="6" w:space="0"/>
                    <w:right w:val="single" w:color="auto" w:sz="6" w:space="0"/>
                    <w:tl2br w:val="single" w:color="auto" w:sz="4" w:space="0"/>
                  </w:tcBorders>
                  <w:noWrap w:val="0"/>
                  <w:vAlign w:val="center"/>
                </w:tcPr>
                <w:p>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jc w:val="right"/>
                    <w:textAlignment w:val="auto"/>
                    <w:rPr>
                      <w:color w:val="auto"/>
                      <w:sz w:val="21"/>
                      <w:szCs w:val="21"/>
                      <w:highlight w:val="none"/>
                      <w:lang w:val="en-GB"/>
                    </w:rPr>
                  </w:pPr>
                  <w:r>
                    <w:rPr>
                      <w:color w:val="auto"/>
                      <w:sz w:val="21"/>
                      <w:szCs w:val="21"/>
                      <w:highlight w:val="none"/>
                      <w:lang w:val="en-GB"/>
                    </w:rPr>
                    <w:t xml:space="preserve">  排放部位</w:t>
                  </w:r>
                </w:p>
                <w:p>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color w:val="auto"/>
                      <w:sz w:val="21"/>
                      <w:szCs w:val="21"/>
                      <w:highlight w:val="none"/>
                      <w:lang w:val="en-GB"/>
                    </w:rPr>
                  </w:pPr>
                  <w:r>
                    <w:rPr>
                      <w:color w:val="auto"/>
                      <w:sz w:val="21"/>
                      <w:szCs w:val="21"/>
                      <w:highlight w:val="none"/>
                      <w:lang w:val="en-GB"/>
                    </w:rPr>
                    <w:t>项目</w:t>
                  </w:r>
                </w:p>
              </w:tc>
              <w:tc>
                <w:tcPr>
                  <w:tcW w:w="1537" w:type="dxa"/>
                  <w:tcBorders>
                    <w:top w:val="single" w:color="auto" w:sz="12" w:space="0"/>
                    <w:left w:val="single" w:color="auto" w:sz="6" w:space="0"/>
                    <w:bottom w:val="single" w:color="auto" w:sz="6" w:space="0"/>
                    <w:right w:val="single" w:color="auto" w:sz="6" w:space="0"/>
                  </w:tcBorders>
                  <w:noWrap w:val="0"/>
                  <w:vAlign w:val="center"/>
                </w:tcPr>
                <w:p>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lang w:val="en-GB"/>
                    </w:rPr>
                  </w:pPr>
                  <w:r>
                    <w:rPr>
                      <w:color w:val="auto"/>
                      <w:sz w:val="21"/>
                      <w:szCs w:val="21"/>
                      <w:highlight w:val="none"/>
                      <w:lang w:val="en-GB"/>
                    </w:rPr>
                    <w:t>污水排放口</w:t>
                  </w:r>
                </w:p>
              </w:tc>
              <w:tc>
                <w:tcPr>
                  <w:tcW w:w="1537" w:type="dxa"/>
                  <w:tcBorders>
                    <w:top w:val="single" w:color="auto" w:sz="12" w:space="0"/>
                    <w:left w:val="single" w:color="auto" w:sz="6" w:space="0"/>
                    <w:bottom w:val="single" w:color="auto" w:sz="6" w:space="0"/>
                    <w:right w:val="single" w:color="auto" w:sz="6" w:space="0"/>
                  </w:tcBorders>
                  <w:noWrap w:val="0"/>
                  <w:vAlign w:val="center"/>
                </w:tcPr>
                <w:p>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lang w:val="en-GB"/>
                    </w:rPr>
                  </w:pPr>
                  <w:r>
                    <w:rPr>
                      <w:color w:val="auto"/>
                      <w:sz w:val="21"/>
                      <w:szCs w:val="21"/>
                      <w:highlight w:val="none"/>
                      <w:lang w:val="en-GB"/>
                    </w:rPr>
                    <w:t>废气排放口</w:t>
                  </w:r>
                </w:p>
              </w:tc>
              <w:tc>
                <w:tcPr>
                  <w:tcW w:w="1537" w:type="dxa"/>
                  <w:tcBorders>
                    <w:top w:val="single" w:color="auto" w:sz="12" w:space="0"/>
                    <w:left w:val="single" w:color="auto" w:sz="6" w:space="0"/>
                    <w:bottom w:val="single" w:color="auto" w:sz="6" w:space="0"/>
                    <w:right w:val="single" w:color="auto" w:sz="6" w:space="0"/>
                  </w:tcBorders>
                  <w:noWrap w:val="0"/>
                  <w:vAlign w:val="center"/>
                </w:tcPr>
                <w:p>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lang w:val="en-GB"/>
                    </w:rPr>
                  </w:pPr>
                  <w:r>
                    <w:rPr>
                      <w:color w:val="auto"/>
                      <w:sz w:val="21"/>
                      <w:szCs w:val="21"/>
                      <w:highlight w:val="none"/>
                      <w:lang w:val="en-GB"/>
                    </w:rPr>
                    <w:t>噪声排放源</w:t>
                  </w:r>
                </w:p>
              </w:tc>
              <w:tc>
                <w:tcPr>
                  <w:tcW w:w="1536" w:type="dxa"/>
                  <w:tcBorders>
                    <w:top w:val="single" w:color="auto" w:sz="12" w:space="0"/>
                    <w:left w:val="single" w:color="auto" w:sz="6" w:space="0"/>
                    <w:bottom w:val="single" w:color="auto" w:sz="6" w:space="0"/>
                    <w:right w:val="single" w:color="auto" w:sz="6" w:space="0"/>
                  </w:tcBorders>
                  <w:noWrap w:val="0"/>
                  <w:vAlign w:val="center"/>
                </w:tcPr>
                <w:p>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lang w:val="en-GB"/>
                    </w:rPr>
                  </w:pPr>
                  <w:r>
                    <w:rPr>
                      <w:color w:val="auto"/>
                      <w:sz w:val="21"/>
                      <w:szCs w:val="21"/>
                      <w:highlight w:val="none"/>
                      <w:lang w:val="en-GB"/>
                    </w:rPr>
                    <w:t>一般固体</w:t>
                  </w:r>
                </w:p>
                <w:p>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lang w:val="en-GB"/>
                    </w:rPr>
                  </w:pPr>
                  <w:r>
                    <w:rPr>
                      <w:color w:val="auto"/>
                      <w:sz w:val="21"/>
                      <w:szCs w:val="21"/>
                      <w:highlight w:val="none"/>
                      <w:lang w:val="en-GB"/>
                    </w:rPr>
                    <w:t>废物</w:t>
                  </w:r>
                </w:p>
              </w:tc>
              <w:tc>
                <w:tcPr>
                  <w:tcW w:w="1536" w:type="dxa"/>
                  <w:tcBorders>
                    <w:top w:val="single" w:color="auto" w:sz="12" w:space="0"/>
                    <w:left w:val="single" w:color="auto" w:sz="6" w:space="0"/>
                    <w:bottom w:val="single" w:color="auto" w:sz="6" w:space="0"/>
                    <w:right w:val="nil"/>
                  </w:tcBorders>
                  <w:noWrap w:val="0"/>
                  <w:vAlign w:val="center"/>
                </w:tcPr>
                <w:p>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lang w:val="en-GB"/>
                    </w:rPr>
                  </w:pPr>
                  <w:r>
                    <w:rPr>
                      <w:color w:val="auto"/>
                      <w:sz w:val="21"/>
                      <w:szCs w:val="21"/>
                      <w:highlight w:val="none"/>
                      <w:lang w:val="en-GB"/>
                    </w:rPr>
                    <w:t>危险废物</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trPr>
              <w:tc>
                <w:tcPr>
                  <w:tcW w:w="1697" w:type="dxa"/>
                  <w:tcBorders>
                    <w:top w:val="single" w:color="auto" w:sz="6" w:space="0"/>
                    <w:left w:val="nil"/>
                    <w:bottom w:val="single" w:color="auto" w:sz="6" w:space="0"/>
                    <w:right w:val="single" w:color="auto" w:sz="6" w:space="0"/>
                  </w:tcBorders>
                  <w:noWrap w:val="0"/>
                  <w:vAlign w:val="center"/>
                </w:tcPr>
                <w:p>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lang w:val="en-GB"/>
                    </w:rPr>
                  </w:pPr>
                  <w:r>
                    <w:rPr>
                      <w:color w:val="auto"/>
                      <w:sz w:val="21"/>
                      <w:szCs w:val="21"/>
                      <w:highlight w:val="none"/>
                      <w:lang w:val="en-GB"/>
                    </w:rPr>
                    <w:t>图形符号</w:t>
                  </w:r>
                </w:p>
              </w:tc>
              <w:tc>
                <w:tcPr>
                  <w:tcW w:w="1537"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highlight w:val="none"/>
                      <w:lang w:val="en-GB"/>
                    </w:rPr>
                  </w:pPr>
                  <w:r>
                    <w:rPr>
                      <w:rFonts w:ascii="Times New Roman" w:hAnsi="Times New Roman" w:cs="Times New Roman"/>
                      <w:color w:val="auto"/>
                      <w:sz w:val="21"/>
                      <w:szCs w:val="21"/>
                      <w:highlight w:val="none"/>
                    </w:rPr>
                    <w:drawing>
                      <wp:anchor distT="0" distB="0" distL="114300" distR="114300" simplePos="0" relativeHeight="251661312" behindDoc="0" locked="0" layoutInCell="1" allowOverlap="1">
                        <wp:simplePos x="0" y="0"/>
                        <wp:positionH relativeFrom="column">
                          <wp:posOffset>37465</wp:posOffset>
                        </wp:positionH>
                        <wp:positionV relativeFrom="paragraph">
                          <wp:posOffset>24130</wp:posOffset>
                        </wp:positionV>
                        <wp:extent cx="536575" cy="536575"/>
                        <wp:effectExtent l="0" t="0" r="15875" b="15875"/>
                        <wp:wrapNone/>
                        <wp:docPr id="17" name="图片 645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454" descr="1"/>
                                <pic:cNvPicPr>
                                  <a:picLocks noChangeAspect="1"/>
                                </pic:cNvPicPr>
                              </pic:nvPicPr>
                              <pic:blipFill>
                                <a:blip r:embed="rId43"/>
                                <a:stretch>
                                  <a:fillRect/>
                                </a:stretch>
                              </pic:blipFill>
                              <pic:spPr>
                                <a:xfrm>
                                  <a:off x="0" y="0"/>
                                  <a:ext cx="536575" cy="53657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highlight w:val="none"/>
                      <w:lang w:val="en-GB"/>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highlight w:val="none"/>
                      <w:lang w:val="en-GB"/>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highlight w:val="none"/>
                      <w:lang w:val="en-GB"/>
                    </w:rPr>
                  </w:pPr>
                </w:p>
              </w:tc>
              <w:tc>
                <w:tcPr>
                  <w:tcW w:w="1537"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highlight w:val="none"/>
                      <w:lang w:val="en-GB"/>
                    </w:rPr>
                  </w:pPr>
                  <w:r>
                    <w:rPr>
                      <w:rFonts w:ascii="Times New Roman" w:hAnsi="Times New Roman" w:cs="Times New Roman"/>
                      <w:color w:val="auto"/>
                      <w:sz w:val="21"/>
                      <w:szCs w:val="21"/>
                      <w:highlight w:val="none"/>
                    </w:rPr>
                    <w:drawing>
                      <wp:anchor distT="0" distB="0" distL="114300" distR="114300" simplePos="0" relativeHeight="251662336" behindDoc="0" locked="0" layoutInCell="1" allowOverlap="1">
                        <wp:simplePos x="0" y="0"/>
                        <wp:positionH relativeFrom="column">
                          <wp:posOffset>26035</wp:posOffset>
                        </wp:positionH>
                        <wp:positionV relativeFrom="paragraph">
                          <wp:posOffset>12700</wp:posOffset>
                        </wp:positionV>
                        <wp:extent cx="573405" cy="573405"/>
                        <wp:effectExtent l="0" t="0" r="17145" b="17145"/>
                        <wp:wrapNone/>
                        <wp:docPr id="28" name="图片 6455"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455" descr="点击看大图及详细资料"/>
                                <pic:cNvPicPr>
                                  <a:picLocks noChangeAspect="1"/>
                                </pic:cNvPicPr>
                              </pic:nvPicPr>
                              <pic:blipFill>
                                <a:blip r:embed="rId44"/>
                                <a:stretch>
                                  <a:fillRect/>
                                </a:stretch>
                              </pic:blipFill>
                              <pic:spPr>
                                <a:xfrm>
                                  <a:off x="0" y="0"/>
                                  <a:ext cx="573405" cy="57340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highlight w:val="none"/>
                      <w:lang w:val="en-GB"/>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highlight w:val="none"/>
                      <w:lang w:val="en-GB"/>
                    </w:rPr>
                  </w:pPr>
                </w:p>
              </w:tc>
              <w:tc>
                <w:tcPr>
                  <w:tcW w:w="1537"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highlight w:val="none"/>
                      <w:lang w:val="en-GB"/>
                    </w:rPr>
                  </w:pPr>
                  <w:r>
                    <w:rPr>
                      <w:rFonts w:ascii="Times New Roman" w:hAnsi="Times New Roman" w:cs="Times New Roman"/>
                      <w:color w:val="auto"/>
                      <w:sz w:val="21"/>
                      <w:szCs w:val="21"/>
                      <w:highlight w:val="none"/>
                    </w:rPr>
                    <w:drawing>
                      <wp:anchor distT="0" distB="0" distL="114300" distR="114300" simplePos="0" relativeHeight="251663360" behindDoc="0" locked="0" layoutInCell="1" allowOverlap="1">
                        <wp:simplePos x="0" y="0"/>
                        <wp:positionH relativeFrom="column">
                          <wp:posOffset>21590</wp:posOffset>
                        </wp:positionH>
                        <wp:positionV relativeFrom="paragraph">
                          <wp:posOffset>21590</wp:posOffset>
                        </wp:positionV>
                        <wp:extent cx="574675" cy="574675"/>
                        <wp:effectExtent l="0" t="0" r="15875" b="15875"/>
                        <wp:wrapNone/>
                        <wp:docPr id="59" name="图片 6456"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456" descr="点击看大图及详细资料"/>
                                <pic:cNvPicPr>
                                  <a:picLocks noChangeAspect="1"/>
                                </pic:cNvPicPr>
                              </pic:nvPicPr>
                              <pic:blipFill>
                                <a:blip r:embed="rId45"/>
                                <a:stretch>
                                  <a:fillRect/>
                                </a:stretch>
                              </pic:blipFill>
                              <pic:spPr>
                                <a:xfrm>
                                  <a:off x="0" y="0"/>
                                  <a:ext cx="574675" cy="57467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highlight w:val="none"/>
                      <w:lang w:val="en-GB"/>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highlight w:val="none"/>
                      <w:lang w:val="en-GB"/>
                    </w:rPr>
                  </w:pPr>
                </w:p>
              </w:tc>
              <w:tc>
                <w:tcPr>
                  <w:tcW w:w="1536"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highlight w:val="none"/>
                      <w:lang w:val="en-GB"/>
                    </w:rPr>
                  </w:pPr>
                  <w:r>
                    <w:rPr>
                      <w:rFonts w:ascii="Times New Roman" w:hAnsi="Times New Roman" w:cs="Times New Roman"/>
                      <w:color w:val="auto"/>
                      <w:sz w:val="21"/>
                      <w:szCs w:val="21"/>
                      <w:highlight w:val="none"/>
                    </w:rPr>
                    <w:drawing>
                      <wp:anchor distT="0" distB="0" distL="114300" distR="114300" simplePos="0" relativeHeight="251664384" behindDoc="0" locked="0" layoutInCell="1" allowOverlap="1">
                        <wp:simplePos x="0" y="0"/>
                        <wp:positionH relativeFrom="column">
                          <wp:posOffset>60960</wp:posOffset>
                        </wp:positionH>
                        <wp:positionV relativeFrom="paragraph">
                          <wp:posOffset>12065</wp:posOffset>
                        </wp:positionV>
                        <wp:extent cx="497205" cy="603250"/>
                        <wp:effectExtent l="0" t="0" r="17145" b="6350"/>
                        <wp:wrapNone/>
                        <wp:docPr id="101" name="图片 6457" descr="一般固废"/>
                        <wp:cNvGraphicFramePr/>
                        <a:graphic xmlns:a="http://schemas.openxmlformats.org/drawingml/2006/main">
                          <a:graphicData uri="http://schemas.openxmlformats.org/drawingml/2006/picture">
                            <pic:pic xmlns:pic="http://schemas.openxmlformats.org/drawingml/2006/picture">
                              <pic:nvPicPr>
                                <pic:cNvPr id="101" name="图片 6457" descr="一般固废"/>
                                <pic:cNvPicPr preferRelativeResize="0"/>
                              </pic:nvPicPr>
                              <pic:blipFill>
                                <a:blip r:embed="rId46"/>
                                <a:stretch>
                                  <a:fillRect/>
                                </a:stretch>
                              </pic:blipFill>
                              <pic:spPr>
                                <a:xfrm>
                                  <a:off x="0" y="0"/>
                                  <a:ext cx="497205" cy="603250"/>
                                </a:xfrm>
                                <a:prstGeom prst="rect">
                                  <a:avLst/>
                                </a:prstGeom>
                                <a:noFill/>
                                <a:ln>
                                  <a:noFill/>
                                </a:ln>
                              </pic:spPr>
                            </pic:pic>
                          </a:graphicData>
                        </a:graphic>
                      </wp:anchor>
                    </w:drawing>
                  </w:r>
                </w:p>
              </w:tc>
              <w:tc>
                <w:tcPr>
                  <w:tcW w:w="1536" w:type="dxa"/>
                  <w:tcBorders>
                    <w:top w:val="single" w:color="auto" w:sz="6" w:space="0"/>
                    <w:left w:val="single" w:color="auto" w:sz="6" w:space="0"/>
                    <w:bottom w:val="single" w:color="auto" w:sz="6" w:space="0"/>
                    <w:right w:val="nil"/>
                  </w:tcBorders>
                  <w:noWrap w:val="0"/>
                  <w:vAlign w:val="center"/>
                </w:tcPr>
                <w:p>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lang w:val="en-GB"/>
                    </w:rPr>
                  </w:pPr>
                  <w:r>
                    <w:rPr>
                      <w:rFonts w:hint="eastAsia" w:eastAsia="宋体"/>
                      <w:color w:val="auto"/>
                      <w:sz w:val="21"/>
                      <w:szCs w:val="21"/>
                      <w:highlight w:val="none"/>
                      <w:lang w:val="en-GB" w:eastAsia="zh-CN"/>
                    </w:rPr>
                    <w:drawing>
                      <wp:inline distT="0" distB="0" distL="114300" distR="114300">
                        <wp:extent cx="625475" cy="564515"/>
                        <wp:effectExtent l="0" t="0" r="3175" b="6985"/>
                        <wp:docPr id="291" name="图片 18" descr="167754407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18" descr="1677544073116"/>
                                <pic:cNvPicPr>
                                  <a:picLocks noChangeAspect="1"/>
                                </pic:cNvPicPr>
                              </pic:nvPicPr>
                              <pic:blipFill>
                                <a:blip r:embed="rId47"/>
                                <a:stretch>
                                  <a:fillRect/>
                                </a:stretch>
                              </pic:blipFill>
                              <pic:spPr>
                                <a:xfrm>
                                  <a:off x="0" y="0"/>
                                  <a:ext cx="625475" cy="56451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trPr>
              <w:tc>
                <w:tcPr>
                  <w:tcW w:w="1697" w:type="dxa"/>
                  <w:tcBorders>
                    <w:top w:val="single" w:color="auto" w:sz="6" w:space="0"/>
                    <w:left w:val="nil"/>
                    <w:bottom w:val="single" w:color="auto" w:sz="6" w:space="0"/>
                    <w:right w:val="single" w:color="auto" w:sz="6" w:space="0"/>
                  </w:tcBorders>
                  <w:noWrap w:val="0"/>
                  <w:vAlign w:val="center"/>
                </w:tcPr>
                <w:p>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lang w:val="en-GB"/>
                    </w:rPr>
                  </w:pPr>
                  <w:r>
                    <w:rPr>
                      <w:color w:val="auto"/>
                      <w:sz w:val="21"/>
                      <w:szCs w:val="21"/>
                      <w:highlight w:val="none"/>
                      <w:lang w:val="en-GB"/>
                    </w:rPr>
                    <w:t>形状</w:t>
                  </w:r>
                </w:p>
              </w:tc>
              <w:tc>
                <w:tcPr>
                  <w:tcW w:w="1537" w:type="dxa"/>
                  <w:tcBorders>
                    <w:top w:val="single" w:color="auto" w:sz="6" w:space="0"/>
                    <w:left w:val="single" w:color="auto" w:sz="6" w:space="0"/>
                    <w:bottom w:val="single" w:color="auto" w:sz="6" w:space="0"/>
                    <w:right w:val="single" w:color="auto" w:sz="6" w:space="0"/>
                  </w:tcBorders>
                  <w:noWrap w:val="0"/>
                  <w:vAlign w:val="center"/>
                </w:tcPr>
                <w:p>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lang w:val="en-GB"/>
                    </w:rPr>
                  </w:pPr>
                  <w:r>
                    <w:rPr>
                      <w:color w:val="auto"/>
                      <w:sz w:val="21"/>
                      <w:szCs w:val="21"/>
                      <w:highlight w:val="none"/>
                      <w:lang w:val="en-GB"/>
                    </w:rPr>
                    <w:t>正方形边框</w:t>
                  </w:r>
                </w:p>
              </w:tc>
              <w:tc>
                <w:tcPr>
                  <w:tcW w:w="1537" w:type="dxa"/>
                  <w:tcBorders>
                    <w:top w:val="single" w:color="auto" w:sz="6" w:space="0"/>
                    <w:left w:val="single" w:color="auto" w:sz="6" w:space="0"/>
                    <w:bottom w:val="single" w:color="auto" w:sz="6" w:space="0"/>
                    <w:right w:val="single" w:color="auto" w:sz="6" w:space="0"/>
                  </w:tcBorders>
                  <w:noWrap w:val="0"/>
                  <w:vAlign w:val="center"/>
                </w:tcPr>
                <w:p>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lang w:val="en-GB"/>
                    </w:rPr>
                  </w:pPr>
                  <w:r>
                    <w:rPr>
                      <w:color w:val="auto"/>
                      <w:sz w:val="21"/>
                      <w:szCs w:val="21"/>
                      <w:highlight w:val="none"/>
                      <w:lang w:val="en-GB"/>
                    </w:rPr>
                    <w:t>正方形边框</w:t>
                  </w:r>
                </w:p>
              </w:tc>
              <w:tc>
                <w:tcPr>
                  <w:tcW w:w="1537" w:type="dxa"/>
                  <w:tcBorders>
                    <w:top w:val="single" w:color="auto" w:sz="6" w:space="0"/>
                    <w:left w:val="single" w:color="auto" w:sz="6" w:space="0"/>
                    <w:bottom w:val="single" w:color="auto" w:sz="6" w:space="0"/>
                    <w:right w:val="single" w:color="auto" w:sz="6" w:space="0"/>
                  </w:tcBorders>
                  <w:noWrap w:val="0"/>
                  <w:vAlign w:val="center"/>
                </w:tcPr>
                <w:p>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lang w:val="en-GB"/>
                    </w:rPr>
                  </w:pPr>
                  <w:r>
                    <w:rPr>
                      <w:color w:val="auto"/>
                      <w:sz w:val="21"/>
                      <w:szCs w:val="21"/>
                      <w:highlight w:val="none"/>
                      <w:lang w:val="en-GB"/>
                    </w:rPr>
                    <w:t>正方形边框</w:t>
                  </w:r>
                </w:p>
              </w:tc>
              <w:tc>
                <w:tcPr>
                  <w:tcW w:w="1536" w:type="dxa"/>
                  <w:tcBorders>
                    <w:top w:val="single" w:color="auto" w:sz="6" w:space="0"/>
                    <w:left w:val="single" w:color="auto" w:sz="6" w:space="0"/>
                    <w:bottom w:val="single" w:color="auto" w:sz="6" w:space="0"/>
                    <w:right w:val="single" w:color="auto" w:sz="6" w:space="0"/>
                  </w:tcBorders>
                  <w:noWrap w:val="0"/>
                  <w:vAlign w:val="center"/>
                </w:tcPr>
                <w:p>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lang w:val="en-GB"/>
                    </w:rPr>
                  </w:pPr>
                  <w:r>
                    <w:rPr>
                      <w:color w:val="auto"/>
                      <w:sz w:val="21"/>
                      <w:szCs w:val="21"/>
                      <w:highlight w:val="none"/>
                      <w:lang w:val="en-GB"/>
                    </w:rPr>
                    <w:t>正方形边框</w:t>
                  </w:r>
                </w:p>
              </w:tc>
              <w:tc>
                <w:tcPr>
                  <w:tcW w:w="1536" w:type="dxa"/>
                  <w:tcBorders>
                    <w:top w:val="single" w:color="auto" w:sz="6" w:space="0"/>
                    <w:left w:val="single" w:color="auto" w:sz="6" w:space="0"/>
                    <w:bottom w:val="single" w:color="auto" w:sz="6" w:space="0"/>
                    <w:right w:val="nil"/>
                  </w:tcBorders>
                  <w:noWrap w:val="0"/>
                  <w:vAlign w:val="center"/>
                </w:tcPr>
                <w:p>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lang w:val="en-GB"/>
                    </w:rPr>
                  </w:pPr>
                  <w:r>
                    <w:rPr>
                      <w:color w:val="auto"/>
                      <w:sz w:val="21"/>
                      <w:szCs w:val="21"/>
                      <w:highlight w:val="none"/>
                      <w:lang w:val="en-GB"/>
                    </w:rPr>
                    <w:t>正方形边框</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trPr>
              <w:tc>
                <w:tcPr>
                  <w:tcW w:w="1697" w:type="dxa"/>
                  <w:tcBorders>
                    <w:top w:val="single" w:color="auto" w:sz="6" w:space="0"/>
                    <w:left w:val="nil"/>
                    <w:bottom w:val="single" w:color="auto" w:sz="6" w:space="0"/>
                    <w:right w:val="single" w:color="auto" w:sz="6" w:space="0"/>
                  </w:tcBorders>
                  <w:noWrap w:val="0"/>
                  <w:vAlign w:val="center"/>
                </w:tcPr>
                <w:p>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lang w:val="en-GB"/>
                    </w:rPr>
                  </w:pPr>
                  <w:r>
                    <w:rPr>
                      <w:color w:val="auto"/>
                      <w:sz w:val="21"/>
                      <w:szCs w:val="21"/>
                      <w:highlight w:val="none"/>
                      <w:lang w:val="en-GB"/>
                    </w:rPr>
                    <w:t>背景颜色</w:t>
                  </w:r>
                </w:p>
              </w:tc>
              <w:tc>
                <w:tcPr>
                  <w:tcW w:w="1537" w:type="dxa"/>
                  <w:tcBorders>
                    <w:top w:val="single" w:color="auto" w:sz="6" w:space="0"/>
                    <w:left w:val="single" w:color="auto" w:sz="6" w:space="0"/>
                    <w:bottom w:val="single" w:color="auto" w:sz="6" w:space="0"/>
                    <w:right w:val="single" w:color="auto" w:sz="6" w:space="0"/>
                  </w:tcBorders>
                  <w:noWrap w:val="0"/>
                  <w:vAlign w:val="center"/>
                </w:tcPr>
                <w:p>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lang w:val="en-GB"/>
                    </w:rPr>
                  </w:pPr>
                  <w:r>
                    <w:rPr>
                      <w:color w:val="auto"/>
                      <w:sz w:val="21"/>
                      <w:szCs w:val="21"/>
                      <w:highlight w:val="none"/>
                      <w:lang w:val="en-GB"/>
                    </w:rPr>
                    <w:t>绿色</w:t>
                  </w:r>
                </w:p>
              </w:tc>
              <w:tc>
                <w:tcPr>
                  <w:tcW w:w="1537" w:type="dxa"/>
                  <w:tcBorders>
                    <w:top w:val="single" w:color="auto" w:sz="6" w:space="0"/>
                    <w:left w:val="single" w:color="auto" w:sz="6" w:space="0"/>
                    <w:bottom w:val="single" w:color="auto" w:sz="6" w:space="0"/>
                    <w:right w:val="single" w:color="auto" w:sz="6" w:space="0"/>
                  </w:tcBorders>
                  <w:noWrap w:val="0"/>
                  <w:vAlign w:val="center"/>
                </w:tcPr>
                <w:p>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lang w:val="en-GB"/>
                    </w:rPr>
                  </w:pPr>
                  <w:r>
                    <w:rPr>
                      <w:color w:val="auto"/>
                      <w:sz w:val="21"/>
                      <w:szCs w:val="21"/>
                      <w:highlight w:val="none"/>
                      <w:lang w:val="en-GB"/>
                    </w:rPr>
                    <w:t>绿色</w:t>
                  </w:r>
                </w:p>
              </w:tc>
              <w:tc>
                <w:tcPr>
                  <w:tcW w:w="1537" w:type="dxa"/>
                  <w:tcBorders>
                    <w:top w:val="single" w:color="auto" w:sz="6" w:space="0"/>
                    <w:left w:val="single" w:color="auto" w:sz="6" w:space="0"/>
                    <w:bottom w:val="single" w:color="auto" w:sz="6" w:space="0"/>
                    <w:right w:val="single" w:color="auto" w:sz="6" w:space="0"/>
                  </w:tcBorders>
                  <w:noWrap w:val="0"/>
                  <w:vAlign w:val="center"/>
                </w:tcPr>
                <w:p>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lang w:val="en-GB"/>
                    </w:rPr>
                  </w:pPr>
                  <w:r>
                    <w:rPr>
                      <w:color w:val="auto"/>
                      <w:sz w:val="21"/>
                      <w:szCs w:val="21"/>
                      <w:highlight w:val="none"/>
                      <w:lang w:val="en-GB"/>
                    </w:rPr>
                    <w:t>绿色</w:t>
                  </w:r>
                </w:p>
              </w:tc>
              <w:tc>
                <w:tcPr>
                  <w:tcW w:w="1536" w:type="dxa"/>
                  <w:tcBorders>
                    <w:top w:val="single" w:color="auto" w:sz="6" w:space="0"/>
                    <w:left w:val="single" w:color="auto" w:sz="6" w:space="0"/>
                    <w:bottom w:val="single" w:color="auto" w:sz="6" w:space="0"/>
                    <w:right w:val="single" w:color="auto" w:sz="6" w:space="0"/>
                  </w:tcBorders>
                  <w:noWrap w:val="0"/>
                  <w:vAlign w:val="center"/>
                </w:tcPr>
                <w:p>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lang w:val="en-GB"/>
                    </w:rPr>
                  </w:pPr>
                  <w:r>
                    <w:rPr>
                      <w:color w:val="auto"/>
                      <w:sz w:val="21"/>
                      <w:szCs w:val="21"/>
                      <w:highlight w:val="none"/>
                      <w:lang w:val="en-GB"/>
                    </w:rPr>
                    <w:t>黄色</w:t>
                  </w:r>
                </w:p>
              </w:tc>
              <w:tc>
                <w:tcPr>
                  <w:tcW w:w="1536" w:type="dxa"/>
                  <w:tcBorders>
                    <w:top w:val="single" w:color="auto" w:sz="6" w:space="0"/>
                    <w:left w:val="single" w:color="auto" w:sz="6" w:space="0"/>
                    <w:bottom w:val="single" w:color="auto" w:sz="6" w:space="0"/>
                    <w:right w:val="nil"/>
                  </w:tcBorders>
                  <w:noWrap w:val="0"/>
                  <w:vAlign w:val="center"/>
                </w:tcPr>
                <w:p>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lang w:val="en-GB"/>
                    </w:rPr>
                  </w:pPr>
                  <w:r>
                    <w:rPr>
                      <w:color w:val="auto"/>
                      <w:sz w:val="21"/>
                      <w:szCs w:val="21"/>
                      <w:highlight w:val="none"/>
                      <w:lang w:val="en-GB"/>
                    </w:rPr>
                    <w:t>黄色</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trPr>
              <w:tc>
                <w:tcPr>
                  <w:tcW w:w="1697" w:type="dxa"/>
                  <w:tcBorders>
                    <w:top w:val="single" w:color="auto" w:sz="6" w:space="0"/>
                    <w:left w:val="nil"/>
                    <w:bottom w:val="single" w:color="auto" w:sz="12" w:space="0"/>
                    <w:right w:val="single" w:color="auto" w:sz="6" w:space="0"/>
                  </w:tcBorders>
                  <w:noWrap w:val="0"/>
                  <w:vAlign w:val="center"/>
                </w:tcPr>
                <w:p>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lang w:val="en-GB"/>
                    </w:rPr>
                  </w:pPr>
                  <w:r>
                    <w:rPr>
                      <w:color w:val="auto"/>
                      <w:sz w:val="21"/>
                      <w:szCs w:val="21"/>
                      <w:highlight w:val="none"/>
                      <w:lang w:val="en-GB"/>
                    </w:rPr>
                    <w:t>图形颜色</w:t>
                  </w:r>
                </w:p>
              </w:tc>
              <w:tc>
                <w:tcPr>
                  <w:tcW w:w="1537" w:type="dxa"/>
                  <w:tcBorders>
                    <w:top w:val="single" w:color="auto" w:sz="6" w:space="0"/>
                    <w:left w:val="single" w:color="auto" w:sz="6" w:space="0"/>
                    <w:bottom w:val="single" w:color="auto" w:sz="12" w:space="0"/>
                    <w:right w:val="single" w:color="auto" w:sz="6" w:space="0"/>
                  </w:tcBorders>
                  <w:noWrap w:val="0"/>
                  <w:vAlign w:val="center"/>
                </w:tcPr>
                <w:p>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lang w:val="en-GB"/>
                    </w:rPr>
                  </w:pPr>
                  <w:r>
                    <w:rPr>
                      <w:color w:val="auto"/>
                      <w:sz w:val="21"/>
                      <w:szCs w:val="21"/>
                      <w:highlight w:val="none"/>
                      <w:lang w:val="en-GB"/>
                    </w:rPr>
                    <w:t>白色</w:t>
                  </w:r>
                </w:p>
              </w:tc>
              <w:tc>
                <w:tcPr>
                  <w:tcW w:w="1537" w:type="dxa"/>
                  <w:tcBorders>
                    <w:top w:val="single" w:color="auto" w:sz="6" w:space="0"/>
                    <w:left w:val="single" w:color="auto" w:sz="6" w:space="0"/>
                    <w:bottom w:val="single" w:color="auto" w:sz="12" w:space="0"/>
                    <w:right w:val="single" w:color="auto" w:sz="6" w:space="0"/>
                  </w:tcBorders>
                  <w:noWrap w:val="0"/>
                  <w:vAlign w:val="center"/>
                </w:tcPr>
                <w:p>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lang w:val="en-GB"/>
                    </w:rPr>
                  </w:pPr>
                  <w:r>
                    <w:rPr>
                      <w:color w:val="auto"/>
                      <w:sz w:val="21"/>
                      <w:szCs w:val="21"/>
                      <w:highlight w:val="none"/>
                      <w:lang w:val="en-GB"/>
                    </w:rPr>
                    <w:t>白色</w:t>
                  </w:r>
                </w:p>
              </w:tc>
              <w:tc>
                <w:tcPr>
                  <w:tcW w:w="1537" w:type="dxa"/>
                  <w:tcBorders>
                    <w:top w:val="single" w:color="auto" w:sz="6" w:space="0"/>
                    <w:left w:val="single" w:color="auto" w:sz="6" w:space="0"/>
                    <w:bottom w:val="single" w:color="auto" w:sz="12" w:space="0"/>
                    <w:right w:val="single" w:color="auto" w:sz="6" w:space="0"/>
                  </w:tcBorders>
                  <w:noWrap w:val="0"/>
                  <w:vAlign w:val="center"/>
                </w:tcPr>
                <w:p>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lang w:val="en-GB"/>
                    </w:rPr>
                  </w:pPr>
                  <w:r>
                    <w:rPr>
                      <w:color w:val="auto"/>
                      <w:sz w:val="21"/>
                      <w:szCs w:val="21"/>
                      <w:highlight w:val="none"/>
                      <w:lang w:val="en-GB"/>
                    </w:rPr>
                    <w:t>白色</w:t>
                  </w:r>
                </w:p>
              </w:tc>
              <w:tc>
                <w:tcPr>
                  <w:tcW w:w="1536" w:type="dxa"/>
                  <w:tcBorders>
                    <w:top w:val="single" w:color="auto" w:sz="6" w:space="0"/>
                    <w:left w:val="single" w:color="auto" w:sz="6" w:space="0"/>
                    <w:bottom w:val="single" w:color="auto" w:sz="12" w:space="0"/>
                    <w:right w:val="single" w:color="auto" w:sz="6" w:space="0"/>
                  </w:tcBorders>
                  <w:noWrap w:val="0"/>
                  <w:vAlign w:val="center"/>
                </w:tcPr>
                <w:p>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lang w:val="en-GB"/>
                    </w:rPr>
                  </w:pPr>
                  <w:r>
                    <w:rPr>
                      <w:color w:val="auto"/>
                      <w:sz w:val="21"/>
                      <w:szCs w:val="21"/>
                      <w:highlight w:val="none"/>
                      <w:lang w:val="en-GB"/>
                    </w:rPr>
                    <w:t>黑色</w:t>
                  </w:r>
                </w:p>
              </w:tc>
              <w:tc>
                <w:tcPr>
                  <w:tcW w:w="1536" w:type="dxa"/>
                  <w:tcBorders>
                    <w:top w:val="single" w:color="auto" w:sz="6" w:space="0"/>
                    <w:left w:val="single" w:color="auto" w:sz="6" w:space="0"/>
                    <w:bottom w:val="single" w:color="auto" w:sz="12" w:space="0"/>
                    <w:right w:val="nil"/>
                  </w:tcBorders>
                  <w:noWrap w:val="0"/>
                  <w:vAlign w:val="center"/>
                </w:tcPr>
                <w:p>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lang w:val="en-GB"/>
                    </w:rPr>
                  </w:pPr>
                  <w:r>
                    <w:rPr>
                      <w:color w:val="auto"/>
                      <w:sz w:val="21"/>
                      <w:szCs w:val="21"/>
                      <w:highlight w:val="none"/>
                      <w:lang w:val="en-GB"/>
                    </w:rPr>
                    <w:t>黑色</w:t>
                  </w:r>
                </w:p>
              </w:tc>
            </w:tr>
          </w:tbl>
          <w:p>
            <w:pPr>
              <w:pStyle w:val="13"/>
              <w:keepNext w:val="0"/>
              <w:keepLines w:val="0"/>
              <w:pageBreakBefore w:val="0"/>
              <w:widowControl/>
              <w:kinsoku/>
              <w:wordWrap/>
              <w:overflowPunct/>
              <w:topLinePunct w:val="0"/>
              <w:autoSpaceDE/>
              <w:autoSpaceDN/>
              <w:bidi w:val="0"/>
              <w:adjustRightInd w:val="0"/>
              <w:snapToGrid w:val="0"/>
              <w:spacing w:before="0" w:after="0" w:line="360" w:lineRule="auto"/>
              <w:ind w:right="0" w:rightChars="0"/>
              <w:jc w:val="left"/>
              <w:textAlignment w:val="auto"/>
              <w:rPr>
                <w:rFonts w:hint="default"/>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87" w:hRule="atLeast"/>
          <w:jc w:val="center"/>
        </w:trPr>
        <w:tc>
          <w:tcPr>
            <w:tcW w:w="745" w:type="dxa"/>
            <w:noWrap w:val="0"/>
            <w:vAlign w:val="center"/>
          </w:tcPr>
          <w:p>
            <w:pPr>
              <w:keepNext w:val="0"/>
              <w:keepLines w:val="0"/>
              <w:pageBreakBefore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宋体" w:cs="Times New Roman"/>
                <w:color w:val="auto"/>
                <w:spacing w:val="-8"/>
                <w:sz w:val="24"/>
                <w:szCs w:val="24"/>
                <w:highlight w:val="none"/>
              </w:rPr>
            </w:pPr>
          </w:p>
        </w:tc>
        <w:tc>
          <w:tcPr>
            <w:tcW w:w="8395" w:type="dxa"/>
            <w:gridSpan w:val="4"/>
            <w:noWrap w:val="0"/>
            <w:vAlign w:val="top"/>
          </w:tcPr>
          <w:p>
            <w:pPr>
              <w:pStyle w:val="7"/>
              <w:keepNext w:val="0"/>
              <w:keepLines w:val="0"/>
              <w:pageBreakBefore w:val="0"/>
              <w:widowControl w:val="0"/>
              <w:tabs>
                <w:tab w:val="left" w:pos="900"/>
              </w:tabs>
              <w:kinsoku/>
              <w:wordWrap/>
              <w:overflowPunct/>
              <w:topLinePunct w:val="0"/>
              <w:autoSpaceDE/>
              <w:autoSpaceDN/>
              <w:bidi w:val="0"/>
              <w:adjustRightInd w:val="0"/>
              <w:snapToGrid w:val="0"/>
              <w:spacing w:before="157" w:beforeLines="50" w:after="0" w:afterLines="0" w:line="360" w:lineRule="auto"/>
              <w:ind w:right="0" w:rightChars="0" w:firstLine="0" w:firstLineChars="0"/>
              <w:textAlignment w:val="auto"/>
              <w:rPr>
                <w:rFonts w:hint="default"/>
                <w:color w:val="auto"/>
                <w:sz w:val="24"/>
                <w:szCs w:val="24"/>
                <w:highlight w:val="none"/>
              </w:rPr>
            </w:pPr>
            <w:bookmarkStart w:id="4" w:name="_Toc12476707"/>
            <w:bookmarkStart w:id="5" w:name="_Toc22293813"/>
            <w:bookmarkStart w:id="6" w:name="_Toc21676639"/>
            <w:bookmarkStart w:id="7" w:name="_Toc8083_WPSOffice_Level2"/>
            <w:bookmarkStart w:id="8" w:name="_Toc11517"/>
            <w:r>
              <w:rPr>
                <w:rFonts w:hint="default"/>
                <w:color w:val="auto"/>
                <w:sz w:val="24"/>
                <w:szCs w:val="24"/>
                <w:highlight w:val="none"/>
                <w:lang w:val="en-US" w:eastAsia="zh-CN"/>
              </w:rPr>
              <w:t>5.4</w:t>
            </w:r>
            <w:r>
              <w:rPr>
                <w:rFonts w:hint="default"/>
                <w:color w:val="auto"/>
                <w:sz w:val="24"/>
                <w:szCs w:val="24"/>
                <w:highlight w:val="none"/>
              </w:rPr>
              <w:t>环境影响经济损益分析</w:t>
            </w:r>
          </w:p>
          <w:p>
            <w:pPr>
              <w:pStyle w:val="13"/>
              <w:keepNext w:val="0"/>
              <w:keepLines w:val="0"/>
              <w:pageBreakBefore w:val="0"/>
              <w:kinsoku/>
              <w:wordWrap/>
              <w:overflowPunct/>
              <w:topLinePunct w:val="0"/>
              <w:autoSpaceDE/>
              <w:autoSpaceDN/>
              <w:bidi w:val="0"/>
              <w:adjustRightInd w:val="0"/>
              <w:snapToGrid w:val="0"/>
              <w:spacing w:before="0" w:after="0" w:line="360" w:lineRule="auto"/>
              <w:ind w:right="0" w:rightChars="0" w:firstLine="0" w:firstLineChars="0"/>
              <w:textAlignment w:val="auto"/>
              <w:rPr>
                <w:rFonts w:hint="default"/>
                <w:b/>
                <w:bCs/>
                <w:color w:val="auto"/>
                <w:sz w:val="24"/>
                <w:szCs w:val="24"/>
                <w:highlight w:val="none"/>
              </w:rPr>
            </w:pPr>
            <w:r>
              <w:rPr>
                <w:rFonts w:hint="default"/>
                <w:b/>
                <w:bCs/>
                <w:color w:val="auto"/>
                <w:sz w:val="24"/>
                <w:szCs w:val="24"/>
                <w:highlight w:val="none"/>
                <w:lang w:val="en-US" w:eastAsia="zh-CN"/>
              </w:rPr>
              <w:t>5.4</w:t>
            </w:r>
            <w:r>
              <w:rPr>
                <w:rFonts w:hint="default"/>
                <w:b/>
                <w:bCs/>
                <w:color w:val="auto"/>
                <w:sz w:val="24"/>
                <w:szCs w:val="24"/>
                <w:highlight w:val="none"/>
              </w:rPr>
              <w:t>.1 社会效益</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color w:val="auto"/>
                <w:sz w:val="24"/>
                <w:szCs w:val="24"/>
                <w:highlight w:val="none"/>
              </w:rPr>
            </w:pPr>
            <w:r>
              <w:rPr>
                <w:rFonts w:hint="default"/>
                <w:color w:val="auto"/>
                <w:sz w:val="24"/>
                <w:szCs w:val="24"/>
                <w:highlight w:val="none"/>
              </w:rPr>
              <w:t>项目的建设可确保</w:t>
            </w:r>
            <w:r>
              <w:rPr>
                <w:rFonts w:hint="eastAsia"/>
                <w:color w:val="auto"/>
                <w:sz w:val="24"/>
                <w:szCs w:val="24"/>
                <w:highlight w:val="none"/>
                <w:lang w:val="en-US" w:eastAsia="zh-CN"/>
              </w:rPr>
              <w:t>70</w:t>
            </w:r>
            <w:r>
              <w:rPr>
                <w:rFonts w:hint="default"/>
                <w:color w:val="auto"/>
                <w:sz w:val="24"/>
                <w:szCs w:val="24"/>
                <w:highlight w:val="none"/>
              </w:rPr>
              <w:t>名劳动力就业，缓解当前日益增加的就业压力，增进社会的稳定团结。同时项目运营带动上下游企业的发展，增加当地财政税收，促进地方经济的发展。因此，这是一项利在企业、利在社会的工程，具有一定的社会效益。</w:t>
            </w:r>
          </w:p>
          <w:p>
            <w:pPr>
              <w:pStyle w:val="13"/>
              <w:keepNext w:val="0"/>
              <w:keepLines w:val="0"/>
              <w:pageBreakBefore w:val="0"/>
              <w:kinsoku/>
              <w:wordWrap/>
              <w:overflowPunct/>
              <w:topLinePunct w:val="0"/>
              <w:autoSpaceDE/>
              <w:autoSpaceDN/>
              <w:bidi w:val="0"/>
              <w:adjustRightInd w:val="0"/>
              <w:snapToGrid w:val="0"/>
              <w:spacing w:before="0" w:after="0" w:line="360" w:lineRule="auto"/>
              <w:ind w:right="0" w:rightChars="0" w:firstLine="0" w:firstLineChars="0"/>
              <w:textAlignment w:val="auto"/>
              <w:rPr>
                <w:rFonts w:hint="default"/>
                <w:b/>
                <w:bCs/>
                <w:color w:val="auto"/>
                <w:sz w:val="24"/>
                <w:szCs w:val="24"/>
                <w:highlight w:val="none"/>
              </w:rPr>
            </w:pPr>
            <w:r>
              <w:rPr>
                <w:rFonts w:hint="default"/>
                <w:b/>
                <w:bCs/>
                <w:color w:val="auto"/>
                <w:sz w:val="24"/>
                <w:szCs w:val="24"/>
                <w:highlight w:val="none"/>
                <w:lang w:val="en-US" w:eastAsia="zh-CN"/>
              </w:rPr>
              <w:t>5.4</w:t>
            </w:r>
            <w:r>
              <w:rPr>
                <w:rFonts w:hint="default"/>
                <w:b/>
                <w:bCs/>
                <w:color w:val="auto"/>
                <w:sz w:val="24"/>
                <w:szCs w:val="24"/>
                <w:highlight w:val="none"/>
              </w:rPr>
              <w:t>.2环境效益</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rPr>
                <w:rFonts w:hint="default"/>
                <w:color w:val="auto"/>
                <w:sz w:val="24"/>
                <w:szCs w:val="24"/>
                <w:highlight w:val="none"/>
              </w:rPr>
            </w:pPr>
            <w:r>
              <w:rPr>
                <w:rFonts w:hint="default"/>
                <w:color w:val="auto"/>
                <w:sz w:val="24"/>
                <w:szCs w:val="24"/>
                <w:highlight w:val="none"/>
              </w:rPr>
              <w:t>环境工程投资是指建设工程为控制污染、实现污染物达标排放或回用及污染物排放总量控制所进行的必要投资，一般由治理费用和辅助费用组成，本评价仅估算其中一次性治理费用。建设项目环境工程投资估算详见表</w:t>
            </w:r>
            <w:r>
              <w:rPr>
                <w:rFonts w:hint="default"/>
                <w:color w:val="auto"/>
                <w:sz w:val="24"/>
                <w:szCs w:val="24"/>
                <w:highlight w:val="none"/>
                <w:lang w:val="en-US" w:eastAsia="zh-CN"/>
              </w:rPr>
              <w:t>5</w:t>
            </w:r>
            <w:r>
              <w:rPr>
                <w:rFonts w:hint="eastAsia"/>
                <w:color w:val="auto"/>
                <w:sz w:val="24"/>
                <w:szCs w:val="24"/>
                <w:highlight w:val="none"/>
                <w:lang w:val="en-US" w:eastAsia="zh-CN"/>
              </w:rPr>
              <w:t>.4</w:t>
            </w:r>
            <w:r>
              <w:rPr>
                <w:rFonts w:hint="default"/>
                <w:color w:val="auto"/>
                <w:sz w:val="24"/>
                <w:szCs w:val="24"/>
                <w:highlight w:val="none"/>
                <w:lang w:val="en-US" w:eastAsia="zh-CN"/>
              </w:rPr>
              <w:t>-</w:t>
            </w:r>
            <w:r>
              <w:rPr>
                <w:rFonts w:hint="eastAsia"/>
                <w:color w:val="auto"/>
                <w:sz w:val="24"/>
                <w:szCs w:val="24"/>
                <w:highlight w:val="none"/>
                <w:lang w:val="en-US" w:eastAsia="zh-CN"/>
              </w:rPr>
              <w:t>1</w:t>
            </w:r>
            <w:r>
              <w:rPr>
                <w:rFonts w:hint="default"/>
                <w:color w:val="auto"/>
                <w:sz w:val="24"/>
                <w:szCs w:val="24"/>
                <w:highlight w:val="none"/>
              </w:rPr>
              <w:t>。</w:t>
            </w:r>
          </w:p>
          <w:p>
            <w:pPr>
              <w:pStyle w:val="10"/>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line="360" w:lineRule="auto"/>
              <w:ind w:left="0" w:leftChars="0" w:right="0" w:rightChars="0"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表5</w:t>
            </w:r>
            <w:r>
              <w:rPr>
                <w:rFonts w:hint="eastAsia" w:asci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val="en-US" w:eastAsia="zh-CN"/>
              </w:rPr>
              <w:t>-</w:t>
            </w:r>
            <w:r>
              <w:rPr>
                <w:rFonts w:hint="eastAsia" w:asci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en-US" w:eastAsia="zh-CN"/>
              </w:rPr>
              <w:t>环保投资估算一览表</w:t>
            </w:r>
          </w:p>
          <w:tbl>
            <w:tblPr>
              <w:tblStyle w:val="28"/>
              <w:tblW w:w="477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0"/>
              <w:gridCol w:w="990"/>
              <w:gridCol w:w="4629"/>
              <w:gridCol w:w="12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b/>
                      <w:bCs/>
                      <w:color w:val="auto"/>
                      <w:sz w:val="21"/>
                      <w:szCs w:val="21"/>
                      <w:highlight w:val="none"/>
                      <w:lang w:val="en-US" w:eastAsia="zh-CN"/>
                    </w:rPr>
                  </w:pPr>
                  <w:r>
                    <w:rPr>
                      <w:rFonts w:hint="eastAsia"/>
                      <w:b/>
                      <w:bCs/>
                      <w:color w:val="auto"/>
                      <w:sz w:val="21"/>
                      <w:szCs w:val="21"/>
                      <w:highlight w:val="none"/>
                      <w:lang w:val="en-US" w:eastAsia="zh-CN"/>
                    </w:rPr>
                    <w:t>序号</w:t>
                  </w:r>
                </w:p>
              </w:tc>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b/>
                      <w:bCs/>
                      <w:color w:val="auto"/>
                      <w:sz w:val="21"/>
                      <w:szCs w:val="21"/>
                      <w:highlight w:val="none"/>
                    </w:rPr>
                  </w:pPr>
                  <w:r>
                    <w:rPr>
                      <w:rFonts w:hint="default"/>
                      <w:b/>
                      <w:bCs/>
                      <w:color w:val="auto"/>
                      <w:sz w:val="21"/>
                      <w:szCs w:val="21"/>
                      <w:highlight w:val="none"/>
                    </w:rPr>
                    <w:t>类别</w:t>
                  </w:r>
                </w:p>
              </w:tc>
              <w:tc>
                <w:tcPr>
                  <w:tcW w:w="29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b/>
                      <w:bCs/>
                      <w:color w:val="auto"/>
                      <w:sz w:val="21"/>
                      <w:szCs w:val="21"/>
                      <w:highlight w:val="none"/>
                    </w:rPr>
                  </w:pPr>
                  <w:r>
                    <w:rPr>
                      <w:rFonts w:hint="default"/>
                      <w:b/>
                      <w:bCs/>
                      <w:color w:val="auto"/>
                      <w:sz w:val="21"/>
                      <w:szCs w:val="21"/>
                      <w:highlight w:val="none"/>
                    </w:rPr>
                    <w:t>环保措施</w:t>
                  </w:r>
                </w:p>
              </w:tc>
              <w:tc>
                <w:tcPr>
                  <w:tcW w:w="7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b/>
                      <w:bCs/>
                      <w:color w:val="auto"/>
                      <w:sz w:val="21"/>
                      <w:szCs w:val="21"/>
                      <w:highlight w:val="none"/>
                    </w:rPr>
                  </w:pPr>
                  <w:r>
                    <w:rPr>
                      <w:rFonts w:hint="default"/>
                      <w:b/>
                      <w:bCs/>
                      <w:color w:val="auto"/>
                      <w:sz w:val="21"/>
                      <w:szCs w:val="21"/>
                      <w:highlight w:val="none"/>
                    </w:rPr>
                    <w:t>金额</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1</w:t>
                  </w:r>
                </w:p>
              </w:tc>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废水</w:t>
                  </w:r>
                </w:p>
              </w:tc>
              <w:tc>
                <w:tcPr>
                  <w:tcW w:w="29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隔油池+化粪池+纳管</w:t>
                  </w:r>
                </w:p>
              </w:tc>
              <w:tc>
                <w:tcPr>
                  <w:tcW w:w="7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2</w:t>
                  </w:r>
                </w:p>
              </w:tc>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sz w:val="21"/>
                      <w:szCs w:val="21"/>
                      <w:highlight w:val="none"/>
                    </w:rPr>
                  </w:pPr>
                  <w:r>
                    <w:rPr>
                      <w:rFonts w:hint="eastAsia"/>
                      <w:color w:val="auto"/>
                      <w:sz w:val="21"/>
                      <w:szCs w:val="21"/>
                      <w:highlight w:val="none"/>
                      <w:lang w:val="en-US" w:eastAsia="zh-CN"/>
                    </w:rPr>
                    <w:t>废气</w:t>
                  </w:r>
                </w:p>
              </w:tc>
              <w:tc>
                <w:tcPr>
                  <w:tcW w:w="2963" w:type="pct"/>
                  <w:tcBorders>
                    <w:tl2br w:val="nil"/>
                    <w:tr2bl w:val="nil"/>
                  </w:tcBorders>
                  <w:noWrap w:val="0"/>
                  <w:vAlign w:val="center"/>
                </w:tcPr>
                <w:p>
                  <w:pPr>
                    <w:keepNext w:val="0"/>
                    <w:keepLines w:val="0"/>
                    <w:widowControl/>
                    <w:suppressLineNumbers w:val="0"/>
                    <w:jc w:val="center"/>
                    <w:rPr>
                      <w:rFonts w:hint="default"/>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集气罩、布袋除尘器、</w:t>
                  </w:r>
                  <w:r>
                    <w:rPr>
                      <w:rFonts w:hint="eastAsia" w:cs="Times New Roman"/>
                      <w:color w:val="auto"/>
                      <w:kern w:val="0"/>
                      <w:sz w:val="21"/>
                      <w:szCs w:val="21"/>
                      <w:highlight w:val="none"/>
                      <w:lang w:val="en-US" w:eastAsia="zh-CN" w:bidi="ar"/>
                    </w:rPr>
                    <w:t>二级</w:t>
                  </w:r>
                  <w:r>
                    <w:rPr>
                      <w:rFonts w:hint="default" w:ascii="Times New Roman" w:hAnsi="Times New Roman" w:eastAsia="宋体" w:cs="Times New Roman"/>
                      <w:color w:val="auto"/>
                      <w:kern w:val="0"/>
                      <w:sz w:val="21"/>
                      <w:szCs w:val="21"/>
                      <w:highlight w:val="none"/>
                      <w:lang w:val="en-US" w:eastAsia="zh-CN" w:bidi="ar"/>
                    </w:rPr>
                    <w:t>活性炭吸附装置、喷淋塔、油烟净化</w:t>
                  </w:r>
                  <w:r>
                    <w:rPr>
                      <w:rFonts w:hint="default" w:ascii="Times New Roman" w:hAnsi="Times New Roman" w:cs="Times New Roman"/>
                      <w:color w:val="auto"/>
                      <w:kern w:val="0"/>
                      <w:sz w:val="21"/>
                      <w:szCs w:val="21"/>
                      <w:highlight w:val="none"/>
                      <w:lang w:val="en-US" w:eastAsia="zh-CN" w:bidi="ar"/>
                    </w:rPr>
                    <w:t>器、若干个</w:t>
                  </w:r>
                  <w:r>
                    <w:rPr>
                      <w:rFonts w:hint="default" w:ascii="Times New Roman" w:hAnsi="Times New Roman" w:eastAsia="宋体" w:cs="Times New Roman"/>
                      <w:color w:val="auto"/>
                      <w:kern w:val="0"/>
                      <w:sz w:val="21"/>
                      <w:szCs w:val="21"/>
                      <w:highlight w:val="none"/>
                      <w:lang w:val="en-US" w:eastAsia="zh-CN" w:bidi="ar"/>
                    </w:rPr>
                    <w:t>移动式烟雾除尘器、管道及排气筒</w:t>
                  </w:r>
                </w:p>
              </w:tc>
              <w:tc>
                <w:tcPr>
                  <w:tcW w:w="7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3</w:t>
                  </w:r>
                </w:p>
              </w:tc>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噪声</w:t>
                  </w:r>
                </w:p>
              </w:tc>
              <w:tc>
                <w:tcPr>
                  <w:tcW w:w="2963" w:type="pct"/>
                  <w:tcBorders>
                    <w:tl2br w:val="nil"/>
                    <w:tr2bl w:val="nil"/>
                  </w:tcBorders>
                  <w:noWrap w:val="0"/>
                  <w:vAlign w:val="center"/>
                </w:tcPr>
                <w:p>
                  <w:pPr>
                    <w:keepNext w:val="0"/>
                    <w:keepLines w:val="0"/>
                    <w:widowControl/>
                    <w:suppressLineNumbers w:val="0"/>
                    <w:jc w:val="center"/>
                    <w:rPr>
                      <w:rFonts w:hint="default"/>
                      <w:color w:val="auto"/>
                      <w:sz w:val="21"/>
                      <w:szCs w:val="21"/>
                      <w:highlight w:val="none"/>
                    </w:rPr>
                  </w:pPr>
                  <w:r>
                    <w:rPr>
                      <w:rFonts w:hint="eastAsia" w:ascii="宋体" w:hAnsi="宋体" w:eastAsia="宋体" w:cs="宋体"/>
                      <w:color w:val="auto"/>
                      <w:kern w:val="0"/>
                      <w:sz w:val="21"/>
                      <w:szCs w:val="21"/>
                      <w:highlight w:val="none"/>
                      <w:lang w:val="en-US" w:eastAsia="zh-CN" w:bidi="ar"/>
                    </w:rPr>
                    <w:t>减振、消声，设备加强维护等</w:t>
                  </w:r>
                </w:p>
              </w:tc>
              <w:tc>
                <w:tcPr>
                  <w:tcW w:w="7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4</w:t>
                  </w:r>
                </w:p>
              </w:tc>
              <w:tc>
                <w:tcPr>
                  <w:tcW w:w="63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固体</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废物</w:t>
                  </w:r>
                </w:p>
              </w:tc>
              <w:tc>
                <w:tcPr>
                  <w:tcW w:w="29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垃圾桶</w:t>
                  </w:r>
                </w:p>
              </w:tc>
              <w:tc>
                <w:tcPr>
                  <w:tcW w:w="76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5</w:t>
                  </w:r>
                </w:p>
              </w:tc>
              <w:tc>
                <w:tcPr>
                  <w:tcW w:w="63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sz w:val="21"/>
                      <w:szCs w:val="21"/>
                      <w:highlight w:val="none"/>
                    </w:rPr>
                  </w:pPr>
                </w:p>
              </w:tc>
              <w:tc>
                <w:tcPr>
                  <w:tcW w:w="29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一般工业固体临时贮存场</w:t>
                  </w:r>
                </w:p>
              </w:tc>
              <w:tc>
                <w:tcPr>
                  <w:tcW w:w="76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6</w:t>
                  </w:r>
                </w:p>
              </w:tc>
              <w:tc>
                <w:tcPr>
                  <w:tcW w:w="63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sz w:val="21"/>
                      <w:szCs w:val="21"/>
                      <w:highlight w:val="none"/>
                    </w:rPr>
                  </w:pPr>
                </w:p>
              </w:tc>
              <w:tc>
                <w:tcPr>
                  <w:tcW w:w="29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sz w:val="21"/>
                      <w:szCs w:val="21"/>
                      <w:highlight w:val="none"/>
                      <w:lang w:val="en-US" w:eastAsia="zh-CN"/>
                    </w:rPr>
                  </w:pPr>
                  <w:r>
                    <w:rPr>
                      <w:rFonts w:hint="default"/>
                      <w:color w:val="auto"/>
                      <w:sz w:val="21"/>
                      <w:szCs w:val="21"/>
                      <w:highlight w:val="none"/>
                      <w:lang w:val="en-US" w:eastAsia="zh-CN"/>
                    </w:rPr>
                    <w:t>危废暂存间</w:t>
                  </w:r>
                </w:p>
              </w:tc>
              <w:tc>
                <w:tcPr>
                  <w:tcW w:w="76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7</w:t>
                  </w:r>
                </w:p>
              </w:tc>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合计</w:t>
                  </w:r>
                </w:p>
              </w:tc>
              <w:tc>
                <w:tcPr>
                  <w:tcW w:w="29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w:t>
                  </w:r>
                </w:p>
              </w:tc>
              <w:tc>
                <w:tcPr>
                  <w:tcW w:w="7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138</w:t>
                  </w:r>
                </w:p>
              </w:tc>
            </w:tr>
          </w:tbl>
          <w:p>
            <w:pPr>
              <w:keepNext w:val="0"/>
              <w:keepLines w:val="0"/>
              <w:pageBreakBefore w:val="0"/>
              <w:widowControl/>
              <w:suppressLineNumbers w:val="0"/>
              <w:kinsoku/>
              <w:wordWrap/>
              <w:overflowPunct/>
              <w:topLinePunct w:val="0"/>
              <w:autoSpaceDE/>
              <w:autoSpaceDN/>
              <w:bidi w:val="0"/>
              <w:adjustRightInd w:val="0"/>
              <w:snapToGrid w:val="0"/>
              <w:spacing w:before="157" w:beforeLines="50" w:line="360" w:lineRule="auto"/>
              <w:ind w:firstLine="480" w:firstLineChars="200"/>
              <w:jc w:val="left"/>
              <w:textAlignment w:val="auto"/>
              <w:rPr>
                <w:rFonts w:hint="default"/>
                <w:color w:val="auto"/>
                <w:sz w:val="24"/>
                <w:szCs w:val="24"/>
                <w:highlight w:val="none"/>
                <w:lang w:val="en-US" w:eastAsia="zh-CN"/>
              </w:rPr>
            </w:pPr>
            <w:r>
              <w:rPr>
                <w:rFonts w:hint="default"/>
                <w:color w:val="auto"/>
                <w:sz w:val="24"/>
                <w:szCs w:val="24"/>
                <w:highlight w:val="none"/>
                <w:lang w:val="en-US" w:eastAsia="zh-CN"/>
              </w:rPr>
              <w:t>该项目</w:t>
            </w:r>
            <w:r>
              <w:rPr>
                <w:rFonts w:hint="eastAsia"/>
                <w:color w:val="auto"/>
                <w:sz w:val="24"/>
                <w:szCs w:val="24"/>
                <w:highlight w:val="none"/>
                <w:lang w:val="en-US" w:eastAsia="zh-CN"/>
              </w:rPr>
              <w:t>总投资6000万元，</w:t>
            </w:r>
            <w:r>
              <w:rPr>
                <w:rFonts w:hint="default"/>
                <w:color w:val="auto"/>
                <w:sz w:val="24"/>
                <w:szCs w:val="24"/>
                <w:highlight w:val="none"/>
                <w:lang w:val="en-US" w:eastAsia="zh-CN"/>
              </w:rPr>
              <w:t>环保投资为</w:t>
            </w:r>
            <w:r>
              <w:rPr>
                <w:rFonts w:hint="eastAsia"/>
                <w:color w:val="auto"/>
                <w:sz w:val="24"/>
                <w:szCs w:val="24"/>
                <w:highlight w:val="none"/>
                <w:lang w:val="en-US" w:eastAsia="zh-CN"/>
              </w:rPr>
              <w:t>138</w:t>
            </w:r>
            <w:r>
              <w:rPr>
                <w:rFonts w:hint="default"/>
                <w:color w:val="auto"/>
                <w:sz w:val="24"/>
                <w:szCs w:val="24"/>
                <w:highlight w:val="none"/>
                <w:lang w:val="en-US" w:eastAsia="zh-CN"/>
              </w:rPr>
              <w:t>万元，占项目投资资金的</w:t>
            </w:r>
            <w:r>
              <w:rPr>
                <w:rFonts w:hint="eastAsia"/>
                <w:color w:val="auto"/>
                <w:sz w:val="24"/>
                <w:szCs w:val="24"/>
                <w:highlight w:val="none"/>
                <w:lang w:val="en-US" w:eastAsia="zh-CN"/>
              </w:rPr>
              <w:t>2.3%</w:t>
            </w:r>
            <w:r>
              <w:rPr>
                <w:rFonts w:hint="default"/>
                <w:color w:val="auto"/>
                <w:sz w:val="24"/>
                <w:szCs w:val="24"/>
                <w:highlight w:val="none"/>
                <w:lang w:val="en-US" w:eastAsia="zh-CN"/>
              </w:rPr>
              <w:t xml:space="preserve">。 </w:t>
            </w:r>
          </w:p>
          <w:bookmarkEnd w:id="4"/>
          <w:bookmarkEnd w:id="5"/>
          <w:bookmarkEnd w:id="6"/>
          <w:bookmarkEnd w:id="7"/>
          <w:bookmarkEnd w:id="8"/>
          <w:p>
            <w:pPr>
              <w:pStyle w:val="7"/>
              <w:keepNext w:val="0"/>
              <w:keepLines w:val="0"/>
              <w:pageBreakBefore w:val="0"/>
              <w:tabs>
                <w:tab w:val="left" w:pos="900"/>
              </w:tabs>
              <w:kinsoku/>
              <w:wordWrap/>
              <w:overflowPunct/>
              <w:topLinePunct w:val="0"/>
              <w:autoSpaceDE/>
              <w:autoSpaceDN/>
              <w:bidi w:val="0"/>
              <w:adjustRightInd w:val="0"/>
              <w:snapToGrid w:val="0"/>
              <w:spacing w:before="0" w:beforeLines="0" w:after="0" w:afterLines="0" w:line="360" w:lineRule="auto"/>
              <w:ind w:right="0" w:rightChars="0" w:firstLine="0" w:firstLineChars="0"/>
              <w:textAlignment w:val="auto"/>
              <w:rPr>
                <w:rFonts w:hint="default"/>
                <w:color w:val="auto"/>
                <w:sz w:val="24"/>
                <w:szCs w:val="24"/>
              </w:rPr>
            </w:pPr>
            <w:r>
              <w:rPr>
                <w:rFonts w:hint="default"/>
                <w:color w:val="auto"/>
                <w:sz w:val="24"/>
                <w:szCs w:val="24"/>
              </w:rPr>
              <w:t>5.</w:t>
            </w:r>
            <w:r>
              <w:rPr>
                <w:rFonts w:hint="default"/>
                <w:color w:val="auto"/>
                <w:sz w:val="24"/>
                <w:szCs w:val="24"/>
                <w:lang w:val="en-US" w:eastAsia="zh-CN"/>
              </w:rPr>
              <w:t>5</w:t>
            </w:r>
            <w:r>
              <w:rPr>
                <w:rFonts w:hint="default"/>
                <w:color w:val="auto"/>
                <w:sz w:val="24"/>
                <w:szCs w:val="24"/>
              </w:rPr>
              <w:t>信息公开</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根据《环境影响评价公众参与办法》（</w:t>
            </w:r>
            <w:r>
              <w:rPr>
                <w:rFonts w:hint="eastAsia" w:ascii="Times New Roman" w:hAnsi="Times New Roman" w:cs="Times New Roman"/>
                <w:color w:val="auto"/>
                <w:sz w:val="24"/>
                <w:szCs w:val="24"/>
                <w:highlight w:val="none"/>
                <w:lang w:val="en-US" w:eastAsia="zh-CN"/>
              </w:rPr>
              <w:t>生态环境部 部令第4</w:t>
            </w:r>
            <w:r>
              <w:rPr>
                <w:rFonts w:hint="default" w:ascii="Times New Roman" w:hAnsi="Times New Roman" w:cs="Times New Roman"/>
                <w:color w:val="auto"/>
                <w:sz w:val="24"/>
                <w:szCs w:val="24"/>
                <w:highlight w:val="none"/>
              </w:rPr>
              <w:t>号</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2018年</w:t>
            </w:r>
            <w:r>
              <w:rPr>
                <w:rFonts w:hint="default" w:ascii="Times New Roman" w:hAnsi="Times New Roman" w:cs="Times New Roman"/>
                <w:color w:val="auto"/>
                <w:sz w:val="24"/>
                <w:szCs w:val="24"/>
                <w:highlight w:val="none"/>
              </w:rPr>
              <w:t>）和《福建省环保厅关于做好建设项目环境影响评价信息公开工作的通知》（闽环评函【2016】94号文</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为进一步做好我省环境影响评价信息公开工作，更好地保障公众对项目建设环境影响的知情权、参与权和监督权，推进环评</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阳光审批</w:t>
            </w:r>
            <w:r>
              <w:rPr>
                <w:rFonts w:hint="eastAsia" w:ascii="Times New Roman" w:hAnsi="Times New Roman" w:cs="Times New Roman"/>
                <w:color w:val="auto"/>
                <w:sz w:val="24"/>
                <w:szCs w:val="24"/>
                <w:highlight w:val="none"/>
                <w:lang w:eastAsia="zh-CN"/>
              </w:rPr>
              <w:t>”。</w:t>
            </w:r>
            <w:r>
              <w:rPr>
                <w:color w:val="auto"/>
                <w:kern w:val="28"/>
                <w:sz w:val="24"/>
                <w:szCs w:val="24"/>
              </w:rPr>
              <w:t>本评价</w:t>
            </w:r>
            <w:r>
              <w:rPr>
                <w:rFonts w:hint="eastAsia"/>
                <w:color w:val="auto"/>
                <w:kern w:val="28"/>
                <w:sz w:val="24"/>
                <w:szCs w:val="24"/>
                <w:lang w:eastAsia="zh-CN"/>
              </w:rPr>
              <w:t>项目</w:t>
            </w:r>
            <w:r>
              <w:rPr>
                <w:color w:val="auto"/>
                <w:kern w:val="28"/>
                <w:sz w:val="24"/>
                <w:szCs w:val="24"/>
              </w:rPr>
              <w:t>公众参与采用网上公示</w:t>
            </w:r>
            <w:r>
              <w:rPr>
                <w:rFonts w:hint="eastAsia"/>
                <w:color w:val="auto"/>
                <w:kern w:val="28"/>
                <w:sz w:val="24"/>
                <w:szCs w:val="24"/>
                <w:lang w:eastAsia="zh-CN"/>
              </w:rPr>
              <w:t>的方法</w:t>
            </w:r>
            <w:r>
              <w:rPr>
                <w:rFonts w:hint="eastAsia"/>
                <w:color w:val="auto"/>
                <w:sz w:val="24"/>
                <w:szCs w:val="24"/>
              </w:rPr>
              <w:t>在福建环保网上进行了两次信息公示</w:t>
            </w:r>
            <w:r>
              <w:rPr>
                <w:rFonts w:hint="eastAsia" w:ascii="Times New Roman" w:hAnsi="Times New Roman" w:eastAsia="宋体" w:cs="Times New Roman"/>
                <w:b w:val="0"/>
                <w:bCs/>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项目于</w:t>
            </w:r>
            <w:r>
              <w:rPr>
                <w:rFonts w:hint="eastAsia" w:ascii="Times New Roman" w:hAnsi="Times New Roman" w:cs="Times New Roman"/>
                <w:i w:val="0"/>
                <w:caps w:val="0"/>
                <w:color w:val="auto"/>
                <w:spacing w:val="0"/>
                <w:sz w:val="24"/>
                <w:szCs w:val="24"/>
                <w:shd w:val="clear" w:color="auto" w:fill="FFFFFF"/>
                <w:lang w:val="en-US" w:eastAsia="zh-CN"/>
              </w:rPr>
              <w:t>202</w:t>
            </w:r>
            <w:r>
              <w:rPr>
                <w:rFonts w:hint="eastAsia" w:cs="Times New Roman"/>
                <w:i w:val="0"/>
                <w:caps w:val="0"/>
                <w:color w:val="auto"/>
                <w:spacing w:val="0"/>
                <w:sz w:val="24"/>
                <w:szCs w:val="24"/>
                <w:shd w:val="clear" w:color="auto" w:fill="FFFFFF"/>
                <w:lang w:val="en-US" w:eastAsia="zh-CN"/>
              </w:rPr>
              <w:t>4</w:t>
            </w:r>
            <w:r>
              <w:rPr>
                <w:rFonts w:hint="eastAsia" w:ascii="Times New Roman" w:hAnsi="Times New Roman" w:cs="Times New Roman"/>
                <w:i w:val="0"/>
                <w:caps w:val="0"/>
                <w:color w:val="auto"/>
                <w:spacing w:val="0"/>
                <w:sz w:val="24"/>
                <w:szCs w:val="24"/>
                <w:shd w:val="clear" w:color="auto" w:fill="FFFFFF"/>
                <w:lang w:val="en-US" w:eastAsia="zh-CN"/>
              </w:rPr>
              <w:t>年</w:t>
            </w:r>
            <w:r>
              <w:rPr>
                <w:rFonts w:hint="eastAsia" w:cs="Times New Roman"/>
                <w:i w:val="0"/>
                <w:caps w:val="0"/>
                <w:color w:val="auto"/>
                <w:spacing w:val="0"/>
                <w:sz w:val="24"/>
                <w:szCs w:val="24"/>
                <w:shd w:val="clear" w:color="auto" w:fill="FFFFFF"/>
                <w:lang w:val="en-US" w:eastAsia="zh-CN"/>
              </w:rPr>
              <w:t>3</w:t>
            </w:r>
            <w:r>
              <w:rPr>
                <w:rFonts w:hint="eastAsia" w:ascii="Times New Roman" w:hAnsi="Times New Roman" w:cs="Times New Roman"/>
                <w:i w:val="0"/>
                <w:caps w:val="0"/>
                <w:color w:val="auto"/>
                <w:spacing w:val="0"/>
                <w:sz w:val="24"/>
                <w:szCs w:val="24"/>
                <w:shd w:val="clear" w:color="auto" w:fill="FFFFFF"/>
                <w:lang w:val="en-US" w:eastAsia="zh-CN"/>
              </w:rPr>
              <w:t>月</w:t>
            </w:r>
            <w:r>
              <w:rPr>
                <w:rFonts w:hint="eastAsia" w:cs="Times New Roman"/>
                <w:i w:val="0"/>
                <w:caps w:val="0"/>
                <w:color w:val="auto"/>
                <w:spacing w:val="0"/>
                <w:sz w:val="24"/>
                <w:szCs w:val="24"/>
                <w:shd w:val="clear" w:color="auto" w:fill="FFFFFF"/>
                <w:lang w:val="en-US" w:eastAsia="zh-CN"/>
              </w:rPr>
              <w:t>29</w:t>
            </w:r>
            <w:r>
              <w:rPr>
                <w:rFonts w:hint="eastAsia" w:ascii="Times New Roman" w:hAnsi="Times New Roman" w:cs="Times New Roman"/>
                <w:i w:val="0"/>
                <w:caps w:val="0"/>
                <w:color w:val="auto"/>
                <w:spacing w:val="0"/>
                <w:sz w:val="24"/>
                <w:szCs w:val="24"/>
                <w:shd w:val="clear" w:color="auto" w:fill="FFFFFF"/>
                <w:lang w:val="en-US" w:eastAsia="zh-CN"/>
              </w:rPr>
              <w:t>日至202</w:t>
            </w:r>
            <w:r>
              <w:rPr>
                <w:rFonts w:hint="eastAsia" w:cs="Times New Roman"/>
                <w:i w:val="0"/>
                <w:caps w:val="0"/>
                <w:color w:val="auto"/>
                <w:spacing w:val="0"/>
                <w:sz w:val="24"/>
                <w:szCs w:val="24"/>
                <w:shd w:val="clear" w:color="auto" w:fill="FFFFFF"/>
                <w:lang w:val="en-US" w:eastAsia="zh-CN"/>
              </w:rPr>
              <w:t>4</w:t>
            </w:r>
            <w:r>
              <w:rPr>
                <w:rFonts w:hint="eastAsia" w:ascii="Times New Roman" w:hAnsi="Times New Roman" w:cs="Times New Roman"/>
                <w:i w:val="0"/>
                <w:caps w:val="0"/>
                <w:color w:val="auto"/>
                <w:spacing w:val="0"/>
                <w:sz w:val="24"/>
                <w:szCs w:val="24"/>
                <w:shd w:val="clear" w:color="auto" w:fill="FFFFFF"/>
                <w:lang w:val="en-US" w:eastAsia="zh-CN"/>
              </w:rPr>
              <w:t>年</w:t>
            </w:r>
            <w:r>
              <w:rPr>
                <w:rFonts w:hint="eastAsia" w:cs="Times New Roman"/>
                <w:i w:val="0"/>
                <w:caps w:val="0"/>
                <w:color w:val="auto"/>
                <w:spacing w:val="0"/>
                <w:sz w:val="24"/>
                <w:szCs w:val="24"/>
                <w:shd w:val="clear" w:color="auto" w:fill="FFFFFF"/>
                <w:lang w:val="en-US" w:eastAsia="zh-CN"/>
              </w:rPr>
              <w:t>4</w:t>
            </w:r>
            <w:r>
              <w:rPr>
                <w:rFonts w:hint="eastAsia" w:ascii="Times New Roman" w:hAnsi="Times New Roman" w:cs="Times New Roman"/>
                <w:i w:val="0"/>
                <w:caps w:val="0"/>
                <w:color w:val="auto"/>
                <w:spacing w:val="0"/>
                <w:sz w:val="24"/>
                <w:szCs w:val="24"/>
                <w:shd w:val="clear" w:color="auto" w:fill="FFFFFF"/>
                <w:lang w:val="en-US" w:eastAsia="zh-CN"/>
              </w:rPr>
              <w:t>月</w:t>
            </w:r>
            <w:r>
              <w:rPr>
                <w:rFonts w:hint="eastAsia" w:cs="Times New Roman"/>
                <w:i w:val="0"/>
                <w:caps w:val="0"/>
                <w:color w:val="auto"/>
                <w:spacing w:val="0"/>
                <w:sz w:val="24"/>
                <w:szCs w:val="24"/>
                <w:shd w:val="clear" w:color="auto" w:fill="FFFFFF"/>
                <w:lang w:val="en-US" w:eastAsia="zh-CN"/>
              </w:rPr>
              <w:t>10</w:t>
            </w:r>
            <w:r>
              <w:rPr>
                <w:rFonts w:hint="eastAsia" w:ascii="Times New Roman" w:hAnsi="Times New Roman" w:cs="Times New Roman"/>
                <w:i w:val="0"/>
                <w:caps w:val="0"/>
                <w:color w:val="auto"/>
                <w:spacing w:val="0"/>
                <w:sz w:val="24"/>
                <w:szCs w:val="24"/>
                <w:shd w:val="clear" w:color="auto" w:fill="FFFFFF"/>
                <w:lang w:val="en-US" w:eastAsia="zh-CN"/>
              </w:rPr>
              <w:t>日</w:t>
            </w:r>
            <w:r>
              <w:rPr>
                <w:rFonts w:hint="default" w:ascii="Times New Roman" w:hAnsi="Times New Roman" w:eastAsia="宋体" w:cs="Times New Roman"/>
                <w:b w:val="0"/>
                <w:bCs w:val="0"/>
                <w:color w:val="auto"/>
                <w:sz w:val="24"/>
                <w:szCs w:val="24"/>
                <w:highlight w:val="none"/>
              </w:rPr>
              <w:t>在网络平台上进行第一次环评公示，公示时间为5个工作日</w:t>
            </w:r>
            <w:r>
              <w:rPr>
                <w:rFonts w:hint="eastAsia" w:ascii="Times New Roman" w:hAnsi="Times New Roman" w:eastAsia="宋体" w:cs="Times New Roman"/>
                <w:b w:val="0"/>
                <w:bCs w:val="0"/>
                <w:color w:val="auto"/>
                <w:kern w:val="0"/>
                <w:sz w:val="24"/>
                <w:szCs w:val="24"/>
                <w:highlight w:val="none"/>
                <w:lang w:eastAsia="zh-CN"/>
              </w:rPr>
              <w:t>；</w:t>
            </w:r>
            <w:r>
              <w:rPr>
                <w:rFonts w:hint="eastAsia" w:ascii="Times New Roman" w:hAnsi="Times New Roman" w:eastAsia="宋体" w:cs="Times New Roman"/>
                <w:color w:val="auto"/>
                <w:sz w:val="24"/>
                <w:szCs w:val="24"/>
                <w:highlight w:val="none"/>
                <w:u w:val="none"/>
                <w:lang w:eastAsia="zh-CN"/>
              </w:rPr>
              <w:t>待</w:t>
            </w:r>
            <w:r>
              <w:rPr>
                <w:rFonts w:hint="default" w:ascii="Times New Roman" w:hAnsi="Times New Roman" w:eastAsia="宋体" w:cs="Times New Roman"/>
                <w:color w:val="auto"/>
                <w:sz w:val="24"/>
                <w:szCs w:val="24"/>
                <w:highlight w:val="none"/>
                <w:u w:val="none"/>
              </w:rPr>
              <w:t>环评报告编制完成后，本项目</w:t>
            </w:r>
            <w:r>
              <w:rPr>
                <w:rFonts w:hint="default" w:ascii="Times New Roman" w:hAnsi="Times New Roman" w:eastAsia="宋体" w:cs="Times New Roman"/>
                <w:b w:val="0"/>
                <w:bCs w:val="0"/>
                <w:color w:val="auto"/>
                <w:sz w:val="24"/>
                <w:szCs w:val="24"/>
                <w:highlight w:val="none"/>
                <w:u w:val="none"/>
              </w:rPr>
              <w:t>于</w:t>
            </w:r>
            <w:r>
              <w:rPr>
                <w:rFonts w:hint="eastAsia" w:ascii="Times New Roman" w:hAnsi="宋体" w:eastAsia="宋体" w:cs="Times New Roman"/>
                <w:bCs/>
                <w:iCs/>
                <w:color w:val="auto"/>
                <w:sz w:val="24"/>
                <w:szCs w:val="24"/>
                <w:lang w:val="en-US" w:eastAsia="zh-CN"/>
              </w:rPr>
              <w:t>202</w:t>
            </w:r>
            <w:r>
              <w:rPr>
                <w:rFonts w:hint="eastAsia" w:hAnsi="宋体" w:cs="Times New Roman"/>
                <w:bCs/>
                <w:iCs/>
                <w:color w:val="auto"/>
                <w:sz w:val="24"/>
                <w:szCs w:val="24"/>
                <w:lang w:val="en-US" w:eastAsia="zh-CN"/>
              </w:rPr>
              <w:t>4</w:t>
            </w:r>
            <w:r>
              <w:rPr>
                <w:rFonts w:hint="default" w:ascii="Times New Roman" w:hAnsi="宋体" w:eastAsia="宋体" w:cs="Times New Roman"/>
                <w:bCs/>
                <w:iCs/>
                <w:color w:val="auto"/>
                <w:sz w:val="24"/>
                <w:szCs w:val="24"/>
              </w:rPr>
              <w:t>年</w:t>
            </w:r>
            <w:r>
              <w:rPr>
                <w:rFonts w:hint="eastAsia" w:hAnsi="宋体" w:cs="Times New Roman"/>
                <w:bCs/>
                <w:iCs/>
                <w:color w:val="auto"/>
                <w:sz w:val="24"/>
                <w:szCs w:val="24"/>
                <w:lang w:val="en-US" w:eastAsia="zh-CN"/>
              </w:rPr>
              <w:t>4</w:t>
            </w:r>
            <w:r>
              <w:rPr>
                <w:rFonts w:hint="default" w:ascii="Times New Roman" w:hAnsi="宋体" w:eastAsia="宋体" w:cs="Times New Roman"/>
                <w:bCs/>
                <w:iCs/>
                <w:color w:val="auto"/>
                <w:sz w:val="24"/>
                <w:szCs w:val="24"/>
              </w:rPr>
              <w:t>月</w:t>
            </w:r>
            <w:r>
              <w:rPr>
                <w:rFonts w:hint="eastAsia" w:hAnsi="宋体" w:cs="Times New Roman"/>
                <w:bCs/>
                <w:iCs/>
                <w:color w:val="auto"/>
                <w:sz w:val="24"/>
                <w:szCs w:val="24"/>
                <w:lang w:val="en-US" w:eastAsia="zh-CN"/>
              </w:rPr>
              <w:t>22</w:t>
            </w:r>
            <w:r>
              <w:rPr>
                <w:rFonts w:hint="default" w:ascii="Times New Roman" w:hAnsi="宋体" w:eastAsia="宋体" w:cs="Times New Roman"/>
                <w:bCs/>
                <w:iCs/>
                <w:color w:val="auto"/>
                <w:sz w:val="24"/>
                <w:szCs w:val="24"/>
              </w:rPr>
              <w:t>日</w:t>
            </w:r>
            <w:r>
              <w:rPr>
                <w:rFonts w:hint="eastAsia" w:ascii="Times New Roman" w:hAnsi="Times New Roman" w:cs="Times New Roman"/>
                <w:i w:val="0"/>
                <w:caps w:val="0"/>
                <w:color w:val="auto"/>
                <w:spacing w:val="0"/>
                <w:sz w:val="24"/>
                <w:szCs w:val="24"/>
                <w:shd w:val="clear" w:color="auto" w:fill="FFFFFF"/>
                <w:lang w:val="en-US" w:eastAsia="zh-CN"/>
              </w:rPr>
              <w:t>至</w:t>
            </w:r>
            <w:r>
              <w:rPr>
                <w:rFonts w:hint="default" w:ascii="Times New Roman" w:hAnsi="宋体" w:eastAsia="宋体" w:cs="Times New Roman"/>
                <w:bCs/>
                <w:iCs/>
                <w:color w:val="auto"/>
                <w:sz w:val="24"/>
                <w:szCs w:val="24"/>
              </w:rPr>
              <w:t>20</w:t>
            </w:r>
            <w:r>
              <w:rPr>
                <w:rFonts w:hint="eastAsia" w:ascii="Times New Roman" w:hAnsi="宋体" w:eastAsia="宋体" w:cs="Times New Roman"/>
                <w:bCs/>
                <w:iCs/>
                <w:color w:val="auto"/>
                <w:sz w:val="24"/>
                <w:szCs w:val="24"/>
                <w:lang w:val="en-US" w:eastAsia="zh-CN"/>
              </w:rPr>
              <w:t>2</w:t>
            </w:r>
            <w:r>
              <w:rPr>
                <w:rFonts w:hint="eastAsia" w:hAnsi="宋体" w:cs="Times New Roman"/>
                <w:bCs/>
                <w:iCs/>
                <w:color w:val="auto"/>
                <w:sz w:val="24"/>
                <w:szCs w:val="24"/>
                <w:lang w:val="en-US" w:eastAsia="zh-CN"/>
              </w:rPr>
              <w:t>4</w:t>
            </w:r>
            <w:r>
              <w:rPr>
                <w:rFonts w:hint="default" w:ascii="Times New Roman" w:hAnsi="宋体" w:eastAsia="宋体" w:cs="Times New Roman"/>
                <w:bCs/>
                <w:iCs/>
                <w:color w:val="auto"/>
                <w:sz w:val="24"/>
                <w:szCs w:val="24"/>
              </w:rPr>
              <w:t>年</w:t>
            </w:r>
            <w:r>
              <w:rPr>
                <w:rFonts w:hint="eastAsia" w:hAnsi="宋体" w:cs="Times New Roman"/>
                <w:bCs/>
                <w:iCs/>
                <w:color w:val="auto"/>
                <w:sz w:val="24"/>
                <w:szCs w:val="24"/>
                <w:lang w:val="en-US" w:eastAsia="zh-CN"/>
              </w:rPr>
              <w:t>4</w:t>
            </w:r>
            <w:r>
              <w:rPr>
                <w:rFonts w:hint="default" w:ascii="Times New Roman" w:hAnsi="宋体" w:eastAsia="宋体" w:cs="Times New Roman"/>
                <w:bCs/>
                <w:iCs/>
                <w:color w:val="auto"/>
                <w:sz w:val="24"/>
                <w:szCs w:val="24"/>
              </w:rPr>
              <w:t>月</w:t>
            </w:r>
            <w:r>
              <w:rPr>
                <w:rFonts w:hint="eastAsia" w:hAnsi="宋体" w:cs="Times New Roman"/>
                <w:bCs/>
                <w:iCs/>
                <w:color w:val="auto"/>
                <w:sz w:val="24"/>
                <w:szCs w:val="24"/>
                <w:lang w:val="en-US" w:eastAsia="zh-CN"/>
              </w:rPr>
              <w:t>26</w:t>
            </w:r>
            <w:r>
              <w:rPr>
                <w:rFonts w:hint="default" w:ascii="Times New Roman" w:hAnsi="宋体" w:eastAsia="宋体" w:cs="Times New Roman"/>
                <w:bCs/>
                <w:iCs/>
                <w:color w:val="auto"/>
                <w:sz w:val="24"/>
                <w:szCs w:val="24"/>
              </w:rPr>
              <w:t>日</w:t>
            </w:r>
            <w:r>
              <w:rPr>
                <w:rFonts w:hint="default" w:ascii="Times New Roman" w:hAnsi="Times New Roman" w:eastAsia="宋体" w:cs="Times New Roman"/>
                <w:b w:val="0"/>
                <w:bCs w:val="0"/>
                <w:color w:val="auto"/>
                <w:sz w:val="24"/>
                <w:szCs w:val="24"/>
                <w:highlight w:val="none"/>
                <w:u w:val="none"/>
              </w:rPr>
              <w:t>在网络平台上</w:t>
            </w:r>
            <w:r>
              <w:rPr>
                <w:rFonts w:hint="default" w:ascii="Times New Roman" w:hAnsi="Times New Roman" w:cs="Times New Roman"/>
                <w:b w:val="0"/>
                <w:bCs w:val="0"/>
                <w:color w:val="auto"/>
                <w:sz w:val="24"/>
                <w:szCs w:val="24"/>
                <w:highlight w:val="none"/>
                <w:u w:val="none"/>
              </w:rPr>
              <w:fldChar w:fldCharType="begin"/>
            </w:r>
            <w:r>
              <w:rPr>
                <w:rFonts w:hint="default" w:ascii="Times New Roman" w:hAnsi="Times New Roman" w:cs="Times New Roman"/>
                <w:b w:val="0"/>
                <w:bCs w:val="0"/>
                <w:color w:val="auto"/>
                <w:sz w:val="24"/>
                <w:szCs w:val="24"/>
                <w:highlight w:val="none"/>
                <w:u w:val="none"/>
              </w:rPr>
              <w:instrText xml:space="preserve"> HYPERLINK "http://www.fjhb.org/portal.php?mod=view&amp;aid=18848）对本项目环评报告进行全文公示，公示时间为5个工作日，信息公开期间，没有收到相关群众的反馈意见，公示截图见附图8。" </w:instrText>
            </w:r>
            <w:r>
              <w:rPr>
                <w:rFonts w:hint="default" w:ascii="Times New Roman" w:hAnsi="Times New Roman" w:cs="Times New Roman"/>
                <w:b w:val="0"/>
                <w:bCs w:val="0"/>
                <w:color w:val="auto"/>
                <w:sz w:val="24"/>
                <w:szCs w:val="24"/>
                <w:highlight w:val="none"/>
                <w:u w:val="none"/>
              </w:rPr>
              <w:fldChar w:fldCharType="separate"/>
            </w:r>
            <w:r>
              <w:rPr>
                <w:rStyle w:val="32"/>
                <w:rFonts w:hint="default" w:ascii="Times New Roman" w:hAnsi="Times New Roman" w:eastAsia="宋体" w:cs="Times New Roman"/>
                <w:b w:val="0"/>
                <w:bCs w:val="0"/>
                <w:color w:val="auto"/>
                <w:sz w:val="24"/>
                <w:szCs w:val="24"/>
                <w:highlight w:val="none"/>
                <w:u w:val="none"/>
              </w:rPr>
              <w:t>对本项目环评报告进行</w:t>
            </w:r>
            <w:r>
              <w:rPr>
                <w:rStyle w:val="32"/>
                <w:rFonts w:hint="eastAsia" w:ascii="Times New Roman" w:hAnsi="Times New Roman" w:eastAsia="宋体" w:cs="Times New Roman"/>
                <w:b w:val="0"/>
                <w:bCs w:val="0"/>
                <w:color w:val="auto"/>
                <w:sz w:val="24"/>
                <w:szCs w:val="24"/>
                <w:highlight w:val="none"/>
                <w:u w:val="none"/>
                <w:lang w:eastAsia="zh-CN"/>
              </w:rPr>
              <w:t>简本</w:t>
            </w:r>
            <w:r>
              <w:rPr>
                <w:rStyle w:val="32"/>
                <w:rFonts w:hint="default" w:ascii="Times New Roman" w:hAnsi="Times New Roman" w:eastAsia="宋体" w:cs="Times New Roman"/>
                <w:b w:val="0"/>
                <w:bCs w:val="0"/>
                <w:color w:val="auto"/>
                <w:sz w:val="24"/>
                <w:szCs w:val="24"/>
                <w:highlight w:val="none"/>
                <w:u w:val="none"/>
              </w:rPr>
              <w:t>公示，公示时间为5个工作日</w:t>
            </w:r>
            <w:r>
              <w:rPr>
                <w:rStyle w:val="32"/>
                <w:rFonts w:hint="default" w:ascii="Times New Roman" w:hAnsi="Times New Roman" w:eastAsia="宋体" w:cs="Times New Roman"/>
                <w:b w:val="0"/>
                <w:bCs w:val="0"/>
                <w:color w:val="auto"/>
                <w:sz w:val="24"/>
                <w:szCs w:val="24"/>
                <w:highlight w:val="none"/>
                <w:u w:val="none"/>
                <w:lang w:eastAsia="zh-CN"/>
              </w:rPr>
              <w:t>，</w:t>
            </w:r>
            <w:r>
              <w:rPr>
                <w:rStyle w:val="32"/>
                <w:rFonts w:hint="default" w:ascii="Times New Roman" w:hAnsi="Times New Roman" w:eastAsia="宋体" w:cs="Times New Roman"/>
                <w:b w:val="0"/>
                <w:bCs w:val="0"/>
                <w:color w:val="auto"/>
                <w:sz w:val="24"/>
                <w:szCs w:val="24"/>
                <w:highlight w:val="none"/>
                <w:u w:val="none"/>
              </w:rPr>
              <w:t>信息公开期间，没有收到相关群众的反馈意见</w:t>
            </w:r>
            <w:r>
              <w:rPr>
                <w:rStyle w:val="32"/>
                <w:rFonts w:hint="eastAsia"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rPr>
              <w:fldChar w:fldCharType="end"/>
            </w:r>
          </w:p>
          <w:p>
            <w:pPr>
              <w:spacing w:line="360" w:lineRule="auto"/>
              <w:ind w:firstLine="360" w:firstLineChars="150"/>
              <w:rPr>
                <w:rFonts w:hint="eastAsia" w:ascii="Times New Roman" w:hAnsi="Times New Roman"/>
                <w:b w:val="0"/>
                <w:bCs w:val="0"/>
                <w:color w:val="auto"/>
                <w:kern w:val="2"/>
                <w:sz w:val="24"/>
                <w:szCs w:val="24"/>
                <w:highlight w:val="none"/>
                <w:lang w:val="en-US" w:eastAsia="zh-CN" w:bidi="ar-SA"/>
              </w:rPr>
            </w:pPr>
            <w:r>
              <w:rPr>
                <w:rFonts w:hint="default" w:ascii="Times New Roman" w:hAnsi="Times New Roman"/>
                <w:b w:val="0"/>
                <w:bCs w:val="0"/>
                <w:color w:val="auto"/>
                <w:kern w:val="2"/>
                <w:sz w:val="24"/>
                <w:szCs w:val="24"/>
                <w:highlight w:val="none"/>
                <w:lang w:val="en-US" w:eastAsia="zh-CN" w:bidi="ar-SA"/>
              </w:rPr>
              <w:t>在此基础上，按照环境影响评价技术导则的要求，编制完成了《</w:t>
            </w:r>
            <w:r>
              <w:rPr>
                <w:rFonts w:hint="eastAsia"/>
                <w:bCs/>
                <w:color w:val="auto"/>
                <w:sz w:val="24"/>
                <w:highlight w:val="none"/>
                <w:lang w:eastAsia="zh-CN"/>
              </w:rPr>
              <w:t>泉州昌益五金有限公司年产金属水暖卫浴配件8000吨、塑料卫浴配件3000吨、浴室柜2000套、进水软管100万米项目</w:t>
            </w:r>
            <w:r>
              <w:rPr>
                <w:rFonts w:hint="default" w:ascii="Times New Roman" w:hAnsi="Times New Roman" w:eastAsia="宋体" w:cs="Times New Roman"/>
                <w:color w:val="auto"/>
                <w:sz w:val="24"/>
                <w:szCs w:val="24"/>
                <w:highlight w:val="none"/>
                <w:lang w:val="en-US" w:eastAsia="zh-CN"/>
              </w:rPr>
              <w:t>环境影响</w:t>
            </w:r>
            <w:r>
              <w:rPr>
                <w:rFonts w:hint="eastAsia" w:ascii="Times New Roman" w:hAnsi="Times New Roman" w:eastAsia="宋体" w:cs="Times New Roman"/>
                <w:color w:val="auto"/>
                <w:sz w:val="24"/>
                <w:szCs w:val="24"/>
                <w:highlight w:val="none"/>
                <w:lang w:val="en-US" w:eastAsia="zh-CN"/>
              </w:rPr>
              <w:t>报告表</w:t>
            </w:r>
            <w:r>
              <w:rPr>
                <w:rFonts w:hint="default" w:ascii="Times New Roman" w:hAnsi="Times New Roman"/>
                <w:b w:val="0"/>
                <w:bCs w:val="0"/>
                <w:color w:val="auto"/>
                <w:kern w:val="2"/>
                <w:sz w:val="24"/>
                <w:szCs w:val="24"/>
                <w:highlight w:val="none"/>
                <w:lang w:val="en-US" w:eastAsia="zh-CN" w:bidi="ar-SA"/>
              </w:rPr>
              <w:t>》，供建设单位上报环境保护主管部门审查</w:t>
            </w:r>
            <w:r>
              <w:rPr>
                <w:rFonts w:hint="eastAsia" w:ascii="Times New Roman" w:hAnsi="Times New Roman"/>
                <w:b w:val="0"/>
                <w:bCs w:val="0"/>
                <w:color w:val="auto"/>
                <w:kern w:val="2"/>
                <w:sz w:val="24"/>
                <w:szCs w:val="24"/>
                <w:highlight w:val="none"/>
                <w:lang w:val="en-US" w:eastAsia="zh-CN" w:bidi="ar-SA"/>
              </w:rPr>
              <w:t>。</w:t>
            </w:r>
          </w:p>
          <w:p>
            <w:pPr>
              <w:keepNext w:val="0"/>
              <w:keepLines w:val="0"/>
              <w:pageBreakBefore w:val="0"/>
              <w:kinsoku/>
              <w:wordWrap/>
              <w:overflowPunct/>
              <w:topLinePunct w:val="0"/>
              <w:autoSpaceDE/>
              <w:autoSpaceDN/>
              <w:bidi w:val="0"/>
              <w:adjustRightInd w:val="0"/>
              <w:snapToGrid w:val="0"/>
              <w:spacing w:line="360" w:lineRule="auto"/>
              <w:ind w:right="0" w:rightChars="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5.</w:t>
            </w:r>
            <w:r>
              <w:rPr>
                <w:rFonts w:hint="eastAsia" w:cs="Times New Roman"/>
                <w:b/>
                <w:bCs/>
                <w:color w:val="auto"/>
                <w:sz w:val="24"/>
                <w:szCs w:val="24"/>
                <w:highlight w:val="none"/>
                <w:lang w:val="en-US" w:eastAsia="zh-CN"/>
              </w:rPr>
              <w:t>6</w:t>
            </w:r>
            <w:r>
              <w:rPr>
                <w:rFonts w:hint="eastAsia" w:ascii="Times New Roman" w:hAnsi="Times New Roman" w:eastAsia="宋体" w:cs="Times New Roman"/>
                <w:b/>
                <w:bCs/>
                <w:color w:val="auto"/>
                <w:sz w:val="24"/>
                <w:szCs w:val="24"/>
                <w:highlight w:val="none"/>
                <w:lang w:val="en-US" w:eastAsia="zh-CN"/>
              </w:rPr>
              <w:t>环保工程措施及验收要求</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项目竣工环保验收一览表详见表5</w:t>
            </w:r>
            <w:r>
              <w:rPr>
                <w:rFonts w:hint="eastAsia" w:cs="Times New Roman"/>
                <w:color w:val="auto"/>
                <w:sz w:val="24"/>
                <w:szCs w:val="24"/>
                <w:highlight w:val="none"/>
                <w:lang w:val="en-US" w:eastAsia="zh-CN"/>
              </w:rPr>
              <w:t>.6</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w:t>
            </w:r>
          </w:p>
          <w:p>
            <w:pPr>
              <w:pStyle w:val="81"/>
              <w:keepNext w:val="0"/>
              <w:keepLines w:val="0"/>
              <w:pageBreakBefore w:val="0"/>
              <w:numPr>
                <w:ilvl w:val="0"/>
                <w:numId w:val="0"/>
              </w:numPr>
              <w:kinsoku/>
              <w:wordWrap/>
              <w:overflowPunct/>
              <w:topLinePunct w:val="0"/>
              <w:bidi w:val="0"/>
              <w:adjustRightInd w:val="0"/>
              <w:snapToGrid w:val="0"/>
              <w:spacing w:beforeLines="0" w:line="360" w:lineRule="auto"/>
              <w:ind w:left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表5</w:t>
            </w:r>
            <w:r>
              <w:rPr>
                <w:rFonts w:hint="eastAsia"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w:t>
            </w:r>
            <w:r>
              <w:rPr>
                <w:rFonts w:hint="eastAsia"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项目竣工环保验收一览表</w:t>
            </w:r>
          </w:p>
          <w:tbl>
            <w:tblPr>
              <w:tblStyle w:val="29"/>
              <w:tblW w:w="809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15"/>
              <w:gridCol w:w="1766"/>
              <w:gridCol w:w="1230"/>
              <w:gridCol w:w="3080"/>
              <w:gridCol w:w="594"/>
              <w:gridCol w:w="9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5"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类别</w:t>
                  </w:r>
                </w:p>
              </w:tc>
              <w:tc>
                <w:tcPr>
                  <w:tcW w:w="1766"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bCs/>
                      <w:color w:val="auto"/>
                      <w:kern w:val="0"/>
                      <w:sz w:val="21"/>
                      <w:szCs w:val="21"/>
                      <w:highlight w:val="none"/>
                      <w:lang w:val="en-US" w:eastAsia="zh-CN" w:bidi="ar"/>
                    </w:rPr>
                    <w:t>污染源</w:t>
                  </w:r>
                </w:p>
              </w:tc>
              <w:tc>
                <w:tcPr>
                  <w:tcW w:w="1230"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bCs/>
                      <w:color w:val="auto"/>
                      <w:kern w:val="0"/>
                      <w:sz w:val="21"/>
                      <w:szCs w:val="21"/>
                      <w:highlight w:val="none"/>
                      <w:lang w:val="en-US" w:eastAsia="zh-CN" w:bidi="ar"/>
                    </w:rPr>
                    <w:t>设施或措施内容</w:t>
                  </w:r>
                </w:p>
              </w:tc>
              <w:tc>
                <w:tcPr>
                  <w:tcW w:w="3080"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bCs/>
                      <w:color w:val="auto"/>
                      <w:kern w:val="0"/>
                      <w:sz w:val="21"/>
                      <w:szCs w:val="21"/>
                      <w:highlight w:val="none"/>
                      <w:lang w:val="en-US" w:eastAsia="zh-CN" w:bidi="ar"/>
                    </w:rPr>
                    <w:t>执行标准或验收监测要求</w:t>
                  </w:r>
                </w:p>
              </w:tc>
              <w:tc>
                <w:tcPr>
                  <w:tcW w:w="594"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bCs/>
                      <w:color w:val="auto"/>
                      <w:kern w:val="0"/>
                      <w:sz w:val="21"/>
                      <w:szCs w:val="21"/>
                      <w:highlight w:val="none"/>
                      <w:lang w:val="en-US" w:eastAsia="zh-CN" w:bidi="ar"/>
                    </w:rPr>
                    <w:t>监测点位</w:t>
                  </w:r>
                </w:p>
              </w:tc>
              <w:tc>
                <w:tcPr>
                  <w:tcW w:w="912"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bCs/>
                      <w:color w:val="auto"/>
                      <w:kern w:val="0"/>
                      <w:sz w:val="21"/>
                      <w:szCs w:val="21"/>
                      <w:highlight w:val="none"/>
                      <w:lang w:val="en-US" w:eastAsia="zh-CN" w:bidi="ar"/>
                    </w:rPr>
                    <w:t>验收监测因子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60" w:hRule="atLeast"/>
                <w:jc w:val="center"/>
              </w:trPr>
              <w:tc>
                <w:tcPr>
                  <w:tcW w:w="515"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废</w:t>
                  </w:r>
                </w:p>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水</w:t>
                  </w:r>
                </w:p>
              </w:tc>
              <w:tc>
                <w:tcPr>
                  <w:tcW w:w="1766"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生活</w:t>
                  </w:r>
                </w:p>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污水</w:t>
                  </w:r>
                </w:p>
              </w:tc>
              <w:tc>
                <w:tcPr>
                  <w:tcW w:w="1230"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隔油池+化粪池处理后排入市政污水管网</w:t>
                  </w:r>
                </w:p>
              </w:tc>
              <w:tc>
                <w:tcPr>
                  <w:tcW w:w="3080"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Cs/>
                      <w:color w:val="auto"/>
                      <w:sz w:val="21"/>
                      <w:szCs w:val="21"/>
                      <w:highlight w:val="none"/>
                      <w:lang w:val="en-US" w:eastAsia="zh-CN"/>
                    </w:rPr>
                    <w:t>《污水综合排放标准》（GB8978-1996）表4三级标准（</w:t>
                  </w:r>
                  <w:r>
                    <w:rPr>
                      <w:rFonts w:hint="default" w:ascii="Times New Roman" w:hAnsi="Times New Roman" w:eastAsia="宋体" w:cs="Times New Roman"/>
                      <w:color w:val="auto"/>
                      <w:kern w:val="0"/>
                      <w:sz w:val="21"/>
                      <w:szCs w:val="21"/>
                      <w:highlight w:val="none"/>
                      <w:lang w:val="en-US" w:eastAsia="zh-CN" w:bidi="ar"/>
                    </w:rPr>
                    <w:t>NH</w:t>
                  </w:r>
                  <w:r>
                    <w:rPr>
                      <w:rFonts w:hint="default" w:ascii="Times New Roman" w:hAnsi="Times New Roman" w:eastAsia="宋体" w:cs="Times New Roman"/>
                      <w:color w:val="auto"/>
                      <w:kern w:val="0"/>
                      <w:sz w:val="21"/>
                      <w:szCs w:val="21"/>
                      <w:highlight w:val="none"/>
                      <w:vertAlign w:val="sub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-N</w:t>
                  </w:r>
                  <w:r>
                    <w:rPr>
                      <w:rFonts w:hint="default" w:ascii="Times New Roman" w:hAnsi="Times New Roman" w:eastAsia="宋体" w:cs="Times New Roman"/>
                      <w:bCs/>
                      <w:color w:val="auto"/>
                      <w:sz w:val="21"/>
                      <w:szCs w:val="21"/>
                      <w:highlight w:val="none"/>
                      <w:lang w:val="en-US" w:eastAsia="zh-CN"/>
                    </w:rPr>
                    <w:t>参照执行《污水排入城镇下水道水质标准》（GB/T31962-2015）表1B等级标准）</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pH≤6</w:t>
                  </w:r>
                  <w:r>
                    <w:rPr>
                      <w:rFonts w:hint="default" w:ascii="Times New Roman" w:hAnsi="Times New Roman" w:eastAsia="宋体"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rPr>
                    <w:t>9</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COD≤500</w:t>
                  </w:r>
                  <w:r>
                    <w:rPr>
                      <w:rFonts w:hint="default" w:ascii="Times New Roman" w:hAnsi="Times New Roman" w:eastAsia="宋体" w:cs="Times New Roman"/>
                      <w:bCs/>
                      <w:color w:val="auto"/>
                      <w:sz w:val="21"/>
                      <w:szCs w:val="21"/>
                      <w:highlight w:val="none"/>
                      <w:lang w:val="en-US" w:eastAsia="zh-CN"/>
                    </w:rPr>
                    <w:t>mg/L</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BOD</w:t>
                  </w:r>
                  <w:r>
                    <w:rPr>
                      <w:rFonts w:hint="default" w:ascii="Times New Roman" w:hAnsi="Times New Roman" w:eastAsia="宋体" w:cs="Times New Roman"/>
                      <w:bCs/>
                      <w:color w:val="auto"/>
                      <w:sz w:val="21"/>
                      <w:szCs w:val="21"/>
                      <w:highlight w:val="none"/>
                      <w:vertAlign w:val="subscript"/>
                    </w:rPr>
                    <w:t>5</w:t>
                  </w:r>
                  <w:r>
                    <w:rPr>
                      <w:rFonts w:hint="default" w:ascii="Times New Roman" w:hAnsi="Times New Roman" w:eastAsia="宋体" w:cs="Times New Roman"/>
                      <w:bCs/>
                      <w:color w:val="auto"/>
                      <w:sz w:val="21"/>
                      <w:szCs w:val="21"/>
                      <w:highlight w:val="none"/>
                    </w:rPr>
                    <w:t>≤300</w:t>
                  </w:r>
                  <w:r>
                    <w:rPr>
                      <w:rFonts w:hint="default" w:ascii="Times New Roman" w:hAnsi="Times New Roman" w:eastAsia="宋体" w:cs="Times New Roman"/>
                      <w:bCs/>
                      <w:color w:val="auto"/>
                      <w:sz w:val="21"/>
                      <w:szCs w:val="21"/>
                      <w:highlight w:val="none"/>
                      <w:lang w:val="en-US" w:eastAsia="zh-CN"/>
                    </w:rPr>
                    <w:t>mg/L</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SS≤</w:t>
                  </w:r>
                  <w:r>
                    <w:rPr>
                      <w:rFonts w:hint="default" w:ascii="Times New Roman" w:hAnsi="Times New Roman" w:eastAsia="宋体" w:cs="Times New Roman"/>
                      <w:bCs/>
                      <w:color w:val="auto"/>
                      <w:sz w:val="21"/>
                      <w:szCs w:val="21"/>
                      <w:highlight w:val="none"/>
                      <w:lang w:val="en-US" w:eastAsia="zh-CN"/>
                    </w:rPr>
                    <w:t>4</w:t>
                  </w:r>
                  <w:r>
                    <w:rPr>
                      <w:rFonts w:hint="default" w:ascii="Times New Roman" w:hAnsi="Times New Roman" w:eastAsia="宋体" w:cs="Times New Roman"/>
                      <w:bCs/>
                      <w:color w:val="auto"/>
                      <w:sz w:val="21"/>
                      <w:szCs w:val="21"/>
                      <w:highlight w:val="none"/>
                    </w:rPr>
                    <w:t>00</w:t>
                  </w:r>
                  <w:r>
                    <w:rPr>
                      <w:rFonts w:hint="default" w:ascii="Times New Roman" w:hAnsi="Times New Roman" w:eastAsia="宋体" w:cs="Times New Roman"/>
                      <w:bCs/>
                      <w:color w:val="auto"/>
                      <w:sz w:val="21"/>
                      <w:szCs w:val="21"/>
                      <w:highlight w:val="none"/>
                      <w:lang w:val="en-US" w:eastAsia="zh-CN"/>
                    </w:rPr>
                    <w:t>mg/L</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NH</w:t>
                  </w:r>
                  <w:r>
                    <w:rPr>
                      <w:rFonts w:hint="default" w:ascii="Times New Roman" w:hAnsi="Times New Roman" w:eastAsia="宋体" w:cs="Times New Roman"/>
                      <w:bCs/>
                      <w:color w:val="auto"/>
                      <w:sz w:val="21"/>
                      <w:szCs w:val="21"/>
                      <w:highlight w:val="none"/>
                      <w:vertAlign w:val="subscript"/>
                    </w:rPr>
                    <w:t>3</w:t>
                  </w:r>
                  <w:r>
                    <w:rPr>
                      <w:rFonts w:hint="default" w:ascii="Times New Roman" w:hAnsi="Times New Roman" w:eastAsia="宋体" w:cs="Times New Roman"/>
                      <w:bCs/>
                      <w:color w:val="auto"/>
                      <w:sz w:val="21"/>
                      <w:szCs w:val="21"/>
                      <w:highlight w:val="none"/>
                    </w:rPr>
                    <w:t>-N≤</w:t>
                  </w:r>
                  <w:r>
                    <w:rPr>
                      <w:rFonts w:hint="default" w:ascii="Times New Roman" w:hAnsi="Times New Roman" w:eastAsia="宋体" w:cs="Times New Roman"/>
                      <w:bCs/>
                      <w:color w:val="auto"/>
                      <w:sz w:val="21"/>
                      <w:szCs w:val="21"/>
                      <w:highlight w:val="none"/>
                      <w:lang w:val="en-US" w:eastAsia="zh-CN"/>
                    </w:rPr>
                    <w:t>45mg/L</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动植物油</w:t>
                  </w:r>
                  <w:r>
                    <w:rPr>
                      <w:rFonts w:hint="default" w:ascii="Times New Roman" w:hAnsi="Times New Roman" w:eastAsia="宋体" w:cs="Times New Roman"/>
                      <w:bCs/>
                      <w:color w:val="auto"/>
                      <w:sz w:val="21"/>
                      <w:szCs w:val="21"/>
                      <w:highlight w:val="none"/>
                    </w:rPr>
                    <w:t>≤</w:t>
                  </w:r>
                  <w:r>
                    <w:rPr>
                      <w:rFonts w:hint="default" w:ascii="Times New Roman" w:hAnsi="Times New Roman" w:eastAsia="宋体" w:cs="Times New Roman"/>
                      <w:bCs/>
                      <w:color w:val="auto"/>
                      <w:sz w:val="21"/>
                      <w:szCs w:val="21"/>
                      <w:highlight w:val="none"/>
                      <w:lang w:val="en-US" w:eastAsia="zh-CN"/>
                    </w:rPr>
                    <w:t xml:space="preserve">100mg/L </w:t>
                  </w:r>
                  <w:r>
                    <w:rPr>
                      <w:rFonts w:hint="default" w:ascii="Times New Roman" w:hAnsi="Times New Roman" w:eastAsia="宋体" w:cs="Times New Roman"/>
                      <w:bCs/>
                      <w:color w:val="auto"/>
                      <w:sz w:val="21"/>
                      <w:szCs w:val="21"/>
                      <w:highlight w:val="none"/>
                      <w:lang w:eastAsia="zh-CN"/>
                    </w:rPr>
                    <w:t>）</w:t>
                  </w:r>
                </w:p>
              </w:tc>
              <w:tc>
                <w:tcPr>
                  <w:tcW w:w="594"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处理设施进出</w:t>
                  </w:r>
                </w:p>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口</w:t>
                  </w:r>
                </w:p>
              </w:tc>
              <w:tc>
                <w:tcPr>
                  <w:tcW w:w="912"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Cs/>
                      <w:color w:val="auto"/>
                      <w:sz w:val="21"/>
                      <w:szCs w:val="21"/>
                      <w:highlight w:val="none"/>
                    </w:rPr>
                    <w:t>pH</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COD</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BOD</w:t>
                  </w:r>
                  <w:r>
                    <w:rPr>
                      <w:rFonts w:hint="default" w:ascii="Times New Roman" w:hAnsi="Times New Roman" w:eastAsia="宋体" w:cs="Times New Roman"/>
                      <w:bCs/>
                      <w:color w:val="auto"/>
                      <w:sz w:val="21"/>
                      <w:szCs w:val="21"/>
                      <w:highlight w:val="none"/>
                      <w:vertAlign w:val="subscript"/>
                    </w:rPr>
                    <w:t>5</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SS</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NH</w:t>
                  </w:r>
                  <w:r>
                    <w:rPr>
                      <w:rFonts w:hint="default" w:ascii="Times New Roman" w:hAnsi="Times New Roman" w:eastAsia="宋体" w:cs="Times New Roman"/>
                      <w:bCs/>
                      <w:color w:val="auto"/>
                      <w:sz w:val="21"/>
                      <w:szCs w:val="21"/>
                      <w:highlight w:val="none"/>
                      <w:vertAlign w:val="subscript"/>
                    </w:rPr>
                    <w:t>3</w:t>
                  </w:r>
                  <w:r>
                    <w:rPr>
                      <w:rFonts w:hint="default" w:ascii="Times New Roman" w:hAnsi="Times New Roman" w:eastAsia="宋体" w:cs="Times New Roman"/>
                      <w:bCs/>
                      <w:color w:val="auto"/>
                      <w:sz w:val="21"/>
                      <w:szCs w:val="21"/>
                      <w:highlight w:val="none"/>
                    </w:rPr>
                    <w:t>-N</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动植物油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85" w:hRule="atLeast"/>
                <w:jc w:val="center"/>
              </w:trPr>
              <w:tc>
                <w:tcPr>
                  <w:tcW w:w="515" w:type="dxa"/>
                  <w:vMerge w:val="restart"/>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eastAsia="宋体" w:cs="Times New Roman"/>
                      <w:color w:val="auto"/>
                      <w:sz w:val="21"/>
                      <w:szCs w:val="21"/>
                      <w:highlight w:val="none"/>
                      <w:vertAlign w:val="baseline"/>
                      <w:lang w:val="en-US" w:eastAsia="zh-CN"/>
                    </w:rPr>
                    <w:t>废气</w:t>
                  </w:r>
                </w:p>
              </w:tc>
              <w:tc>
                <w:tcPr>
                  <w:tcW w:w="1766"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熔化、浇注废气</w:t>
                  </w:r>
                </w:p>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排放口</w:t>
                  </w:r>
                </w:p>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（DA001）</w:t>
                  </w:r>
                </w:p>
              </w:tc>
              <w:tc>
                <w:tcPr>
                  <w:tcW w:w="1230"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auto"/>
                    <w:rPr>
                      <w:rFonts w:hint="eastAsia"/>
                      <w:color w:val="auto"/>
                      <w:kern w:val="0"/>
                      <w:sz w:val="21"/>
                      <w:szCs w:val="21"/>
                      <w:highlight w:val="none"/>
                      <w:vertAlign w:val="baseline"/>
                      <w:lang w:val="en-US" w:eastAsia="zh-CN"/>
                    </w:rPr>
                  </w:pPr>
                  <w:r>
                    <w:rPr>
                      <w:rFonts w:hint="eastAsia"/>
                      <w:b w:val="0"/>
                      <w:bCs w:val="0"/>
                      <w:color w:val="auto"/>
                      <w:kern w:val="0"/>
                      <w:sz w:val="21"/>
                      <w:szCs w:val="21"/>
                      <w:highlight w:val="none"/>
                      <w:vertAlign w:val="baseline"/>
                      <w:lang w:val="en-US" w:eastAsia="zh-CN"/>
                    </w:rPr>
                    <w:t>布袋除尘器、二级活性炭吸附装置</w:t>
                  </w:r>
                </w:p>
              </w:tc>
              <w:tc>
                <w:tcPr>
                  <w:tcW w:w="3080" w:type="dxa"/>
                  <w:tcBorders>
                    <w:tl2br w:val="nil"/>
                    <w:tr2bl w:val="nil"/>
                  </w:tcBorders>
                  <w:vAlign w:val="center"/>
                </w:tcPr>
                <w:p>
                  <w:pPr>
                    <w:pStyle w:val="34"/>
                    <w:keepNext w:val="0"/>
                    <w:keepLines w:val="0"/>
                    <w:pageBreakBefore w:val="0"/>
                    <w:kinsoku/>
                    <w:wordWrap/>
                    <w:overflowPunct/>
                    <w:topLinePunct w:val="0"/>
                    <w:bidi w:val="0"/>
                    <w:adjustRightInd w:val="0"/>
                    <w:snapToGrid w:val="0"/>
                    <w:spacing w:after="0" w:line="240" w:lineRule="auto"/>
                    <w:ind w:left="0" w:leftChars="0" w:right="0" w:rightChars="0" w:firstLine="0" w:firstLineChars="0"/>
                    <w:jc w:val="center"/>
                    <w:textAlignment w:val="auto"/>
                    <w:rPr>
                      <w:rFonts w:hint="eastAsia" w:ascii="宋体" w:hAnsi="宋体" w:cs="宋体"/>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lang w:val="en-US" w:eastAsia="zh-CN" w:bidi="ar"/>
                    </w:rPr>
                    <w:t>执行《铸造工业大气污染物排放标准》（GB39726-2020）表1标准限值</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颗粒物</w:t>
                  </w:r>
                  <w:r>
                    <w:rPr>
                      <w:rFonts w:hint="default" w:ascii="Times New Roman" w:hAnsi="Times New Roman" w:eastAsia="宋体" w:cs="Times New Roman"/>
                      <w:color w:val="auto"/>
                      <w:kern w:val="0"/>
                      <w:sz w:val="21"/>
                      <w:szCs w:val="21"/>
                      <w:lang w:val="en-US" w:eastAsia="zh-CN" w:bidi="ar"/>
                    </w:rPr>
                    <w:t>≤30mg/m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非甲烷总烃</w:t>
                  </w:r>
                  <w:r>
                    <w:rPr>
                      <w:rFonts w:hint="default" w:ascii="Times New Roman" w:hAnsi="Times New Roman" w:eastAsia="宋体" w:cs="Times New Roman"/>
                      <w:color w:val="auto"/>
                      <w:kern w:val="0"/>
                      <w:sz w:val="21"/>
                      <w:szCs w:val="21"/>
                      <w:lang w:val="en-US" w:eastAsia="zh-CN" w:bidi="ar"/>
                    </w:rPr>
                    <w:t>≤100mg/m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sz w:val="21"/>
                      <w:szCs w:val="21"/>
                      <w:lang w:eastAsia="zh-CN"/>
                    </w:rPr>
                    <w:t>）</w:t>
                  </w:r>
                </w:p>
              </w:tc>
              <w:tc>
                <w:tcPr>
                  <w:tcW w:w="594" w:type="dxa"/>
                  <w:vMerge w:val="restart"/>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912" w:type="dxa"/>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vertAlign w:val="baseline"/>
                      <w:lang w:val="en-US" w:eastAsia="zh-CN" w:bidi="ar"/>
                    </w:rPr>
                    <w:t>颗粒物、非甲烷总烃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85" w:hRule="atLeast"/>
                <w:jc w:val="center"/>
              </w:trPr>
              <w:tc>
                <w:tcPr>
                  <w:tcW w:w="515"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766"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搅砂及制芯废气排放口</w:t>
                  </w:r>
                </w:p>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（DA00</w:t>
                  </w:r>
                  <w:r>
                    <w:rPr>
                      <w:rFonts w:hint="eastAsia" w:cs="Times New Roman"/>
                      <w:b w:val="0"/>
                      <w:bCs w:val="0"/>
                      <w:color w:val="auto"/>
                      <w:kern w:val="0"/>
                      <w:sz w:val="21"/>
                      <w:szCs w:val="21"/>
                      <w:highlight w:val="none"/>
                      <w:vertAlign w:val="baseline"/>
                      <w:lang w:val="en-US" w:eastAsia="zh-CN" w:bidi="ar"/>
                    </w:rPr>
                    <w:t>2</w:t>
                  </w:r>
                  <w:r>
                    <w:rPr>
                      <w:rFonts w:hint="default" w:ascii="Times New Roman" w:hAnsi="Times New Roman" w:eastAsia="宋体" w:cs="Times New Roman"/>
                      <w:b w:val="0"/>
                      <w:bCs w:val="0"/>
                      <w:color w:val="auto"/>
                      <w:kern w:val="0"/>
                      <w:sz w:val="21"/>
                      <w:szCs w:val="21"/>
                      <w:highlight w:val="none"/>
                      <w:vertAlign w:val="baseline"/>
                      <w:lang w:val="en-US" w:eastAsia="zh-CN" w:bidi="ar"/>
                    </w:rPr>
                    <w:t>）</w:t>
                  </w:r>
                </w:p>
              </w:tc>
              <w:tc>
                <w:tcPr>
                  <w:tcW w:w="1230" w:type="dxa"/>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color w:val="auto"/>
                      <w:kern w:val="0"/>
                      <w:sz w:val="21"/>
                      <w:szCs w:val="21"/>
                      <w:highlight w:val="none"/>
                      <w:vertAlign w:val="baseline"/>
                      <w:lang w:val="en-US" w:eastAsia="zh-CN"/>
                    </w:rPr>
                  </w:pPr>
                  <w:r>
                    <w:rPr>
                      <w:rFonts w:hint="eastAsia" w:cs="Times New Roman"/>
                      <w:color w:val="auto"/>
                      <w:kern w:val="0"/>
                      <w:sz w:val="21"/>
                      <w:szCs w:val="21"/>
                      <w:lang w:val="en-US" w:eastAsia="zh-CN" w:bidi="ar"/>
                    </w:rPr>
                    <w:t>水喷淋、二级</w:t>
                  </w:r>
                  <w:r>
                    <w:rPr>
                      <w:rFonts w:hint="default" w:ascii="Times New Roman" w:hAnsi="Times New Roman" w:eastAsia="宋体" w:cs="Times New Roman"/>
                      <w:color w:val="auto"/>
                      <w:kern w:val="0"/>
                      <w:sz w:val="21"/>
                      <w:szCs w:val="21"/>
                      <w:lang w:val="en-US" w:eastAsia="zh-CN" w:bidi="ar"/>
                    </w:rPr>
                    <w:t>活性炭吸附</w:t>
                  </w:r>
                  <w:r>
                    <w:rPr>
                      <w:rFonts w:hint="eastAsia" w:cs="Times New Roman"/>
                      <w:color w:val="auto"/>
                      <w:kern w:val="0"/>
                      <w:sz w:val="21"/>
                      <w:szCs w:val="21"/>
                      <w:lang w:val="en-US" w:eastAsia="zh-CN" w:bidi="ar"/>
                    </w:rPr>
                    <w:t>装置</w:t>
                  </w:r>
                </w:p>
              </w:tc>
              <w:tc>
                <w:tcPr>
                  <w:tcW w:w="3080" w:type="dxa"/>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ascii="宋体" w:hAnsi="宋体" w:cs="宋体"/>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lang w:val="en-US" w:eastAsia="zh-CN" w:bidi="ar"/>
                    </w:rPr>
                    <w:t>执行《铸造工业大气污染物排放标准》（GB39726-2020）表1标准限值</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颗粒物</w:t>
                  </w:r>
                  <w:r>
                    <w:rPr>
                      <w:rFonts w:hint="default" w:ascii="Times New Roman" w:hAnsi="Times New Roman" w:eastAsia="宋体" w:cs="Times New Roman"/>
                      <w:color w:val="auto"/>
                      <w:kern w:val="0"/>
                      <w:sz w:val="21"/>
                      <w:szCs w:val="21"/>
                      <w:lang w:val="en-US" w:eastAsia="zh-CN" w:bidi="ar"/>
                    </w:rPr>
                    <w:t>≤30mg/m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非甲烷总烃</w:t>
                  </w:r>
                  <w:r>
                    <w:rPr>
                      <w:rFonts w:hint="default" w:ascii="Times New Roman" w:hAnsi="Times New Roman" w:eastAsia="宋体" w:cs="Times New Roman"/>
                      <w:color w:val="auto"/>
                      <w:kern w:val="0"/>
                      <w:sz w:val="21"/>
                      <w:szCs w:val="21"/>
                      <w:lang w:val="en-US" w:eastAsia="zh-CN" w:bidi="ar"/>
                    </w:rPr>
                    <w:t>≤100mg/m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sz w:val="21"/>
                      <w:szCs w:val="21"/>
                      <w:lang w:eastAsia="zh-CN"/>
                    </w:rPr>
                    <w:t>）</w:t>
                  </w:r>
                </w:p>
              </w:tc>
              <w:tc>
                <w:tcPr>
                  <w:tcW w:w="594"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912" w:type="dxa"/>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vertAlign w:val="baseline"/>
                      <w:lang w:val="en-US" w:eastAsia="zh-CN" w:bidi="ar"/>
                    </w:rPr>
                    <w:t>颗粒物、非甲烷总烃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85" w:hRule="atLeast"/>
                <w:jc w:val="center"/>
              </w:trPr>
              <w:tc>
                <w:tcPr>
                  <w:tcW w:w="515"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766" w:type="dxa"/>
                  <w:tcBorders>
                    <w:tl2br w:val="nil"/>
                    <w:tr2bl w:val="nil"/>
                  </w:tcBorders>
                  <w:vAlign w:val="center"/>
                </w:tcPr>
                <w:p>
                  <w:pPr>
                    <w:pStyle w:val="2"/>
                    <w:keepNext w:val="0"/>
                    <w:keepLines w:val="0"/>
                    <w:pageBreakBefore w:val="0"/>
                    <w:numPr>
                      <w:ilvl w:val="0"/>
                      <w:numId w:val="0"/>
                    </w:numP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落砂</w:t>
                  </w:r>
                  <w:r>
                    <w:rPr>
                      <w:rFonts w:hint="eastAsia" w:ascii="Times New Roman" w:eastAsia="宋体" w:cs="Times New Roman"/>
                      <w:color w:val="auto"/>
                      <w:kern w:val="0"/>
                      <w:sz w:val="21"/>
                      <w:szCs w:val="21"/>
                      <w:lang w:val="en-US" w:eastAsia="zh-CN" w:bidi="ar"/>
                    </w:rPr>
                    <w:t>、压铸、锻造</w:t>
                  </w:r>
                  <w:r>
                    <w:rPr>
                      <w:rFonts w:hint="default" w:ascii="Times New Roman" w:hAnsi="Times New Roman" w:eastAsia="宋体" w:cs="Times New Roman"/>
                      <w:color w:val="auto"/>
                      <w:kern w:val="0"/>
                      <w:sz w:val="21"/>
                      <w:szCs w:val="21"/>
                      <w:lang w:val="en-US" w:eastAsia="zh-CN" w:bidi="ar"/>
                    </w:rPr>
                    <w:t>废气</w:t>
                  </w:r>
                  <w:r>
                    <w:rPr>
                      <w:rFonts w:hint="default" w:ascii="Times New Roman" w:hAnsi="Times New Roman" w:eastAsia="宋体" w:cs="Times New Roman"/>
                      <w:color w:val="auto"/>
                      <w:sz w:val="21"/>
                      <w:szCs w:val="21"/>
                      <w:lang w:val="en-US" w:eastAsia="zh-CN"/>
                    </w:rPr>
                    <w:t>排放口</w:t>
                  </w:r>
                </w:p>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（DA00</w:t>
                  </w:r>
                  <w:r>
                    <w:rPr>
                      <w:rFonts w:hint="eastAsia" w:cs="Times New Roman"/>
                      <w:b w:val="0"/>
                      <w:bCs w:val="0"/>
                      <w:color w:val="auto"/>
                      <w:kern w:val="0"/>
                      <w:sz w:val="21"/>
                      <w:szCs w:val="21"/>
                      <w:highlight w:val="none"/>
                      <w:vertAlign w:val="baseline"/>
                      <w:lang w:val="en-US" w:eastAsia="zh-CN" w:bidi="ar"/>
                    </w:rPr>
                    <w:t>3</w:t>
                  </w:r>
                  <w:r>
                    <w:rPr>
                      <w:rFonts w:hint="default" w:ascii="Times New Roman" w:hAnsi="Times New Roman" w:eastAsia="宋体" w:cs="Times New Roman"/>
                      <w:b w:val="0"/>
                      <w:bCs w:val="0"/>
                      <w:color w:val="auto"/>
                      <w:kern w:val="0"/>
                      <w:sz w:val="21"/>
                      <w:szCs w:val="21"/>
                      <w:highlight w:val="none"/>
                      <w:vertAlign w:val="baseline"/>
                      <w:lang w:val="en-US" w:eastAsia="zh-CN" w:bidi="ar"/>
                    </w:rPr>
                    <w:t>）</w:t>
                  </w:r>
                </w:p>
              </w:tc>
              <w:tc>
                <w:tcPr>
                  <w:tcW w:w="1230" w:type="dxa"/>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布袋除尘器</w:t>
                  </w:r>
                </w:p>
              </w:tc>
              <w:tc>
                <w:tcPr>
                  <w:tcW w:w="3080" w:type="dxa"/>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ascii="宋体" w:hAnsi="宋体" w:cs="宋体"/>
                      <w:color w:val="auto"/>
                      <w:kern w:val="0"/>
                      <w:sz w:val="21"/>
                      <w:szCs w:val="21"/>
                      <w:highlight w:val="none"/>
                      <w:lang w:val="en-US" w:eastAsia="zh-CN" w:bidi="ar"/>
                    </w:rPr>
                  </w:pPr>
                  <w:r>
                    <w:rPr>
                      <w:rFonts w:hint="eastAsia" w:ascii="宋体" w:hAnsi="宋体" w:cs="宋体"/>
                      <w:color w:val="auto"/>
                      <w:kern w:val="0"/>
                      <w:sz w:val="21"/>
                      <w:szCs w:val="21"/>
                      <w:lang w:val="en-US" w:eastAsia="zh-CN" w:bidi="ar"/>
                    </w:rPr>
                    <w:t>执行</w:t>
                  </w:r>
                  <w:r>
                    <w:rPr>
                      <w:rFonts w:hint="eastAsia" w:ascii="宋体" w:hAnsi="宋体" w:eastAsia="宋体" w:cs="宋体"/>
                      <w:color w:val="auto"/>
                      <w:kern w:val="0"/>
                      <w:sz w:val="21"/>
                      <w:szCs w:val="21"/>
                      <w:lang w:val="en-US" w:eastAsia="zh-CN" w:bidi="ar"/>
                    </w:rPr>
                    <w:t>《铸造工业大气污染物排放标准》（</w:t>
                  </w:r>
                  <w:r>
                    <w:rPr>
                      <w:rFonts w:hint="default" w:ascii="Times New Roman" w:hAnsi="Times New Roman" w:eastAsia="宋体" w:cs="Times New Roman"/>
                      <w:color w:val="auto"/>
                      <w:kern w:val="0"/>
                      <w:sz w:val="21"/>
                      <w:szCs w:val="21"/>
                      <w:lang w:val="en-US" w:eastAsia="zh-CN" w:bidi="ar"/>
                    </w:rPr>
                    <w:t>GB39726-2020</w:t>
                  </w:r>
                  <w:r>
                    <w:rPr>
                      <w:rFonts w:hint="eastAsia" w:ascii="宋体" w:hAnsi="宋体" w:eastAsia="宋体" w:cs="宋体"/>
                      <w:color w:val="auto"/>
                      <w:kern w:val="0"/>
                      <w:sz w:val="21"/>
                      <w:szCs w:val="21"/>
                      <w:lang w:val="en-US" w:eastAsia="zh-CN" w:bidi="ar"/>
                    </w:rPr>
                    <w:t>）表</w:t>
                  </w:r>
                  <w:r>
                    <w:rPr>
                      <w:rFonts w:hint="default" w:ascii="Times New Roman" w:hAnsi="Times New Roman" w:eastAsia="宋体" w:cs="Times New Roman"/>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标准限值</w:t>
                  </w:r>
                  <w:r>
                    <w:rPr>
                      <w:rFonts w:hint="eastAsia"/>
                      <w:color w:val="auto"/>
                      <w:sz w:val="21"/>
                      <w:szCs w:val="21"/>
                      <w:lang w:eastAsia="zh-CN"/>
                    </w:rPr>
                    <w:t>（</w:t>
                  </w:r>
                  <w:r>
                    <w:rPr>
                      <w:rFonts w:hint="default" w:ascii="Times New Roman" w:hAnsi="Times New Roman" w:eastAsia="宋体" w:cs="Times New Roman"/>
                      <w:color w:val="auto"/>
                      <w:kern w:val="0"/>
                      <w:sz w:val="21"/>
                      <w:szCs w:val="21"/>
                      <w:lang w:val="en-US" w:eastAsia="zh-CN" w:bidi="ar"/>
                    </w:rPr>
                    <w:t>≤</w:t>
                  </w:r>
                  <w:r>
                    <w:rPr>
                      <w:rFonts w:hint="eastAsia" w:cs="Times New Roman"/>
                      <w:color w:val="auto"/>
                      <w:kern w:val="0"/>
                      <w:sz w:val="21"/>
                      <w:szCs w:val="21"/>
                      <w:lang w:val="en-US" w:eastAsia="zh-CN" w:bidi="ar"/>
                    </w:rPr>
                    <w:t>3</w:t>
                  </w:r>
                  <w:r>
                    <w:rPr>
                      <w:rFonts w:hint="default" w:ascii="Times New Roman" w:hAnsi="Times New Roman" w:eastAsia="宋体" w:cs="Times New Roman"/>
                      <w:color w:val="auto"/>
                      <w:kern w:val="0"/>
                      <w:sz w:val="21"/>
                      <w:szCs w:val="21"/>
                      <w:lang w:val="en-US" w:eastAsia="zh-CN" w:bidi="ar"/>
                    </w:rPr>
                    <w:t>0mg/m</w:t>
                  </w:r>
                  <w:r>
                    <w:rPr>
                      <w:rFonts w:hint="default" w:ascii="Times New Roman" w:hAnsi="Times New Roman" w:eastAsia="宋体" w:cs="Times New Roman"/>
                      <w:color w:val="auto"/>
                      <w:kern w:val="0"/>
                      <w:sz w:val="21"/>
                      <w:szCs w:val="21"/>
                      <w:vertAlign w:val="superscript"/>
                      <w:lang w:val="en-US" w:eastAsia="zh-CN" w:bidi="ar"/>
                    </w:rPr>
                    <w:t>3</w:t>
                  </w:r>
                  <w:r>
                    <w:rPr>
                      <w:rFonts w:hint="eastAsia"/>
                      <w:color w:val="auto"/>
                      <w:sz w:val="21"/>
                      <w:szCs w:val="21"/>
                      <w:lang w:eastAsia="zh-CN"/>
                    </w:rPr>
                    <w:t>）</w:t>
                  </w:r>
                </w:p>
              </w:tc>
              <w:tc>
                <w:tcPr>
                  <w:tcW w:w="594"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912" w:type="dxa"/>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vertAlign w:val="baseline"/>
                      <w:lang w:val="en-US" w:eastAsia="zh-CN" w:bidi="ar"/>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17" w:hRule="atLeast"/>
                <w:jc w:val="center"/>
              </w:trPr>
              <w:tc>
                <w:tcPr>
                  <w:tcW w:w="515"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766" w:type="dxa"/>
                  <w:tcBorders>
                    <w:tl2br w:val="nil"/>
                    <w:tr2bl w:val="nil"/>
                  </w:tcBorders>
                  <w:vAlign w:val="center"/>
                </w:tcPr>
                <w:p>
                  <w:pPr>
                    <w:pStyle w:val="2"/>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抛光</w:t>
                  </w:r>
                  <w:r>
                    <w:rPr>
                      <w:rFonts w:hint="eastAsia" w:ascii="Times New Roman" w:eastAsia="宋体" w:cs="Times New Roman"/>
                      <w:color w:val="auto"/>
                      <w:sz w:val="21"/>
                      <w:szCs w:val="21"/>
                      <w:lang w:val="en-US" w:eastAsia="zh-CN"/>
                    </w:rPr>
                    <w:t>、抛丸</w:t>
                  </w:r>
                  <w:r>
                    <w:rPr>
                      <w:rFonts w:hint="default" w:ascii="Times New Roman" w:hAnsi="Times New Roman" w:eastAsia="宋体" w:cs="Times New Roman"/>
                      <w:color w:val="auto"/>
                      <w:sz w:val="21"/>
                      <w:szCs w:val="21"/>
                      <w:lang w:val="en-US" w:eastAsia="zh-CN"/>
                    </w:rPr>
                    <w:t>废气</w:t>
                  </w:r>
                </w:p>
                <w:p>
                  <w:pPr>
                    <w:pStyle w:val="2"/>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排放口</w:t>
                  </w:r>
                </w:p>
                <w:p>
                  <w:pPr>
                    <w:pStyle w:val="2"/>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（DA00</w:t>
                  </w:r>
                  <w:r>
                    <w:rPr>
                      <w:rFonts w:hint="eastAsia" w:ascii="Times New Roman" w:eastAsia="宋体" w:cs="Times New Roman"/>
                      <w:b w:val="0"/>
                      <w:bCs w:val="0"/>
                      <w:color w:val="auto"/>
                      <w:kern w:val="0"/>
                      <w:sz w:val="21"/>
                      <w:szCs w:val="21"/>
                      <w:highlight w:val="none"/>
                      <w:vertAlign w:val="baseline"/>
                      <w:lang w:val="en-US" w:eastAsia="zh-CN" w:bidi="ar"/>
                    </w:rPr>
                    <w:t>4</w:t>
                  </w:r>
                  <w:r>
                    <w:rPr>
                      <w:rFonts w:hint="default" w:ascii="Times New Roman" w:hAnsi="Times New Roman" w:eastAsia="宋体" w:cs="Times New Roman"/>
                      <w:b w:val="0"/>
                      <w:bCs w:val="0"/>
                      <w:color w:val="auto"/>
                      <w:kern w:val="0"/>
                      <w:sz w:val="21"/>
                      <w:szCs w:val="21"/>
                      <w:highlight w:val="none"/>
                      <w:vertAlign w:val="baseline"/>
                      <w:lang w:val="en-US" w:eastAsia="zh-CN" w:bidi="ar"/>
                    </w:rPr>
                    <w:t>）</w:t>
                  </w:r>
                </w:p>
              </w:tc>
              <w:tc>
                <w:tcPr>
                  <w:tcW w:w="1230"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auto"/>
                    <w:rPr>
                      <w:rFonts w:hint="eastAsia"/>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布袋除尘器</w:t>
                  </w:r>
                </w:p>
              </w:tc>
              <w:tc>
                <w:tcPr>
                  <w:tcW w:w="3080" w:type="dxa"/>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ascii="宋体" w:hAnsi="宋体" w:cs="宋体"/>
                      <w:color w:val="auto"/>
                      <w:kern w:val="0"/>
                      <w:sz w:val="21"/>
                      <w:szCs w:val="21"/>
                      <w:highlight w:val="none"/>
                      <w:lang w:val="en-US" w:eastAsia="zh-CN" w:bidi="ar"/>
                    </w:rPr>
                  </w:pPr>
                  <w:r>
                    <w:rPr>
                      <w:rFonts w:hint="eastAsia" w:ascii="宋体" w:hAnsi="宋体" w:cs="宋体"/>
                      <w:color w:val="auto"/>
                      <w:kern w:val="0"/>
                      <w:sz w:val="21"/>
                      <w:szCs w:val="21"/>
                      <w:lang w:val="en-US" w:eastAsia="zh-CN" w:bidi="ar"/>
                    </w:rPr>
                    <w:t>执行</w:t>
                  </w:r>
                  <w:r>
                    <w:rPr>
                      <w:rFonts w:hint="eastAsia" w:ascii="宋体" w:hAnsi="宋体" w:eastAsia="宋体" w:cs="宋体"/>
                      <w:color w:val="auto"/>
                      <w:kern w:val="0"/>
                      <w:sz w:val="21"/>
                      <w:szCs w:val="21"/>
                      <w:lang w:val="en-US" w:eastAsia="zh-CN" w:bidi="ar"/>
                    </w:rPr>
                    <w:t>《铸造工业大气污染物排放标准》（</w:t>
                  </w:r>
                  <w:r>
                    <w:rPr>
                      <w:rFonts w:hint="default" w:ascii="Times New Roman" w:hAnsi="Times New Roman" w:eastAsia="宋体" w:cs="Times New Roman"/>
                      <w:color w:val="auto"/>
                      <w:kern w:val="0"/>
                      <w:sz w:val="21"/>
                      <w:szCs w:val="21"/>
                      <w:lang w:val="en-US" w:eastAsia="zh-CN" w:bidi="ar"/>
                    </w:rPr>
                    <w:t>GB39726-2020</w:t>
                  </w:r>
                  <w:r>
                    <w:rPr>
                      <w:rFonts w:hint="eastAsia" w:ascii="宋体" w:hAnsi="宋体" w:eastAsia="宋体" w:cs="宋体"/>
                      <w:color w:val="auto"/>
                      <w:kern w:val="0"/>
                      <w:sz w:val="21"/>
                      <w:szCs w:val="21"/>
                      <w:lang w:val="en-US" w:eastAsia="zh-CN" w:bidi="ar"/>
                    </w:rPr>
                    <w:t>）表</w:t>
                  </w:r>
                  <w:r>
                    <w:rPr>
                      <w:rFonts w:hint="default" w:ascii="Times New Roman" w:hAnsi="Times New Roman" w:eastAsia="宋体" w:cs="Times New Roman"/>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标准限值</w:t>
                  </w:r>
                  <w:r>
                    <w:rPr>
                      <w:rFonts w:hint="eastAsia"/>
                      <w:color w:val="auto"/>
                      <w:sz w:val="21"/>
                      <w:szCs w:val="21"/>
                      <w:lang w:eastAsia="zh-CN"/>
                    </w:rPr>
                    <w:t>（</w:t>
                  </w:r>
                  <w:r>
                    <w:rPr>
                      <w:rFonts w:hint="default" w:ascii="Times New Roman" w:hAnsi="Times New Roman" w:eastAsia="宋体" w:cs="Times New Roman"/>
                      <w:color w:val="auto"/>
                      <w:kern w:val="0"/>
                      <w:sz w:val="21"/>
                      <w:szCs w:val="21"/>
                      <w:lang w:val="en-US" w:eastAsia="zh-CN" w:bidi="ar"/>
                    </w:rPr>
                    <w:t>≤</w:t>
                  </w:r>
                  <w:r>
                    <w:rPr>
                      <w:rFonts w:hint="eastAsia" w:cs="Times New Roman"/>
                      <w:color w:val="auto"/>
                      <w:kern w:val="0"/>
                      <w:sz w:val="21"/>
                      <w:szCs w:val="21"/>
                      <w:lang w:val="en-US" w:eastAsia="zh-CN" w:bidi="ar"/>
                    </w:rPr>
                    <w:t>3</w:t>
                  </w:r>
                  <w:r>
                    <w:rPr>
                      <w:rFonts w:hint="default" w:ascii="Times New Roman" w:hAnsi="Times New Roman" w:eastAsia="宋体" w:cs="Times New Roman"/>
                      <w:color w:val="auto"/>
                      <w:kern w:val="0"/>
                      <w:sz w:val="21"/>
                      <w:szCs w:val="21"/>
                      <w:lang w:val="en-US" w:eastAsia="zh-CN" w:bidi="ar"/>
                    </w:rPr>
                    <w:t>0mg/m</w:t>
                  </w:r>
                  <w:r>
                    <w:rPr>
                      <w:rFonts w:hint="default" w:ascii="Times New Roman" w:hAnsi="Times New Roman" w:eastAsia="宋体" w:cs="Times New Roman"/>
                      <w:color w:val="auto"/>
                      <w:kern w:val="0"/>
                      <w:sz w:val="21"/>
                      <w:szCs w:val="21"/>
                      <w:vertAlign w:val="superscript"/>
                      <w:lang w:val="en-US" w:eastAsia="zh-CN" w:bidi="ar"/>
                    </w:rPr>
                    <w:t>3</w:t>
                  </w:r>
                  <w:r>
                    <w:rPr>
                      <w:rFonts w:hint="eastAsia"/>
                      <w:color w:val="auto"/>
                      <w:sz w:val="21"/>
                      <w:szCs w:val="21"/>
                      <w:lang w:eastAsia="zh-CN"/>
                    </w:rPr>
                    <w:t>）</w:t>
                  </w:r>
                </w:p>
              </w:tc>
              <w:tc>
                <w:tcPr>
                  <w:tcW w:w="594"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912" w:type="dxa"/>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vertAlign w:val="baseline"/>
                      <w:lang w:val="en-US" w:eastAsia="zh-CN" w:bidi="ar"/>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17" w:hRule="atLeast"/>
                <w:jc w:val="center"/>
              </w:trPr>
              <w:tc>
                <w:tcPr>
                  <w:tcW w:w="515"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766" w:type="dxa"/>
                  <w:tcBorders>
                    <w:tl2br w:val="nil"/>
                    <w:tr2bl w:val="nil"/>
                  </w:tcBorders>
                  <w:vAlign w:val="center"/>
                </w:tcPr>
                <w:p>
                  <w:pPr>
                    <w:pStyle w:val="2"/>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color w:val="auto"/>
                      <w:kern w:val="2"/>
                      <w:sz w:val="21"/>
                      <w:szCs w:val="21"/>
                      <w:highlight w:val="none"/>
                      <w:lang w:val="en-US" w:eastAsia="zh-CN" w:bidi="ar-SA"/>
                    </w:rPr>
                    <w:t>注塑</w:t>
                  </w:r>
                  <w:r>
                    <w:rPr>
                      <w:rFonts w:hint="default" w:ascii="Times New Roman" w:hAnsi="Times New Roman" w:eastAsia="宋体" w:cs="Times New Roman"/>
                      <w:color w:val="auto"/>
                      <w:sz w:val="21"/>
                      <w:szCs w:val="21"/>
                      <w:highlight w:val="none"/>
                      <w:lang w:val="en-US" w:eastAsia="zh-CN"/>
                    </w:rPr>
                    <w:t>废气排放口</w:t>
                  </w:r>
                  <w:r>
                    <w:rPr>
                      <w:rFonts w:hint="default" w:ascii="Times New Roman" w:hAnsi="Times New Roman" w:eastAsia="宋体" w:cs="Times New Roman"/>
                      <w:b w:val="0"/>
                      <w:bCs w:val="0"/>
                      <w:color w:val="auto"/>
                      <w:kern w:val="0"/>
                      <w:sz w:val="21"/>
                      <w:szCs w:val="21"/>
                      <w:highlight w:val="none"/>
                      <w:vertAlign w:val="baseline"/>
                      <w:lang w:val="en-US" w:eastAsia="zh-CN" w:bidi="ar"/>
                    </w:rPr>
                    <w:t>（DA00</w:t>
                  </w:r>
                  <w:r>
                    <w:rPr>
                      <w:rFonts w:hint="eastAsia" w:cs="Times New Roman"/>
                      <w:b w:val="0"/>
                      <w:bCs w:val="0"/>
                      <w:color w:val="auto"/>
                      <w:kern w:val="0"/>
                      <w:sz w:val="21"/>
                      <w:szCs w:val="21"/>
                      <w:highlight w:val="none"/>
                      <w:vertAlign w:val="baseline"/>
                      <w:lang w:val="en-US" w:eastAsia="zh-CN" w:bidi="ar"/>
                    </w:rPr>
                    <w:t>5</w:t>
                  </w:r>
                  <w:r>
                    <w:rPr>
                      <w:rFonts w:hint="default" w:ascii="Times New Roman" w:hAnsi="Times New Roman" w:eastAsia="宋体" w:cs="Times New Roman"/>
                      <w:b w:val="0"/>
                      <w:bCs w:val="0"/>
                      <w:color w:val="auto"/>
                      <w:kern w:val="0"/>
                      <w:sz w:val="21"/>
                      <w:szCs w:val="21"/>
                      <w:highlight w:val="none"/>
                      <w:vertAlign w:val="baseline"/>
                      <w:lang w:val="en-US" w:eastAsia="zh-CN" w:bidi="ar"/>
                    </w:rPr>
                    <w:t>）</w:t>
                  </w:r>
                </w:p>
              </w:tc>
              <w:tc>
                <w:tcPr>
                  <w:tcW w:w="123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vertAlign w:val="baseline"/>
                      <w:lang w:val="en-US" w:eastAsia="zh-CN"/>
                    </w:rPr>
                  </w:pPr>
                  <w:r>
                    <w:rPr>
                      <w:rFonts w:hint="eastAsia" w:cs="Times New Roman"/>
                      <w:color w:val="auto"/>
                      <w:kern w:val="0"/>
                      <w:sz w:val="21"/>
                      <w:szCs w:val="21"/>
                      <w:highlight w:val="none"/>
                      <w:lang w:val="en-US" w:eastAsia="zh-CN"/>
                    </w:rPr>
                    <w:t>二级活性炭吸附装置</w:t>
                  </w:r>
                </w:p>
              </w:tc>
              <w:tc>
                <w:tcPr>
                  <w:tcW w:w="3080" w:type="dxa"/>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ascii="宋体" w:hAnsi="宋体" w:cs="宋体"/>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rPr>
                    <w:t>非甲烷总烃</w:t>
                  </w:r>
                  <w:r>
                    <w:rPr>
                      <w:rFonts w:hint="default" w:ascii="Times New Roman" w:hAnsi="Times New Roman" w:eastAsia="宋体" w:cs="Times New Roman"/>
                      <w:color w:val="auto"/>
                      <w:kern w:val="0"/>
                      <w:sz w:val="21"/>
                      <w:szCs w:val="21"/>
                      <w:highlight w:val="none"/>
                    </w:rPr>
                    <w:t>执行《合成树脂工业污染物排放标准》(GB31572-2015)表4标准限值</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bidi="ar"/>
                    </w:rPr>
                    <w:t>≤100.0mg/m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bidi="ar"/>
                    </w:rPr>
                    <w:t>单位产品非甲烷总烃排放量限值执行《合成树脂工业污染物排放标准》（GB31572-2015）表4中的排放标准（≤0.5kg/t产品）</w:t>
                  </w:r>
                </w:p>
              </w:tc>
              <w:tc>
                <w:tcPr>
                  <w:tcW w:w="594"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912" w:type="dxa"/>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非甲烷</w:t>
                  </w:r>
                </w:p>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91" w:hRule="atLeast"/>
                <w:jc w:val="center"/>
              </w:trPr>
              <w:tc>
                <w:tcPr>
                  <w:tcW w:w="515" w:type="dxa"/>
                  <w:vMerge w:val="continue"/>
                  <w:tcBorders>
                    <w:tl2br w:val="nil"/>
                    <w:tr2bl w:val="nil"/>
                  </w:tcBorders>
                  <w:vAlign w:val="center"/>
                </w:tcPr>
                <w:p>
                  <w:pPr>
                    <w:pStyle w:val="37"/>
                    <w:rPr>
                      <w:rFonts w:hint="default"/>
                      <w:color w:val="auto"/>
                      <w:highlight w:val="none"/>
                      <w:lang w:val="en-US" w:eastAsia="zh-CN"/>
                    </w:rPr>
                  </w:pPr>
                </w:p>
              </w:tc>
              <w:tc>
                <w:tcPr>
                  <w:tcW w:w="1766"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喷漆、烘干</w:t>
                  </w:r>
                  <w:r>
                    <w:rPr>
                      <w:rFonts w:hint="eastAsia" w:ascii="Times New Roman" w:hAnsi="Times New Roman" w:cs="Times New Roman"/>
                      <w:color w:val="auto"/>
                      <w:kern w:val="2"/>
                      <w:sz w:val="21"/>
                      <w:szCs w:val="21"/>
                      <w:highlight w:val="none"/>
                      <w:lang w:val="en-US" w:eastAsia="zh-CN" w:bidi="ar-SA"/>
                    </w:rPr>
                    <w:t>、</w:t>
                  </w:r>
                </w:p>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压合、封边</w:t>
                  </w:r>
                  <w:r>
                    <w:rPr>
                      <w:rFonts w:hint="eastAsia" w:ascii="Times New Roman" w:hAnsi="Times New Roman" w:cs="Times New Roman"/>
                      <w:color w:val="auto"/>
                      <w:kern w:val="2"/>
                      <w:sz w:val="21"/>
                      <w:szCs w:val="21"/>
                      <w:highlight w:val="none"/>
                      <w:lang w:val="en-US" w:eastAsia="zh-CN" w:bidi="ar-SA"/>
                    </w:rPr>
                    <w:t>、</w:t>
                  </w:r>
                </w:p>
                <w:p>
                  <w:pPr>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开料、磨光、机加工</w:t>
                  </w:r>
                  <w:r>
                    <w:rPr>
                      <w:rFonts w:hint="default" w:ascii="Times New Roman" w:hAnsi="Times New Roman" w:eastAsia="宋体" w:cs="Times New Roman"/>
                      <w:color w:val="auto"/>
                      <w:kern w:val="2"/>
                      <w:sz w:val="21"/>
                      <w:szCs w:val="21"/>
                      <w:highlight w:val="none"/>
                      <w:lang w:val="en-US" w:eastAsia="zh-CN" w:bidi="ar-SA"/>
                    </w:rPr>
                    <w:t>废气</w:t>
                  </w:r>
                  <w:r>
                    <w:rPr>
                      <w:rFonts w:hint="default" w:ascii="Times New Roman" w:hAnsi="Times New Roman" w:eastAsia="宋体" w:cs="Times New Roman"/>
                      <w:color w:val="auto"/>
                      <w:sz w:val="21"/>
                      <w:szCs w:val="21"/>
                      <w:highlight w:val="none"/>
                      <w:lang w:val="en-US" w:eastAsia="zh-CN"/>
                    </w:rPr>
                    <w:t>排放口</w:t>
                  </w:r>
                  <w:r>
                    <w:rPr>
                      <w:rFonts w:hint="default" w:ascii="Times New Roman" w:hAnsi="Times New Roman" w:eastAsia="宋体" w:cs="Times New Roman"/>
                      <w:b w:val="0"/>
                      <w:bCs w:val="0"/>
                      <w:color w:val="auto"/>
                      <w:kern w:val="0"/>
                      <w:sz w:val="21"/>
                      <w:szCs w:val="21"/>
                      <w:highlight w:val="none"/>
                      <w:vertAlign w:val="baseline"/>
                      <w:lang w:val="en-US" w:eastAsia="zh-CN" w:bidi="ar"/>
                    </w:rPr>
                    <w:t>（DA00</w:t>
                  </w:r>
                  <w:r>
                    <w:rPr>
                      <w:rFonts w:hint="eastAsia" w:cs="Times New Roman"/>
                      <w:b w:val="0"/>
                      <w:bCs w:val="0"/>
                      <w:color w:val="auto"/>
                      <w:kern w:val="0"/>
                      <w:sz w:val="21"/>
                      <w:szCs w:val="21"/>
                      <w:highlight w:val="none"/>
                      <w:vertAlign w:val="baseline"/>
                      <w:lang w:val="en-US" w:eastAsia="zh-CN" w:bidi="ar"/>
                    </w:rPr>
                    <w:t>6</w:t>
                  </w:r>
                  <w:r>
                    <w:rPr>
                      <w:rFonts w:hint="default" w:ascii="Times New Roman" w:hAnsi="Times New Roman" w:eastAsia="宋体" w:cs="Times New Roman"/>
                      <w:b w:val="0"/>
                      <w:bCs w:val="0"/>
                      <w:color w:val="auto"/>
                      <w:kern w:val="0"/>
                      <w:sz w:val="21"/>
                      <w:szCs w:val="21"/>
                      <w:highlight w:val="none"/>
                      <w:vertAlign w:val="baseline"/>
                      <w:lang w:val="en-US" w:eastAsia="zh-CN" w:bidi="ar"/>
                    </w:rPr>
                    <w:t>）</w:t>
                  </w:r>
                </w:p>
              </w:tc>
              <w:tc>
                <w:tcPr>
                  <w:tcW w:w="1230"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auto"/>
                    <w:rPr>
                      <w:rFonts w:hint="default"/>
                      <w:color w:val="auto"/>
                      <w:kern w:val="0"/>
                      <w:sz w:val="21"/>
                      <w:szCs w:val="21"/>
                      <w:highlight w:val="none"/>
                      <w:vertAlign w:val="baseline"/>
                      <w:lang w:val="en-US" w:eastAsia="zh-CN"/>
                    </w:rPr>
                  </w:pPr>
                  <w:r>
                    <w:rPr>
                      <w:rFonts w:hint="eastAsia" w:ascii="Times New Roman" w:hAnsi="Times New Roman" w:eastAsia="宋体" w:cs="Times New Roman"/>
                      <w:color w:val="auto"/>
                      <w:kern w:val="2"/>
                      <w:sz w:val="21"/>
                      <w:szCs w:val="21"/>
                      <w:highlight w:val="none"/>
                      <w:vertAlign w:val="baseline"/>
                      <w:lang w:val="en-US" w:eastAsia="zh-CN" w:bidi="ar-SA"/>
                    </w:rPr>
                    <w:t>水帘除漆雾</w:t>
                  </w:r>
                  <w:r>
                    <w:rPr>
                      <w:rFonts w:hint="eastAsia" w:cs="Times New Roman"/>
                      <w:color w:val="auto"/>
                      <w:kern w:val="2"/>
                      <w:sz w:val="21"/>
                      <w:szCs w:val="21"/>
                      <w:highlight w:val="none"/>
                      <w:vertAlign w:val="baseline"/>
                      <w:lang w:val="en-US" w:eastAsia="zh-CN" w:bidi="ar-SA"/>
                    </w:rPr>
                    <w:t>、二级</w:t>
                  </w:r>
                  <w:r>
                    <w:rPr>
                      <w:rFonts w:hint="eastAsia" w:ascii="Times New Roman" w:hAnsi="Times New Roman" w:eastAsia="宋体" w:cs="Times New Roman"/>
                      <w:color w:val="auto"/>
                      <w:kern w:val="2"/>
                      <w:sz w:val="21"/>
                      <w:szCs w:val="21"/>
                      <w:highlight w:val="none"/>
                      <w:vertAlign w:val="baseline"/>
                      <w:lang w:val="en-US" w:eastAsia="zh-CN" w:bidi="ar-SA"/>
                    </w:rPr>
                    <w:t>活性炭吸附装置</w:t>
                  </w:r>
                  <w:r>
                    <w:rPr>
                      <w:rFonts w:hint="eastAsia" w:cs="Times New Roman"/>
                      <w:color w:val="auto"/>
                      <w:kern w:val="2"/>
                      <w:sz w:val="21"/>
                      <w:szCs w:val="21"/>
                      <w:highlight w:val="none"/>
                      <w:vertAlign w:val="baseline"/>
                      <w:lang w:val="en-US" w:eastAsia="zh-CN" w:bidi="ar-SA"/>
                    </w:rPr>
                    <w:t>、布袋除尘器</w:t>
                  </w:r>
                </w:p>
              </w:tc>
              <w:tc>
                <w:tcPr>
                  <w:tcW w:w="3080" w:type="dxa"/>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ascii="宋体" w:hAnsi="宋体" w:cs="宋体"/>
                      <w:color w:val="auto"/>
                      <w:kern w:val="0"/>
                      <w:sz w:val="21"/>
                      <w:szCs w:val="21"/>
                      <w:highlight w:val="none"/>
                      <w:lang w:val="en-US" w:eastAsia="zh-CN" w:bidi="ar"/>
                    </w:rPr>
                  </w:pPr>
                  <w:r>
                    <w:rPr>
                      <w:rFonts w:hint="default" w:ascii="Times New Roman" w:hAnsi="Times New Roman" w:eastAsia="宋体" w:cs="Times New Roman"/>
                      <w:color w:val="auto"/>
                      <w:kern w:val="2"/>
                      <w:sz w:val="21"/>
                      <w:szCs w:val="21"/>
                      <w:highlight w:val="none"/>
                      <w:vertAlign w:val="baseline"/>
                      <w:lang w:val="en-US" w:eastAsia="zh-CN" w:bidi="ar-SA"/>
                    </w:rPr>
                    <w:t>非甲烷总烃排放执行《工业涂装工序挥发性有机物排放标准》（DB35/1783-2018）表1家具制造行业标准限值（50mg/m</w:t>
                  </w:r>
                  <w:r>
                    <w:rPr>
                      <w:rFonts w:hint="default" w:ascii="Times New Roman" w:hAnsi="Times New Roman" w:eastAsia="宋体" w:cs="Times New Roman"/>
                      <w:color w:val="auto"/>
                      <w:kern w:val="2"/>
                      <w:sz w:val="21"/>
                      <w:szCs w:val="21"/>
                      <w:highlight w:val="none"/>
                      <w:vertAlign w:val="superscript"/>
                      <w:lang w:val="en-US" w:eastAsia="zh-CN" w:bidi="ar-SA"/>
                    </w:rPr>
                    <w:t>3</w:t>
                  </w:r>
                  <w:r>
                    <w:rPr>
                      <w:rFonts w:hint="default" w:ascii="Times New Roman" w:hAnsi="Times New Roman" w:eastAsia="宋体" w:cs="Times New Roman"/>
                      <w:color w:val="auto"/>
                      <w:kern w:val="2"/>
                      <w:sz w:val="21"/>
                      <w:szCs w:val="21"/>
                      <w:highlight w:val="none"/>
                      <w:vertAlign w:val="baseline"/>
                      <w:lang w:val="en-US" w:eastAsia="zh-CN" w:bidi="ar-SA"/>
                    </w:rPr>
                    <w:t>）</w:t>
                  </w:r>
                  <w:r>
                    <w:rPr>
                      <w:rFonts w:hint="eastAsia" w:ascii="Times New Roman" w:hAnsi="Times New Roman" w:eastAsia="宋体" w:cs="Times New Roman"/>
                      <w:color w:val="auto"/>
                      <w:kern w:val="2"/>
                      <w:sz w:val="21"/>
                      <w:szCs w:val="21"/>
                      <w:highlight w:val="none"/>
                      <w:vertAlign w:val="baseline"/>
                      <w:lang w:val="en-US" w:eastAsia="zh-CN" w:bidi="ar-SA"/>
                    </w:rPr>
                    <w:t>；颗粒物排放执行</w:t>
                  </w:r>
                  <w:r>
                    <w:rPr>
                      <w:rFonts w:hint="default" w:ascii="Times New Roman" w:hAnsi="Times New Roman" w:eastAsia="宋体" w:cs="Times New Roman"/>
                      <w:color w:val="auto"/>
                      <w:kern w:val="2"/>
                      <w:sz w:val="21"/>
                      <w:szCs w:val="21"/>
                      <w:highlight w:val="none"/>
                      <w:vertAlign w:val="baseline"/>
                      <w:lang w:val="en-US" w:eastAsia="zh-CN" w:bidi="ar-SA"/>
                    </w:rPr>
                    <w:t>《大气污染物综合排放标准》 (GB16297-1996)表2排放监控浓度限值（≤120mg/m</w:t>
                  </w:r>
                  <w:r>
                    <w:rPr>
                      <w:rFonts w:hint="default" w:ascii="Times New Roman" w:hAnsi="Times New Roman" w:eastAsia="宋体" w:cs="Times New Roman"/>
                      <w:color w:val="auto"/>
                      <w:kern w:val="2"/>
                      <w:sz w:val="21"/>
                      <w:szCs w:val="21"/>
                      <w:highlight w:val="none"/>
                      <w:vertAlign w:val="superscript"/>
                      <w:lang w:val="en-US" w:eastAsia="zh-CN" w:bidi="ar-SA"/>
                    </w:rPr>
                    <w:t>3</w:t>
                  </w:r>
                  <w:r>
                    <w:rPr>
                      <w:rFonts w:hint="default" w:ascii="Times New Roman" w:hAnsi="Times New Roman" w:eastAsia="宋体" w:cs="Times New Roman"/>
                      <w:color w:val="auto"/>
                      <w:kern w:val="2"/>
                      <w:sz w:val="21"/>
                      <w:szCs w:val="21"/>
                      <w:highlight w:val="none"/>
                      <w:vertAlign w:val="baseline"/>
                      <w:lang w:val="en-US" w:eastAsia="zh-CN" w:bidi="ar-SA"/>
                    </w:rPr>
                    <w:t>）</w:t>
                  </w:r>
                </w:p>
              </w:tc>
              <w:tc>
                <w:tcPr>
                  <w:tcW w:w="594"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912" w:type="dxa"/>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颗粒物、非甲烷总烃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17" w:hRule="atLeast"/>
                <w:jc w:val="center"/>
              </w:trPr>
              <w:tc>
                <w:tcPr>
                  <w:tcW w:w="515" w:type="dxa"/>
                  <w:vMerge w:val="continue"/>
                  <w:tcBorders>
                    <w:tl2br w:val="nil"/>
                    <w:tr2bl w:val="nil"/>
                  </w:tcBorders>
                  <w:vAlign w:val="center"/>
                </w:tcPr>
                <w:p>
                  <w:pPr>
                    <w:pStyle w:val="37"/>
                    <w:rPr>
                      <w:rFonts w:hint="default"/>
                      <w:color w:val="auto"/>
                      <w:highlight w:val="none"/>
                      <w:lang w:val="en-US" w:eastAsia="zh-CN"/>
                    </w:rPr>
                  </w:pPr>
                </w:p>
              </w:tc>
              <w:tc>
                <w:tcPr>
                  <w:tcW w:w="1766" w:type="dxa"/>
                  <w:tcBorders>
                    <w:tl2br w:val="nil"/>
                    <w:tr2bl w:val="nil"/>
                  </w:tcBorders>
                  <w:vAlign w:val="center"/>
                </w:tcPr>
                <w:p>
                  <w:pPr>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食堂废气排放口（DA00</w:t>
                  </w:r>
                  <w:r>
                    <w:rPr>
                      <w:rFonts w:hint="eastAsia" w:cs="Times New Roman"/>
                      <w:color w:val="auto"/>
                      <w:sz w:val="21"/>
                      <w:szCs w:val="21"/>
                      <w:highlight w:val="none"/>
                      <w:lang w:val="en-US" w:eastAsia="zh-CN"/>
                    </w:rPr>
                    <w:t>7</w:t>
                  </w:r>
                  <w:r>
                    <w:rPr>
                      <w:rFonts w:hint="eastAsia" w:ascii="Times New Roman" w:hAnsi="Times New Roman" w:eastAsia="宋体" w:cs="Times New Roman"/>
                      <w:color w:val="auto"/>
                      <w:sz w:val="21"/>
                      <w:szCs w:val="21"/>
                      <w:highlight w:val="none"/>
                      <w:lang w:val="en-US" w:eastAsia="zh-CN"/>
                    </w:rPr>
                    <w:t>）</w:t>
                  </w:r>
                </w:p>
              </w:tc>
              <w:tc>
                <w:tcPr>
                  <w:tcW w:w="1230" w:type="dxa"/>
                  <w:tcBorders>
                    <w:tl2br w:val="nil"/>
                    <w:tr2bl w:val="nil"/>
                  </w:tcBorders>
                  <w:vAlign w:val="center"/>
                </w:tcPr>
                <w:p>
                  <w:pPr>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eastAsia"/>
                      <w:color w:val="auto"/>
                      <w:kern w:val="0"/>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油烟净化机</w:t>
                  </w:r>
                </w:p>
              </w:tc>
              <w:tc>
                <w:tcPr>
                  <w:tcW w:w="308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《饮食业油烟排放标准（试行）》（GB18483-2001）表2限值（≤2mg/m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油烟≤2mg/m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，最低去除效率为75%）</w:t>
                  </w:r>
                </w:p>
              </w:tc>
              <w:tc>
                <w:tcPr>
                  <w:tcW w:w="594"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912" w:type="dxa"/>
                  <w:tcBorders>
                    <w:tl2br w:val="nil"/>
                    <w:tr2bl w:val="nil"/>
                  </w:tcBorders>
                  <w:vAlign w:val="center"/>
                </w:tcPr>
                <w:p>
                  <w:pPr>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color w:val="auto"/>
                      <w:sz w:val="21"/>
                      <w:szCs w:val="21"/>
                      <w:highlight w:val="none"/>
                      <w:lang w:val="en-US" w:eastAsia="zh-CN"/>
                    </w:rPr>
                    <w:t>油烟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17" w:hRule="atLeast"/>
                <w:jc w:val="center"/>
              </w:trPr>
              <w:tc>
                <w:tcPr>
                  <w:tcW w:w="515"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eastAsia="宋体" w:cs="Times New Roman"/>
                      <w:color w:val="auto"/>
                      <w:sz w:val="21"/>
                      <w:szCs w:val="21"/>
                      <w:highlight w:val="none"/>
                      <w:vertAlign w:val="baseline"/>
                    </w:rPr>
                  </w:pPr>
                </w:p>
              </w:tc>
              <w:tc>
                <w:tcPr>
                  <w:tcW w:w="1766" w:type="dxa"/>
                  <w:vMerge w:val="restart"/>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无组织</w:t>
                  </w:r>
                </w:p>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p>
              </w:tc>
              <w:tc>
                <w:tcPr>
                  <w:tcW w:w="1230" w:type="dxa"/>
                  <w:vMerge w:val="restart"/>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30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rPr>
                    <w:t>颗粒物</w:t>
                  </w:r>
                  <w:r>
                    <w:rPr>
                      <w:rFonts w:hint="default" w:ascii="Times New Roman" w:hAnsi="Times New Roman" w:cs="Times New Roman"/>
                      <w:color w:val="auto"/>
                      <w:sz w:val="21"/>
                      <w:szCs w:val="21"/>
                      <w:highlight w:val="none"/>
                      <w:lang w:val="en-US" w:eastAsia="zh-CN"/>
                    </w:rPr>
                    <w:t>厂界：《大气污染物综合排放标准》（GB16297-1996）表2中规定的无组织排放限值（1.0mg/m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w:t>
                  </w:r>
                </w:p>
              </w:tc>
              <w:tc>
                <w:tcPr>
                  <w:tcW w:w="594" w:type="dxa"/>
                  <w:vMerge w:val="restart"/>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厂界</w:t>
                  </w:r>
                </w:p>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厂</w:t>
                  </w:r>
                </w:p>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区内</w:t>
                  </w:r>
                </w:p>
                <w:p>
                  <w:pPr>
                    <w:pStyle w:val="2"/>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eastAsia="宋体" w:cs="Times New Roman"/>
                      <w:color w:val="auto"/>
                      <w:sz w:val="21"/>
                      <w:szCs w:val="21"/>
                      <w:highlight w:val="none"/>
                      <w:vertAlign w:val="baseline"/>
                    </w:rPr>
                  </w:pPr>
                </w:p>
              </w:tc>
              <w:tc>
                <w:tcPr>
                  <w:tcW w:w="912" w:type="dxa"/>
                  <w:vMerge w:val="restart"/>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val="0"/>
                      <w:bCs w:val="0"/>
                      <w:color w:val="auto"/>
                      <w:kern w:val="0"/>
                      <w:sz w:val="21"/>
                      <w:szCs w:val="21"/>
                      <w:highlight w:val="none"/>
                      <w:vertAlign w:val="baseline"/>
                      <w:lang w:val="en-US" w:eastAsia="zh-CN" w:bidi="ar"/>
                    </w:rPr>
                    <w:t>颗粒物、非甲烷总烃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46" w:hRule="atLeast"/>
                <w:jc w:val="center"/>
              </w:trPr>
              <w:tc>
                <w:tcPr>
                  <w:tcW w:w="515" w:type="dxa"/>
                  <w:vMerge w:val="continue"/>
                  <w:tcBorders>
                    <w:tl2br w:val="nil"/>
                    <w:tr2bl w:val="nil"/>
                  </w:tcBorders>
                  <w:vAlign w:val="center"/>
                </w:tcPr>
                <w:p>
                  <w:pPr>
                    <w:pStyle w:val="37"/>
                    <w:rPr>
                      <w:rFonts w:hint="default" w:ascii="Times New Roman" w:hAnsi="Times New Roman" w:eastAsia="宋体" w:cs="Times New Roman"/>
                      <w:color w:val="auto"/>
                      <w:sz w:val="21"/>
                      <w:szCs w:val="21"/>
                      <w:highlight w:val="none"/>
                    </w:rPr>
                  </w:pPr>
                </w:p>
              </w:tc>
              <w:tc>
                <w:tcPr>
                  <w:tcW w:w="1766" w:type="dxa"/>
                  <w:vMerge w:val="continue"/>
                  <w:tcBorders>
                    <w:tl2br w:val="nil"/>
                    <w:tr2bl w:val="nil"/>
                  </w:tcBorders>
                  <w:vAlign w:val="center"/>
                </w:tcPr>
                <w:p>
                  <w:pPr>
                    <w:pStyle w:val="37"/>
                    <w:rPr>
                      <w:rFonts w:hint="default" w:ascii="Times New Roman" w:hAnsi="Times New Roman" w:eastAsia="宋体" w:cs="Times New Roman"/>
                      <w:color w:val="auto"/>
                      <w:sz w:val="21"/>
                      <w:szCs w:val="21"/>
                      <w:highlight w:val="none"/>
                    </w:rPr>
                  </w:pPr>
                </w:p>
              </w:tc>
              <w:tc>
                <w:tcPr>
                  <w:tcW w:w="1230" w:type="dxa"/>
                  <w:vMerge w:val="continue"/>
                  <w:tcBorders>
                    <w:tl2br w:val="nil"/>
                    <w:tr2bl w:val="nil"/>
                  </w:tcBorders>
                  <w:vAlign w:val="center"/>
                </w:tcPr>
                <w:p>
                  <w:pPr>
                    <w:pStyle w:val="37"/>
                    <w:rPr>
                      <w:rFonts w:hint="default" w:ascii="Times New Roman" w:hAnsi="Times New Roman" w:eastAsia="宋体" w:cs="Times New Roman"/>
                      <w:color w:val="auto"/>
                      <w:sz w:val="21"/>
                      <w:szCs w:val="21"/>
                      <w:highlight w:val="none"/>
                    </w:rPr>
                  </w:pPr>
                </w:p>
              </w:tc>
              <w:tc>
                <w:tcPr>
                  <w:tcW w:w="3080"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sz w:val="21"/>
                      <w:szCs w:val="21"/>
                      <w:highlight w:val="none"/>
                      <w:lang w:val="en-US" w:eastAsia="zh-CN"/>
                    </w:rPr>
                    <w:t>颗粒物</w:t>
                  </w:r>
                  <w:r>
                    <w:rPr>
                      <w:rFonts w:hint="default" w:ascii="Times New Roman" w:hAnsi="Times New Roman" w:eastAsia="宋体" w:cs="Times New Roman"/>
                      <w:color w:val="auto"/>
                      <w:kern w:val="0"/>
                      <w:sz w:val="21"/>
                      <w:szCs w:val="21"/>
                      <w:highlight w:val="none"/>
                      <w:lang w:val="en-US" w:eastAsia="zh-CN" w:bidi="ar"/>
                    </w:rPr>
                    <w:t>厂区内：《铸造工业大气污染物排放标准》（GB39726-2020）附录A表A.1标准限值（</w:t>
                  </w:r>
                  <w:r>
                    <w:rPr>
                      <w:rFonts w:hint="default" w:ascii="Times New Roman" w:hAnsi="Times New Roman" w:cs="Times New Roman"/>
                      <w:color w:val="auto"/>
                      <w:kern w:val="0"/>
                      <w:sz w:val="21"/>
                      <w:szCs w:val="21"/>
                      <w:highlight w:val="none"/>
                      <w:lang w:val="en-US" w:eastAsia="zh-CN" w:bidi="ar"/>
                    </w:rPr>
                    <w:t>5</w:t>
                  </w:r>
                  <w:r>
                    <w:rPr>
                      <w:rFonts w:hint="default" w:ascii="Times New Roman" w:hAnsi="Times New Roman" w:eastAsia="宋体" w:cs="Times New Roman"/>
                      <w:color w:val="auto"/>
                      <w:kern w:val="0"/>
                      <w:sz w:val="21"/>
                      <w:szCs w:val="21"/>
                      <w:highlight w:val="none"/>
                      <w:lang w:val="en-US" w:eastAsia="zh-CN" w:bidi="ar"/>
                    </w:rPr>
                    <w:t>mg/m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w:t>
                  </w:r>
                </w:p>
              </w:tc>
              <w:tc>
                <w:tcPr>
                  <w:tcW w:w="594" w:type="dxa"/>
                  <w:vMerge w:val="continue"/>
                  <w:tcBorders>
                    <w:tl2br w:val="nil"/>
                    <w:tr2bl w:val="nil"/>
                  </w:tcBorders>
                  <w:vAlign w:val="center"/>
                </w:tcPr>
                <w:p>
                  <w:pPr>
                    <w:pStyle w:val="37"/>
                    <w:rPr>
                      <w:rFonts w:hint="default" w:ascii="Times New Roman" w:hAnsi="Times New Roman" w:eastAsia="宋体" w:cs="Times New Roman"/>
                      <w:color w:val="auto"/>
                      <w:kern w:val="0"/>
                      <w:sz w:val="21"/>
                      <w:szCs w:val="21"/>
                      <w:highlight w:val="none"/>
                      <w:lang w:val="en-US" w:eastAsia="zh-CN" w:bidi="ar"/>
                    </w:rPr>
                  </w:pPr>
                </w:p>
              </w:tc>
              <w:tc>
                <w:tcPr>
                  <w:tcW w:w="912" w:type="dxa"/>
                  <w:vMerge w:val="continue"/>
                  <w:tcBorders>
                    <w:tl2br w:val="nil"/>
                    <w:tr2bl w:val="nil"/>
                  </w:tcBorders>
                  <w:vAlign w:val="center"/>
                </w:tcPr>
                <w:p>
                  <w:pPr>
                    <w:pStyle w:val="37"/>
                    <w:rPr>
                      <w:rFonts w:hint="default" w:ascii="Times New Roman" w:hAnsi="Times New Roman" w:eastAsia="宋体" w:cs="Times New Roman"/>
                      <w:color w:val="auto"/>
                      <w:kern w:val="0"/>
                      <w:sz w:val="21"/>
                      <w:szCs w:val="21"/>
                      <w:highlight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85" w:hRule="atLeast"/>
                <w:jc w:val="center"/>
              </w:trPr>
              <w:tc>
                <w:tcPr>
                  <w:tcW w:w="515"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eastAsia="宋体" w:cs="Times New Roman"/>
                      <w:color w:val="auto"/>
                      <w:sz w:val="21"/>
                      <w:szCs w:val="21"/>
                      <w:highlight w:val="none"/>
                      <w:vertAlign w:val="baseline"/>
                    </w:rPr>
                  </w:pPr>
                </w:p>
              </w:tc>
              <w:tc>
                <w:tcPr>
                  <w:tcW w:w="1766"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eastAsia="宋体" w:cs="Times New Roman"/>
                      <w:color w:val="auto"/>
                      <w:sz w:val="21"/>
                      <w:szCs w:val="21"/>
                      <w:highlight w:val="none"/>
                      <w:vertAlign w:val="baseline"/>
                    </w:rPr>
                  </w:pPr>
                </w:p>
              </w:tc>
              <w:tc>
                <w:tcPr>
                  <w:tcW w:w="1230"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eastAsia="宋体" w:cs="Times New Roman"/>
                      <w:color w:val="auto"/>
                      <w:sz w:val="21"/>
                      <w:szCs w:val="21"/>
                      <w:highlight w:val="none"/>
                      <w:vertAlign w:val="baseline"/>
                    </w:rPr>
                  </w:pPr>
                </w:p>
              </w:tc>
              <w:tc>
                <w:tcPr>
                  <w:tcW w:w="3080" w:type="dxa"/>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非甲烷总烃厂界</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无组织监控点浓度执行《工业涂装工序挥发性有机物排放标准》（DB35/1783-2018）中表4规定的排放限值</w:t>
                  </w:r>
                  <w:r>
                    <w:rPr>
                      <w:rFonts w:hint="eastAsia" w:cs="Times New Roman"/>
                      <w:color w:val="auto"/>
                      <w:kern w:val="0"/>
                      <w:sz w:val="21"/>
                      <w:szCs w:val="21"/>
                      <w:highlight w:val="none"/>
                      <w:lang w:val="en-US" w:eastAsia="zh-CN" w:bidi="ar"/>
                    </w:rPr>
                    <w:t>（</w:t>
                  </w:r>
                  <w:r>
                    <w:rPr>
                      <w:rFonts w:hint="default" w:ascii="Arial" w:hAnsi="Arial" w:cs="Arial"/>
                      <w:color w:val="auto"/>
                      <w:kern w:val="0"/>
                      <w:sz w:val="21"/>
                      <w:szCs w:val="21"/>
                      <w:highlight w:val="none"/>
                      <w:lang w:val="en-US" w:eastAsia="zh-CN" w:bidi="ar"/>
                    </w:rPr>
                    <w:t>≤</w:t>
                  </w:r>
                  <w:r>
                    <w:rPr>
                      <w:rFonts w:hint="eastAsia" w:cs="Times New Roman"/>
                      <w:color w:val="auto"/>
                      <w:kern w:val="0"/>
                      <w:sz w:val="21"/>
                      <w:szCs w:val="21"/>
                      <w:highlight w:val="none"/>
                      <w:lang w:val="en-US" w:eastAsia="zh-CN" w:bidi="ar"/>
                    </w:rPr>
                    <w:t>2</w:t>
                  </w:r>
                  <w:r>
                    <w:rPr>
                      <w:rFonts w:hint="eastAsia" w:ascii="Times New Roman" w:hAnsi="Times New Roman" w:eastAsia="宋体" w:cs="Times New Roman"/>
                      <w:color w:val="auto"/>
                      <w:kern w:val="0"/>
                      <w:sz w:val="21"/>
                      <w:szCs w:val="21"/>
                      <w:highlight w:val="none"/>
                      <w:lang w:val="en-US" w:eastAsia="zh-CN" w:bidi="ar"/>
                    </w:rPr>
                    <w:t>.0</w:t>
                  </w:r>
                  <w:r>
                    <w:rPr>
                      <w:rFonts w:hint="default" w:ascii="Times New Roman" w:hAnsi="Times New Roman" w:eastAsia="宋体" w:cs="Times New Roman"/>
                      <w:color w:val="auto"/>
                      <w:kern w:val="0"/>
                      <w:sz w:val="21"/>
                      <w:szCs w:val="21"/>
                      <w:highlight w:val="none"/>
                      <w:lang w:val="en-US" w:eastAsia="zh-CN" w:bidi="ar"/>
                    </w:rPr>
                    <w:t>mg/m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eastAsia" w:cs="Times New Roman"/>
                      <w:color w:val="auto"/>
                      <w:kern w:val="0"/>
                      <w:sz w:val="21"/>
                      <w:szCs w:val="21"/>
                      <w:highlight w:val="none"/>
                      <w:lang w:val="en-US" w:eastAsia="zh-CN" w:bidi="ar"/>
                    </w:rPr>
                    <w:t>）</w:t>
                  </w:r>
                </w:p>
              </w:tc>
              <w:tc>
                <w:tcPr>
                  <w:tcW w:w="594"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eastAsia="宋体" w:cs="Times New Roman"/>
                      <w:color w:val="auto"/>
                      <w:sz w:val="21"/>
                      <w:szCs w:val="21"/>
                      <w:highlight w:val="none"/>
                      <w:vertAlign w:val="baseline"/>
                    </w:rPr>
                  </w:pPr>
                </w:p>
              </w:tc>
              <w:tc>
                <w:tcPr>
                  <w:tcW w:w="912"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85" w:hRule="atLeast"/>
                <w:jc w:val="center"/>
              </w:trPr>
              <w:tc>
                <w:tcPr>
                  <w:tcW w:w="515"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eastAsia="宋体" w:cs="Times New Roman"/>
                      <w:color w:val="auto"/>
                      <w:sz w:val="21"/>
                      <w:szCs w:val="21"/>
                      <w:highlight w:val="none"/>
                      <w:vertAlign w:val="baseline"/>
                    </w:rPr>
                  </w:pPr>
                </w:p>
              </w:tc>
              <w:tc>
                <w:tcPr>
                  <w:tcW w:w="1766"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eastAsia="宋体" w:cs="Times New Roman"/>
                      <w:color w:val="auto"/>
                      <w:sz w:val="21"/>
                      <w:szCs w:val="21"/>
                      <w:highlight w:val="none"/>
                      <w:vertAlign w:val="baseline"/>
                    </w:rPr>
                  </w:pPr>
                </w:p>
              </w:tc>
              <w:tc>
                <w:tcPr>
                  <w:tcW w:w="1230"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eastAsia="宋体" w:cs="Times New Roman"/>
                      <w:color w:val="auto"/>
                      <w:sz w:val="21"/>
                      <w:szCs w:val="21"/>
                      <w:highlight w:val="none"/>
                      <w:vertAlign w:val="baseline"/>
                    </w:rPr>
                  </w:pPr>
                </w:p>
              </w:tc>
              <w:tc>
                <w:tcPr>
                  <w:tcW w:w="3080" w:type="dxa"/>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0000FF"/>
                      <w:kern w:val="0"/>
                      <w:sz w:val="21"/>
                      <w:szCs w:val="21"/>
                      <w:lang w:val="en-US" w:eastAsia="zh-CN" w:bidi="ar"/>
                    </w:rPr>
                    <w:t>非甲烷总烃厂区内监控点处1h平均浓度值排放执行《工业涂装工序挥发性有机物排放标准》（DB35/1783-2018）中表3</w:t>
                  </w:r>
                  <w:r>
                    <w:rPr>
                      <w:rFonts w:hint="eastAsia" w:cs="Times New Roman"/>
                      <w:color w:val="0000FF"/>
                      <w:kern w:val="0"/>
                      <w:sz w:val="21"/>
                      <w:szCs w:val="21"/>
                      <w:lang w:val="en-US" w:eastAsia="zh-CN" w:bidi="ar"/>
                    </w:rPr>
                    <w:t>限值</w:t>
                  </w:r>
                  <w:r>
                    <w:rPr>
                      <w:rFonts w:hint="eastAsia" w:ascii="Times New Roman" w:hAnsi="Times New Roman" w:eastAsia="宋体" w:cs="Times New Roman"/>
                      <w:color w:val="0000FF"/>
                      <w:sz w:val="21"/>
                      <w:szCs w:val="21"/>
                      <w:lang w:val="en-US" w:eastAsia="zh-CN"/>
                    </w:rPr>
                    <w:t>（8</w:t>
                  </w:r>
                  <w:r>
                    <w:rPr>
                      <w:rFonts w:hint="default" w:ascii="Times New Roman" w:hAnsi="Times New Roman" w:eastAsia="宋体" w:cs="Times New Roman"/>
                      <w:color w:val="0000FF"/>
                      <w:sz w:val="21"/>
                      <w:szCs w:val="21"/>
                      <w:lang w:val="en-US" w:eastAsia="zh-CN"/>
                    </w:rPr>
                    <w:t>mg/m</w:t>
                  </w:r>
                  <w:r>
                    <w:rPr>
                      <w:rFonts w:hint="default" w:ascii="Times New Roman" w:hAnsi="Times New Roman" w:eastAsia="宋体" w:cs="Times New Roman"/>
                      <w:color w:val="0000FF"/>
                      <w:sz w:val="21"/>
                      <w:szCs w:val="21"/>
                      <w:vertAlign w:val="superscript"/>
                      <w:lang w:val="en-US" w:eastAsia="zh-CN"/>
                    </w:rPr>
                    <w:t>3</w:t>
                  </w:r>
                  <w:r>
                    <w:rPr>
                      <w:rFonts w:hint="eastAsia" w:ascii="Times New Roman" w:hAnsi="Times New Roman" w:eastAsia="宋体" w:cs="Times New Roman"/>
                      <w:color w:val="0000FF"/>
                      <w:sz w:val="21"/>
                      <w:szCs w:val="21"/>
                      <w:lang w:val="en-US" w:eastAsia="zh-CN"/>
                    </w:rPr>
                    <w:t>）</w:t>
                  </w:r>
                  <w:r>
                    <w:rPr>
                      <w:rFonts w:hint="eastAsia" w:cs="Times New Roman"/>
                      <w:color w:val="0000FF"/>
                      <w:kern w:val="0"/>
                      <w:sz w:val="21"/>
                      <w:szCs w:val="21"/>
                      <w:lang w:val="en-US" w:eastAsia="zh-CN" w:bidi="ar"/>
                    </w:rPr>
                    <w:t>；</w:t>
                  </w:r>
                  <w:r>
                    <w:rPr>
                      <w:rFonts w:hint="default" w:ascii="Times New Roman" w:hAnsi="Times New Roman" w:eastAsia="宋体" w:cs="Times New Roman"/>
                      <w:color w:val="0000FF"/>
                      <w:kern w:val="0"/>
                      <w:sz w:val="21"/>
                      <w:szCs w:val="21"/>
                      <w:lang w:val="en-US" w:eastAsia="zh-CN" w:bidi="ar"/>
                    </w:rPr>
                    <w:t>非甲烷总烃厂区内监控点处任意一次浓度值排放执行《铸造工业大气污染物排放标准》(GB39726-2020)附表A</w:t>
                  </w:r>
                  <w:r>
                    <w:rPr>
                      <w:rFonts w:hint="eastAsia" w:ascii="Times New Roman" w:hAnsi="Times New Roman" w:eastAsia="宋体" w:cs="Times New Roman"/>
                      <w:color w:val="0000FF"/>
                      <w:kern w:val="0"/>
                      <w:sz w:val="21"/>
                      <w:szCs w:val="21"/>
                      <w:lang w:val="en-US" w:eastAsia="zh-CN" w:bidi="ar"/>
                    </w:rPr>
                    <w:t>.1</w:t>
                  </w:r>
                  <w:r>
                    <w:rPr>
                      <w:rFonts w:hint="default" w:ascii="Times New Roman" w:hAnsi="Times New Roman" w:eastAsia="宋体" w:cs="Times New Roman"/>
                      <w:color w:val="0000FF"/>
                      <w:kern w:val="0"/>
                      <w:sz w:val="21"/>
                      <w:szCs w:val="21"/>
                      <w:lang w:val="en-US" w:eastAsia="zh-CN" w:bidi="ar"/>
                    </w:rPr>
                    <w:t>规定的排放限</w:t>
                  </w:r>
                  <w:r>
                    <w:rPr>
                      <w:rFonts w:hint="eastAsia" w:cs="Times New Roman"/>
                      <w:color w:val="0000FF"/>
                      <w:kern w:val="0"/>
                      <w:sz w:val="21"/>
                      <w:szCs w:val="21"/>
                      <w:lang w:val="en-US" w:eastAsia="zh-CN" w:bidi="ar"/>
                    </w:rPr>
                    <w:t>值</w:t>
                  </w:r>
                  <w:r>
                    <w:rPr>
                      <w:rFonts w:hint="eastAsia" w:ascii="Times New Roman" w:hAnsi="Times New Roman" w:eastAsia="宋体" w:cs="Times New Roman"/>
                      <w:color w:val="0000FF"/>
                      <w:sz w:val="21"/>
                      <w:szCs w:val="21"/>
                      <w:lang w:val="en-US" w:eastAsia="zh-CN"/>
                    </w:rPr>
                    <w:t>（</w:t>
                  </w:r>
                  <w:r>
                    <w:rPr>
                      <w:rFonts w:hint="default" w:ascii="Times New Roman" w:hAnsi="Times New Roman" w:eastAsia="宋体" w:cs="Times New Roman"/>
                      <w:color w:val="0000FF"/>
                      <w:sz w:val="21"/>
                      <w:szCs w:val="21"/>
                    </w:rPr>
                    <w:t>≤</w:t>
                  </w:r>
                  <w:r>
                    <w:rPr>
                      <w:rFonts w:hint="eastAsia" w:ascii="Times New Roman" w:hAnsi="Times New Roman" w:eastAsia="宋体" w:cs="Times New Roman"/>
                      <w:color w:val="0000FF"/>
                      <w:sz w:val="21"/>
                      <w:szCs w:val="21"/>
                      <w:lang w:val="en-US" w:eastAsia="zh-CN"/>
                    </w:rPr>
                    <w:t>3</w:t>
                  </w:r>
                  <w:r>
                    <w:rPr>
                      <w:rFonts w:ascii="Times New Roman" w:hAnsi="Times New Roman" w:eastAsia="宋体" w:cs="Times New Roman"/>
                      <w:color w:val="0000FF"/>
                      <w:sz w:val="21"/>
                      <w:szCs w:val="21"/>
                    </w:rPr>
                    <w:t>0</w:t>
                  </w:r>
                  <w:r>
                    <w:rPr>
                      <w:rFonts w:hint="default" w:ascii="Times New Roman" w:hAnsi="Times New Roman" w:eastAsia="宋体" w:cs="Times New Roman"/>
                      <w:color w:val="0000FF"/>
                      <w:sz w:val="21"/>
                      <w:szCs w:val="21"/>
                      <w:lang w:val="en-US" w:eastAsia="zh-CN"/>
                    </w:rPr>
                    <w:t>mg/m</w:t>
                  </w:r>
                  <w:r>
                    <w:rPr>
                      <w:rFonts w:hint="default" w:ascii="Times New Roman" w:hAnsi="Times New Roman" w:eastAsia="宋体" w:cs="Times New Roman"/>
                      <w:color w:val="0000FF"/>
                      <w:sz w:val="21"/>
                      <w:szCs w:val="21"/>
                      <w:vertAlign w:val="superscript"/>
                      <w:lang w:val="en-US" w:eastAsia="zh-CN"/>
                    </w:rPr>
                    <w:t>3</w:t>
                  </w:r>
                  <w:r>
                    <w:rPr>
                      <w:rFonts w:hint="eastAsia" w:ascii="Times New Roman" w:hAnsi="Times New Roman" w:eastAsia="宋体" w:cs="Times New Roman"/>
                      <w:color w:val="0000FF"/>
                      <w:sz w:val="21"/>
                      <w:szCs w:val="21"/>
                      <w:lang w:val="en-US" w:eastAsia="zh-CN"/>
                    </w:rPr>
                    <w:t>）</w:t>
                  </w:r>
                </w:p>
              </w:tc>
              <w:tc>
                <w:tcPr>
                  <w:tcW w:w="594"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eastAsia="宋体" w:cs="Times New Roman"/>
                      <w:color w:val="auto"/>
                      <w:sz w:val="21"/>
                      <w:szCs w:val="21"/>
                      <w:highlight w:val="none"/>
                      <w:vertAlign w:val="baseline"/>
                    </w:rPr>
                  </w:pPr>
                </w:p>
              </w:tc>
              <w:tc>
                <w:tcPr>
                  <w:tcW w:w="912"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85" w:hRule="atLeast"/>
                <w:jc w:val="center"/>
              </w:trPr>
              <w:tc>
                <w:tcPr>
                  <w:tcW w:w="515"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噪声</w:t>
                  </w:r>
                </w:p>
              </w:tc>
              <w:tc>
                <w:tcPr>
                  <w:tcW w:w="1766"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设备运行</w:t>
                  </w:r>
                </w:p>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噪声</w:t>
                  </w:r>
                </w:p>
              </w:tc>
              <w:tc>
                <w:tcPr>
                  <w:tcW w:w="1230"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减震、隔音</w:t>
                  </w:r>
                </w:p>
              </w:tc>
              <w:tc>
                <w:tcPr>
                  <w:tcW w:w="3080" w:type="dxa"/>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rPr>
                    <w:t>项目运营期</w:t>
                  </w:r>
                  <w:r>
                    <w:rPr>
                      <w:rFonts w:hint="default" w:ascii="Times New Roman" w:hAnsi="Times New Roman" w:eastAsia="宋体" w:cs="Times New Roman"/>
                      <w:color w:val="auto"/>
                      <w:sz w:val="21"/>
                      <w:szCs w:val="21"/>
                      <w:highlight w:val="none"/>
                      <w:lang w:val="en-US" w:eastAsia="zh-CN"/>
                    </w:rPr>
                    <w:t>厂界</w:t>
                  </w:r>
                  <w:r>
                    <w:rPr>
                      <w:rFonts w:hint="default" w:ascii="Times New Roman" w:hAnsi="Times New Roman" w:eastAsia="宋体" w:cs="Times New Roman"/>
                      <w:color w:val="auto"/>
                      <w:sz w:val="21"/>
                      <w:szCs w:val="21"/>
                      <w:highlight w:val="none"/>
                    </w:rPr>
                    <w:t>噪声执行《工业企业</w:t>
                  </w:r>
                  <w:r>
                    <w:rPr>
                      <w:rFonts w:hint="default" w:ascii="Times New Roman" w:hAnsi="Times New Roman" w:eastAsia="宋体" w:cs="Times New Roman"/>
                      <w:bCs/>
                      <w:color w:val="auto"/>
                      <w:sz w:val="21"/>
                      <w:szCs w:val="21"/>
                      <w:highlight w:val="none"/>
                    </w:rPr>
                    <w:t>厂界</w:t>
                  </w:r>
                  <w:r>
                    <w:rPr>
                      <w:rFonts w:hint="default" w:ascii="Times New Roman" w:hAnsi="Times New Roman" w:eastAsia="宋体" w:cs="Times New Roman"/>
                      <w:color w:val="auto"/>
                      <w:sz w:val="21"/>
                      <w:szCs w:val="21"/>
                      <w:highlight w:val="none"/>
                    </w:rPr>
                    <w:t>环境噪声排放标准》（GB12348-2008）3类标准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即昼间</w:t>
                  </w:r>
                  <w:r>
                    <w:rPr>
                      <w:rFonts w:hint="default" w:ascii="Times New Roman" w:hAnsi="Times New Roman" w:eastAsia="宋体" w:cs="Times New Roman"/>
                      <w:bCs/>
                      <w:color w:val="auto"/>
                      <w:sz w:val="21"/>
                      <w:szCs w:val="21"/>
                      <w:highlight w:val="none"/>
                    </w:rPr>
                    <w:t>≤</w:t>
                  </w:r>
                  <w:r>
                    <w:rPr>
                      <w:rFonts w:hint="default" w:ascii="Times New Roman" w:hAnsi="Times New Roman" w:eastAsia="宋体" w:cs="Times New Roman"/>
                      <w:color w:val="auto"/>
                      <w:sz w:val="21"/>
                      <w:szCs w:val="21"/>
                      <w:highlight w:val="none"/>
                    </w:rPr>
                    <w:t>6</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dB(A)、夜间</w:t>
                  </w:r>
                  <w:r>
                    <w:rPr>
                      <w:rFonts w:hint="default" w:ascii="Times New Roman" w:hAnsi="Times New Roman" w:eastAsia="宋体" w:cs="Times New Roman"/>
                      <w:bCs/>
                      <w:color w:val="auto"/>
                      <w:sz w:val="21"/>
                      <w:szCs w:val="21"/>
                      <w:highlight w:val="none"/>
                    </w:rPr>
                    <w:t>≤</w:t>
                  </w:r>
                  <w:r>
                    <w:rPr>
                      <w:rFonts w:hint="default" w:ascii="Times New Roman" w:hAnsi="Times New Roman" w:eastAsia="宋体" w:cs="Times New Roman"/>
                      <w:color w:val="auto"/>
                      <w:sz w:val="21"/>
                      <w:szCs w:val="21"/>
                      <w:highlight w:val="none"/>
                    </w:rPr>
                    <w:t>5</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dB(A)；</w:t>
                  </w:r>
                </w:p>
              </w:tc>
              <w:tc>
                <w:tcPr>
                  <w:tcW w:w="594"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厂界</w:t>
                  </w:r>
                </w:p>
              </w:tc>
              <w:tc>
                <w:tcPr>
                  <w:tcW w:w="912"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等效 A 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7" w:hRule="atLeast"/>
                <w:jc w:val="center"/>
              </w:trPr>
              <w:tc>
                <w:tcPr>
                  <w:tcW w:w="515" w:type="dxa"/>
                  <w:vMerge w:val="restart"/>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固废</w:t>
                  </w:r>
                </w:p>
              </w:tc>
              <w:tc>
                <w:tcPr>
                  <w:tcW w:w="176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金属边角料</w:t>
                  </w:r>
                  <w:r>
                    <w:rPr>
                      <w:rFonts w:hint="eastAsia" w:ascii="Times New Roman" w:hAnsi="Times New Roman" w:eastAsia="宋体" w:cs="Times New Roman"/>
                      <w:b w:val="0"/>
                      <w:bCs/>
                      <w:color w:val="auto"/>
                      <w:sz w:val="21"/>
                      <w:szCs w:val="21"/>
                      <w:highlight w:val="none"/>
                      <w:lang w:val="en-US" w:eastAsia="zh-CN"/>
                    </w:rPr>
                    <w:t>及</w:t>
                  </w:r>
                </w:p>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b w:val="0"/>
                      <w:bCs/>
                      <w:color w:val="auto"/>
                      <w:sz w:val="21"/>
                      <w:szCs w:val="21"/>
                      <w:highlight w:val="none"/>
                      <w:lang w:val="en-US" w:eastAsia="zh-CN"/>
                    </w:rPr>
                    <w:t>不合格品</w:t>
                  </w:r>
                </w:p>
              </w:tc>
              <w:tc>
                <w:tcPr>
                  <w:tcW w:w="1230"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由相关单位回收利用</w:t>
                  </w:r>
                </w:p>
              </w:tc>
              <w:tc>
                <w:tcPr>
                  <w:tcW w:w="3080" w:type="dxa"/>
                  <w:vMerge w:val="restart"/>
                  <w:tcBorders>
                    <w:tl2br w:val="nil"/>
                    <w:tr2bl w:val="nil"/>
                  </w:tcBorders>
                  <w:vAlign w:val="center"/>
                </w:tcPr>
                <w:p>
                  <w:pPr>
                    <w:keepNext w:val="0"/>
                    <w:keepLines w:val="0"/>
                    <w:widowControl/>
                    <w:suppressLineNumbers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《一般工业固体废物贮存和填埋污染控制标准》（GB18</w:t>
                  </w:r>
                  <w:bookmarkStart w:id="9" w:name="_GoBack"/>
                  <w:bookmarkEnd w:id="9"/>
                  <w:r>
                    <w:rPr>
                      <w:rFonts w:hint="default" w:ascii="Times New Roman" w:hAnsi="Times New Roman" w:eastAsia="宋体" w:cs="Times New Roman"/>
                      <w:color w:val="auto"/>
                      <w:kern w:val="0"/>
                      <w:sz w:val="21"/>
                      <w:szCs w:val="21"/>
                      <w:highlight w:val="none"/>
                      <w:lang w:val="en-US" w:eastAsia="zh-CN" w:bidi="ar"/>
                    </w:rPr>
                    <w:t>599-2020）</w:t>
                  </w:r>
                </w:p>
              </w:tc>
              <w:tc>
                <w:tcPr>
                  <w:tcW w:w="594" w:type="dxa"/>
                  <w:vMerge w:val="restart"/>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eastAsia="宋体" w:cs="Times New Roman"/>
                      <w:color w:val="auto"/>
                      <w:sz w:val="21"/>
                      <w:szCs w:val="21"/>
                      <w:highlight w:val="none"/>
                      <w:vertAlign w:val="baseline"/>
                      <w:lang w:val="en-US" w:eastAsia="zh-CN"/>
                    </w:rPr>
                    <w:t>/</w:t>
                  </w:r>
                </w:p>
              </w:tc>
              <w:tc>
                <w:tcPr>
                  <w:tcW w:w="912" w:type="dxa"/>
                  <w:vMerge w:val="restart"/>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7" w:hRule="atLeast"/>
                <w:jc w:val="center"/>
              </w:trPr>
              <w:tc>
                <w:tcPr>
                  <w:tcW w:w="515"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76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sz w:val="21"/>
                      <w:szCs w:val="21"/>
                      <w:highlight w:val="none"/>
                      <w:lang w:val="en-US" w:eastAsia="zh-CN"/>
                    </w:rPr>
                    <w:t>废</w:t>
                  </w:r>
                  <w:r>
                    <w:rPr>
                      <w:rFonts w:hint="default" w:ascii="Times New Roman" w:hAnsi="Times New Roman" w:cs="Times New Roman"/>
                      <w:color w:val="auto"/>
                      <w:sz w:val="21"/>
                      <w:szCs w:val="21"/>
                      <w:highlight w:val="none"/>
                      <w:lang w:val="en-US" w:eastAsia="zh-CN"/>
                    </w:rPr>
                    <w:t>橡胶管、不锈钢编织管</w:t>
                  </w:r>
                </w:p>
              </w:tc>
              <w:tc>
                <w:tcPr>
                  <w:tcW w:w="1230"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3080" w:type="dxa"/>
                  <w:vMerge w:val="continue"/>
                  <w:tcBorders>
                    <w:tl2br w:val="nil"/>
                    <w:tr2bl w:val="nil"/>
                  </w:tcBorders>
                  <w:vAlign w:val="center"/>
                </w:tcPr>
                <w:p>
                  <w:pPr>
                    <w:keepNext w:val="0"/>
                    <w:keepLines w:val="0"/>
                    <w:widowControl/>
                    <w:suppressLineNumbers w:val="0"/>
                    <w:jc w:val="left"/>
                    <w:rPr>
                      <w:rFonts w:hint="default" w:ascii="Times New Roman" w:hAnsi="Times New Roman" w:eastAsia="宋体" w:cs="Times New Roman"/>
                      <w:color w:val="auto"/>
                      <w:kern w:val="0"/>
                      <w:sz w:val="21"/>
                      <w:szCs w:val="21"/>
                      <w:highlight w:val="none"/>
                      <w:lang w:val="en-US" w:eastAsia="zh-CN" w:bidi="ar"/>
                    </w:rPr>
                  </w:pPr>
                </w:p>
              </w:tc>
              <w:tc>
                <w:tcPr>
                  <w:tcW w:w="594"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12" w:type="dxa"/>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9" w:hRule="atLeast"/>
                <w:jc w:val="center"/>
              </w:trPr>
              <w:tc>
                <w:tcPr>
                  <w:tcW w:w="515"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76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炉渣</w:t>
                  </w:r>
                </w:p>
              </w:tc>
              <w:tc>
                <w:tcPr>
                  <w:tcW w:w="1230" w:type="dxa"/>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3080" w:type="dxa"/>
                  <w:vMerge w:val="continue"/>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594"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12" w:type="dxa"/>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9" w:hRule="atLeast"/>
                <w:jc w:val="center"/>
              </w:trPr>
              <w:tc>
                <w:tcPr>
                  <w:tcW w:w="515"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76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废砂</w:t>
                  </w:r>
                </w:p>
              </w:tc>
              <w:tc>
                <w:tcPr>
                  <w:tcW w:w="1230" w:type="dxa"/>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3080" w:type="dxa"/>
                  <w:vMerge w:val="continue"/>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594"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12" w:type="dxa"/>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17" w:hRule="atLeast"/>
                <w:jc w:val="center"/>
              </w:trPr>
              <w:tc>
                <w:tcPr>
                  <w:tcW w:w="515"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76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2"/>
                      <w:sz w:val="21"/>
                      <w:szCs w:val="21"/>
                      <w:highlight w:val="none"/>
                      <w:lang w:val="en-US" w:eastAsia="zh-CN"/>
                    </w:rPr>
                    <w:t>布袋除尘器收集粉尘</w:t>
                  </w:r>
                  <w:r>
                    <w:rPr>
                      <w:rFonts w:hint="default" w:cs="Times New Roman"/>
                      <w:color w:val="auto"/>
                      <w:kern w:val="2"/>
                      <w:sz w:val="21"/>
                      <w:szCs w:val="21"/>
                      <w:highlight w:val="none"/>
                      <w:lang w:val="en-US" w:eastAsia="zh-CN"/>
                    </w:rPr>
                    <w:t>一般工业固废</w:t>
                  </w:r>
                </w:p>
              </w:tc>
              <w:tc>
                <w:tcPr>
                  <w:tcW w:w="1230" w:type="dxa"/>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3080" w:type="dxa"/>
                  <w:vMerge w:val="continue"/>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594"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12" w:type="dxa"/>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7" w:hRule="atLeast"/>
                <w:jc w:val="center"/>
              </w:trPr>
              <w:tc>
                <w:tcPr>
                  <w:tcW w:w="515"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766" w:type="dxa"/>
                  <w:tcBorders>
                    <w:tl2br w:val="nil"/>
                    <w:tr2bl w:val="nil"/>
                  </w:tcBorders>
                  <w:vAlign w:val="center"/>
                </w:tcPr>
                <w:p>
                  <w:pPr>
                    <w:spacing w:line="240" w:lineRule="auto"/>
                    <w:ind w:firstLine="0" w:firstLineChars="0"/>
                    <w:jc w:val="center"/>
                    <w:rPr>
                      <w:rFonts w:hint="eastAsia"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废木材边角料</w:t>
                  </w:r>
                </w:p>
              </w:tc>
              <w:tc>
                <w:tcPr>
                  <w:tcW w:w="1230" w:type="dxa"/>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3080" w:type="dxa"/>
                  <w:vMerge w:val="continue"/>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594"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12" w:type="dxa"/>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9" w:hRule="atLeast"/>
                <w:jc w:val="center"/>
              </w:trPr>
              <w:tc>
                <w:tcPr>
                  <w:tcW w:w="515"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76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废活性炭</w:t>
                  </w:r>
                </w:p>
              </w:tc>
              <w:tc>
                <w:tcPr>
                  <w:tcW w:w="1230"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收集暂存于危废间后由有资质的危废处置单位外运处置</w:t>
                  </w:r>
                </w:p>
              </w:tc>
              <w:tc>
                <w:tcPr>
                  <w:tcW w:w="3080" w:type="dxa"/>
                  <w:vMerge w:val="restart"/>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危</w:t>
                  </w:r>
                  <w:r>
                    <w:rPr>
                      <w:rFonts w:hint="default" w:ascii="Times New Roman" w:hAnsi="Times New Roman" w:eastAsia="宋体" w:cs="Times New Roman"/>
                      <w:color w:val="auto"/>
                      <w:sz w:val="21"/>
                      <w:szCs w:val="21"/>
                      <w:highlight w:val="none"/>
                      <w:lang w:eastAsia="zh-CN"/>
                    </w:rPr>
                    <w:t>险废物贮存参照《危险废物贮存污染控制标准》(GB18597-2023)</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公告2023年 第6号</w:t>
                  </w:r>
                  <w:r>
                    <w:rPr>
                      <w:rFonts w:hint="eastAsia" w:ascii="Times New Roman" w:hAnsi="Times New Roman" w:eastAsia="宋体" w:cs="Times New Roman"/>
                      <w:color w:val="auto"/>
                      <w:sz w:val="21"/>
                      <w:szCs w:val="21"/>
                      <w:highlight w:val="none"/>
                      <w:lang w:eastAsia="zh-CN"/>
                    </w:rPr>
                    <w:t>）</w:t>
                  </w:r>
                </w:p>
              </w:tc>
              <w:tc>
                <w:tcPr>
                  <w:tcW w:w="594"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12" w:type="dxa"/>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9" w:hRule="atLeast"/>
                <w:jc w:val="center"/>
              </w:trPr>
              <w:tc>
                <w:tcPr>
                  <w:tcW w:w="515"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76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铝合金炉渣</w:t>
                  </w:r>
                </w:p>
              </w:tc>
              <w:tc>
                <w:tcPr>
                  <w:tcW w:w="1230"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080" w:type="dxa"/>
                  <w:vMerge w:val="continue"/>
                  <w:tcBorders>
                    <w:tl2br w:val="nil"/>
                    <w:tr2bl w:val="nil"/>
                  </w:tcBorders>
                  <w:vAlign w:val="center"/>
                </w:tcPr>
                <w:p>
                  <w:pPr>
                    <w:keepNext w:val="0"/>
                    <w:keepLines w:val="0"/>
                    <w:widowControl/>
                    <w:suppressLineNumbers w:val="0"/>
                    <w:jc w:val="center"/>
                    <w:rPr>
                      <w:rFonts w:hint="eastAsia" w:ascii="Times New Roman" w:hAnsi="Times New Roman" w:eastAsia="宋体" w:cs="Times New Roman"/>
                      <w:color w:val="auto"/>
                      <w:sz w:val="21"/>
                      <w:szCs w:val="21"/>
                      <w:highlight w:val="none"/>
                      <w:lang w:val="en-US" w:eastAsia="zh-CN"/>
                    </w:rPr>
                  </w:pPr>
                </w:p>
              </w:tc>
              <w:tc>
                <w:tcPr>
                  <w:tcW w:w="594"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12" w:type="dxa"/>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9" w:hRule="atLeast"/>
                <w:jc w:val="center"/>
              </w:trPr>
              <w:tc>
                <w:tcPr>
                  <w:tcW w:w="515"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76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废机油</w:t>
                  </w:r>
                </w:p>
              </w:tc>
              <w:tc>
                <w:tcPr>
                  <w:tcW w:w="1230" w:type="dxa"/>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3080" w:type="dxa"/>
                  <w:vMerge w:val="continue"/>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594"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12" w:type="dxa"/>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97" w:hRule="atLeast"/>
                <w:jc w:val="center"/>
              </w:trPr>
              <w:tc>
                <w:tcPr>
                  <w:tcW w:w="515"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76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废乳</w:t>
                  </w:r>
                </w:p>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化液</w:t>
                  </w:r>
                </w:p>
              </w:tc>
              <w:tc>
                <w:tcPr>
                  <w:tcW w:w="1230" w:type="dxa"/>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3080" w:type="dxa"/>
                  <w:vMerge w:val="continue"/>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594"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12" w:type="dxa"/>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264" w:hRule="atLeast"/>
                <w:jc w:val="center"/>
              </w:trPr>
              <w:tc>
                <w:tcPr>
                  <w:tcW w:w="515"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76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rPr>
                    <w:t>废弃</w:t>
                  </w:r>
                  <w:r>
                    <w:rPr>
                      <w:rFonts w:hint="eastAsia"/>
                      <w:color w:val="auto"/>
                      <w:kern w:val="0"/>
                      <w:sz w:val="21"/>
                      <w:szCs w:val="21"/>
                      <w:highlight w:val="none"/>
                      <w:lang w:bidi="ar"/>
                    </w:rPr>
                    <w:t>空桶</w:t>
                  </w:r>
                </w:p>
              </w:tc>
              <w:tc>
                <w:tcPr>
                  <w:tcW w:w="1230"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b w:val="0"/>
                      <w:bCs/>
                      <w:snapToGrid w:val="0"/>
                      <w:color w:val="auto"/>
                      <w:sz w:val="21"/>
                      <w:szCs w:val="21"/>
                      <w:highlight w:val="none"/>
                      <w:lang w:val="en-US" w:eastAsia="zh-CN"/>
                    </w:rPr>
                    <w:t>集中收集暂存于危废间由</w:t>
                  </w:r>
                  <w:r>
                    <w:rPr>
                      <w:rFonts w:hint="default" w:ascii="Times New Roman" w:hAnsi="Times New Roman" w:eastAsia="宋体" w:cs="Times New Roman"/>
                      <w:color w:val="auto"/>
                      <w:sz w:val="21"/>
                      <w:szCs w:val="21"/>
                      <w:highlight w:val="none"/>
                      <w:lang w:val="en-US" w:eastAsia="zh-CN"/>
                    </w:rPr>
                    <w:t>供应商</w:t>
                  </w:r>
                  <w:r>
                    <w:rPr>
                      <w:rFonts w:hint="default" w:ascii="Times New Roman" w:hAnsi="Times New Roman" w:eastAsia="宋体" w:cs="Times New Roman"/>
                      <w:color w:val="auto"/>
                      <w:sz w:val="21"/>
                      <w:szCs w:val="21"/>
                      <w:highlight w:val="none"/>
                    </w:rPr>
                    <w:t>回收处理</w:t>
                  </w:r>
                </w:p>
              </w:tc>
              <w:tc>
                <w:tcPr>
                  <w:tcW w:w="3080" w:type="dxa"/>
                  <w:vMerge w:val="continue"/>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594"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12" w:type="dxa"/>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17" w:hRule="atLeast"/>
                <w:jc w:val="center"/>
              </w:trPr>
              <w:tc>
                <w:tcPr>
                  <w:tcW w:w="515"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76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生活垃圾</w:t>
                  </w:r>
                </w:p>
              </w:tc>
              <w:tc>
                <w:tcPr>
                  <w:tcW w:w="1230"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rPr>
                    <w:t>由环卫部门统一清运处理</w:t>
                  </w:r>
                </w:p>
              </w:tc>
              <w:tc>
                <w:tcPr>
                  <w:tcW w:w="3080" w:type="dxa"/>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由环卫部门统一清运处理</w:t>
                  </w:r>
                </w:p>
              </w:tc>
              <w:tc>
                <w:tcPr>
                  <w:tcW w:w="594"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12" w:type="dxa"/>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7" w:hRule="atLeast"/>
                <w:jc w:val="center"/>
              </w:trPr>
              <w:tc>
                <w:tcPr>
                  <w:tcW w:w="2281" w:type="dxa"/>
                  <w:gridSpan w:val="2"/>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环境管理</w:t>
                  </w:r>
                </w:p>
              </w:tc>
              <w:tc>
                <w:tcPr>
                  <w:tcW w:w="4310" w:type="dxa"/>
                  <w:gridSpan w:val="2"/>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设置专门环保人员，保持日常环境卫生，维护各污染设施正常运行</w:t>
                  </w:r>
                </w:p>
              </w:tc>
              <w:tc>
                <w:tcPr>
                  <w:tcW w:w="1506" w:type="dxa"/>
                  <w:gridSpan w:val="2"/>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落实情况</w:t>
                  </w:r>
                </w:p>
              </w:tc>
            </w:tr>
          </w:tbl>
          <w:p>
            <w:pPr>
              <w:pStyle w:val="2"/>
              <w:keepNext w:val="0"/>
              <w:keepLines w:val="0"/>
              <w:pageBreakBefore w:val="0"/>
              <w:kinsoku/>
              <w:wordWrap/>
              <w:overflowPunct/>
              <w:topLinePunct w:val="0"/>
              <w:bidi w:val="0"/>
              <w:adjustRightInd w:val="0"/>
              <w:snapToGrid w:val="0"/>
              <w:spacing w:line="360" w:lineRule="auto"/>
              <w:textAlignment w:val="auto"/>
              <w:rPr>
                <w:rFonts w:hint="default"/>
                <w:color w:val="auto"/>
                <w:sz w:val="24"/>
                <w:szCs w:val="24"/>
                <w:highlight w:val="none"/>
              </w:rPr>
            </w:pPr>
          </w:p>
        </w:tc>
      </w:tr>
    </w:tbl>
    <w:p>
      <w:pPr>
        <w:pStyle w:val="58"/>
        <w:rPr>
          <w:snapToGrid w:val="0"/>
          <w:color w:val="auto"/>
          <w:highlight w:val="none"/>
        </w:rPr>
      </w:pPr>
      <w:r>
        <w:rPr>
          <w:snapToGrid w:val="0"/>
          <w:color w:val="auto"/>
          <w:highlight w:val="none"/>
        </w:rPr>
        <w:br w:type="page"/>
      </w:r>
    </w:p>
    <w:p>
      <w:pPr>
        <w:pStyle w:val="24"/>
        <w:jc w:val="center"/>
        <w:outlineLvl w:val="0"/>
        <w:rPr>
          <w:rFonts w:hint="eastAsia" w:eastAsia="黑体"/>
          <w:color w:val="auto"/>
          <w:highlight w:val="none"/>
          <w:lang w:eastAsia="zh-CN"/>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eastAsia" w:eastAsia="黑体"/>
          <w:color w:val="auto"/>
          <w:highlight w:val="none"/>
          <w:lang w:eastAsia="zh-CN"/>
        </w:rPr>
        <w:drawing>
          <wp:inline distT="0" distB="0" distL="114300" distR="114300">
            <wp:extent cx="5615305" cy="7935595"/>
            <wp:effectExtent l="0" t="0" r="4445" b="8255"/>
            <wp:docPr id="240" name="图片 240" descr="SKM_C22624042315560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descr="SKM_C22624042315560_00"/>
                    <pic:cNvPicPr>
                      <a:picLocks noChangeAspect="1"/>
                    </pic:cNvPicPr>
                  </pic:nvPicPr>
                  <pic:blipFill>
                    <a:blip r:embed="rId48"/>
                    <a:stretch>
                      <a:fillRect/>
                    </a:stretch>
                  </pic:blipFill>
                  <pic:spPr>
                    <a:xfrm>
                      <a:off x="0" y="0"/>
                      <a:ext cx="5615305" cy="7935595"/>
                    </a:xfrm>
                    <a:prstGeom prst="rect">
                      <a:avLst/>
                    </a:prstGeom>
                  </pic:spPr>
                </pic:pic>
              </a:graphicData>
            </a:graphic>
          </wp:inline>
        </w:drawing>
      </w:r>
    </w:p>
    <w:p>
      <w:pPr>
        <w:pStyle w:val="58"/>
        <w:spacing w:line="240" w:lineRule="auto"/>
        <w:jc w:val="left"/>
        <w:rPr>
          <w:snapToGrid w:val="0"/>
          <w:color w:val="auto"/>
          <w:sz w:val="36"/>
          <w:szCs w:val="36"/>
          <w:highlight w:val="none"/>
        </w:rPr>
      </w:pPr>
      <w:r>
        <w:rPr>
          <w:rFonts w:hint="eastAsia"/>
          <w:snapToGrid w:val="0"/>
          <w:color w:val="auto"/>
          <w:sz w:val="36"/>
          <w:szCs w:val="36"/>
          <w:highlight w:val="none"/>
        </w:rPr>
        <w:t>附表</w:t>
      </w:r>
    </w:p>
    <w:p>
      <w:pPr>
        <w:pStyle w:val="58"/>
        <w:rPr>
          <w:snapToGrid w:val="0"/>
          <w:color w:val="auto"/>
          <w:sz w:val="36"/>
          <w:szCs w:val="36"/>
          <w:highlight w:val="none"/>
        </w:rPr>
      </w:pPr>
      <w:r>
        <w:rPr>
          <w:rFonts w:hint="eastAsia"/>
          <w:snapToGrid w:val="0"/>
          <w:color w:val="auto"/>
          <w:sz w:val="36"/>
          <w:szCs w:val="36"/>
          <w:highlight w:val="none"/>
        </w:rPr>
        <w:t>建设项目污染物排放量汇总表</w:t>
      </w:r>
    </w:p>
    <w:tbl>
      <w:tblPr>
        <w:tblStyle w:val="28"/>
        <w:tblW w:w="5314"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25"/>
        <w:gridCol w:w="1320"/>
        <w:gridCol w:w="939"/>
        <w:gridCol w:w="1386"/>
        <w:gridCol w:w="1285"/>
        <w:gridCol w:w="1529"/>
        <w:gridCol w:w="1753"/>
        <w:gridCol w:w="1779"/>
        <w:gridCol w:w="1816"/>
        <w:gridCol w:w="166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416" w:type="pct"/>
            <w:tcBorders>
              <w:tl2br w:val="single" w:color="auto" w:sz="4" w:space="0"/>
            </w:tcBorders>
            <w:tcMar>
              <w:left w:w="28" w:type="dxa"/>
              <w:right w:w="28" w:type="dxa"/>
            </w:tcMar>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jc w:val="right"/>
              <w:textAlignment w:val="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项目</w:t>
            </w:r>
          </w:p>
          <w:p>
            <w:pPr>
              <w:pStyle w:val="47"/>
              <w:keepNext w:val="0"/>
              <w:keepLines w:val="0"/>
              <w:pageBreakBefore w:val="0"/>
              <w:kinsoku/>
              <w:wordWrap/>
              <w:overflowPunct/>
              <w:topLinePunct w:val="0"/>
              <w:autoSpaceDE/>
              <w:autoSpaceDN/>
              <w:bidi w:val="0"/>
              <w:adjustRightInd w:val="0"/>
              <w:snapToGrid w:val="0"/>
              <w:spacing w:beforeLines="0" w:afterLines="0" w:line="240" w:lineRule="auto"/>
              <w:jc w:val="left"/>
              <w:textAlignment w:val="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分类</w:t>
            </w:r>
          </w:p>
        </w:tc>
        <w:tc>
          <w:tcPr>
            <w:tcW w:w="768" w:type="pct"/>
            <w:gridSpan w:val="2"/>
            <w:tcMar>
              <w:left w:w="28" w:type="dxa"/>
              <w:right w:w="28" w:type="dxa"/>
            </w:tcMar>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污染物名称</w:t>
            </w:r>
          </w:p>
        </w:tc>
        <w:tc>
          <w:tcPr>
            <w:tcW w:w="471" w:type="pct"/>
            <w:tcMar>
              <w:left w:w="28" w:type="dxa"/>
              <w:right w:w="28" w:type="dxa"/>
            </w:tcMar>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现有工程</w:t>
            </w:r>
          </w:p>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排放量（固体废物产生量）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①</w:t>
            </w:r>
            <w:r>
              <w:rPr>
                <w:rFonts w:hint="default" w:ascii="Times New Roman" w:hAnsi="Times New Roman" w:eastAsia="宋体" w:cs="Times New Roman"/>
                <w:snapToGrid w:val="0"/>
                <w:color w:val="auto"/>
                <w:spacing w:val="-6"/>
                <w:kern w:val="21"/>
                <w:sz w:val="21"/>
                <w:szCs w:val="21"/>
                <w:highlight w:val="none"/>
              </w:rPr>
              <w:fldChar w:fldCharType="end"/>
            </w:r>
          </w:p>
        </w:tc>
        <w:tc>
          <w:tcPr>
            <w:tcW w:w="437" w:type="pct"/>
            <w:tcMar>
              <w:left w:w="28" w:type="dxa"/>
              <w:right w:w="28" w:type="dxa"/>
            </w:tcMar>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现有工程</w:t>
            </w:r>
          </w:p>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许可排放量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2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snapToGrid w:val="0"/>
                <w:color w:val="auto"/>
                <w:spacing w:val="-6"/>
                <w:kern w:val="21"/>
                <w:sz w:val="21"/>
                <w:szCs w:val="21"/>
                <w:highlight w:val="none"/>
              </w:rPr>
              <w:t>②</w:t>
            </w:r>
            <w:r>
              <w:rPr>
                <w:rFonts w:hint="default" w:ascii="Times New Roman" w:hAnsi="Times New Roman" w:eastAsia="宋体" w:cs="Times New Roman"/>
                <w:snapToGrid w:val="0"/>
                <w:color w:val="auto"/>
                <w:spacing w:val="-6"/>
                <w:kern w:val="21"/>
                <w:sz w:val="21"/>
                <w:szCs w:val="21"/>
                <w:highlight w:val="none"/>
              </w:rPr>
              <w:fldChar w:fldCharType="end"/>
            </w:r>
          </w:p>
        </w:tc>
        <w:tc>
          <w:tcPr>
            <w:tcW w:w="520" w:type="pct"/>
            <w:tcMar>
              <w:left w:w="28" w:type="dxa"/>
              <w:right w:w="28" w:type="dxa"/>
            </w:tcMar>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在建工程</w:t>
            </w:r>
          </w:p>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排放量（固体废物产生量）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3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③</w:t>
            </w:r>
            <w:r>
              <w:rPr>
                <w:rFonts w:hint="default" w:ascii="Times New Roman" w:hAnsi="Times New Roman" w:eastAsia="宋体" w:cs="Times New Roman"/>
                <w:snapToGrid w:val="0"/>
                <w:color w:val="auto"/>
                <w:spacing w:val="-6"/>
                <w:kern w:val="21"/>
                <w:sz w:val="21"/>
                <w:szCs w:val="21"/>
                <w:highlight w:val="none"/>
              </w:rPr>
              <w:fldChar w:fldCharType="end"/>
            </w:r>
          </w:p>
        </w:tc>
        <w:tc>
          <w:tcPr>
            <w:tcW w:w="596" w:type="pct"/>
            <w:tcMar>
              <w:left w:w="28" w:type="dxa"/>
              <w:right w:w="28" w:type="dxa"/>
            </w:tcMar>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本项目</w:t>
            </w:r>
          </w:p>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排放量（固体废物产生量）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4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④</w:t>
            </w:r>
            <w:r>
              <w:rPr>
                <w:rFonts w:hint="default" w:ascii="Times New Roman" w:hAnsi="Times New Roman" w:eastAsia="宋体" w:cs="Times New Roman"/>
                <w:snapToGrid w:val="0"/>
                <w:color w:val="auto"/>
                <w:spacing w:val="-6"/>
                <w:kern w:val="21"/>
                <w:sz w:val="21"/>
                <w:szCs w:val="21"/>
                <w:highlight w:val="none"/>
              </w:rPr>
              <w:fldChar w:fldCharType="end"/>
            </w:r>
          </w:p>
        </w:tc>
        <w:tc>
          <w:tcPr>
            <w:tcW w:w="605" w:type="pct"/>
            <w:tcMar>
              <w:left w:w="28" w:type="dxa"/>
              <w:right w:w="28" w:type="dxa"/>
            </w:tcMar>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spacing w:val="-16"/>
                <w:kern w:val="21"/>
                <w:sz w:val="21"/>
                <w:szCs w:val="21"/>
                <w:highlight w:val="none"/>
              </w:rPr>
            </w:pPr>
            <w:r>
              <w:rPr>
                <w:rFonts w:hint="default" w:ascii="Times New Roman" w:hAnsi="Times New Roman" w:eastAsia="宋体" w:cs="Times New Roman"/>
                <w:snapToGrid w:val="0"/>
                <w:color w:val="auto"/>
                <w:spacing w:val="-16"/>
                <w:kern w:val="21"/>
                <w:sz w:val="21"/>
                <w:szCs w:val="21"/>
                <w:highlight w:val="none"/>
              </w:rPr>
              <w:t>以新带老削减量</w:t>
            </w:r>
          </w:p>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spacing w:val="-16"/>
                <w:kern w:val="21"/>
                <w:sz w:val="21"/>
                <w:szCs w:val="21"/>
                <w:highlight w:val="none"/>
              </w:rPr>
            </w:pPr>
            <w:r>
              <w:rPr>
                <w:rFonts w:hint="default" w:ascii="Times New Roman" w:hAnsi="Times New Roman" w:eastAsia="宋体" w:cs="Times New Roman"/>
                <w:snapToGrid w:val="0"/>
                <w:color w:val="auto"/>
                <w:spacing w:val="-16"/>
                <w:kern w:val="21"/>
                <w:sz w:val="21"/>
                <w:szCs w:val="21"/>
                <w:highlight w:val="none"/>
              </w:rPr>
              <w:t>（新建项目不填）</w:t>
            </w:r>
            <w:r>
              <w:rPr>
                <w:rFonts w:hint="default" w:ascii="Times New Roman" w:hAnsi="Times New Roman" w:eastAsia="宋体" w:cs="Times New Roman"/>
                <w:snapToGrid w:val="0"/>
                <w:color w:val="auto"/>
                <w:spacing w:val="-16"/>
                <w:kern w:val="21"/>
                <w:sz w:val="21"/>
                <w:szCs w:val="21"/>
                <w:highlight w:val="none"/>
              </w:rPr>
              <w:fldChar w:fldCharType="begin"/>
            </w:r>
            <w:r>
              <w:rPr>
                <w:rFonts w:hint="default" w:ascii="Times New Roman" w:hAnsi="Times New Roman" w:eastAsia="宋体" w:cs="Times New Roman"/>
                <w:snapToGrid w:val="0"/>
                <w:color w:val="auto"/>
                <w:spacing w:val="-16"/>
                <w:kern w:val="21"/>
                <w:sz w:val="21"/>
                <w:szCs w:val="21"/>
                <w:highlight w:val="none"/>
              </w:rPr>
              <w:instrText xml:space="preserve"> = 5 \* GB3 \* MERGEFORMAT </w:instrText>
            </w:r>
            <w:r>
              <w:rPr>
                <w:rFonts w:hint="default" w:ascii="Times New Roman" w:hAnsi="Times New Roman" w:eastAsia="宋体" w:cs="Times New Roman"/>
                <w:snapToGrid w:val="0"/>
                <w:color w:val="auto"/>
                <w:spacing w:val="-1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⑤</w:t>
            </w:r>
            <w:r>
              <w:rPr>
                <w:rFonts w:hint="default" w:ascii="Times New Roman" w:hAnsi="Times New Roman" w:eastAsia="宋体" w:cs="Times New Roman"/>
                <w:snapToGrid w:val="0"/>
                <w:color w:val="auto"/>
                <w:spacing w:val="-16"/>
                <w:kern w:val="21"/>
                <w:sz w:val="21"/>
                <w:szCs w:val="21"/>
                <w:highlight w:val="none"/>
              </w:rPr>
              <w:fldChar w:fldCharType="end"/>
            </w:r>
          </w:p>
        </w:tc>
        <w:tc>
          <w:tcPr>
            <w:tcW w:w="617" w:type="pct"/>
            <w:tcMar>
              <w:left w:w="28" w:type="dxa"/>
              <w:right w:w="28" w:type="dxa"/>
            </w:tcMar>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spacing w:val="-16"/>
                <w:kern w:val="21"/>
                <w:sz w:val="21"/>
                <w:szCs w:val="21"/>
                <w:highlight w:val="none"/>
              </w:rPr>
            </w:pPr>
            <w:r>
              <w:rPr>
                <w:rFonts w:hint="default" w:ascii="Times New Roman" w:hAnsi="Times New Roman" w:eastAsia="宋体" w:cs="Times New Roman"/>
                <w:snapToGrid w:val="0"/>
                <w:color w:val="auto"/>
                <w:spacing w:val="-16"/>
                <w:kern w:val="21"/>
                <w:sz w:val="21"/>
                <w:szCs w:val="21"/>
                <w:highlight w:val="none"/>
              </w:rPr>
              <w:t>本项目建成后</w:t>
            </w:r>
          </w:p>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spacing w:val="-16"/>
                <w:kern w:val="21"/>
                <w:sz w:val="21"/>
                <w:szCs w:val="21"/>
                <w:highlight w:val="none"/>
              </w:rPr>
            </w:pPr>
            <w:r>
              <w:rPr>
                <w:rFonts w:hint="default" w:ascii="Times New Roman" w:hAnsi="Times New Roman" w:eastAsia="宋体" w:cs="Times New Roman"/>
                <w:snapToGrid w:val="0"/>
                <w:color w:val="auto"/>
                <w:spacing w:val="-16"/>
                <w:kern w:val="21"/>
                <w:sz w:val="21"/>
                <w:szCs w:val="21"/>
                <w:highlight w:val="none"/>
              </w:rPr>
              <w:t>全厂排放量（固体废物产生量）</w:t>
            </w:r>
            <w:r>
              <w:rPr>
                <w:rFonts w:hint="default" w:ascii="Times New Roman" w:hAnsi="Times New Roman" w:eastAsia="宋体" w:cs="Times New Roman"/>
                <w:snapToGrid w:val="0"/>
                <w:color w:val="auto"/>
                <w:spacing w:val="-16"/>
                <w:kern w:val="21"/>
                <w:sz w:val="21"/>
                <w:szCs w:val="21"/>
                <w:highlight w:val="none"/>
              </w:rPr>
              <w:fldChar w:fldCharType="begin"/>
            </w:r>
            <w:r>
              <w:rPr>
                <w:rFonts w:hint="default" w:ascii="Times New Roman" w:hAnsi="Times New Roman" w:eastAsia="宋体" w:cs="Times New Roman"/>
                <w:snapToGrid w:val="0"/>
                <w:color w:val="auto"/>
                <w:spacing w:val="-16"/>
                <w:kern w:val="21"/>
                <w:sz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⑥</w:t>
            </w:r>
            <w:r>
              <w:rPr>
                <w:rFonts w:hint="default" w:ascii="Times New Roman" w:hAnsi="Times New Roman" w:eastAsia="宋体" w:cs="Times New Roman"/>
                <w:snapToGrid w:val="0"/>
                <w:color w:val="auto"/>
                <w:spacing w:val="-16"/>
                <w:kern w:val="21"/>
                <w:sz w:val="21"/>
                <w:szCs w:val="21"/>
                <w:highlight w:val="none"/>
              </w:rPr>
              <w:fldChar w:fldCharType="end"/>
            </w:r>
          </w:p>
        </w:tc>
        <w:tc>
          <w:tcPr>
            <w:tcW w:w="567" w:type="pct"/>
            <w:tcMar>
              <w:left w:w="28" w:type="dxa"/>
              <w:right w:w="28" w:type="dxa"/>
            </w:tcMar>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变化量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7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⑦</w:t>
            </w:r>
            <w:r>
              <w:rPr>
                <w:rFonts w:hint="default" w:ascii="Times New Roman" w:hAnsi="Times New Roman" w:eastAsia="宋体" w:cs="Times New Roman"/>
                <w:snapToGrid w:val="0"/>
                <w:color w:val="auto"/>
                <w:spacing w:val="-6"/>
                <w:kern w:val="21"/>
                <w:sz w:val="21"/>
                <w:szCs w:val="21"/>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416" w:type="pct"/>
            <w:vMerge w:val="restar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废气</w:t>
            </w:r>
          </w:p>
        </w:tc>
        <w:tc>
          <w:tcPr>
            <w:tcW w:w="448"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有组织</w:t>
            </w:r>
          </w:p>
        </w:tc>
        <w:tc>
          <w:tcPr>
            <w:tcW w:w="319" w:type="pct"/>
            <w:vMerge w:val="restar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非甲烷总烃</w:t>
            </w:r>
          </w:p>
        </w:tc>
        <w:tc>
          <w:tcPr>
            <w:tcW w:w="471"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437"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520"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596"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1.21</w:t>
            </w:r>
            <w:r>
              <w:rPr>
                <w:rFonts w:hint="eastAsia" w:ascii="Times New Roman" w:hAnsi="Times New Roman" w:eastAsia="宋体" w:cs="Times New Roman"/>
                <w:snapToGrid w:val="0"/>
                <w:color w:val="auto"/>
                <w:kern w:val="21"/>
                <w:sz w:val="21"/>
                <w:szCs w:val="21"/>
                <w:highlight w:val="none"/>
                <w:lang w:val="en-US" w:eastAsia="zh-CN"/>
              </w:rPr>
              <w:t>30</w:t>
            </w:r>
            <w:r>
              <w:rPr>
                <w:rFonts w:hint="default" w:ascii="Times New Roman" w:hAnsi="Times New Roman" w:eastAsia="宋体" w:cs="Times New Roman"/>
                <w:snapToGrid w:val="0"/>
                <w:color w:val="auto"/>
                <w:kern w:val="21"/>
                <w:sz w:val="21"/>
                <w:szCs w:val="21"/>
                <w:highlight w:val="none"/>
              </w:rPr>
              <w:t>t/a</w:t>
            </w:r>
          </w:p>
        </w:tc>
        <w:tc>
          <w:tcPr>
            <w:tcW w:w="605"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617"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1.21</w:t>
            </w:r>
            <w:r>
              <w:rPr>
                <w:rFonts w:hint="eastAsia" w:ascii="Times New Roman" w:hAnsi="Times New Roman" w:eastAsia="宋体" w:cs="Times New Roman"/>
                <w:snapToGrid w:val="0"/>
                <w:color w:val="auto"/>
                <w:kern w:val="21"/>
                <w:sz w:val="21"/>
                <w:szCs w:val="21"/>
                <w:highlight w:val="none"/>
                <w:lang w:val="en-US" w:eastAsia="zh-CN"/>
              </w:rPr>
              <w:t>30</w:t>
            </w:r>
            <w:r>
              <w:rPr>
                <w:rFonts w:hint="default" w:ascii="Times New Roman" w:hAnsi="Times New Roman" w:eastAsia="宋体" w:cs="Times New Roman"/>
                <w:snapToGrid w:val="0"/>
                <w:color w:val="auto"/>
                <w:kern w:val="21"/>
                <w:sz w:val="21"/>
                <w:szCs w:val="21"/>
                <w:highlight w:val="none"/>
              </w:rPr>
              <w:t>t/a</w:t>
            </w:r>
          </w:p>
        </w:tc>
        <w:tc>
          <w:tcPr>
            <w:tcW w:w="567"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1.21</w:t>
            </w:r>
            <w:r>
              <w:rPr>
                <w:rFonts w:hint="eastAsia" w:ascii="Times New Roman" w:hAnsi="Times New Roman" w:eastAsia="宋体" w:cs="Times New Roman"/>
                <w:snapToGrid w:val="0"/>
                <w:color w:val="auto"/>
                <w:kern w:val="21"/>
                <w:sz w:val="21"/>
                <w:szCs w:val="21"/>
                <w:highlight w:val="none"/>
                <w:lang w:val="en-US" w:eastAsia="zh-CN"/>
              </w:rPr>
              <w:t>30</w:t>
            </w:r>
            <w:r>
              <w:rPr>
                <w:rFonts w:hint="default" w:ascii="Times New Roman" w:hAnsi="Times New Roman" w:eastAsia="宋体" w:cs="Times New Roman"/>
                <w:snapToGrid w:val="0"/>
                <w:color w:val="auto"/>
                <w:kern w:val="21"/>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416" w:type="pct"/>
            <w:vMerge w:val="continue"/>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rPr>
            </w:pPr>
          </w:p>
        </w:tc>
        <w:tc>
          <w:tcPr>
            <w:tcW w:w="448"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无组织</w:t>
            </w:r>
          </w:p>
        </w:tc>
        <w:tc>
          <w:tcPr>
            <w:tcW w:w="319" w:type="pct"/>
            <w:vMerge w:val="continue"/>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rPr>
            </w:pPr>
          </w:p>
        </w:tc>
        <w:tc>
          <w:tcPr>
            <w:tcW w:w="471"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437"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520"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596"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0.2690</w:t>
            </w:r>
            <w:r>
              <w:rPr>
                <w:rFonts w:hint="default" w:ascii="Times New Roman" w:hAnsi="Times New Roman" w:eastAsia="宋体" w:cs="Times New Roman"/>
                <w:color w:val="auto"/>
                <w:sz w:val="21"/>
                <w:szCs w:val="21"/>
                <w:highlight w:val="none"/>
              </w:rPr>
              <w:t>t/a</w:t>
            </w:r>
          </w:p>
        </w:tc>
        <w:tc>
          <w:tcPr>
            <w:tcW w:w="605"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617"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0.2690</w:t>
            </w:r>
            <w:r>
              <w:rPr>
                <w:rFonts w:hint="default" w:ascii="Times New Roman" w:hAnsi="Times New Roman" w:eastAsia="宋体" w:cs="Times New Roman"/>
                <w:color w:val="auto"/>
                <w:sz w:val="21"/>
                <w:szCs w:val="21"/>
                <w:highlight w:val="none"/>
              </w:rPr>
              <w:t>t/a</w:t>
            </w:r>
          </w:p>
        </w:tc>
        <w:tc>
          <w:tcPr>
            <w:tcW w:w="567"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0.2690</w:t>
            </w:r>
            <w:r>
              <w:rPr>
                <w:rFonts w:hint="default" w:ascii="Times New Roman" w:hAnsi="Times New Roman" w:eastAsia="宋体" w:cs="Times New Roman"/>
                <w:color w:val="auto"/>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416" w:type="pct"/>
            <w:vMerge w:val="continue"/>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rPr>
            </w:pPr>
          </w:p>
        </w:tc>
        <w:tc>
          <w:tcPr>
            <w:tcW w:w="448"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有组织</w:t>
            </w:r>
          </w:p>
        </w:tc>
        <w:tc>
          <w:tcPr>
            <w:tcW w:w="319" w:type="pct"/>
            <w:vMerge w:val="restar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颗粒物</w:t>
            </w:r>
          </w:p>
        </w:tc>
        <w:tc>
          <w:tcPr>
            <w:tcW w:w="471"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w:t>
            </w:r>
          </w:p>
        </w:tc>
        <w:tc>
          <w:tcPr>
            <w:tcW w:w="437"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w:t>
            </w:r>
          </w:p>
        </w:tc>
        <w:tc>
          <w:tcPr>
            <w:tcW w:w="520"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w:t>
            </w:r>
          </w:p>
        </w:tc>
        <w:tc>
          <w:tcPr>
            <w:tcW w:w="596"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4.257</w:t>
            </w:r>
            <w:r>
              <w:rPr>
                <w:rFonts w:hint="eastAsia" w:cs="Times New Roman"/>
                <w:snapToGrid w:val="0"/>
                <w:color w:val="auto"/>
                <w:kern w:val="21"/>
                <w:sz w:val="21"/>
                <w:szCs w:val="21"/>
                <w:highlight w:val="none"/>
                <w:lang w:val="en-US" w:eastAsia="zh-CN"/>
              </w:rPr>
              <w:t>6</w:t>
            </w:r>
            <w:r>
              <w:rPr>
                <w:rFonts w:hint="default" w:ascii="Times New Roman" w:hAnsi="Times New Roman" w:eastAsia="宋体" w:cs="Times New Roman"/>
                <w:color w:val="auto"/>
                <w:sz w:val="21"/>
                <w:szCs w:val="21"/>
                <w:highlight w:val="none"/>
              </w:rPr>
              <w:t>t/a</w:t>
            </w:r>
          </w:p>
        </w:tc>
        <w:tc>
          <w:tcPr>
            <w:tcW w:w="605"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w:t>
            </w:r>
          </w:p>
        </w:tc>
        <w:tc>
          <w:tcPr>
            <w:tcW w:w="617"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4.257</w:t>
            </w:r>
            <w:r>
              <w:rPr>
                <w:rFonts w:hint="eastAsia" w:cs="Times New Roman"/>
                <w:snapToGrid w:val="0"/>
                <w:color w:val="auto"/>
                <w:kern w:val="21"/>
                <w:sz w:val="21"/>
                <w:szCs w:val="21"/>
                <w:highlight w:val="none"/>
                <w:lang w:val="en-US" w:eastAsia="zh-CN"/>
              </w:rPr>
              <w:t>6</w:t>
            </w:r>
            <w:r>
              <w:rPr>
                <w:rFonts w:hint="default" w:ascii="Times New Roman" w:hAnsi="Times New Roman" w:eastAsia="宋体" w:cs="Times New Roman"/>
                <w:color w:val="auto"/>
                <w:sz w:val="21"/>
                <w:szCs w:val="21"/>
                <w:highlight w:val="none"/>
              </w:rPr>
              <w:t>t/a</w:t>
            </w:r>
          </w:p>
        </w:tc>
        <w:tc>
          <w:tcPr>
            <w:tcW w:w="567"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4.257</w:t>
            </w:r>
            <w:r>
              <w:rPr>
                <w:rFonts w:hint="eastAsia" w:cs="Times New Roman"/>
                <w:snapToGrid w:val="0"/>
                <w:color w:val="auto"/>
                <w:kern w:val="21"/>
                <w:sz w:val="21"/>
                <w:szCs w:val="21"/>
                <w:highlight w:val="none"/>
                <w:lang w:val="en-US" w:eastAsia="zh-CN"/>
              </w:rPr>
              <w:t>6</w:t>
            </w:r>
            <w:r>
              <w:rPr>
                <w:rFonts w:hint="default" w:ascii="Times New Roman" w:hAnsi="Times New Roman" w:eastAsia="宋体" w:cs="Times New Roman"/>
                <w:color w:val="auto"/>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416" w:type="pct"/>
            <w:vMerge w:val="continue"/>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rPr>
            </w:pPr>
          </w:p>
        </w:tc>
        <w:tc>
          <w:tcPr>
            <w:tcW w:w="448"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无组织</w:t>
            </w:r>
          </w:p>
        </w:tc>
        <w:tc>
          <w:tcPr>
            <w:tcW w:w="319" w:type="pct"/>
            <w:vMerge w:val="continue"/>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rPr>
            </w:pPr>
          </w:p>
        </w:tc>
        <w:tc>
          <w:tcPr>
            <w:tcW w:w="471"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w:t>
            </w:r>
          </w:p>
        </w:tc>
        <w:tc>
          <w:tcPr>
            <w:tcW w:w="437"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w:t>
            </w:r>
          </w:p>
        </w:tc>
        <w:tc>
          <w:tcPr>
            <w:tcW w:w="520"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w:t>
            </w:r>
          </w:p>
        </w:tc>
        <w:tc>
          <w:tcPr>
            <w:tcW w:w="596"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0.3326</w:t>
            </w:r>
            <w:r>
              <w:rPr>
                <w:rFonts w:hint="default" w:ascii="Times New Roman" w:hAnsi="Times New Roman" w:eastAsia="宋体" w:cs="Times New Roman"/>
                <w:color w:val="auto"/>
                <w:sz w:val="21"/>
                <w:szCs w:val="21"/>
                <w:highlight w:val="none"/>
              </w:rPr>
              <w:t>t/a</w:t>
            </w:r>
          </w:p>
        </w:tc>
        <w:tc>
          <w:tcPr>
            <w:tcW w:w="605"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w:t>
            </w:r>
          </w:p>
        </w:tc>
        <w:tc>
          <w:tcPr>
            <w:tcW w:w="617"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0.3326</w:t>
            </w:r>
            <w:r>
              <w:rPr>
                <w:rFonts w:hint="default" w:ascii="Times New Roman" w:hAnsi="Times New Roman" w:eastAsia="宋体" w:cs="Times New Roman"/>
                <w:color w:val="auto"/>
                <w:sz w:val="21"/>
                <w:szCs w:val="21"/>
                <w:highlight w:val="none"/>
              </w:rPr>
              <w:t>t/a</w:t>
            </w:r>
          </w:p>
        </w:tc>
        <w:tc>
          <w:tcPr>
            <w:tcW w:w="567"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0.3326</w:t>
            </w:r>
            <w:r>
              <w:rPr>
                <w:rFonts w:hint="default" w:ascii="Times New Roman" w:hAnsi="Times New Roman" w:eastAsia="宋体" w:cs="Times New Roman"/>
                <w:color w:val="auto"/>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416" w:type="pct"/>
            <w:vMerge w:val="restar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废水</w:t>
            </w:r>
          </w:p>
        </w:tc>
        <w:tc>
          <w:tcPr>
            <w:tcW w:w="448" w:type="pct"/>
            <w:vMerge w:val="restar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eastAsia" w:eastAsia="宋体"/>
                <w:color w:val="auto"/>
                <w:sz w:val="21"/>
                <w:szCs w:val="21"/>
                <w:highlight w:val="none"/>
                <w:lang w:eastAsia="zh-CN"/>
              </w:rPr>
            </w:pPr>
            <w:r>
              <w:rPr>
                <w:rFonts w:hint="default"/>
                <w:color w:val="auto"/>
                <w:sz w:val="21"/>
                <w:szCs w:val="21"/>
                <w:highlight w:val="none"/>
              </w:rPr>
              <w:t>生活污水</w:t>
            </w:r>
          </w:p>
        </w:tc>
        <w:tc>
          <w:tcPr>
            <w:tcW w:w="319"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废水量</w:t>
            </w:r>
          </w:p>
        </w:tc>
        <w:tc>
          <w:tcPr>
            <w:tcW w:w="471" w:type="pct"/>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437" w:type="pct"/>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520" w:type="pct"/>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596"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rPr>
            </w:pPr>
            <w:r>
              <w:rPr>
                <w:rFonts w:hint="eastAsia" w:ascii="Times New Roman" w:cs="Times New Roman"/>
                <w:snapToGrid w:val="0"/>
                <w:color w:val="auto"/>
                <w:kern w:val="21"/>
                <w:sz w:val="21"/>
                <w:szCs w:val="21"/>
                <w:highlight w:val="none"/>
                <w:lang w:val="en-US" w:eastAsia="zh-CN"/>
              </w:rPr>
              <w:t>2460</w:t>
            </w:r>
            <w:r>
              <w:rPr>
                <w:rFonts w:hint="default" w:ascii="Times New Roman" w:hAnsi="Times New Roman" w:eastAsia="宋体" w:cs="Times New Roman"/>
                <w:color w:val="auto"/>
                <w:sz w:val="21"/>
                <w:szCs w:val="21"/>
                <w:highlight w:val="none"/>
              </w:rPr>
              <w:t>t/a</w:t>
            </w:r>
          </w:p>
        </w:tc>
        <w:tc>
          <w:tcPr>
            <w:tcW w:w="605" w:type="pct"/>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617"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rPr>
            </w:pPr>
            <w:r>
              <w:rPr>
                <w:rFonts w:hint="eastAsia" w:ascii="Times New Roman" w:cs="Times New Roman"/>
                <w:snapToGrid w:val="0"/>
                <w:color w:val="auto"/>
                <w:kern w:val="21"/>
                <w:sz w:val="21"/>
                <w:szCs w:val="21"/>
                <w:highlight w:val="none"/>
                <w:lang w:val="en-US" w:eastAsia="zh-CN"/>
              </w:rPr>
              <w:t>2460</w:t>
            </w:r>
            <w:r>
              <w:rPr>
                <w:rFonts w:hint="default" w:ascii="Times New Roman" w:hAnsi="Times New Roman" w:eastAsia="宋体" w:cs="Times New Roman"/>
                <w:color w:val="auto"/>
                <w:sz w:val="21"/>
                <w:szCs w:val="21"/>
                <w:highlight w:val="none"/>
              </w:rPr>
              <w:t>t/a</w:t>
            </w:r>
          </w:p>
        </w:tc>
        <w:tc>
          <w:tcPr>
            <w:tcW w:w="567"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rPr>
            </w:pPr>
            <w:r>
              <w:rPr>
                <w:rFonts w:hint="eastAsia" w:ascii="Times New Roman" w:cs="Times New Roman"/>
                <w:snapToGrid w:val="0"/>
                <w:color w:val="auto"/>
                <w:kern w:val="21"/>
                <w:sz w:val="21"/>
                <w:szCs w:val="21"/>
                <w:highlight w:val="none"/>
                <w:lang w:val="en-US" w:eastAsia="zh-CN"/>
              </w:rPr>
              <w:t>2460</w:t>
            </w:r>
            <w:r>
              <w:rPr>
                <w:rFonts w:hint="default" w:ascii="Times New Roman" w:hAnsi="Times New Roman" w:eastAsia="宋体" w:cs="Times New Roman"/>
                <w:color w:val="auto"/>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6" w:type="pct"/>
            <w:vMerge w:val="continue"/>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rPr>
            </w:pPr>
          </w:p>
        </w:tc>
        <w:tc>
          <w:tcPr>
            <w:tcW w:w="448" w:type="pct"/>
            <w:vMerge w:val="continue"/>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rPr>
            </w:pPr>
          </w:p>
        </w:tc>
        <w:tc>
          <w:tcPr>
            <w:tcW w:w="319" w:type="pc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w:t>
            </w:r>
          </w:p>
        </w:tc>
        <w:tc>
          <w:tcPr>
            <w:tcW w:w="471" w:type="pct"/>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437" w:type="pct"/>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520" w:type="pct"/>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596" w:type="pc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0.123</w:t>
            </w:r>
            <w:r>
              <w:rPr>
                <w:rFonts w:hint="eastAsia" w:cs="Times New Roman"/>
                <w:color w:val="auto"/>
                <w:sz w:val="21"/>
                <w:szCs w:val="21"/>
                <w:highlight w:val="none"/>
                <w:vertAlign w:val="baseline"/>
                <w:lang w:val="en-US" w:eastAsia="zh-CN"/>
              </w:rPr>
              <w:t>t</w:t>
            </w:r>
            <w:r>
              <w:rPr>
                <w:rFonts w:hint="default" w:ascii="Times New Roman" w:hAnsi="Times New Roman" w:eastAsia="宋体" w:cs="Times New Roman"/>
                <w:color w:val="auto"/>
                <w:sz w:val="21"/>
                <w:szCs w:val="21"/>
                <w:highlight w:val="none"/>
              </w:rPr>
              <w:t>/a</w:t>
            </w:r>
          </w:p>
        </w:tc>
        <w:tc>
          <w:tcPr>
            <w:tcW w:w="605" w:type="pct"/>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617" w:type="pc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0.123</w:t>
            </w:r>
            <w:r>
              <w:rPr>
                <w:rFonts w:hint="eastAsia" w:cs="Times New Roman"/>
                <w:color w:val="auto"/>
                <w:sz w:val="21"/>
                <w:szCs w:val="21"/>
                <w:highlight w:val="none"/>
                <w:vertAlign w:val="baseline"/>
                <w:lang w:val="en-US" w:eastAsia="zh-CN"/>
              </w:rPr>
              <w:t>t</w:t>
            </w:r>
            <w:r>
              <w:rPr>
                <w:rFonts w:hint="default" w:ascii="Times New Roman" w:hAnsi="Times New Roman" w:eastAsia="宋体" w:cs="Times New Roman"/>
                <w:color w:val="auto"/>
                <w:sz w:val="21"/>
                <w:szCs w:val="21"/>
                <w:highlight w:val="none"/>
              </w:rPr>
              <w:t>/a</w:t>
            </w:r>
          </w:p>
        </w:tc>
        <w:tc>
          <w:tcPr>
            <w:tcW w:w="567" w:type="pc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0.123</w:t>
            </w:r>
            <w:r>
              <w:rPr>
                <w:rFonts w:hint="eastAsia" w:cs="Times New Roman"/>
                <w:color w:val="auto"/>
                <w:sz w:val="21"/>
                <w:szCs w:val="21"/>
                <w:highlight w:val="none"/>
                <w:vertAlign w:val="baseline"/>
                <w:lang w:val="en-US" w:eastAsia="zh-CN"/>
              </w:rPr>
              <w:t>t</w:t>
            </w:r>
            <w:r>
              <w:rPr>
                <w:rFonts w:hint="default" w:ascii="Times New Roman" w:hAnsi="Times New Roman" w:eastAsia="宋体" w:cs="Times New Roman"/>
                <w:color w:val="auto"/>
                <w:sz w:val="21"/>
                <w:szCs w:val="21"/>
                <w:highlight w:val="none"/>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6" w:type="pct"/>
            <w:vMerge w:val="continue"/>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rPr>
            </w:pPr>
          </w:p>
        </w:tc>
        <w:tc>
          <w:tcPr>
            <w:tcW w:w="448" w:type="pct"/>
            <w:vMerge w:val="continue"/>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rPr>
            </w:pPr>
          </w:p>
        </w:tc>
        <w:tc>
          <w:tcPr>
            <w:tcW w:w="319" w:type="pc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p>
        </w:tc>
        <w:tc>
          <w:tcPr>
            <w:tcW w:w="471" w:type="pct"/>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437" w:type="pct"/>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520" w:type="pct"/>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596" w:type="pc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0.0123</w:t>
            </w:r>
            <w:r>
              <w:rPr>
                <w:rFonts w:hint="default" w:ascii="Times New Roman" w:hAnsi="Times New Roman" w:eastAsia="宋体" w:cs="Times New Roman"/>
                <w:color w:val="auto"/>
                <w:sz w:val="21"/>
                <w:szCs w:val="21"/>
                <w:highlight w:val="none"/>
              </w:rPr>
              <w:t>t/a</w:t>
            </w:r>
          </w:p>
        </w:tc>
        <w:tc>
          <w:tcPr>
            <w:tcW w:w="605" w:type="pct"/>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617" w:type="pc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0.0123</w:t>
            </w:r>
            <w:r>
              <w:rPr>
                <w:rFonts w:hint="default" w:ascii="Times New Roman" w:hAnsi="Times New Roman" w:eastAsia="宋体" w:cs="Times New Roman"/>
                <w:color w:val="auto"/>
                <w:sz w:val="21"/>
                <w:szCs w:val="21"/>
                <w:highlight w:val="none"/>
              </w:rPr>
              <w:t>t/a</w:t>
            </w:r>
          </w:p>
        </w:tc>
        <w:tc>
          <w:tcPr>
            <w:tcW w:w="567" w:type="pc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0.0123</w:t>
            </w:r>
            <w:r>
              <w:rPr>
                <w:rFonts w:hint="default" w:ascii="Times New Roman" w:hAnsi="Times New Roman" w:eastAsia="宋体" w:cs="Times New Roman"/>
                <w:color w:val="auto"/>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416"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一般工业固体废物</w:t>
            </w:r>
          </w:p>
        </w:tc>
        <w:tc>
          <w:tcPr>
            <w:tcW w:w="768" w:type="pct"/>
            <w:gridSpan w:val="2"/>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一般固废</w:t>
            </w:r>
          </w:p>
        </w:tc>
        <w:tc>
          <w:tcPr>
            <w:tcW w:w="471" w:type="pct"/>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437" w:type="pct"/>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520" w:type="pct"/>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596" w:type="pct"/>
            <w:vAlign w:val="center"/>
          </w:tcPr>
          <w:p>
            <w:pPr>
              <w:pStyle w:val="77"/>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color w:val="auto"/>
                <w:sz w:val="21"/>
                <w:szCs w:val="21"/>
                <w:highlight w:val="none"/>
              </w:rPr>
              <w:t>711.8403t/a</w:t>
            </w:r>
          </w:p>
        </w:tc>
        <w:tc>
          <w:tcPr>
            <w:tcW w:w="605" w:type="pct"/>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617"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color w:val="auto"/>
                <w:sz w:val="21"/>
                <w:szCs w:val="21"/>
                <w:highlight w:val="none"/>
              </w:rPr>
              <w:t>711.8403t/a</w:t>
            </w:r>
          </w:p>
        </w:tc>
        <w:tc>
          <w:tcPr>
            <w:tcW w:w="567"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color w:val="auto"/>
                <w:sz w:val="21"/>
                <w:szCs w:val="21"/>
                <w:highlight w:val="none"/>
              </w:rPr>
              <w:t>711.8403t/a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16"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危险</w:t>
            </w:r>
          </w:p>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废物</w:t>
            </w:r>
          </w:p>
        </w:tc>
        <w:tc>
          <w:tcPr>
            <w:tcW w:w="768" w:type="pct"/>
            <w:gridSpan w:val="2"/>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危废</w:t>
            </w:r>
          </w:p>
        </w:tc>
        <w:tc>
          <w:tcPr>
            <w:tcW w:w="471" w:type="pct"/>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437" w:type="pct"/>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520" w:type="pct"/>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596" w:type="pct"/>
            <w:vAlign w:val="center"/>
          </w:tcPr>
          <w:p>
            <w:pPr>
              <w:pStyle w:val="77"/>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color w:val="auto"/>
                <w:sz w:val="21"/>
                <w:szCs w:val="21"/>
                <w:highlight w:val="none"/>
                <w:lang w:eastAsia="zh-CN"/>
              </w:rPr>
              <w:t>36.635</w:t>
            </w:r>
            <w:r>
              <w:rPr>
                <w:rFonts w:hint="default" w:ascii="Times New Roman" w:hAnsi="Times New Roman" w:eastAsia="宋体" w:cs="Times New Roman"/>
                <w:color w:val="auto"/>
                <w:sz w:val="21"/>
                <w:szCs w:val="21"/>
                <w:highlight w:val="none"/>
              </w:rPr>
              <w:t>t/a</w:t>
            </w:r>
          </w:p>
        </w:tc>
        <w:tc>
          <w:tcPr>
            <w:tcW w:w="605" w:type="pct"/>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617" w:type="pct"/>
            <w:vAlign w:val="center"/>
          </w:tcPr>
          <w:p>
            <w:pPr>
              <w:pStyle w:val="77"/>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color w:val="auto"/>
                <w:sz w:val="21"/>
                <w:szCs w:val="21"/>
                <w:highlight w:val="none"/>
                <w:lang w:eastAsia="zh-CN"/>
              </w:rPr>
              <w:t>36.635</w:t>
            </w:r>
            <w:r>
              <w:rPr>
                <w:rFonts w:hint="default" w:ascii="Times New Roman" w:hAnsi="Times New Roman" w:eastAsia="宋体" w:cs="Times New Roman"/>
                <w:color w:val="auto"/>
                <w:sz w:val="21"/>
                <w:szCs w:val="21"/>
                <w:highlight w:val="none"/>
              </w:rPr>
              <w:t>t/a</w:t>
            </w:r>
          </w:p>
        </w:tc>
        <w:tc>
          <w:tcPr>
            <w:tcW w:w="567" w:type="pct"/>
            <w:vAlign w:val="center"/>
          </w:tcPr>
          <w:p>
            <w:pPr>
              <w:pStyle w:val="77"/>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color w:val="auto"/>
                <w:sz w:val="21"/>
                <w:szCs w:val="21"/>
                <w:highlight w:val="none"/>
                <w:lang w:eastAsia="zh-CN"/>
              </w:rPr>
              <w:t>36.635</w:t>
            </w:r>
            <w:r>
              <w:rPr>
                <w:rFonts w:hint="default" w:ascii="Times New Roman" w:hAnsi="Times New Roman" w:eastAsia="宋体" w:cs="Times New Roman"/>
                <w:color w:val="auto"/>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184" w:type="pct"/>
            <w:gridSpan w:val="3"/>
            <w:vAlign w:val="center"/>
          </w:tcPr>
          <w:p>
            <w:pPr>
              <w:spacing w:line="240" w:lineRule="auto"/>
              <w:ind w:firstLine="0" w:firstLineChars="0"/>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cs="Times New Roman"/>
                <w:color w:val="auto"/>
                <w:kern w:val="0"/>
                <w:sz w:val="21"/>
                <w:szCs w:val="21"/>
                <w:highlight w:val="none"/>
              </w:rPr>
              <w:t>废弃</w:t>
            </w:r>
            <w:r>
              <w:rPr>
                <w:rFonts w:hint="eastAsia"/>
                <w:color w:val="auto"/>
                <w:kern w:val="0"/>
                <w:sz w:val="21"/>
                <w:szCs w:val="21"/>
                <w:highlight w:val="none"/>
                <w:lang w:bidi="ar"/>
              </w:rPr>
              <w:t>胶水空桶</w:t>
            </w:r>
          </w:p>
        </w:tc>
        <w:tc>
          <w:tcPr>
            <w:tcW w:w="471" w:type="pct"/>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437" w:type="pct"/>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520" w:type="pct"/>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596" w:type="pct"/>
            <w:vAlign w:val="center"/>
          </w:tcPr>
          <w:p>
            <w:pPr>
              <w:pStyle w:val="77"/>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highlight w:val="none"/>
              </w:rPr>
            </w:pPr>
            <w:r>
              <w:rPr>
                <w:rFonts w:hint="eastAsia" w:ascii="Times New Roman" w:hAnsi="Times New Roman" w:cs="Times New Roman"/>
                <w:b w:val="0"/>
                <w:bCs/>
                <w:color w:val="auto"/>
                <w:sz w:val="21"/>
                <w:szCs w:val="21"/>
                <w:highlight w:val="none"/>
                <w:lang w:val="en-US" w:eastAsia="zh-CN"/>
              </w:rPr>
              <w:t>940</w:t>
            </w:r>
            <w:r>
              <w:rPr>
                <w:rFonts w:hint="default" w:ascii="Times New Roman" w:hAnsi="Times New Roman" w:eastAsia="宋体" w:cs="Times New Roman"/>
                <w:color w:val="auto"/>
                <w:sz w:val="21"/>
                <w:szCs w:val="21"/>
                <w:highlight w:val="none"/>
                <w:lang w:val="en-US" w:eastAsia="zh-CN"/>
              </w:rPr>
              <w:t>个/a</w:t>
            </w:r>
          </w:p>
        </w:tc>
        <w:tc>
          <w:tcPr>
            <w:tcW w:w="605" w:type="pct"/>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617"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rPr>
            </w:pPr>
            <w:r>
              <w:rPr>
                <w:rFonts w:hint="eastAsia" w:ascii="Times New Roman" w:cs="Times New Roman"/>
                <w:b w:val="0"/>
                <w:bCs/>
                <w:color w:val="auto"/>
                <w:sz w:val="21"/>
                <w:szCs w:val="21"/>
                <w:highlight w:val="none"/>
                <w:lang w:val="en-US" w:eastAsia="zh-CN"/>
              </w:rPr>
              <w:t>940</w:t>
            </w:r>
            <w:r>
              <w:rPr>
                <w:rFonts w:hint="default" w:ascii="Times New Roman" w:hAnsi="Times New Roman" w:eastAsia="宋体" w:cs="Times New Roman"/>
                <w:color w:val="auto"/>
                <w:sz w:val="21"/>
                <w:szCs w:val="21"/>
                <w:highlight w:val="none"/>
                <w:lang w:val="en-US" w:eastAsia="zh-CN"/>
              </w:rPr>
              <w:t>个/a</w:t>
            </w:r>
          </w:p>
        </w:tc>
        <w:tc>
          <w:tcPr>
            <w:tcW w:w="567"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rPr>
            </w:pPr>
            <w:r>
              <w:rPr>
                <w:rFonts w:hint="eastAsia" w:ascii="Times New Roman" w:cs="Times New Roman"/>
                <w:b w:val="0"/>
                <w:bCs/>
                <w:color w:val="auto"/>
                <w:sz w:val="21"/>
                <w:szCs w:val="21"/>
                <w:highlight w:val="none"/>
                <w:lang w:val="en-US" w:eastAsia="zh-CN"/>
              </w:rPr>
              <w:t>940</w:t>
            </w:r>
            <w:r>
              <w:rPr>
                <w:rFonts w:hint="default" w:ascii="Times New Roman" w:hAnsi="Times New Roman" w:eastAsia="宋体" w:cs="Times New Roman"/>
                <w:color w:val="auto"/>
                <w:sz w:val="21"/>
                <w:szCs w:val="21"/>
                <w:highlight w:val="none"/>
                <w:lang w:val="en-US" w:eastAsia="zh-CN"/>
              </w:rPr>
              <w:t>个/a</w:t>
            </w:r>
          </w:p>
        </w:tc>
      </w:tr>
    </w:tbl>
    <w:p>
      <w:pPr>
        <w:pStyle w:val="47"/>
        <w:spacing w:beforeLines="0" w:after="0" w:afterLines="0" w:line="240" w:lineRule="auto"/>
        <w:jc w:val="left"/>
        <w:rPr>
          <w:rFonts w:hAnsi="宋体"/>
          <w:snapToGrid w:val="0"/>
          <w:color w:val="auto"/>
          <w:spacing w:val="-6"/>
          <w:kern w:val="21"/>
          <w:szCs w:val="21"/>
          <w:highlight w:val="none"/>
        </w:rPr>
      </w:pPr>
      <w:r>
        <w:rPr>
          <w:rFonts w:hAnsi="宋体"/>
          <w:snapToGrid w:val="0"/>
          <w:color w:val="auto"/>
          <w:kern w:val="21"/>
          <w:szCs w:val="21"/>
          <w:highlight w:val="none"/>
        </w:rPr>
        <w:t>注：</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3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③</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4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④</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5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⑤</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7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⑦</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p>
    <w:p>
      <w:pPr>
        <w:pStyle w:val="47"/>
        <w:spacing w:beforeLines="0" w:after="0" w:afterLines="0" w:line="240" w:lineRule="auto"/>
        <w:jc w:val="left"/>
        <w:rPr>
          <w:rFonts w:hint="default" w:ascii="宋体" w:hAnsi="宋体"/>
          <w:snapToGrid w:val="0"/>
          <w:color w:val="auto"/>
          <w:kern w:val="21"/>
          <w:sz w:val="18"/>
          <w:szCs w:val="18"/>
          <w:highlight w:val="none"/>
          <w:lang w:eastAsia="zh-CN"/>
        </w:rPr>
        <w:sectPr>
          <w:footerReference r:id="rId5" w:type="default"/>
          <w:pgSz w:w="16838" w:h="11906" w:orient="landscape"/>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default" w:ascii="宋体" w:hAnsi="宋体"/>
          <w:snapToGrid w:val="0"/>
          <w:color w:val="auto"/>
          <w:kern w:val="21"/>
          <w:sz w:val="18"/>
          <w:szCs w:val="18"/>
          <w:highlight w:val="none"/>
          <w:lang w:eastAsia="zh-CN"/>
        </w:rPr>
        <w:t>（</w:t>
      </w:r>
      <w:r>
        <w:rPr>
          <w:rFonts w:hint="default" w:ascii="宋体" w:hAnsi="宋体"/>
          <w:snapToGrid w:val="0"/>
          <w:color w:val="auto"/>
          <w:kern w:val="21"/>
          <w:sz w:val="18"/>
          <w:szCs w:val="18"/>
          <w:highlight w:val="none"/>
          <w:lang w:val="en-US" w:eastAsia="zh-CN"/>
        </w:rPr>
        <w:t>注：填写建设项目污染物排放量汇总表，其中现有工程污染物排放情况根据排污许可证执行报告填写，无排污许可证执行报告或执行报告中无相关内容的，通过监测数据核算现有工程污染物排放情况</w:t>
      </w:r>
      <w:r>
        <w:rPr>
          <w:rFonts w:hint="default" w:ascii="宋体" w:hAnsi="宋体"/>
          <w:snapToGrid w:val="0"/>
          <w:color w:val="auto"/>
          <w:kern w:val="21"/>
          <w:sz w:val="18"/>
          <w:szCs w:val="18"/>
          <w:highlight w:val="none"/>
          <w:lang w:eastAsia="zh-CN"/>
        </w:rPr>
        <w:t>）</w:t>
      </w:r>
    </w:p>
    <w:p>
      <w:pPr>
        <w:pStyle w:val="24"/>
        <w:rPr>
          <w:rFonts w:hint="default" w:ascii="Times New Roman" w:hAnsi="Times New Roman" w:cs="Times New Roman"/>
          <w:b/>
          <w:bCs/>
          <w:snapToGrid w:val="0"/>
          <w:color w:val="auto"/>
          <w:spacing w:val="-6"/>
          <w:kern w:val="21"/>
          <w:szCs w:val="21"/>
          <w:lang w:val="en-US" w:eastAsia="zh-CN"/>
        </w:rPr>
      </w:pPr>
    </w:p>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PMingLiU-ExtB"/>
    <w:panose1 w:val="02020500000000000000"/>
    <w:charset w:val="88"/>
    <w:family w:val="roman"/>
    <w:pitch w:val="default"/>
    <w:sig w:usb0="00000000" w:usb1="00000000" w:usb2="00000016" w:usb3="00000000" w:csb0="00100001" w:csb1="00000000"/>
  </w:font>
  <w:font w:name="Plotter">
    <w:altName w:val="Times New Roman"/>
    <w:panose1 w:val="00000000000000000000"/>
    <w:charset w:val="00"/>
    <w:family w:val="roman"/>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 w:name="Wingdings 2">
    <w:panose1 w:val="05020102010507070707"/>
    <w:charset w:val="02"/>
    <w:family w:val="roman"/>
    <w:pitch w:val="default"/>
    <w:sig w:usb0="00000000" w:usb1="00000000" w:usb2="00000000" w:usb3="00000000" w:csb0="80000000" w:csb1="00000000"/>
  </w:font>
  <w:font w:name="楷体_GB2312">
    <w:altName w:val="楷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F4">
    <w:altName w:val="宋体"/>
    <w:panose1 w:val="00000000000000000000"/>
    <w:charset w:val="86"/>
    <w:family w:val="auto"/>
    <w:pitch w:val="default"/>
    <w:sig w:usb0="00000000" w:usb1="00000000" w:usb2="00000000" w:usb3="00000000" w:csb0="00040000" w:csb1="00000000"/>
  </w:font>
  <w:font w:name="PMingLiU-ExtB">
    <w:panose1 w:val="02020500000000000000"/>
    <w:charset w:val="88"/>
    <w:family w:val="auto"/>
    <w:pitch w:val="default"/>
    <w:sig w:usb0="8000002F" w:usb1="02000008" w:usb2="00000000" w:usb3="00000000" w:csb0="0010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4" name="文本框 2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1lKOY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J29eUWKYRslP37+d&#10;fvw6/fxK0iEkalyYIXLjEBvbt7ZF4wznAYeJeVt5nb7gROCHwMeLwKKNhKdL08l0msPF4Rs2wM8e&#10;rjsf4jthNUlGQT0q2AnLDrch9qFDSMpm7Foq1VVRGdIU9Orl6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ZSjmNAIAAGUEAAAOAAAAAAAAAAEAIAAAAB8BAABkcnMvZTJvRG9jLnhtbFBL&#10;BQYAAAAABgAGAFkBAADF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4"/>
      <w:ind w:firstLine="48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517B81"/>
    <w:multiLevelType w:val="singleLevel"/>
    <w:tmpl w:val="BA517B81"/>
    <w:lvl w:ilvl="0" w:tentative="0">
      <w:start w:val="3"/>
      <w:numFmt w:val="decimal"/>
      <w:suff w:val="nothing"/>
      <w:lvlText w:val="（%1）"/>
      <w:lvlJc w:val="left"/>
      <w:pPr>
        <w:ind w:left="-1260"/>
      </w:pPr>
    </w:lvl>
  </w:abstractNum>
  <w:abstractNum w:abstractNumId="1">
    <w:nsid w:val="F1762F6C"/>
    <w:multiLevelType w:val="singleLevel"/>
    <w:tmpl w:val="F1762F6C"/>
    <w:lvl w:ilvl="0" w:tentative="0">
      <w:start w:val="1"/>
      <w:numFmt w:val="decimal"/>
      <w:suff w:val="nothing"/>
      <w:lvlText w:val="（%1）"/>
      <w:lvlJc w:val="left"/>
      <w:pPr>
        <w:ind w:left="508"/>
      </w:pPr>
    </w:lvl>
  </w:abstractNum>
  <w:abstractNum w:abstractNumId="2">
    <w:nsid w:val="00000001"/>
    <w:multiLevelType w:val="multilevel"/>
    <w:tmpl w:val="00000001"/>
    <w:lvl w:ilvl="0" w:tentative="0">
      <w:start w:val="1"/>
      <w:numFmt w:val="decimal"/>
      <w:pStyle w:val="11"/>
      <w:lvlText w:val="表%1    "/>
      <w:lvlJc w:val="left"/>
      <w:pPr>
        <w:tabs>
          <w:tab w:val="left" w:pos="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2DE3972"/>
    <w:multiLevelType w:val="multilevel"/>
    <w:tmpl w:val="02DE3972"/>
    <w:lvl w:ilvl="0" w:tentative="0">
      <w:start w:val="1"/>
      <w:numFmt w:val="decimal"/>
      <w:pStyle w:val="88"/>
      <w:lvlText w:val="1.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C7764D2"/>
    <w:multiLevelType w:val="multilevel"/>
    <w:tmpl w:val="6C7764D2"/>
    <w:lvl w:ilvl="0" w:tentative="0">
      <w:start w:val="1"/>
      <w:numFmt w:val="chineseCountingThousand"/>
      <w:lvlText w:val="%1、"/>
      <w:lvlJc w:val="left"/>
      <w:pPr>
        <w:tabs>
          <w:tab w:val="left" w:pos="1418"/>
        </w:tabs>
        <w:ind w:left="425" w:hanging="425"/>
      </w:pPr>
      <w:rPr>
        <w:rFonts w:hint="default" w:ascii="Times New Roman" w:hAnsi="Times New Roman" w:eastAsia="宋体"/>
      </w:rPr>
    </w:lvl>
    <w:lvl w:ilvl="1" w:tentative="0">
      <w:start w:val="1"/>
      <w:numFmt w:val="decimal"/>
      <w:isLgl/>
      <w:lvlText w:val="%1.%2"/>
      <w:lvlJc w:val="left"/>
      <w:pPr>
        <w:tabs>
          <w:tab w:val="left" w:pos="567"/>
        </w:tabs>
        <w:ind w:left="567" w:hanging="567"/>
      </w:pPr>
      <w:rPr>
        <w:rFonts w:hint="default" w:ascii="Times New Roman" w:hAnsi="Times New Roman" w:eastAsia="宋体"/>
      </w:rPr>
    </w:lvl>
    <w:lvl w:ilvl="2" w:tentative="0">
      <w:start w:val="1"/>
      <w:numFmt w:val="decimal"/>
      <w:pStyle w:val="75"/>
      <w:isLgl/>
      <w:lvlText w:val="%1.%2.%3"/>
      <w:lvlJc w:val="left"/>
      <w:pPr>
        <w:tabs>
          <w:tab w:val="left" w:pos="709"/>
        </w:tabs>
        <w:ind w:left="709" w:hanging="709"/>
      </w:pPr>
      <w:rPr>
        <w:rFonts w:hint="default" w:ascii="Times New Roman" w:hAnsi="Times New Roman" w:eastAsia="宋体"/>
      </w:rPr>
    </w:lvl>
    <w:lvl w:ilvl="3" w:tentative="0">
      <w:start w:val="1"/>
      <w:numFmt w:val="decimal"/>
      <w:isLgl/>
      <w:lvlText w:val="%1.%2.%3.%4"/>
      <w:lvlJc w:val="left"/>
      <w:pPr>
        <w:tabs>
          <w:tab w:val="left" w:pos="851"/>
        </w:tabs>
        <w:ind w:left="851" w:hanging="851"/>
      </w:pPr>
      <w:rPr>
        <w:rFonts w:hint="default" w:ascii="Times New Roman" w:hAnsi="Times New Roman"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JhNjRkZjRjZGE1ZjkwMTQyZDMzNjY4ZmM1MzE3ZjIifQ=="/>
  </w:docVars>
  <w:rsids>
    <w:rsidRoot w:val="00172A27"/>
    <w:rsid w:val="0000002B"/>
    <w:rsid w:val="00000652"/>
    <w:rsid w:val="000012CB"/>
    <w:rsid w:val="00001C70"/>
    <w:rsid w:val="00002171"/>
    <w:rsid w:val="00004BAB"/>
    <w:rsid w:val="000060B3"/>
    <w:rsid w:val="00012010"/>
    <w:rsid w:val="000131EA"/>
    <w:rsid w:val="000151C5"/>
    <w:rsid w:val="00021A15"/>
    <w:rsid w:val="00022014"/>
    <w:rsid w:val="00026635"/>
    <w:rsid w:val="00030C3B"/>
    <w:rsid w:val="00031453"/>
    <w:rsid w:val="00031524"/>
    <w:rsid w:val="00031D01"/>
    <w:rsid w:val="000333D7"/>
    <w:rsid w:val="0003375A"/>
    <w:rsid w:val="000351BC"/>
    <w:rsid w:val="00042E83"/>
    <w:rsid w:val="00042F55"/>
    <w:rsid w:val="0004364B"/>
    <w:rsid w:val="00043F44"/>
    <w:rsid w:val="00045417"/>
    <w:rsid w:val="00046C0C"/>
    <w:rsid w:val="00047C93"/>
    <w:rsid w:val="0005171F"/>
    <w:rsid w:val="00054E9B"/>
    <w:rsid w:val="0005652D"/>
    <w:rsid w:val="00056562"/>
    <w:rsid w:val="0006198C"/>
    <w:rsid w:val="00061B1F"/>
    <w:rsid w:val="000635B9"/>
    <w:rsid w:val="00066559"/>
    <w:rsid w:val="00066789"/>
    <w:rsid w:val="00067209"/>
    <w:rsid w:val="0007106C"/>
    <w:rsid w:val="000733C4"/>
    <w:rsid w:val="00074783"/>
    <w:rsid w:val="00075D32"/>
    <w:rsid w:val="00075FBD"/>
    <w:rsid w:val="000766E9"/>
    <w:rsid w:val="0008070B"/>
    <w:rsid w:val="0008072A"/>
    <w:rsid w:val="000810AC"/>
    <w:rsid w:val="00081A02"/>
    <w:rsid w:val="00082231"/>
    <w:rsid w:val="00085831"/>
    <w:rsid w:val="00085836"/>
    <w:rsid w:val="0008663F"/>
    <w:rsid w:val="00091B98"/>
    <w:rsid w:val="00092D38"/>
    <w:rsid w:val="0009377B"/>
    <w:rsid w:val="000943E9"/>
    <w:rsid w:val="00094E96"/>
    <w:rsid w:val="000967D0"/>
    <w:rsid w:val="00096AB0"/>
    <w:rsid w:val="000A1C6A"/>
    <w:rsid w:val="000A20C9"/>
    <w:rsid w:val="000A236A"/>
    <w:rsid w:val="000A3BFE"/>
    <w:rsid w:val="000A5E4C"/>
    <w:rsid w:val="000A70D1"/>
    <w:rsid w:val="000B058F"/>
    <w:rsid w:val="000B08CC"/>
    <w:rsid w:val="000B09B3"/>
    <w:rsid w:val="000B1F0C"/>
    <w:rsid w:val="000B386F"/>
    <w:rsid w:val="000B4467"/>
    <w:rsid w:val="000B4DB9"/>
    <w:rsid w:val="000B547F"/>
    <w:rsid w:val="000B6DA5"/>
    <w:rsid w:val="000C09AC"/>
    <w:rsid w:val="000C0C97"/>
    <w:rsid w:val="000C3202"/>
    <w:rsid w:val="000C767F"/>
    <w:rsid w:val="000C7D70"/>
    <w:rsid w:val="000D02F5"/>
    <w:rsid w:val="000D2C89"/>
    <w:rsid w:val="000D4868"/>
    <w:rsid w:val="000D5A44"/>
    <w:rsid w:val="000D7CC2"/>
    <w:rsid w:val="000E1BFA"/>
    <w:rsid w:val="000E3A9F"/>
    <w:rsid w:val="000E3ED2"/>
    <w:rsid w:val="000F30CB"/>
    <w:rsid w:val="000F3D07"/>
    <w:rsid w:val="000F66CE"/>
    <w:rsid w:val="001010F9"/>
    <w:rsid w:val="00102965"/>
    <w:rsid w:val="001100A5"/>
    <w:rsid w:val="00115360"/>
    <w:rsid w:val="0011748F"/>
    <w:rsid w:val="00120ADA"/>
    <w:rsid w:val="00122577"/>
    <w:rsid w:val="00122751"/>
    <w:rsid w:val="001248F6"/>
    <w:rsid w:val="001276EF"/>
    <w:rsid w:val="001311AD"/>
    <w:rsid w:val="001318D8"/>
    <w:rsid w:val="00131F42"/>
    <w:rsid w:val="00132D4D"/>
    <w:rsid w:val="001355D5"/>
    <w:rsid w:val="001357F1"/>
    <w:rsid w:val="00137690"/>
    <w:rsid w:val="00140FA8"/>
    <w:rsid w:val="00142F4F"/>
    <w:rsid w:val="00142FEB"/>
    <w:rsid w:val="00143A2D"/>
    <w:rsid w:val="00145A41"/>
    <w:rsid w:val="001502AE"/>
    <w:rsid w:val="00151675"/>
    <w:rsid w:val="001543D7"/>
    <w:rsid w:val="00155206"/>
    <w:rsid w:val="0015566B"/>
    <w:rsid w:val="00156262"/>
    <w:rsid w:val="00157435"/>
    <w:rsid w:val="00157E7D"/>
    <w:rsid w:val="00160A9C"/>
    <w:rsid w:val="00160DA5"/>
    <w:rsid w:val="00162505"/>
    <w:rsid w:val="001627B7"/>
    <w:rsid w:val="00162A83"/>
    <w:rsid w:val="00163177"/>
    <w:rsid w:val="00163AA5"/>
    <w:rsid w:val="0016441F"/>
    <w:rsid w:val="00167915"/>
    <w:rsid w:val="00171275"/>
    <w:rsid w:val="0017504D"/>
    <w:rsid w:val="0017671A"/>
    <w:rsid w:val="00177422"/>
    <w:rsid w:val="001779A0"/>
    <w:rsid w:val="00181B6D"/>
    <w:rsid w:val="0018434D"/>
    <w:rsid w:val="00184590"/>
    <w:rsid w:val="001852F5"/>
    <w:rsid w:val="001857D7"/>
    <w:rsid w:val="00185D36"/>
    <w:rsid w:val="0018681C"/>
    <w:rsid w:val="00186968"/>
    <w:rsid w:val="001870D1"/>
    <w:rsid w:val="0018781E"/>
    <w:rsid w:val="00190012"/>
    <w:rsid w:val="00190C21"/>
    <w:rsid w:val="00190DA7"/>
    <w:rsid w:val="0019137D"/>
    <w:rsid w:val="00191C67"/>
    <w:rsid w:val="0019262D"/>
    <w:rsid w:val="00192DDA"/>
    <w:rsid w:val="001941D1"/>
    <w:rsid w:val="0019692F"/>
    <w:rsid w:val="00197A02"/>
    <w:rsid w:val="001A05F0"/>
    <w:rsid w:val="001A0C7A"/>
    <w:rsid w:val="001A1B35"/>
    <w:rsid w:val="001A441F"/>
    <w:rsid w:val="001A48A2"/>
    <w:rsid w:val="001A69C8"/>
    <w:rsid w:val="001A6F61"/>
    <w:rsid w:val="001B012F"/>
    <w:rsid w:val="001B11CB"/>
    <w:rsid w:val="001B21A4"/>
    <w:rsid w:val="001B2D0E"/>
    <w:rsid w:val="001B4ADB"/>
    <w:rsid w:val="001B5348"/>
    <w:rsid w:val="001B72B8"/>
    <w:rsid w:val="001B7943"/>
    <w:rsid w:val="001B7D11"/>
    <w:rsid w:val="001C057E"/>
    <w:rsid w:val="001C1C61"/>
    <w:rsid w:val="001C3431"/>
    <w:rsid w:val="001C67A8"/>
    <w:rsid w:val="001C69B3"/>
    <w:rsid w:val="001D11C9"/>
    <w:rsid w:val="001D323E"/>
    <w:rsid w:val="001D4376"/>
    <w:rsid w:val="001D5595"/>
    <w:rsid w:val="001D7874"/>
    <w:rsid w:val="001D7F22"/>
    <w:rsid w:val="001E009C"/>
    <w:rsid w:val="001E0655"/>
    <w:rsid w:val="001E78B3"/>
    <w:rsid w:val="001F0F17"/>
    <w:rsid w:val="001F11A3"/>
    <w:rsid w:val="001F1319"/>
    <w:rsid w:val="001F3347"/>
    <w:rsid w:val="001F345F"/>
    <w:rsid w:val="001F4183"/>
    <w:rsid w:val="001F69E4"/>
    <w:rsid w:val="00201205"/>
    <w:rsid w:val="00202AAA"/>
    <w:rsid w:val="00203101"/>
    <w:rsid w:val="00205504"/>
    <w:rsid w:val="00206147"/>
    <w:rsid w:val="00206AAA"/>
    <w:rsid w:val="00206DCA"/>
    <w:rsid w:val="00206F0F"/>
    <w:rsid w:val="002125B4"/>
    <w:rsid w:val="002132BF"/>
    <w:rsid w:val="0021410D"/>
    <w:rsid w:val="0021496A"/>
    <w:rsid w:val="00214A00"/>
    <w:rsid w:val="002155B8"/>
    <w:rsid w:val="00217FDF"/>
    <w:rsid w:val="002203E1"/>
    <w:rsid w:val="002221BA"/>
    <w:rsid w:val="00223DBD"/>
    <w:rsid w:val="00224839"/>
    <w:rsid w:val="002249B2"/>
    <w:rsid w:val="00224E62"/>
    <w:rsid w:val="00226574"/>
    <w:rsid w:val="002278EC"/>
    <w:rsid w:val="0023057E"/>
    <w:rsid w:val="002317D0"/>
    <w:rsid w:val="0023280E"/>
    <w:rsid w:val="00233235"/>
    <w:rsid w:val="0023517C"/>
    <w:rsid w:val="00236126"/>
    <w:rsid w:val="00236EE3"/>
    <w:rsid w:val="002377D1"/>
    <w:rsid w:val="00237D00"/>
    <w:rsid w:val="00241932"/>
    <w:rsid w:val="002428DC"/>
    <w:rsid w:val="002438E4"/>
    <w:rsid w:val="00243F16"/>
    <w:rsid w:val="002506BC"/>
    <w:rsid w:val="00254345"/>
    <w:rsid w:val="00255B23"/>
    <w:rsid w:val="00264557"/>
    <w:rsid w:val="00265465"/>
    <w:rsid w:val="002657C3"/>
    <w:rsid w:val="002709E4"/>
    <w:rsid w:val="002723AE"/>
    <w:rsid w:val="002727CC"/>
    <w:rsid w:val="00273C8C"/>
    <w:rsid w:val="0027534A"/>
    <w:rsid w:val="0027567A"/>
    <w:rsid w:val="00276520"/>
    <w:rsid w:val="002805AB"/>
    <w:rsid w:val="00282A3C"/>
    <w:rsid w:val="00284204"/>
    <w:rsid w:val="00286873"/>
    <w:rsid w:val="00286A85"/>
    <w:rsid w:val="00290943"/>
    <w:rsid w:val="00290D06"/>
    <w:rsid w:val="00291773"/>
    <w:rsid w:val="00291F63"/>
    <w:rsid w:val="002921D3"/>
    <w:rsid w:val="002946C9"/>
    <w:rsid w:val="002A168C"/>
    <w:rsid w:val="002A1DFE"/>
    <w:rsid w:val="002A1F2B"/>
    <w:rsid w:val="002A3DC7"/>
    <w:rsid w:val="002B0AEA"/>
    <w:rsid w:val="002B1B0E"/>
    <w:rsid w:val="002B1D58"/>
    <w:rsid w:val="002B2093"/>
    <w:rsid w:val="002B280B"/>
    <w:rsid w:val="002B2838"/>
    <w:rsid w:val="002B40D2"/>
    <w:rsid w:val="002B446A"/>
    <w:rsid w:val="002B49E2"/>
    <w:rsid w:val="002B7B00"/>
    <w:rsid w:val="002B7C44"/>
    <w:rsid w:val="002C057F"/>
    <w:rsid w:val="002C0B1A"/>
    <w:rsid w:val="002C17E0"/>
    <w:rsid w:val="002C2B17"/>
    <w:rsid w:val="002C63C3"/>
    <w:rsid w:val="002C6831"/>
    <w:rsid w:val="002C7CFF"/>
    <w:rsid w:val="002D02B7"/>
    <w:rsid w:val="002D3CB0"/>
    <w:rsid w:val="002D3DD0"/>
    <w:rsid w:val="002D4C53"/>
    <w:rsid w:val="002D7353"/>
    <w:rsid w:val="002D76C9"/>
    <w:rsid w:val="002E1F3A"/>
    <w:rsid w:val="002E298A"/>
    <w:rsid w:val="002E2C90"/>
    <w:rsid w:val="002E663D"/>
    <w:rsid w:val="002E6C9D"/>
    <w:rsid w:val="002E7C0C"/>
    <w:rsid w:val="00301978"/>
    <w:rsid w:val="00302899"/>
    <w:rsid w:val="00302FD2"/>
    <w:rsid w:val="0030332C"/>
    <w:rsid w:val="003051C2"/>
    <w:rsid w:val="00312296"/>
    <w:rsid w:val="003133D8"/>
    <w:rsid w:val="00313DF5"/>
    <w:rsid w:val="00314F0E"/>
    <w:rsid w:val="00315E26"/>
    <w:rsid w:val="00316FF3"/>
    <w:rsid w:val="00320450"/>
    <w:rsid w:val="00321D8E"/>
    <w:rsid w:val="003241FE"/>
    <w:rsid w:val="003243B7"/>
    <w:rsid w:val="00325928"/>
    <w:rsid w:val="00330448"/>
    <w:rsid w:val="003307CC"/>
    <w:rsid w:val="00332863"/>
    <w:rsid w:val="00335651"/>
    <w:rsid w:val="0033684D"/>
    <w:rsid w:val="00337B42"/>
    <w:rsid w:val="003418E9"/>
    <w:rsid w:val="00341B42"/>
    <w:rsid w:val="0034348F"/>
    <w:rsid w:val="003451F2"/>
    <w:rsid w:val="003510DF"/>
    <w:rsid w:val="00354733"/>
    <w:rsid w:val="0035591B"/>
    <w:rsid w:val="0035596B"/>
    <w:rsid w:val="00356653"/>
    <w:rsid w:val="0035743F"/>
    <w:rsid w:val="00357BE2"/>
    <w:rsid w:val="0036170C"/>
    <w:rsid w:val="00363C6E"/>
    <w:rsid w:val="00366E0F"/>
    <w:rsid w:val="00370A48"/>
    <w:rsid w:val="00380EB5"/>
    <w:rsid w:val="00381A72"/>
    <w:rsid w:val="00382003"/>
    <w:rsid w:val="00382746"/>
    <w:rsid w:val="00384676"/>
    <w:rsid w:val="00385B80"/>
    <w:rsid w:val="00387EA7"/>
    <w:rsid w:val="0039012C"/>
    <w:rsid w:val="00390857"/>
    <w:rsid w:val="00390AC5"/>
    <w:rsid w:val="003914B5"/>
    <w:rsid w:val="00391852"/>
    <w:rsid w:val="00394FB0"/>
    <w:rsid w:val="003959D7"/>
    <w:rsid w:val="003A08E4"/>
    <w:rsid w:val="003A27D7"/>
    <w:rsid w:val="003A4BF3"/>
    <w:rsid w:val="003A57E5"/>
    <w:rsid w:val="003B245E"/>
    <w:rsid w:val="003B25FB"/>
    <w:rsid w:val="003B3F15"/>
    <w:rsid w:val="003B420D"/>
    <w:rsid w:val="003B453E"/>
    <w:rsid w:val="003B5CAD"/>
    <w:rsid w:val="003B6C25"/>
    <w:rsid w:val="003B70DB"/>
    <w:rsid w:val="003C07B2"/>
    <w:rsid w:val="003C50D9"/>
    <w:rsid w:val="003C5145"/>
    <w:rsid w:val="003C6C16"/>
    <w:rsid w:val="003C7669"/>
    <w:rsid w:val="003C7CC3"/>
    <w:rsid w:val="003D0251"/>
    <w:rsid w:val="003D0599"/>
    <w:rsid w:val="003D154A"/>
    <w:rsid w:val="003D2B10"/>
    <w:rsid w:val="003D3494"/>
    <w:rsid w:val="003D519F"/>
    <w:rsid w:val="003D52F4"/>
    <w:rsid w:val="003D794D"/>
    <w:rsid w:val="003E3058"/>
    <w:rsid w:val="003E3E83"/>
    <w:rsid w:val="003E546A"/>
    <w:rsid w:val="003E76A9"/>
    <w:rsid w:val="003F0809"/>
    <w:rsid w:val="003F0FF3"/>
    <w:rsid w:val="003F268E"/>
    <w:rsid w:val="003F3E8D"/>
    <w:rsid w:val="003F41EC"/>
    <w:rsid w:val="003F6A8C"/>
    <w:rsid w:val="003F755C"/>
    <w:rsid w:val="00400830"/>
    <w:rsid w:val="0040398B"/>
    <w:rsid w:val="00406F01"/>
    <w:rsid w:val="0040708D"/>
    <w:rsid w:val="00410905"/>
    <w:rsid w:val="00411C8B"/>
    <w:rsid w:val="0041220E"/>
    <w:rsid w:val="00416D50"/>
    <w:rsid w:val="00416FD5"/>
    <w:rsid w:val="00417772"/>
    <w:rsid w:val="0042016D"/>
    <w:rsid w:val="00420719"/>
    <w:rsid w:val="00420E6A"/>
    <w:rsid w:val="00425A9E"/>
    <w:rsid w:val="00426D6B"/>
    <w:rsid w:val="0042785C"/>
    <w:rsid w:val="00430E6E"/>
    <w:rsid w:val="00430F13"/>
    <w:rsid w:val="00431E6C"/>
    <w:rsid w:val="00433CE7"/>
    <w:rsid w:val="00435012"/>
    <w:rsid w:val="004356E2"/>
    <w:rsid w:val="00436B5C"/>
    <w:rsid w:val="00444E4F"/>
    <w:rsid w:val="0044764C"/>
    <w:rsid w:val="004512D7"/>
    <w:rsid w:val="00452738"/>
    <w:rsid w:val="00454D66"/>
    <w:rsid w:val="00455E99"/>
    <w:rsid w:val="00456091"/>
    <w:rsid w:val="004573DC"/>
    <w:rsid w:val="0046108B"/>
    <w:rsid w:val="00466321"/>
    <w:rsid w:val="00470954"/>
    <w:rsid w:val="00474883"/>
    <w:rsid w:val="0047609F"/>
    <w:rsid w:val="00483857"/>
    <w:rsid w:val="00484B9B"/>
    <w:rsid w:val="004855F6"/>
    <w:rsid w:val="0048661E"/>
    <w:rsid w:val="00486629"/>
    <w:rsid w:val="004872AB"/>
    <w:rsid w:val="00487A79"/>
    <w:rsid w:val="00487B32"/>
    <w:rsid w:val="00492A41"/>
    <w:rsid w:val="00494670"/>
    <w:rsid w:val="0049678B"/>
    <w:rsid w:val="004A05DF"/>
    <w:rsid w:val="004A3823"/>
    <w:rsid w:val="004A4302"/>
    <w:rsid w:val="004A51CA"/>
    <w:rsid w:val="004A585D"/>
    <w:rsid w:val="004A601A"/>
    <w:rsid w:val="004A66F7"/>
    <w:rsid w:val="004B586C"/>
    <w:rsid w:val="004C1DE8"/>
    <w:rsid w:val="004C3F77"/>
    <w:rsid w:val="004C5516"/>
    <w:rsid w:val="004D09C5"/>
    <w:rsid w:val="004D100C"/>
    <w:rsid w:val="004D191B"/>
    <w:rsid w:val="004D21F8"/>
    <w:rsid w:val="004D36D1"/>
    <w:rsid w:val="004D4281"/>
    <w:rsid w:val="004D469F"/>
    <w:rsid w:val="004D51D0"/>
    <w:rsid w:val="004D528E"/>
    <w:rsid w:val="004E3612"/>
    <w:rsid w:val="004E4003"/>
    <w:rsid w:val="004E5275"/>
    <w:rsid w:val="004E5D35"/>
    <w:rsid w:val="004E6946"/>
    <w:rsid w:val="004F0F3D"/>
    <w:rsid w:val="004F18C8"/>
    <w:rsid w:val="004F1AD8"/>
    <w:rsid w:val="004F1EEF"/>
    <w:rsid w:val="004F22AD"/>
    <w:rsid w:val="004F7645"/>
    <w:rsid w:val="00501D0B"/>
    <w:rsid w:val="00502D24"/>
    <w:rsid w:val="005039CB"/>
    <w:rsid w:val="00504A12"/>
    <w:rsid w:val="0050558F"/>
    <w:rsid w:val="00506286"/>
    <w:rsid w:val="00510813"/>
    <w:rsid w:val="00511990"/>
    <w:rsid w:val="00511DE0"/>
    <w:rsid w:val="00514870"/>
    <w:rsid w:val="00514B9B"/>
    <w:rsid w:val="005151C2"/>
    <w:rsid w:val="00515F74"/>
    <w:rsid w:val="00517F02"/>
    <w:rsid w:val="0052058A"/>
    <w:rsid w:val="0052125C"/>
    <w:rsid w:val="005219BA"/>
    <w:rsid w:val="00524303"/>
    <w:rsid w:val="005258A2"/>
    <w:rsid w:val="0052601A"/>
    <w:rsid w:val="00527B64"/>
    <w:rsid w:val="00534589"/>
    <w:rsid w:val="00535015"/>
    <w:rsid w:val="00535380"/>
    <w:rsid w:val="00536EFC"/>
    <w:rsid w:val="00537192"/>
    <w:rsid w:val="005401AE"/>
    <w:rsid w:val="00541398"/>
    <w:rsid w:val="00542E07"/>
    <w:rsid w:val="00545424"/>
    <w:rsid w:val="00545D1D"/>
    <w:rsid w:val="0054709C"/>
    <w:rsid w:val="00547284"/>
    <w:rsid w:val="0055088E"/>
    <w:rsid w:val="00554A7B"/>
    <w:rsid w:val="0055572C"/>
    <w:rsid w:val="005569D9"/>
    <w:rsid w:val="0056012E"/>
    <w:rsid w:val="0056106A"/>
    <w:rsid w:val="005645A7"/>
    <w:rsid w:val="00566875"/>
    <w:rsid w:val="00570745"/>
    <w:rsid w:val="00570D2E"/>
    <w:rsid w:val="005712F9"/>
    <w:rsid w:val="005720AE"/>
    <w:rsid w:val="0057233C"/>
    <w:rsid w:val="00572E34"/>
    <w:rsid w:val="0057763E"/>
    <w:rsid w:val="0059211F"/>
    <w:rsid w:val="00594108"/>
    <w:rsid w:val="00594655"/>
    <w:rsid w:val="00594D77"/>
    <w:rsid w:val="005969E4"/>
    <w:rsid w:val="005971BE"/>
    <w:rsid w:val="00597213"/>
    <w:rsid w:val="005977C8"/>
    <w:rsid w:val="005A06B7"/>
    <w:rsid w:val="005A1759"/>
    <w:rsid w:val="005A247B"/>
    <w:rsid w:val="005A2D6E"/>
    <w:rsid w:val="005A58B9"/>
    <w:rsid w:val="005A68A7"/>
    <w:rsid w:val="005B0A2C"/>
    <w:rsid w:val="005B6564"/>
    <w:rsid w:val="005C137A"/>
    <w:rsid w:val="005C1438"/>
    <w:rsid w:val="005C66D1"/>
    <w:rsid w:val="005C75DA"/>
    <w:rsid w:val="005C7E51"/>
    <w:rsid w:val="005D0AC4"/>
    <w:rsid w:val="005D28BE"/>
    <w:rsid w:val="005D3657"/>
    <w:rsid w:val="005D36AB"/>
    <w:rsid w:val="005D52B8"/>
    <w:rsid w:val="005E1A9D"/>
    <w:rsid w:val="005E2938"/>
    <w:rsid w:val="005E3A05"/>
    <w:rsid w:val="005E43B8"/>
    <w:rsid w:val="005E48A4"/>
    <w:rsid w:val="005E6E06"/>
    <w:rsid w:val="005E7E81"/>
    <w:rsid w:val="005F375B"/>
    <w:rsid w:val="005F3FED"/>
    <w:rsid w:val="005F4D8C"/>
    <w:rsid w:val="005F505E"/>
    <w:rsid w:val="005F6BE1"/>
    <w:rsid w:val="006010B0"/>
    <w:rsid w:val="00602A39"/>
    <w:rsid w:val="0060611C"/>
    <w:rsid w:val="00610861"/>
    <w:rsid w:val="006114B7"/>
    <w:rsid w:val="00614548"/>
    <w:rsid w:val="00614E55"/>
    <w:rsid w:val="0061722F"/>
    <w:rsid w:val="006178D2"/>
    <w:rsid w:val="00617CC3"/>
    <w:rsid w:val="00620EEA"/>
    <w:rsid w:val="0062232F"/>
    <w:rsid w:val="0062320F"/>
    <w:rsid w:val="0063564C"/>
    <w:rsid w:val="00636E9B"/>
    <w:rsid w:val="006377A6"/>
    <w:rsid w:val="00637A3D"/>
    <w:rsid w:val="00637C20"/>
    <w:rsid w:val="006411EF"/>
    <w:rsid w:val="00642FBB"/>
    <w:rsid w:val="0064324C"/>
    <w:rsid w:val="00644B5B"/>
    <w:rsid w:val="00650349"/>
    <w:rsid w:val="00652C0C"/>
    <w:rsid w:val="00653EAA"/>
    <w:rsid w:val="006550FA"/>
    <w:rsid w:val="00663608"/>
    <w:rsid w:val="00665654"/>
    <w:rsid w:val="0067234C"/>
    <w:rsid w:val="006729AF"/>
    <w:rsid w:val="00673E82"/>
    <w:rsid w:val="006743B6"/>
    <w:rsid w:val="006748B8"/>
    <w:rsid w:val="00676164"/>
    <w:rsid w:val="006775C3"/>
    <w:rsid w:val="00677CDC"/>
    <w:rsid w:val="00680A71"/>
    <w:rsid w:val="00681C62"/>
    <w:rsid w:val="0068378E"/>
    <w:rsid w:val="00684EF3"/>
    <w:rsid w:val="00685080"/>
    <w:rsid w:val="0068597F"/>
    <w:rsid w:val="0068677C"/>
    <w:rsid w:val="006915B9"/>
    <w:rsid w:val="0069290A"/>
    <w:rsid w:val="00695500"/>
    <w:rsid w:val="00695558"/>
    <w:rsid w:val="0069775A"/>
    <w:rsid w:val="00697813"/>
    <w:rsid w:val="00697B08"/>
    <w:rsid w:val="006A0734"/>
    <w:rsid w:val="006A312C"/>
    <w:rsid w:val="006A33FB"/>
    <w:rsid w:val="006A3EE8"/>
    <w:rsid w:val="006A4851"/>
    <w:rsid w:val="006A72BF"/>
    <w:rsid w:val="006B02B2"/>
    <w:rsid w:val="006B03F2"/>
    <w:rsid w:val="006B37DC"/>
    <w:rsid w:val="006B4F68"/>
    <w:rsid w:val="006B56B8"/>
    <w:rsid w:val="006B6A05"/>
    <w:rsid w:val="006B7374"/>
    <w:rsid w:val="006C0592"/>
    <w:rsid w:val="006C1584"/>
    <w:rsid w:val="006C1C56"/>
    <w:rsid w:val="006C2357"/>
    <w:rsid w:val="006C272E"/>
    <w:rsid w:val="006C5313"/>
    <w:rsid w:val="006C5479"/>
    <w:rsid w:val="006C584E"/>
    <w:rsid w:val="006C6F63"/>
    <w:rsid w:val="006C74EA"/>
    <w:rsid w:val="006D13B5"/>
    <w:rsid w:val="006E12FF"/>
    <w:rsid w:val="006E4E0D"/>
    <w:rsid w:val="006E607E"/>
    <w:rsid w:val="006F2284"/>
    <w:rsid w:val="006F27E9"/>
    <w:rsid w:val="006F33BA"/>
    <w:rsid w:val="006F344C"/>
    <w:rsid w:val="006F3972"/>
    <w:rsid w:val="006F66CB"/>
    <w:rsid w:val="006F6F1A"/>
    <w:rsid w:val="006F77F5"/>
    <w:rsid w:val="00702B87"/>
    <w:rsid w:val="00704680"/>
    <w:rsid w:val="00706C5D"/>
    <w:rsid w:val="0070784F"/>
    <w:rsid w:val="00710AC0"/>
    <w:rsid w:val="00711185"/>
    <w:rsid w:val="00712369"/>
    <w:rsid w:val="00712477"/>
    <w:rsid w:val="007124A2"/>
    <w:rsid w:val="007127CA"/>
    <w:rsid w:val="007154FD"/>
    <w:rsid w:val="00721B60"/>
    <w:rsid w:val="00722AD1"/>
    <w:rsid w:val="00725860"/>
    <w:rsid w:val="00730273"/>
    <w:rsid w:val="00730288"/>
    <w:rsid w:val="007302CA"/>
    <w:rsid w:val="00730CD2"/>
    <w:rsid w:val="007315B5"/>
    <w:rsid w:val="00732922"/>
    <w:rsid w:val="00735456"/>
    <w:rsid w:val="00735B29"/>
    <w:rsid w:val="00742769"/>
    <w:rsid w:val="00747101"/>
    <w:rsid w:val="0075162E"/>
    <w:rsid w:val="00754034"/>
    <w:rsid w:val="00754384"/>
    <w:rsid w:val="00755AF9"/>
    <w:rsid w:val="00756556"/>
    <w:rsid w:val="00761611"/>
    <w:rsid w:val="007618C4"/>
    <w:rsid w:val="007629DD"/>
    <w:rsid w:val="0076523D"/>
    <w:rsid w:val="007661B0"/>
    <w:rsid w:val="00767980"/>
    <w:rsid w:val="00770116"/>
    <w:rsid w:val="007708B7"/>
    <w:rsid w:val="00770B19"/>
    <w:rsid w:val="0077463F"/>
    <w:rsid w:val="00774921"/>
    <w:rsid w:val="007779E1"/>
    <w:rsid w:val="00781A3F"/>
    <w:rsid w:val="00781EC7"/>
    <w:rsid w:val="007836EA"/>
    <w:rsid w:val="00784569"/>
    <w:rsid w:val="00784CDA"/>
    <w:rsid w:val="00787079"/>
    <w:rsid w:val="00790489"/>
    <w:rsid w:val="007906C4"/>
    <w:rsid w:val="00790857"/>
    <w:rsid w:val="00791198"/>
    <w:rsid w:val="00791946"/>
    <w:rsid w:val="007940EA"/>
    <w:rsid w:val="0079498A"/>
    <w:rsid w:val="00794DFA"/>
    <w:rsid w:val="007967E8"/>
    <w:rsid w:val="007973EC"/>
    <w:rsid w:val="007A0329"/>
    <w:rsid w:val="007A1D27"/>
    <w:rsid w:val="007A2170"/>
    <w:rsid w:val="007A22BF"/>
    <w:rsid w:val="007A3323"/>
    <w:rsid w:val="007A5136"/>
    <w:rsid w:val="007B10C0"/>
    <w:rsid w:val="007B2730"/>
    <w:rsid w:val="007B72B8"/>
    <w:rsid w:val="007B7A58"/>
    <w:rsid w:val="007B7C87"/>
    <w:rsid w:val="007C21B5"/>
    <w:rsid w:val="007C2F92"/>
    <w:rsid w:val="007C6C14"/>
    <w:rsid w:val="007C6CB5"/>
    <w:rsid w:val="007D0EA8"/>
    <w:rsid w:val="007D1268"/>
    <w:rsid w:val="007D2471"/>
    <w:rsid w:val="007D5136"/>
    <w:rsid w:val="007E0E84"/>
    <w:rsid w:val="007E26C2"/>
    <w:rsid w:val="007E4237"/>
    <w:rsid w:val="007E4BD2"/>
    <w:rsid w:val="007E683D"/>
    <w:rsid w:val="007F2E43"/>
    <w:rsid w:val="007F65A2"/>
    <w:rsid w:val="007F6D4D"/>
    <w:rsid w:val="007F79BC"/>
    <w:rsid w:val="008005CA"/>
    <w:rsid w:val="00801393"/>
    <w:rsid w:val="00802B06"/>
    <w:rsid w:val="00802F88"/>
    <w:rsid w:val="00802FC6"/>
    <w:rsid w:val="0080548F"/>
    <w:rsid w:val="00806D46"/>
    <w:rsid w:val="00807384"/>
    <w:rsid w:val="0081293E"/>
    <w:rsid w:val="00813C45"/>
    <w:rsid w:val="00813F86"/>
    <w:rsid w:val="00815465"/>
    <w:rsid w:val="00816CD7"/>
    <w:rsid w:val="00816E26"/>
    <w:rsid w:val="00817E9A"/>
    <w:rsid w:val="00820060"/>
    <w:rsid w:val="008213BC"/>
    <w:rsid w:val="00823080"/>
    <w:rsid w:val="0082336C"/>
    <w:rsid w:val="00823FEB"/>
    <w:rsid w:val="00824F09"/>
    <w:rsid w:val="00827371"/>
    <w:rsid w:val="008306BD"/>
    <w:rsid w:val="00830FD9"/>
    <w:rsid w:val="00831A80"/>
    <w:rsid w:val="00832DD2"/>
    <w:rsid w:val="00833743"/>
    <w:rsid w:val="008340A4"/>
    <w:rsid w:val="00835B69"/>
    <w:rsid w:val="00835C95"/>
    <w:rsid w:val="00837700"/>
    <w:rsid w:val="00841D5F"/>
    <w:rsid w:val="00842FC4"/>
    <w:rsid w:val="00844757"/>
    <w:rsid w:val="008455D4"/>
    <w:rsid w:val="0084725F"/>
    <w:rsid w:val="00850FE5"/>
    <w:rsid w:val="00853910"/>
    <w:rsid w:val="00857B13"/>
    <w:rsid w:val="008620B2"/>
    <w:rsid w:val="0086235E"/>
    <w:rsid w:val="00863140"/>
    <w:rsid w:val="00864C7E"/>
    <w:rsid w:val="00864DBA"/>
    <w:rsid w:val="008650DC"/>
    <w:rsid w:val="0086596C"/>
    <w:rsid w:val="00867131"/>
    <w:rsid w:val="00867518"/>
    <w:rsid w:val="00867BC9"/>
    <w:rsid w:val="0087135F"/>
    <w:rsid w:val="00872D94"/>
    <w:rsid w:val="00876E95"/>
    <w:rsid w:val="0087754C"/>
    <w:rsid w:val="00880364"/>
    <w:rsid w:val="00880EF5"/>
    <w:rsid w:val="00885728"/>
    <w:rsid w:val="008859FE"/>
    <w:rsid w:val="00891592"/>
    <w:rsid w:val="00891E9E"/>
    <w:rsid w:val="00893640"/>
    <w:rsid w:val="0089378C"/>
    <w:rsid w:val="00896552"/>
    <w:rsid w:val="008966D0"/>
    <w:rsid w:val="008A1262"/>
    <w:rsid w:val="008A1B66"/>
    <w:rsid w:val="008A2204"/>
    <w:rsid w:val="008A24F0"/>
    <w:rsid w:val="008A2F68"/>
    <w:rsid w:val="008A58DD"/>
    <w:rsid w:val="008A73D4"/>
    <w:rsid w:val="008B124C"/>
    <w:rsid w:val="008B4FA6"/>
    <w:rsid w:val="008B5282"/>
    <w:rsid w:val="008B74C7"/>
    <w:rsid w:val="008B7AF0"/>
    <w:rsid w:val="008B7C17"/>
    <w:rsid w:val="008C210E"/>
    <w:rsid w:val="008C2D01"/>
    <w:rsid w:val="008C3C6A"/>
    <w:rsid w:val="008C40E6"/>
    <w:rsid w:val="008C4F6B"/>
    <w:rsid w:val="008C5D75"/>
    <w:rsid w:val="008D0F7A"/>
    <w:rsid w:val="008D10D1"/>
    <w:rsid w:val="008D1714"/>
    <w:rsid w:val="008D2F04"/>
    <w:rsid w:val="008D3343"/>
    <w:rsid w:val="008D5007"/>
    <w:rsid w:val="008D68E4"/>
    <w:rsid w:val="008E0506"/>
    <w:rsid w:val="008E0867"/>
    <w:rsid w:val="008E0CFF"/>
    <w:rsid w:val="008E285F"/>
    <w:rsid w:val="008E2D0C"/>
    <w:rsid w:val="008E3096"/>
    <w:rsid w:val="008E3E06"/>
    <w:rsid w:val="008E5D6B"/>
    <w:rsid w:val="008E76F0"/>
    <w:rsid w:val="008F08B6"/>
    <w:rsid w:val="008F1170"/>
    <w:rsid w:val="008F15FE"/>
    <w:rsid w:val="008F2104"/>
    <w:rsid w:val="008F2D29"/>
    <w:rsid w:val="008F3344"/>
    <w:rsid w:val="008F4313"/>
    <w:rsid w:val="008F5187"/>
    <w:rsid w:val="008F60D8"/>
    <w:rsid w:val="00900462"/>
    <w:rsid w:val="00901169"/>
    <w:rsid w:val="00901A73"/>
    <w:rsid w:val="00902727"/>
    <w:rsid w:val="00902FCF"/>
    <w:rsid w:val="0090312B"/>
    <w:rsid w:val="009056DA"/>
    <w:rsid w:val="00905F89"/>
    <w:rsid w:val="00910DEC"/>
    <w:rsid w:val="00911472"/>
    <w:rsid w:val="00916DC6"/>
    <w:rsid w:val="0091736D"/>
    <w:rsid w:val="00920F0F"/>
    <w:rsid w:val="0092669F"/>
    <w:rsid w:val="00926B3A"/>
    <w:rsid w:val="0093037A"/>
    <w:rsid w:val="00932294"/>
    <w:rsid w:val="00935A0D"/>
    <w:rsid w:val="0094154D"/>
    <w:rsid w:val="009425E1"/>
    <w:rsid w:val="00942F15"/>
    <w:rsid w:val="009443BA"/>
    <w:rsid w:val="0094445B"/>
    <w:rsid w:val="009462C1"/>
    <w:rsid w:val="009474BE"/>
    <w:rsid w:val="0095155F"/>
    <w:rsid w:val="0095181A"/>
    <w:rsid w:val="00954429"/>
    <w:rsid w:val="00954AB0"/>
    <w:rsid w:val="00955D0A"/>
    <w:rsid w:val="009563CE"/>
    <w:rsid w:val="009564B9"/>
    <w:rsid w:val="009573D5"/>
    <w:rsid w:val="009574C5"/>
    <w:rsid w:val="00957EAE"/>
    <w:rsid w:val="009641DF"/>
    <w:rsid w:val="00964367"/>
    <w:rsid w:val="0096495A"/>
    <w:rsid w:val="0096718D"/>
    <w:rsid w:val="009672AD"/>
    <w:rsid w:val="00970A32"/>
    <w:rsid w:val="0097259B"/>
    <w:rsid w:val="009727B0"/>
    <w:rsid w:val="00973204"/>
    <w:rsid w:val="00975C8A"/>
    <w:rsid w:val="00976328"/>
    <w:rsid w:val="0097680D"/>
    <w:rsid w:val="00976E62"/>
    <w:rsid w:val="00982438"/>
    <w:rsid w:val="0098404C"/>
    <w:rsid w:val="00984486"/>
    <w:rsid w:val="00985283"/>
    <w:rsid w:val="00985770"/>
    <w:rsid w:val="0098652E"/>
    <w:rsid w:val="00987AC1"/>
    <w:rsid w:val="0099248D"/>
    <w:rsid w:val="00992590"/>
    <w:rsid w:val="00992E92"/>
    <w:rsid w:val="00995992"/>
    <w:rsid w:val="00996706"/>
    <w:rsid w:val="009A03E5"/>
    <w:rsid w:val="009A0F3B"/>
    <w:rsid w:val="009A1BB4"/>
    <w:rsid w:val="009A2628"/>
    <w:rsid w:val="009A3200"/>
    <w:rsid w:val="009A5DB5"/>
    <w:rsid w:val="009A786F"/>
    <w:rsid w:val="009A7C25"/>
    <w:rsid w:val="009B0897"/>
    <w:rsid w:val="009B3E80"/>
    <w:rsid w:val="009B65CF"/>
    <w:rsid w:val="009B7473"/>
    <w:rsid w:val="009B7BD9"/>
    <w:rsid w:val="009B7C01"/>
    <w:rsid w:val="009C09C1"/>
    <w:rsid w:val="009C171B"/>
    <w:rsid w:val="009C255C"/>
    <w:rsid w:val="009C35C8"/>
    <w:rsid w:val="009C6356"/>
    <w:rsid w:val="009C70A6"/>
    <w:rsid w:val="009C7DD5"/>
    <w:rsid w:val="009D0530"/>
    <w:rsid w:val="009D05F4"/>
    <w:rsid w:val="009D0737"/>
    <w:rsid w:val="009D08C6"/>
    <w:rsid w:val="009D17FA"/>
    <w:rsid w:val="009E16F9"/>
    <w:rsid w:val="009E227D"/>
    <w:rsid w:val="009E2880"/>
    <w:rsid w:val="009E2C41"/>
    <w:rsid w:val="009E3D4D"/>
    <w:rsid w:val="009E4345"/>
    <w:rsid w:val="009E5019"/>
    <w:rsid w:val="009F1217"/>
    <w:rsid w:val="009F2310"/>
    <w:rsid w:val="009F4EF6"/>
    <w:rsid w:val="009F60C0"/>
    <w:rsid w:val="009F632B"/>
    <w:rsid w:val="009F7EF6"/>
    <w:rsid w:val="00A0214C"/>
    <w:rsid w:val="00A03AF2"/>
    <w:rsid w:val="00A04F1B"/>
    <w:rsid w:val="00A04F7A"/>
    <w:rsid w:val="00A0501B"/>
    <w:rsid w:val="00A053AA"/>
    <w:rsid w:val="00A13B09"/>
    <w:rsid w:val="00A14947"/>
    <w:rsid w:val="00A2036A"/>
    <w:rsid w:val="00A20C0F"/>
    <w:rsid w:val="00A263C7"/>
    <w:rsid w:val="00A27B26"/>
    <w:rsid w:val="00A30441"/>
    <w:rsid w:val="00A32A83"/>
    <w:rsid w:val="00A341AC"/>
    <w:rsid w:val="00A343FC"/>
    <w:rsid w:val="00A35F61"/>
    <w:rsid w:val="00A368DB"/>
    <w:rsid w:val="00A37194"/>
    <w:rsid w:val="00A37AE3"/>
    <w:rsid w:val="00A423AA"/>
    <w:rsid w:val="00A425CB"/>
    <w:rsid w:val="00A42737"/>
    <w:rsid w:val="00A4348C"/>
    <w:rsid w:val="00A45683"/>
    <w:rsid w:val="00A47CB9"/>
    <w:rsid w:val="00A53EC6"/>
    <w:rsid w:val="00A55C0F"/>
    <w:rsid w:val="00A57B33"/>
    <w:rsid w:val="00A60781"/>
    <w:rsid w:val="00A616A0"/>
    <w:rsid w:val="00A61BCE"/>
    <w:rsid w:val="00A620B4"/>
    <w:rsid w:val="00A65038"/>
    <w:rsid w:val="00A661DE"/>
    <w:rsid w:val="00A662BB"/>
    <w:rsid w:val="00A67FF3"/>
    <w:rsid w:val="00A7123D"/>
    <w:rsid w:val="00A71A4B"/>
    <w:rsid w:val="00A72BEE"/>
    <w:rsid w:val="00A738F1"/>
    <w:rsid w:val="00A74D24"/>
    <w:rsid w:val="00A769C6"/>
    <w:rsid w:val="00A76AB1"/>
    <w:rsid w:val="00A85120"/>
    <w:rsid w:val="00A86429"/>
    <w:rsid w:val="00A8713F"/>
    <w:rsid w:val="00A8759A"/>
    <w:rsid w:val="00A90BA1"/>
    <w:rsid w:val="00A93D8A"/>
    <w:rsid w:val="00A970AA"/>
    <w:rsid w:val="00A97A9A"/>
    <w:rsid w:val="00AA0671"/>
    <w:rsid w:val="00AA150B"/>
    <w:rsid w:val="00AA2531"/>
    <w:rsid w:val="00AA419E"/>
    <w:rsid w:val="00AA4D64"/>
    <w:rsid w:val="00AA7DB4"/>
    <w:rsid w:val="00AB0274"/>
    <w:rsid w:val="00AB0A58"/>
    <w:rsid w:val="00AB0AD7"/>
    <w:rsid w:val="00AB1E09"/>
    <w:rsid w:val="00AB5330"/>
    <w:rsid w:val="00AB57AA"/>
    <w:rsid w:val="00AB5D36"/>
    <w:rsid w:val="00AB71E2"/>
    <w:rsid w:val="00AB7747"/>
    <w:rsid w:val="00AC14CE"/>
    <w:rsid w:val="00AC2A56"/>
    <w:rsid w:val="00AC5519"/>
    <w:rsid w:val="00AC5D8C"/>
    <w:rsid w:val="00AC633E"/>
    <w:rsid w:val="00AD055E"/>
    <w:rsid w:val="00AD3742"/>
    <w:rsid w:val="00AD47A7"/>
    <w:rsid w:val="00AD55E6"/>
    <w:rsid w:val="00AD6B97"/>
    <w:rsid w:val="00AD79E6"/>
    <w:rsid w:val="00AE58D3"/>
    <w:rsid w:val="00AE7A6B"/>
    <w:rsid w:val="00AE7CD7"/>
    <w:rsid w:val="00AF041B"/>
    <w:rsid w:val="00AF0CBF"/>
    <w:rsid w:val="00AF257F"/>
    <w:rsid w:val="00AF33CF"/>
    <w:rsid w:val="00AF4D50"/>
    <w:rsid w:val="00AF6179"/>
    <w:rsid w:val="00B07400"/>
    <w:rsid w:val="00B10285"/>
    <w:rsid w:val="00B12745"/>
    <w:rsid w:val="00B1295A"/>
    <w:rsid w:val="00B12D27"/>
    <w:rsid w:val="00B156D1"/>
    <w:rsid w:val="00B17D08"/>
    <w:rsid w:val="00B20A45"/>
    <w:rsid w:val="00B21A8D"/>
    <w:rsid w:val="00B21AD0"/>
    <w:rsid w:val="00B22C5C"/>
    <w:rsid w:val="00B2367C"/>
    <w:rsid w:val="00B24410"/>
    <w:rsid w:val="00B24AB4"/>
    <w:rsid w:val="00B24F30"/>
    <w:rsid w:val="00B26585"/>
    <w:rsid w:val="00B27902"/>
    <w:rsid w:val="00B27BB4"/>
    <w:rsid w:val="00B30276"/>
    <w:rsid w:val="00B31ABF"/>
    <w:rsid w:val="00B32472"/>
    <w:rsid w:val="00B327C5"/>
    <w:rsid w:val="00B328F2"/>
    <w:rsid w:val="00B33396"/>
    <w:rsid w:val="00B33BE3"/>
    <w:rsid w:val="00B35955"/>
    <w:rsid w:val="00B40DF3"/>
    <w:rsid w:val="00B41C92"/>
    <w:rsid w:val="00B43B6D"/>
    <w:rsid w:val="00B45D37"/>
    <w:rsid w:val="00B507AE"/>
    <w:rsid w:val="00B50FD1"/>
    <w:rsid w:val="00B5313A"/>
    <w:rsid w:val="00B53B5D"/>
    <w:rsid w:val="00B6055E"/>
    <w:rsid w:val="00B60F76"/>
    <w:rsid w:val="00B61FA2"/>
    <w:rsid w:val="00B6317D"/>
    <w:rsid w:val="00B66A87"/>
    <w:rsid w:val="00B66D19"/>
    <w:rsid w:val="00B67219"/>
    <w:rsid w:val="00B70D4A"/>
    <w:rsid w:val="00B71622"/>
    <w:rsid w:val="00B73DE0"/>
    <w:rsid w:val="00B75303"/>
    <w:rsid w:val="00B75B9F"/>
    <w:rsid w:val="00B762E5"/>
    <w:rsid w:val="00B7723F"/>
    <w:rsid w:val="00B80534"/>
    <w:rsid w:val="00B819D7"/>
    <w:rsid w:val="00B84296"/>
    <w:rsid w:val="00B8433C"/>
    <w:rsid w:val="00B85B67"/>
    <w:rsid w:val="00B862BA"/>
    <w:rsid w:val="00B87491"/>
    <w:rsid w:val="00B921FC"/>
    <w:rsid w:val="00B9294F"/>
    <w:rsid w:val="00B93E38"/>
    <w:rsid w:val="00B9554A"/>
    <w:rsid w:val="00B963A4"/>
    <w:rsid w:val="00BA1434"/>
    <w:rsid w:val="00BA21E1"/>
    <w:rsid w:val="00BA29E9"/>
    <w:rsid w:val="00BA4B7B"/>
    <w:rsid w:val="00BA50AE"/>
    <w:rsid w:val="00BA7142"/>
    <w:rsid w:val="00BB1EB2"/>
    <w:rsid w:val="00BB237C"/>
    <w:rsid w:val="00BB41A3"/>
    <w:rsid w:val="00BB75A9"/>
    <w:rsid w:val="00BB7CEA"/>
    <w:rsid w:val="00BC2229"/>
    <w:rsid w:val="00BC313A"/>
    <w:rsid w:val="00BC32DC"/>
    <w:rsid w:val="00BC35B6"/>
    <w:rsid w:val="00BC38FC"/>
    <w:rsid w:val="00BC56AA"/>
    <w:rsid w:val="00BC6062"/>
    <w:rsid w:val="00BC6953"/>
    <w:rsid w:val="00BC7AD6"/>
    <w:rsid w:val="00BD1319"/>
    <w:rsid w:val="00BD1B51"/>
    <w:rsid w:val="00BD3C6E"/>
    <w:rsid w:val="00BD4596"/>
    <w:rsid w:val="00BD513F"/>
    <w:rsid w:val="00BD5C43"/>
    <w:rsid w:val="00BE08F7"/>
    <w:rsid w:val="00BE1405"/>
    <w:rsid w:val="00BE169F"/>
    <w:rsid w:val="00BE19ED"/>
    <w:rsid w:val="00BE312D"/>
    <w:rsid w:val="00BF09F6"/>
    <w:rsid w:val="00BF136F"/>
    <w:rsid w:val="00BF1C20"/>
    <w:rsid w:val="00BF2C70"/>
    <w:rsid w:val="00BF4475"/>
    <w:rsid w:val="00BF473F"/>
    <w:rsid w:val="00BF48B3"/>
    <w:rsid w:val="00C032F6"/>
    <w:rsid w:val="00C04731"/>
    <w:rsid w:val="00C0521F"/>
    <w:rsid w:val="00C07ED9"/>
    <w:rsid w:val="00C10578"/>
    <w:rsid w:val="00C1180A"/>
    <w:rsid w:val="00C135BC"/>
    <w:rsid w:val="00C143FC"/>
    <w:rsid w:val="00C150E8"/>
    <w:rsid w:val="00C15294"/>
    <w:rsid w:val="00C15C95"/>
    <w:rsid w:val="00C17EE6"/>
    <w:rsid w:val="00C24819"/>
    <w:rsid w:val="00C251BE"/>
    <w:rsid w:val="00C25590"/>
    <w:rsid w:val="00C25634"/>
    <w:rsid w:val="00C2596A"/>
    <w:rsid w:val="00C2713C"/>
    <w:rsid w:val="00C27537"/>
    <w:rsid w:val="00C3032C"/>
    <w:rsid w:val="00C328FE"/>
    <w:rsid w:val="00C33507"/>
    <w:rsid w:val="00C350B6"/>
    <w:rsid w:val="00C37D3F"/>
    <w:rsid w:val="00C427F0"/>
    <w:rsid w:val="00C42B7E"/>
    <w:rsid w:val="00C4409D"/>
    <w:rsid w:val="00C44E72"/>
    <w:rsid w:val="00C45A06"/>
    <w:rsid w:val="00C4699E"/>
    <w:rsid w:val="00C47E5B"/>
    <w:rsid w:val="00C51152"/>
    <w:rsid w:val="00C51638"/>
    <w:rsid w:val="00C54886"/>
    <w:rsid w:val="00C56690"/>
    <w:rsid w:val="00C56B32"/>
    <w:rsid w:val="00C60AA2"/>
    <w:rsid w:val="00C611E3"/>
    <w:rsid w:val="00C611F0"/>
    <w:rsid w:val="00C61E4B"/>
    <w:rsid w:val="00C62326"/>
    <w:rsid w:val="00C628CB"/>
    <w:rsid w:val="00C62A69"/>
    <w:rsid w:val="00C62CAE"/>
    <w:rsid w:val="00C63434"/>
    <w:rsid w:val="00C64BFF"/>
    <w:rsid w:val="00C6574B"/>
    <w:rsid w:val="00C704D1"/>
    <w:rsid w:val="00C704E9"/>
    <w:rsid w:val="00C72CA3"/>
    <w:rsid w:val="00C74095"/>
    <w:rsid w:val="00C74E38"/>
    <w:rsid w:val="00C763C9"/>
    <w:rsid w:val="00C80057"/>
    <w:rsid w:val="00C8010A"/>
    <w:rsid w:val="00C81EDF"/>
    <w:rsid w:val="00C82232"/>
    <w:rsid w:val="00C82596"/>
    <w:rsid w:val="00C82913"/>
    <w:rsid w:val="00C86781"/>
    <w:rsid w:val="00C937B1"/>
    <w:rsid w:val="00C941AE"/>
    <w:rsid w:val="00C94466"/>
    <w:rsid w:val="00C972B1"/>
    <w:rsid w:val="00C97876"/>
    <w:rsid w:val="00CA2CCE"/>
    <w:rsid w:val="00CA31F9"/>
    <w:rsid w:val="00CA3557"/>
    <w:rsid w:val="00CA43FD"/>
    <w:rsid w:val="00CA7EF8"/>
    <w:rsid w:val="00CB1D5C"/>
    <w:rsid w:val="00CB406E"/>
    <w:rsid w:val="00CB4B01"/>
    <w:rsid w:val="00CB4CC3"/>
    <w:rsid w:val="00CB77FB"/>
    <w:rsid w:val="00CB7B65"/>
    <w:rsid w:val="00CC0B7B"/>
    <w:rsid w:val="00CC0F82"/>
    <w:rsid w:val="00CC489B"/>
    <w:rsid w:val="00CC48FE"/>
    <w:rsid w:val="00CC5DA9"/>
    <w:rsid w:val="00CD0774"/>
    <w:rsid w:val="00CD1E06"/>
    <w:rsid w:val="00CD26AC"/>
    <w:rsid w:val="00CD2BCD"/>
    <w:rsid w:val="00CD3080"/>
    <w:rsid w:val="00CD34C4"/>
    <w:rsid w:val="00CD3654"/>
    <w:rsid w:val="00CD3A4C"/>
    <w:rsid w:val="00CD4AE3"/>
    <w:rsid w:val="00CE10E9"/>
    <w:rsid w:val="00CE2910"/>
    <w:rsid w:val="00CE5393"/>
    <w:rsid w:val="00CE72BD"/>
    <w:rsid w:val="00CF36BE"/>
    <w:rsid w:val="00CF480F"/>
    <w:rsid w:val="00CF4EEB"/>
    <w:rsid w:val="00CF6000"/>
    <w:rsid w:val="00D003F3"/>
    <w:rsid w:val="00D01368"/>
    <w:rsid w:val="00D0364F"/>
    <w:rsid w:val="00D04475"/>
    <w:rsid w:val="00D0606E"/>
    <w:rsid w:val="00D06834"/>
    <w:rsid w:val="00D136B4"/>
    <w:rsid w:val="00D14572"/>
    <w:rsid w:val="00D2093E"/>
    <w:rsid w:val="00D22AD5"/>
    <w:rsid w:val="00D2443C"/>
    <w:rsid w:val="00D30300"/>
    <w:rsid w:val="00D308ED"/>
    <w:rsid w:val="00D32797"/>
    <w:rsid w:val="00D359DA"/>
    <w:rsid w:val="00D35E0F"/>
    <w:rsid w:val="00D35F49"/>
    <w:rsid w:val="00D365DC"/>
    <w:rsid w:val="00D36D86"/>
    <w:rsid w:val="00D372A6"/>
    <w:rsid w:val="00D428AA"/>
    <w:rsid w:val="00D43FD4"/>
    <w:rsid w:val="00D468DE"/>
    <w:rsid w:val="00D50968"/>
    <w:rsid w:val="00D50A34"/>
    <w:rsid w:val="00D52307"/>
    <w:rsid w:val="00D5284F"/>
    <w:rsid w:val="00D53EFA"/>
    <w:rsid w:val="00D5792E"/>
    <w:rsid w:val="00D57DD4"/>
    <w:rsid w:val="00D64D2F"/>
    <w:rsid w:val="00D72B89"/>
    <w:rsid w:val="00D744B4"/>
    <w:rsid w:val="00D7458F"/>
    <w:rsid w:val="00D75843"/>
    <w:rsid w:val="00D75D2F"/>
    <w:rsid w:val="00D808C0"/>
    <w:rsid w:val="00D81205"/>
    <w:rsid w:val="00D82F7F"/>
    <w:rsid w:val="00D83BD2"/>
    <w:rsid w:val="00D84B2D"/>
    <w:rsid w:val="00D901CE"/>
    <w:rsid w:val="00D94A7C"/>
    <w:rsid w:val="00D95896"/>
    <w:rsid w:val="00D96B33"/>
    <w:rsid w:val="00DA0ACB"/>
    <w:rsid w:val="00DA2F9E"/>
    <w:rsid w:val="00DA3DB4"/>
    <w:rsid w:val="00DA624B"/>
    <w:rsid w:val="00DA7ACC"/>
    <w:rsid w:val="00DA7C0C"/>
    <w:rsid w:val="00DB2983"/>
    <w:rsid w:val="00DB2EED"/>
    <w:rsid w:val="00DB3612"/>
    <w:rsid w:val="00DB54F4"/>
    <w:rsid w:val="00DC1257"/>
    <w:rsid w:val="00DC17D6"/>
    <w:rsid w:val="00DC3DC0"/>
    <w:rsid w:val="00DC3EA3"/>
    <w:rsid w:val="00DC5B2B"/>
    <w:rsid w:val="00DC675E"/>
    <w:rsid w:val="00DD00EE"/>
    <w:rsid w:val="00DD0EA8"/>
    <w:rsid w:val="00DD136F"/>
    <w:rsid w:val="00DD211C"/>
    <w:rsid w:val="00DD318D"/>
    <w:rsid w:val="00DD4983"/>
    <w:rsid w:val="00DE05A6"/>
    <w:rsid w:val="00DE201F"/>
    <w:rsid w:val="00DE56D9"/>
    <w:rsid w:val="00DE78F6"/>
    <w:rsid w:val="00DF2E12"/>
    <w:rsid w:val="00DF365B"/>
    <w:rsid w:val="00DF375D"/>
    <w:rsid w:val="00DF481B"/>
    <w:rsid w:val="00DF48CD"/>
    <w:rsid w:val="00DF514A"/>
    <w:rsid w:val="00DF6690"/>
    <w:rsid w:val="00DF6804"/>
    <w:rsid w:val="00DF724C"/>
    <w:rsid w:val="00E01F51"/>
    <w:rsid w:val="00E022F6"/>
    <w:rsid w:val="00E0358D"/>
    <w:rsid w:val="00E04323"/>
    <w:rsid w:val="00E070A2"/>
    <w:rsid w:val="00E07119"/>
    <w:rsid w:val="00E11344"/>
    <w:rsid w:val="00E12236"/>
    <w:rsid w:val="00E12C6A"/>
    <w:rsid w:val="00E12EE4"/>
    <w:rsid w:val="00E15A4D"/>
    <w:rsid w:val="00E24D3A"/>
    <w:rsid w:val="00E2604E"/>
    <w:rsid w:val="00E2656A"/>
    <w:rsid w:val="00E26588"/>
    <w:rsid w:val="00E269F1"/>
    <w:rsid w:val="00E26A39"/>
    <w:rsid w:val="00E26BD6"/>
    <w:rsid w:val="00E27659"/>
    <w:rsid w:val="00E27884"/>
    <w:rsid w:val="00E301C3"/>
    <w:rsid w:val="00E30EEC"/>
    <w:rsid w:val="00E334BE"/>
    <w:rsid w:val="00E33B51"/>
    <w:rsid w:val="00E34A6F"/>
    <w:rsid w:val="00E412D0"/>
    <w:rsid w:val="00E43046"/>
    <w:rsid w:val="00E440AF"/>
    <w:rsid w:val="00E44C63"/>
    <w:rsid w:val="00E45C61"/>
    <w:rsid w:val="00E463A7"/>
    <w:rsid w:val="00E53849"/>
    <w:rsid w:val="00E55256"/>
    <w:rsid w:val="00E56322"/>
    <w:rsid w:val="00E57658"/>
    <w:rsid w:val="00E60982"/>
    <w:rsid w:val="00E61834"/>
    <w:rsid w:val="00E619E6"/>
    <w:rsid w:val="00E62C62"/>
    <w:rsid w:val="00E63264"/>
    <w:rsid w:val="00E654C1"/>
    <w:rsid w:val="00E65D97"/>
    <w:rsid w:val="00E6705D"/>
    <w:rsid w:val="00E70209"/>
    <w:rsid w:val="00E72A5A"/>
    <w:rsid w:val="00E73354"/>
    <w:rsid w:val="00E745C5"/>
    <w:rsid w:val="00E747A4"/>
    <w:rsid w:val="00E76892"/>
    <w:rsid w:val="00E77BBD"/>
    <w:rsid w:val="00E8490E"/>
    <w:rsid w:val="00E8503B"/>
    <w:rsid w:val="00E850E4"/>
    <w:rsid w:val="00E859D7"/>
    <w:rsid w:val="00E9045C"/>
    <w:rsid w:val="00E915A9"/>
    <w:rsid w:val="00E9242D"/>
    <w:rsid w:val="00E93F6D"/>
    <w:rsid w:val="00E958DF"/>
    <w:rsid w:val="00EA1251"/>
    <w:rsid w:val="00EA229B"/>
    <w:rsid w:val="00EA2C38"/>
    <w:rsid w:val="00EA35E1"/>
    <w:rsid w:val="00EA3846"/>
    <w:rsid w:val="00EA73A9"/>
    <w:rsid w:val="00EA79C9"/>
    <w:rsid w:val="00EA7FA2"/>
    <w:rsid w:val="00EB5255"/>
    <w:rsid w:val="00EB5C47"/>
    <w:rsid w:val="00EB69D4"/>
    <w:rsid w:val="00EB7572"/>
    <w:rsid w:val="00EC03D8"/>
    <w:rsid w:val="00EC0FE9"/>
    <w:rsid w:val="00EC43D6"/>
    <w:rsid w:val="00EC5687"/>
    <w:rsid w:val="00EC603C"/>
    <w:rsid w:val="00EC7C5F"/>
    <w:rsid w:val="00ED034A"/>
    <w:rsid w:val="00ED0639"/>
    <w:rsid w:val="00ED1834"/>
    <w:rsid w:val="00ED245F"/>
    <w:rsid w:val="00ED297E"/>
    <w:rsid w:val="00ED2B6E"/>
    <w:rsid w:val="00ED3E39"/>
    <w:rsid w:val="00ED4BCC"/>
    <w:rsid w:val="00ED4C8D"/>
    <w:rsid w:val="00EE0C4C"/>
    <w:rsid w:val="00EE229C"/>
    <w:rsid w:val="00EE5832"/>
    <w:rsid w:val="00EE6204"/>
    <w:rsid w:val="00EE65F7"/>
    <w:rsid w:val="00EE73BE"/>
    <w:rsid w:val="00EE7FDB"/>
    <w:rsid w:val="00EF0E98"/>
    <w:rsid w:val="00EF265C"/>
    <w:rsid w:val="00EF2AB3"/>
    <w:rsid w:val="00EF2E7A"/>
    <w:rsid w:val="00EF3337"/>
    <w:rsid w:val="00EF4073"/>
    <w:rsid w:val="00EF4755"/>
    <w:rsid w:val="00EF7135"/>
    <w:rsid w:val="00F00E43"/>
    <w:rsid w:val="00F027DB"/>
    <w:rsid w:val="00F04322"/>
    <w:rsid w:val="00F048B1"/>
    <w:rsid w:val="00F0759F"/>
    <w:rsid w:val="00F1019A"/>
    <w:rsid w:val="00F10309"/>
    <w:rsid w:val="00F10395"/>
    <w:rsid w:val="00F10543"/>
    <w:rsid w:val="00F148DC"/>
    <w:rsid w:val="00F14A7A"/>
    <w:rsid w:val="00F22985"/>
    <w:rsid w:val="00F229E1"/>
    <w:rsid w:val="00F2324E"/>
    <w:rsid w:val="00F24E3C"/>
    <w:rsid w:val="00F26A10"/>
    <w:rsid w:val="00F27FB9"/>
    <w:rsid w:val="00F3383E"/>
    <w:rsid w:val="00F44680"/>
    <w:rsid w:val="00F447B6"/>
    <w:rsid w:val="00F465A7"/>
    <w:rsid w:val="00F46FF5"/>
    <w:rsid w:val="00F50B7C"/>
    <w:rsid w:val="00F52446"/>
    <w:rsid w:val="00F528E1"/>
    <w:rsid w:val="00F543AE"/>
    <w:rsid w:val="00F550E6"/>
    <w:rsid w:val="00F551D1"/>
    <w:rsid w:val="00F55591"/>
    <w:rsid w:val="00F56E1C"/>
    <w:rsid w:val="00F56EE0"/>
    <w:rsid w:val="00F57FD9"/>
    <w:rsid w:val="00F607C6"/>
    <w:rsid w:val="00F60F28"/>
    <w:rsid w:val="00F615DA"/>
    <w:rsid w:val="00F6329A"/>
    <w:rsid w:val="00F6387C"/>
    <w:rsid w:val="00F63EDA"/>
    <w:rsid w:val="00F66226"/>
    <w:rsid w:val="00F711B5"/>
    <w:rsid w:val="00F71AEF"/>
    <w:rsid w:val="00F73DE5"/>
    <w:rsid w:val="00F74345"/>
    <w:rsid w:val="00F74450"/>
    <w:rsid w:val="00F77499"/>
    <w:rsid w:val="00F80329"/>
    <w:rsid w:val="00F80A0A"/>
    <w:rsid w:val="00F82B19"/>
    <w:rsid w:val="00F82BF6"/>
    <w:rsid w:val="00F831EC"/>
    <w:rsid w:val="00F85B39"/>
    <w:rsid w:val="00F85B5F"/>
    <w:rsid w:val="00F86136"/>
    <w:rsid w:val="00F912D4"/>
    <w:rsid w:val="00F9212D"/>
    <w:rsid w:val="00F938C5"/>
    <w:rsid w:val="00F950EB"/>
    <w:rsid w:val="00F965DA"/>
    <w:rsid w:val="00F97F50"/>
    <w:rsid w:val="00FA2D1B"/>
    <w:rsid w:val="00FA3598"/>
    <w:rsid w:val="00FA39E3"/>
    <w:rsid w:val="00FA406A"/>
    <w:rsid w:val="00FA5BCE"/>
    <w:rsid w:val="00FA688B"/>
    <w:rsid w:val="00FB1CF8"/>
    <w:rsid w:val="00FB2EFA"/>
    <w:rsid w:val="00FB38F5"/>
    <w:rsid w:val="00FB39CB"/>
    <w:rsid w:val="00FB3C85"/>
    <w:rsid w:val="00FB503A"/>
    <w:rsid w:val="00FB516C"/>
    <w:rsid w:val="00FB5AA2"/>
    <w:rsid w:val="00FB6190"/>
    <w:rsid w:val="00FB70E2"/>
    <w:rsid w:val="00FC349C"/>
    <w:rsid w:val="00FC6A28"/>
    <w:rsid w:val="00FC6B03"/>
    <w:rsid w:val="00FD0236"/>
    <w:rsid w:val="00FD18F4"/>
    <w:rsid w:val="00FD340A"/>
    <w:rsid w:val="00FD5375"/>
    <w:rsid w:val="00FD54DB"/>
    <w:rsid w:val="00FD58A8"/>
    <w:rsid w:val="00FD619F"/>
    <w:rsid w:val="00FD7894"/>
    <w:rsid w:val="00FE1D38"/>
    <w:rsid w:val="00FE4F51"/>
    <w:rsid w:val="00FE5213"/>
    <w:rsid w:val="00FE58A7"/>
    <w:rsid w:val="00FE5D7F"/>
    <w:rsid w:val="00FF014A"/>
    <w:rsid w:val="00FF22E6"/>
    <w:rsid w:val="00FF31C0"/>
    <w:rsid w:val="00FF4A16"/>
    <w:rsid w:val="00FF5F46"/>
    <w:rsid w:val="00FF701D"/>
    <w:rsid w:val="01290F7E"/>
    <w:rsid w:val="015D1E09"/>
    <w:rsid w:val="02697903"/>
    <w:rsid w:val="02F96569"/>
    <w:rsid w:val="03791834"/>
    <w:rsid w:val="03EA7B21"/>
    <w:rsid w:val="04F70630"/>
    <w:rsid w:val="05F83EAE"/>
    <w:rsid w:val="062C2B6C"/>
    <w:rsid w:val="063E7D85"/>
    <w:rsid w:val="070F7915"/>
    <w:rsid w:val="07293586"/>
    <w:rsid w:val="07295285"/>
    <w:rsid w:val="075F6A79"/>
    <w:rsid w:val="07636392"/>
    <w:rsid w:val="07770C56"/>
    <w:rsid w:val="080A3D65"/>
    <w:rsid w:val="0825477A"/>
    <w:rsid w:val="08A91F24"/>
    <w:rsid w:val="090C32E2"/>
    <w:rsid w:val="092217DD"/>
    <w:rsid w:val="093A7294"/>
    <w:rsid w:val="0A263993"/>
    <w:rsid w:val="0A2D3AC2"/>
    <w:rsid w:val="0AA755DF"/>
    <w:rsid w:val="0B120D44"/>
    <w:rsid w:val="0B1F4A73"/>
    <w:rsid w:val="0B736CD1"/>
    <w:rsid w:val="0B9475AC"/>
    <w:rsid w:val="0BD27BF6"/>
    <w:rsid w:val="0C3B3C7D"/>
    <w:rsid w:val="0CAB2EAE"/>
    <w:rsid w:val="0D07353E"/>
    <w:rsid w:val="0D404ABF"/>
    <w:rsid w:val="0D621C7D"/>
    <w:rsid w:val="0DE332F6"/>
    <w:rsid w:val="0E73034D"/>
    <w:rsid w:val="0EB47384"/>
    <w:rsid w:val="0EBE6166"/>
    <w:rsid w:val="0F13775A"/>
    <w:rsid w:val="0F5F45FE"/>
    <w:rsid w:val="0F83318F"/>
    <w:rsid w:val="0F9A112B"/>
    <w:rsid w:val="106D2F64"/>
    <w:rsid w:val="10B63710"/>
    <w:rsid w:val="10F10820"/>
    <w:rsid w:val="111C2F7A"/>
    <w:rsid w:val="11665CA1"/>
    <w:rsid w:val="11864CD8"/>
    <w:rsid w:val="12700ABC"/>
    <w:rsid w:val="13951726"/>
    <w:rsid w:val="13B40446"/>
    <w:rsid w:val="14205DE2"/>
    <w:rsid w:val="14396509"/>
    <w:rsid w:val="14DD2C3C"/>
    <w:rsid w:val="152C6D66"/>
    <w:rsid w:val="16087E1D"/>
    <w:rsid w:val="16416ED4"/>
    <w:rsid w:val="16744906"/>
    <w:rsid w:val="17701D14"/>
    <w:rsid w:val="17735226"/>
    <w:rsid w:val="189F624C"/>
    <w:rsid w:val="1A1C66C0"/>
    <w:rsid w:val="1A42393B"/>
    <w:rsid w:val="1A9C0D05"/>
    <w:rsid w:val="1AA219EE"/>
    <w:rsid w:val="1AAD45DE"/>
    <w:rsid w:val="1AC67286"/>
    <w:rsid w:val="1B046F80"/>
    <w:rsid w:val="1B3267B5"/>
    <w:rsid w:val="1B40161D"/>
    <w:rsid w:val="1B441859"/>
    <w:rsid w:val="1B6606B1"/>
    <w:rsid w:val="1BB71F24"/>
    <w:rsid w:val="1C5E7925"/>
    <w:rsid w:val="1C890D2C"/>
    <w:rsid w:val="1C9176B6"/>
    <w:rsid w:val="1CFD070F"/>
    <w:rsid w:val="1D5F6196"/>
    <w:rsid w:val="1D6132A5"/>
    <w:rsid w:val="1D8E56D5"/>
    <w:rsid w:val="1D947476"/>
    <w:rsid w:val="1E7A43DA"/>
    <w:rsid w:val="1F1E72C0"/>
    <w:rsid w:val="1FB20229"/>
    <w:rsid w:val="1FE7539E"/>
    <w:rsid w:val="205C2198"/>
    <w:rsid w:val="20671BE0"/>
    <w:rsid w:val="20963CB8"/>
    <w:rsid w:val="20A81A1B"/>
    <w:rsid w:val="20B07FB6"/>
    <w:rsid w:val="20B646FB"/>
    <w:rsid w:val="213B74B1"/>
    <w:rsid w:val="215A2310"/>
    <w:rsid w:val="21C02FDE"/>
    <w:rsid w:val="21DE318A"/>
    <w:rsid w:val="21EF5B80"/>
    <w:rsid w:val="22576990"/>
    <w:rsid w:val="22F47480"/>
    <w:rsid w:val="23306F8C"/>
    <w:rsid w:val="23DE1C48"/>
    <w:rsid w:val="240210CD"/>
    <w:rsid w:val="24BF09F7"/>
    <w:rsid w:val="250F1146"/>
    <w:rsid w:val="252D53FE"/>
    <w:rsid w:val="25EC2D81"/>
    <w:rsid w:val="268C18EA"/>
    <w:rsid w:val="273F792E"/>
    <w:rsid w:val="277057A2"/>
    <w:rsid w:val="29206EB8"/>
    <w:rsid w:val="29595666"/>
    <w:rsid w:val="29874881"/>
    <w:rsid w:val="29CF07F0"/>
    <w:rsid w:val="29E325E0"/>
    <w:rsid w:val="2A452503"/>
    <w:rsid w:val="2A7A4173"/>
    <w:rsid w:val="2AC0428F"/>
    <w:rsid w:val="2B4F4E6D"/>
    <w:rsid w:val="2B6776B3"/>
    <w:rsid w:val="2BA936A8"/>
    <w:rsid w:val="2C187976"/>
    <w:rsid w:val="2C315A5A"/>
    <w:rsid w:val="2C4B1C25"/>
    <w:rsid w:val="2C4B27A7"/>
    <w:rsid w:val="2D9E56F5"/>
    <w:rsid w:val="2E667F96"/>
    <w:rsid w:val="2E8226AB"/>
    <w:rsid w:val="2E9B70EB"/>
    <w:rsid w:val="2F5A2F26"/>
    <w:rsid w:val="2FD065E6"/>
    <w:rsid w:val="2FD96870"/>
    <w:rsid w:val="3011225D"/>
    <w:rsid w:val="30580BC9"/>
    <w:rsid w:val="30DC68FB"/>
    <w:rsid w:val="311E2ED7"/>
    <w:rsid w:val="315619EE"/>
    <w:rsid w:val="315C449C"/>
    <w:rsid w:val="31B82709"/>
    <w:rsid w:val="31BD23EE"/>
    <w:rsid w:val="31D05482"/>
    <w:rsid w:val="32313075"/>
    <w:rsid w:val="32400B34"/>
    <w:rsid w:val="329E6876"/>
    <w:rsid w:val="32C073C0"/>
    <w:rsid w:val="333015F2"/>
    <w:rsid w:val="334B6320"/>
    <w:rsid w:val="33D74FD3"/>
    <w:rsid w:val="33D934D4"/>
    <w:rsid w:val="33E13F6C"/>
    <w:rsid w:val="33FE2F6A"/>
    <w:rsid w:val="340E07E5"/>
    <w:rsid w:val="34235BF7"/>
    <w:rsid w:val="342C50B1"/>
    <w:rsid w:val="3573748E"/>
    <w:rsid w:val="358C5FA8"/>
    <w:rsid w:val="35C15DF1"/>
    <w:rsid w:val="36074A7F"/>
    <w:rsid w:val="364B78B1"/>
    <w:rsid w:val="36923549"/>
    <w:rsid w:val="36B75FBF"/>
    <w:rsid w:val="36BD0C45"/>
    <w:rsid w:val="372F649F"/>
    <w:rsid w:val="374C051D"/>
    <w:rsid w:val="37CC315A"/>
    <w:rsid w:val="37E00298"/>
    <w:rsid w:val="38B302F9"/>
    <w:rsid w:val="38F12CD3"/>
    <w:rsid w:val="38F94775"/>
    <w:rsid w:val="392971ED"/>
    <w:rsid w:val="39325651"/>
    <w:rsid w:val="3A7D4110"/>
    <w:rsid w:val="3A872856"/>
    <w:rsid w:val="3B3763D1"/>
    <w:rsid w:val="3C2F6E1E"/>
    <w:rsid w:val="3C4F64BA"/>
    <w:rsid w:val="3CDA245A"/>
    <w:rsid w:val="3CDE62CB"/>
    <w:rsid w:val="3D0E0B18"/>
    <w:rsid w:val="3D1E06B7"/>
    <w:rsid w:val="3DEF7FC6"/>
    <w:rsid w:val="3EDA0523"/>
    <w:rsid w:val="3F094F1F"/>
    <w:rsid w:val="3F534C1D"/>
    <w:rsid w:val="407A6407"/>
    <w:rsid w:val="40A3385D"/>
    <w:rsid w:val="40E5581D"/>
    <w:rsid w:val="416001E5"/>
    <w:rsid w:val="41BF1436"/>
    <w:rsid w:val="4200449D"/>
    <w:rsid w:val="423A3BCC"/>
    <w:rsid w:val="424E57D2"/>
    <w:rsid w:val="42B26C49"/>
    <w:rsid w:val="433A6FE6"/>
    <w:rsid w:val="43480868"/>
    <w:rsid w:val="4350713C"/>
    <w:rsid w:val="436653E0"/>
    <w:rsid w:val="43C4431A"/>
    <w:rsid w:val="44B951CC"/>
    <w:rsid w:val="44CD14E0"/>
    <w:rsid w:val="44E76416"/>
    <w:rsid w:val="44F20B0B"/>
    <w:rsid w:val="451F0CF8"/>
    <w:rsid w:val="452E5F4C"/>
    <w:rsid w:val="45612018"/>
    <w:rsid w:val="458946E9"/>
    <w:rsid w:val="45A47C0E"/>
    <w:rsid w:val="46577FD6"/>
    <w:rsid w:val="46781DF0"/>
    <w:rsid w:val="46D955A7"/>
    <w:rsid w:val="47133957"/>
    <w:rsid w:val="47A07E0C"/>
    <w:rsid w:val="480E534D"/>
    <w:rsid w:val="482561A9"/>
    <w:rsid w:val="4870272E"/>
    <w:rsid w:val="48C60564"/>
    <w:rsid w:val="495B1806"/>
    <w:rsid w:val="49DC7715"/>
    <w:rsid w:val="4A023139"/>
    <w:rsid w:val="4A3073B5"/>
    <w:rsid w:val="4A7B576F"/>
    <w:rsid w:val="4AF561A9"/>
    <w:rsid w:val="4C4A0649"/>
    <w:rsid w:val="4C7E5ECA"/>
    <w:rsid w:val="4C876AA5"/>
    <w:rsid w:val="4D0E00FB"/>
    <w:rsid w:val="4D176606"/>
    <w:rsid w:val="4D273AE3"/>
    <w:rsid w:val="4DEC4FB0"/>
    <w:rsid w:val="4E075D8A"/>
    <w:rsid w:val="4E844381"/>
    <w:rsid w:val="4EC00FAD"/>
    <w:rsid w:val="4F9843DC"/>
    <w:rsid w:val="4FC62A8C"/>
    <w:rsid w:val="4FE20F0D"/>
    <w:rsid w:val="4FE51552"/>
    <w:rsid w:val="50504C4B"/>
    <w:rsid w:val="509C6E7C"/>
    <w:rsid w:val="5162104E"/>
    <w:rsid w:val="5173594D"/>
    <w:rsid w:val="524F1342"/>
    <w:rsid w:val="53A039CC"/>
    <w:rsid w:val="53A1505A"/>
    <w:rsid w:val="53A64CDA"/>
    <w:rsid w:val="53E50BF2"/>
    <w:rsid w:val="54063E08"/>
    <w:rsid w:val="543437E8"/>
    <w:rsid w:val="54620567"/>
    <w:rsid w:val="54F73313"/>
    <w:rsid w:val="54F80955"/>
    <w:rsid w:val="555170A7"/>
    <w:rsid w:val="5587536D"/>
    <w:rsid w:val="559B174B"/>
    <w:rsid w:val="55C20179"/>
    <w:rsid w:val="55CE0CF4"/>
    <w:rsid w:val="56B22A9C"/>
    <w:rsid w:val="57B72A76"/>
    <w:rsid w:val="57C3426C"/>
    <w:rsid w:val="57CE1F93"/>
    <w:rsid w:val="58476149"/>
    <w:rsid w:val="588743D1"/>
    <w:rsid w:val="5887701A"/>
    <w:rsid w:val="58B2565C"/>
    <w:rsid w:val="59547E44"/>
    <w:rsid w:val="59A27C7A"/>
    <w:rsid w:val="59C0439F"/>
    <w:rsid w:val="59C758A0"/>
    <w:rsid w:val="5ABE2233"/>
    <w:rsid w:val="5B8C3CCD"/>
    <w:rsid w:val="5BA51C9E"/>
    <w:rsid w:val="5BDF5D95"/>
    <w:rsid w:val="5BFE7528"/>
    <w:rsid w:val="5E2467F1"/>
    <w:rsid w:val="5F1A2B43"/>
    <w:rsid w:val="5F7D22CB"/>
    <w:rsid w:val="5FB837BB"/>
    <w:rsid w:val="600934A2"/>
    <w:rsid w:val="60222765"/>
    <w:rsid w:val="603565B6"/>
    <w:rsid w:val="608B38AB"/>
    <w:rsid w:val="60CC405A"/>
    <w:rsid w:val="61E215D8"/>
    <w:rsid w:val="61E80D42"/>
    <w:rsid w:val="61F26595"/>
    <w:rsid w:val="62195160"/>
    <w:rsid w:val="621B3775"/>
    <w:rsid w:val="62364782"/>
    <w:rsid w:val="6394356A"/>
    <w:rsid w:val="63C61B2C"/>
    <w:rsid w:val="63D40BE9"/>
    <w:rsid w:val="64102431"/>
    <w:rsid w:val="64612D52"/>
    <w:rsid w:val="64A5243A"/>
    <w:rsid w:val="64F531DE"/>
    <w:rsid w:val="65373578"/>
    <w:rsid w:val="66DE414B"/>
    <w:rsid w:val="671F124A"/>
    <w:rsid w:val="67641FC4"/>
    <w:rsid w:val="677A33C6"/>
    <w:rsid w:val="67F8435F"/>
    <w:rsid w:val="681F6961"/>
    <w:rsid w:val="68610A2F"/>
    <w:rsid w:val="68805514"/>
    <w:rsid w:val="68E80CF8"/>
    <w:rsid w:val="69316E2F"/>
    <w:rsid w:val="694E2071"/>
    <w:rsid w:val="69766163"/>
    <w:rsid w:val="697A3B33"/>
    <w:rsid w:val="69AE5050"/>
    <w:rsid w:val="69D44760"/>
    <w:rsid w:val="6A0C3BFD"/>
    <w:rsid w:val="6A401AC2"/>
    <w:rsid w:val="6A520EC7"/>
    <w:rsid w:val="6AF004FE"/>
    <w:rsid w:val="6AF87E20"/>
    <w:rsid w:val="6B322639"/>
    <w:rsid w:val="6C636C38"/>
    <w:rsid w:val="6DB34098"/>
    <w:rsid w:val="6DB545B6"/>
    <w:rsid w:val="6DE02FB4"/>
    <w:rsid w:val="6E514CED"/>
    <w:rsid w:val="6EB563D5"/>
    <w:rsid w:val="6ED92677"/>
    <w:rsid w:val="6F225983"/>
    <w:rsid w:val="6FFC5590"/>
    <w:rsid w:val="706D1DD0"/>
    <w:rsid w:val="70856B87"/>
    <w:rsid w:val="70D527EE"/>
    <w:rsid w:val="715B5300"/>
    <w:rsid w:val="71681AB6"/>
    <w:rsid w:val="717C2D66"/>
    <w:rsid w:val="71D27F8A"/>
    <w:rsid w:val="71D80A9C"/>
    <w:rsid w:val="720030F8"/>
    <w:rsid w:val="72553024"/>
    <w:rsid w:val="7260793A"/>
    <w:rsid w:val="731067DA"/>
    <w:rsid w:val="73122968"/>
    <w:rsid w:val="731F5D5E"/>
    <w:rsid w:val="73320A6E"/>
    <w:rsid w:val="7385070D"/>
    <w:rsid w:val="73C51AD5"/>
    <w:rsid w:val="741E793C"/>
    <w:rsid w:val="743C463E"/>
    <w:rsid w:val="745E3944"/>
    <w:rsid w:val="76147983"/>
    <w:rsid w:val="763174D1"/>
    <w:rsid w:val="7635099D"/>
    <w:rsid w:val="76437A43"/>
    <w:rsid w:val="76FB4876"/>
    <w:rsid w:val="770A76C4"/>
    <w:rsid w:val="77762421"/>
    <w:rsid w:val="77B56B1F"/>
    <w:rsid w:val="780F09F4"/>
    <w:rsid w:val="783971A3"/>
    <w:rsid w:val="78A90480"/>
    <w:rsid w:val="78B529F1"/>
    <w:rsid w:val="79857E14"/>
    <w:rsid w:val="7A364017"/>
    <w:rsid w:val="7A6A5A29"/>
    <w:rsid w:val="7A8265E1"/>
    <w:rsid w:val="7B471927"/>
    <w:rsid w:val="7B686D42"/>
    <w:rsid w:val="7B841746"/>
    <w:rsid w:val="7BCA5C9F"/>
    <w:rsid w:val="7BD33686"/>
    <w:rsid w:val="7C197B38"/>
    <w:rsid w:val="7C324E9B"/>
    <w:rsid w:val="7C6C5AC7"/>
    <w:rsid w:val="7C895FDB"/>
    <w:rsid w:val="7CC6544B"/>
    <w:rsid w:val="7CDD00C4"/>
    <w:rsid w:val="7D0239FF"/>
    <w:rsid w:val="7D131194"/>
    <w:rsid w:val="7D5E40CD"/>
    <w:rsid w:val="7DCD56F2"/>
    <w:rsid w:val="7DE436DD"/>
    <w:rsid w:val="7E145225"/>
    <w:rsid w:val="7F001CE7"/>
    <w:rsid w:val="7F11697F"/>
    <w:rsid w:val="7FCA6EE4"/>
    <w:rsid w:val="7FE47E50"/>
    <w:rsid w:val="7FE950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9" w:semiHidden="0" w:name="heading 2" w:locked="1"/>
    <w:lsdException w:qFormat="1" w:unhideWhenUsed="0" w:uiPriority="0" w:semiHidden="0" w:name="heading 3" w:locked="1"/>
    <w:lsdException w:qFormat="1" w:unhideWhenUsed="0" w:uiPriority="1"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ocked="1"/>
    <w:lsdException w:uiPriority="0" w:name="index 2" w:locked="1"/>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qFormat="1" w:unhideWhenUsed="0" w:uiPriority="0" w:semiHidden="0" w:name="toc 1" w:locked="1"/>
    <w:lsdException w:qFormat="1" w:unhideWhenUsed="0" w:uiPriority="39" w:semiHidden="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nhideWhenUsed="0" w:uiPriority="0" w:semiHidden="0" w:name="Normal Indent" w:locked="1"/>
    <w:lsdException w:uiPriority="0" w:name="footnote text" w:locked="1"/>
    <w:lsdException w:qFormat="1" w:unhideWhenUsed="0" w:uiPriority="99" w:semiHidden="0" w:name="annotation text"/>
    <w:lsdException w:qFormat="1" w:unhideWhenUsed="0" w:uiPriority="0" w:semiHidden="0" w:name="header"/>
    <w:lsdException w:qFormat="1" w:unhideWhenUsed="0" w:uiPriority="99" w:semiHidden="0" w:name="footer"/>
    <w:lsdException w:uiPriority="0" w:name="index heading" w:locked="1"/>
    <w:lsdException w:qFormat="1" w:unhideWhenUsed="0" w:uiPriority="0" w:semiHidden="0" w:name="caption" w:locked="1"/>
    <w:lsdException w:uiPriority="0" w:name="table of figures" w:locked="1"/>
    <w:lsdException w:uiPriority="0" w:name="envelope address" w:locked="1"/>
    <w:lsdException w:uiPriority="0" w:name="envelope return" w:locked="1"/>
    <w:lsdException w:uiPriority="0" w:name="footnote reference" w:locked="1"/>
    <w:lsdException w:qFormat="1" w:unhideWhenUsed="0" w:uiPriority="99" w:semiHidden="0" w:name="annotation reference"/>
    <w:lsdException w:uiPriority="0" w:name="line number" w:locked="1"/>
    <w:lsdException w:qFormat="1" w:unhideWhenUsed="0" w:uiPriority="0" w:semiHidden="0" w:name="page number" w:locked="1"/>
    <w:lsdException w:uiPriority="0" w:name="endnote reference" w:locked="1"/>
    <w:lsdException w:uiPriority="0" w:name="endnote text" w:locked="1"/>
    <w:lsdException w:uiPriority="0" w:name="table of authorities" w:locked="1"/>
    <w:lsdException w:uiPriority="0" w:name="macro" w:locked="1"/>
    <w:lsdException w:uiPriority="0" w:name="toa heading" w:locked="1"/>
    <w:lsdException w:uiPriority="0" w:name="List" w:locked="1"/>
    <w:lsdException w:uiPriority="0" w:name="List Bullet" w:locked="1"/>
    <w:lsdException w:unhideWhenUsed="0" w:uiPriority="0" w:semiHidden="0" w:name="List Number" w:locked="1"/>
    <w:lsdException w:uiPriority="0" w:name="List 2" w:locked="1"/>
    <w:lsdException w:uiPriority="0" w:name="List 3" w:locked="1"/>
    <w:lsdException w:unhideWhenUsed="0" w:uiPriority="0" w:semiHidden="0" w:name="List 4" w:locked="1"/>
    <w:lsdException w:unhideWhenUsed="0" w:uiPriority="0" w:semiHidden="0" w:name="List 5" w:locked="1"/>
    <w:lsdException w:uiPriority="0" w:name="List Bullet 2" w:locked="1"/>
    <w:lsdException w:uiPriority="0" w:name="List Bullet 3" w:locked="1"/>
    <w:lsdException w:uiPriority="0" w:name="List Bullet 4" w:locked="1"/>
    <w:lsdException w:uiPriority="0" w:name="List Bullet 5" w:locked="1"/>
    <w:lsdException w:uiPriority="0" w:name="List Number 2" w:locked="1"/>
    <w:lsdException w:uiPriority="0" w:name="List Number 3" w:locked="1"/>
    <w:lsdException w:uiPriority="0" w:name="List Number 4" w:locked="1"/>
    <w:lsdException w:uiPriority="0" w:name="List Number 5" w:locked="1"/>
    <w:lsdException w:qFormat="1" w:unhideWhenUsed="0" w:uiPriority="0" w:semiHidden="0" w:name="Title" w:locked="1"/>
    <w:lsdException w:uiPriority="0" w:name="Closing" w:locked="1"/>
    <w:lsdException w:uiPriority="0" w:name="Signature" w:locked="1"/>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ocked="1"/>
    <w:lsdException w:uiPriority="0" w:name="List Continue 2" w:locked="1"/>
    <w:lsdException w:uiPriority="0" w:name="List Continue 3" w:locked="1"/>
    <w:lsdException w:uiPriority="0" w:name="List Continue 4" w:locked="1"/>
    <w:lsdException w:uiPriority="0" w:name="List Continue 5" w:locked="1"/>
    <w:lsdException w:uiPriority="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qFormat="1" w:unhideWhenUsed="0" w:uiPriority="0" w:semiHidden="0" w:name="Note Heading" w:locked="1"/>
    <w:lsdException w:uiPriority="0" w:name="Body Text 2" w:locked="1"/>
    <w:lsdException w:uiPriority="0" w:name="Body Text 3" w:locked="1"/>
    <w:lsdException w:qFormat="1" w:unhideWhenUsed="0" w:uiPriority="0" w:semiHidden="0" w:name="Body Text Indent 2" w:locked="1"/>
    <w:lsdException w:uiPriority="0" w:name="Body Text Indent 3" w:locked="1"/>
    <w:lsdException w:uiPriority="0" w:name="Block Text" w:locked="1"/>
    <w:lsdException w:qFormat="1" w:uiPriority="0" w:semiHidden="0" w:name="Hyperlink" w:locked="1"/>
    <w:lsdException w:uiPriority="0" w:name="FollowedHyperlink" w:locked="1"/>
    <w:lsdException w:qFormat="1" w:unhideWhenUsed="0" w:uiPriority="0" w:semiHidden="0" w:name="Strong" w:locked="1"/>
    <w:lsdException w:qFormat="1" w:unhideWhenUsed="0" w:uiPriority="0" w:semiHidden="0" w:name="Emphasis" w:locked="1"/>
    <w:lsdException w:uiPriority="0" w:name="Document Map" w:locked="1"/>
    <w:lsdException w:qFormat="1" w:unhideWhenUsed="0" w:uiPriority="0" w:semiHidden="0" w:name="Plain Text" w:locked="1"/>
    <w:lsdException w:uiPriority="0" w:name="E-mail Signature" w:locked="1"/>
    <w:lsdException w:qFormat="1" w:unhideWhenUsed="0" w:uiPriority="0" w:semiHidden="0" w:name="Normal (Web)"/>
    <w:lsdException w:uiPriority="0" w:name="HTML Acronym" w:locked="1"/>
    <w:lsdException w:uiPriority="0" w:name="HTML Address" w:locked="1"/>
    <w:lsdException w:uiPriority="0" w:name="HTML Cite" w:locked="1"/>
    <w:lsdException w:uiPriority="0" w:name="HTML Code" w:locked="1"/>
    <w:lsdException w:uiPriority="0" w:name="HTML Definition" w:locked="1"/>
    <w:lsdException w:uiPriority="0" w:name="HTML Keyboard" w:locked="1"/>
    <w:lsdException w:uiPriority="0" w:name="HTML Preformatted" w:locked="1"/>
    <w:lsdException w:uiPriority="0" w:name="HTML Sample" w:locked="1"/>
    <w:lsdException w:uiPriority="0" w:name="HTML Typewriter" w:locked="1"/>
    <w:lsdException w:uiPriority="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2"/>
    <w:basedOn w:val="1"/>
    <w:next w:val="1"/>
    <w:autoRedefine/>
    <w:unhideWhenUsed/>
    <w:qFormat/>
    <w:locked/>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7">
    <w:name w:val="heading 3"/>
    <w:basedOn w:val="1"/>
    <w:next w:val="1"/>
    <w:autoRedefine/>
    <w:qFormat/>
    <w:locked/>
    <w:uiPriority w:val="0"/>
    <w:pPr>
      <w:keepNext/>
      <w:keepLines/>
      <w:spacing w:before="260" w:beforeLines="0" w:after="260" w:afterLines="0"/>
      <w:outlineLvl w:val="2"/>
    </w:pPr>
    <w:rPr>
      <w:b/>
      <w:bCs/>
      <w:szCs w:val="32"/>
    </w:rPr>
  </w:style>
  <w:style w:type="paragraph" w:styleId="8">
    <w:name w:val="heading 4"/>
    <w:basedOn w:val="1"/>
    <w:next w:val="1"/>
    <w:autoRedefine/>
    <w:qFormat/>
    <w:locked/>
    <w:uiPriority w:val="1"/>
    <w:pPr>
      <w:spacing w:before="133"/>
      <w:ind w:left="991"/>
      <w:outlineLvl w:val="3"/>
    </w:pPr>
    <w:rPr>
      <w:rFonts w:hint="eastAsia"/>
      <w:b/>
    </w:rPr>
  </w:style>
  <w:style w:type="character" w:default="1" w:styleId="30">
    <w:name w:val="Default Paragraph Font"/>
    <w:autoRedefine/>
    <w:semiHidden/>
    <w:unhideWhenUsed/>
    <w:qFormat/>
    <w:uiPriority w:val="1"/>
  </w:style>
  <w:style w:type="table" w:default="1" w:styleId="28">
    <w:name w:val="Normal Table"/>
    <w:autoRedefine/>
    <w:semiHidden/>
    <w:unhideWhenUsed/>
    <w:qFormat/>
    <w:uiPriority w:val="99"/>
    <w:tblPr>
      <w:tblCellMar>
        <w:top w:w="0" w:type="dxa"/>
        <w:left w:w="108" w:type="dxa"/>
        <w:bottom w:w="0" w:type="dxa"/>
        <w:right w:w="108" w:type="dxa"/>
      </w:tblCellMar>
    </w:tblPr>
  </w:style>
  <w:style w:type="paragraph" w:customStyle="1" w:styleId="2">
    <w:name w:val="Default"/>
    <w:basedOn w:val="3"/>
    <w:autoRedefine/>
    <w:qFormat/>
    <w:uiPriority w:val="0"/>
    <w:pPr>
      <w:widowControl w:val="0"/>
      <w:autoSpaceDE w:val="0"/>
      <w:autoSpaceDN w:val="0"/>
      <w:adjustRightInd w:val="0"/>
      <w:spacing w:line="360" w:lineRule="auto"/>
    </w:pPr>
    <w:rPr>
      <w:rFonts w:ascii="PMingLiU" w:hAnsi="Times New Roman" w:eastAsia="PMingLiU" w:cs="PMingLiU"/>
      <w:color w:val="000000"/>
      <w:sz w:val="24"/>
      <w:szCs w:val="24"/>
      <w:lang w:val="en-US" w:eastAsia="zh-CN" w:bidi="ar-SA"/>
    </w:rPr>
  </w:style>
  <w:style w:type="paragraph" w:customStyle="1" w:styleId="3">
    <w:name w:val="纯文本1"/>
    <w:basedOn w:val="1"/>
    <w:next w:val="4"/>
    <w:autoRedefine/>
    <w:qFormat/>
    <w:uiPriority w:val="99"/>
    <w:rPr>
      <w:rFonts w:ascii="宋体" w:hAnsi="Courier New" w:eastAsia="宋体" w:cs="黑体"/>
      <w:szCs w:val="21"/>
    </w:rPr>
  </w:style>
  <w:style w:type="paragraph" w:styleId="4">
    <w:name w:val="Plain Text"/>
    <w:basedOn w:val="1"/>
    <w:autoRedefine/>
    <w:qFormat/>
    <w:locked/>
    <w:uiPriority w:val="0"/>
    <w:pPr>
      <w:spacing w:line="240" w:lineRule="atLeast"/>
      <w:jc w:val="center"/>
    </w:pPr>
    <w:rPr>
      <w:rFonts w:ascii="宋体" w:hAnsi="宋体"/>
      <w:color w:val="000000"/>
      <w:szCs w:val="20"/>
    </w:rPr>
  </w:style>
  <w:style w:type="paragraph" w:styleId="9">
    <w:name w:val="Note Heading"/>
    <w:basedOn w:val="1"/>
    <w:next w:val="1"/>
    <w:autoRedefine/>
    <w:qFormat/>
    <w:locked/>
    <w:uiPriority w:val="0"/>
    <w:pPr>
      <w:jc w:val="center"/>
    </w:pPr>
    <w:rPr>
      <w:sz w:val="28"/>
      <w:szCs w:val="20"/>
    </w:rPr>
  </w:style>
  <w:style w:type="paragraph" w:styleId="10">
    <w:name w:val="Normal Indent"/>
    <w:basedOn w:val="1"/>
    <w:next w:val="1"/>
    <w:autoRedefine/>
    <w:qFormat/>
    <w:locked/>
    <w:uiPriority w:val="0"/>
    <w:pPr>
      <w:spacing w:before="156" w:beforeLines="50"/>
      <w:jc w:val="center"/>
    </w:pPr>
    <w:rPr>
      <w:rFonts w:ascii="黑体" w:eastAsia="黑体" w:cs="Plotter"/>
      <w:sz w:val="24"/>
      <w:szCs w:val="20"/>
    </w:rPr>
  </w:style>
  <w:style w:type="paragraph" w:styleId="11">
    <w:name w:val="caption"/>
    <w:basedOn w:val="1"/>
    <w:next w:val="1"/>
    <w:autoRedefine/>
    <w:qFormat/>
    <w:locked/>
    <w:uiPriority w:val="0"/>
    <w:pPr>
      <w:numPr>
        <w:ilvl w:val="0"/>
        <w:numId w:val="1"/>
      </w:numPr>
      <w:jc w:val="center"/>
    </w:pPr>
    <w:rPr>
      <w:rFonts w:ascii="Arial" w:hAnsi="Arial" w:eastAsia="宋体" w:cs="Arial"/>
      <w:sz w:val="24"/>
    </w:rPr>
  </w:style>
  <w:style w:type="paragraph" w:styleId="12">
    <w:name w:val="annotation text"/>
    <w:basedOn w:val="1"/>
    <w:link w:val="45"/>
    <w:autoRedefine/>
    <w:qFormat/>
    <w:uiPriority w:val="99"/>
    <w:pPr>
      <w:jc w:val="left"/>
    </w:pPr>
    <w:rPr>
      <w:kern w:val="0"/>
      <w:sz w:val="24"/>
      <w:szCs w:val="20"/>
    </w:rPr>
  </w:style>
  <w:style w:type="paragraph" w:styleId="13">
    <w:name w:val="Body Text"/>
    <w:basedOn w:val="1"/>
    <w:next w:val="9"/>
    <w:link w:val="44"/>
    <w:autoRedefine/>
    <w:qFormat/>
    <w:uiPriority w:val="0"/>
    <w:pPr>
      <w:widowControl/>
      <w:snapToGrid w:val="0"/>
      <w:spacing w:before="60" w:after="160" w:line="259" w:lineRule="auto"/>
      <w:ind w:right="113"/>
    </w:pPr>
    <w:rPr>
      <w:kern w:val="0"/>
      <w:sz w:val="18"/>
      <w:szCs w:val="20"/>
    </w:rPr>
  </w:style>
  <w:style w:type="paragraph" w:styleId="14">
    <w:name w:val="Body Text Indent"/>
    <w:basedOn w:val="1"/>
    <w:next w:val="15"/>
    <w:link w:val="53"/>
    <w:autoRedefine/>
    <w:qFormat/>
    <w:uiPriority w:val="0"/>
    <w:pPr>
      <w:spacing w:after="120"/>
      <w:ind w:left="420" w:leftChars="200"/>
    </w:pPr>
    <w:rPr>
      <w:kern w:val="0"/>
      <w:sz w:val="24"/>
      <w:szCs w:val="20"/>
    </w:rPr>
  </w:style>
  <w:style w:type="paragraph" w:customStyle="1" w:styleId="15">
    <w:name w:val="样式 正文文本缩进 + 宋体 小四 居中 行距: 固定值 23 磅1"/>
    <w:basedOn w:val="1"/>
    <w:autoRedefine/>
    <w:qFormat/>
    <w:uiPriority w:val="0"/>
    <w:pPr>
      <w:spacing w:line="460" w:lineRule="exact"/>
      <w:ind w:left="-181" w:leftChars="-86"/>
    </w:pPr>
    <w:rPr>
      <w:rFonts w:ascii="宋体" w:hAnsi="宋体" w:cs="宋体"/>
      <w:color w:val="000000"/>
    </w:rPr>
  </w:style>
  <w:style w:type="paragraph" w:styleId="16">
    <w:name w:val="Date"/>
    <w:basedOn w:val="1"/>
    <w:next w:val="1"/>
    <w:link w:val="40"/>
    <w:autoRedefine/>
    <w:qFormat/>
    <w:uiPriority w:val="0"/>
    <w:pPr>
      <w:ind w:left="100" w:leftChars="2500"/>
    </w:pPr>
    <w:rPr>
      <w:kern w:val="0"/>
      <w:sz w:val="24"/>
      <w:szCs w:val="20"/>
    </w:rPr>
  </w:style>
  <w:style w:type="paragraph" w:styleId="17">
    <w:name w:val="Body Text Indent 2"/>
    <w:basedOn w:val="1"/>
    <w:autoRedefine/>
    <w:qFormat/>
    <w:locked/>
    <w:uiPriority w:val="0"/>
    <w:pPr>
      <w:spacing w:after="120" w:line="480" w:lineRule="auto"/>
      <w:ind w:left="420" w:leftChars="200"/>
    </w:pPr>
  </w:style>
  <w:style w:type="paragraph" w:styleId="18">
    <w:name w:val="Balloon Text"/>
    <w:basedOn w:val="1"/>
    <w:link w:val="49"/>
    <w:autoRedefine/>
    <w:semiHidden/>
    <w:qFormat/>
    <w:uiPriority w:val="0"/>
    <w:rPr>
      <w:kern w:val="0"/>
      <w:sz w:val="18"/>
      <w:szCs w:val="20"/>
    </w:rPr>
  </w:style>
  <w:style w:type="paragraph" w:styleId="19">
    <w:name w:val="footer"/>
    <w:basedOn w:val="1"/>
    <w:link w:val="39"/>
    <w:autoRedefine/>
    <w:qFormat/>
    <w:uiPriority w:val="99"/>
    <w:pPr>
      <w:tabs>
        <w:tab w:val="center" w:pos="4153"/>
        <w:tab w:val="right" w:pos="8306"/>
      </w:tabs>
      <w:snapToGrid w:val="0"/>
      <w:jc w:val="left"/>
    </w:pPr>
    <w:rPr>
      <w:kern w:val="0"/>
      <w:sz w:val="18"/>
      <w:szCs w:val="20"/>
    </w:rPr>
  </w:style>
  <w:style w:type="paragraph" w:styleId="20">
    <w:name w:val="header"/>
    <w:basedOn w:val="1"/>
    <w:link w:val="51"/>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21">
    <w:name w:val="toc 1"/>
    <w:basedOn w:val="1"/>
    <w:next w:val="1"/>
    <w:autoRedefine/>
    <w:qFormat/>
    <w:locked/>
    <w:uiPriority w:val="0"/>
  </w:style>
  <w:style w:type="paragraph" w:styleId="22">
    <w:name w:val="Subtitle"/>
    <w:basedOn w:val="1"/>
    <w:next w:val="1"/>
    <w:link w:val="60"/>
    <w:autoRedefine/>
    <w:qFormat/>
    <w:locked/>
    <w:uiPriority w:val="0"/>
    <w:pPr>
      <w:spacing w:before="240" w:after="60" w:line="312" w:lineRule="auto"/>
      <w:jc w:val="center"/>
      <w:outlineLvl w:val="1"/>
    </w:pPr>
    <w:rPr>
      <w:rFonts w:ascii="Cambria" w:hAnsi="Cambria"/>
      <w:b/>
      <w:bCs/>
      <w:kern w:val="28"/>
      <w:sz w:val="32"/>
      <w:szCs w:val="32"/>
    </w:rPr>
  </w:style>
  <w:style w:type="paragraph" w:styleId="23">
    <w:name w:val="toc 2"/>
    <w:basedOn w:val="1"/>
    <w:next w:val="1"/>
    <w:autoRedefine/>
    <w:qFormat/>
    <w:locked/>
    <w:uiPriority w:val="39"/>
    <w:pPr>
      <w:ind w:left="420" w:leftChars="200"/>
    </w:pPr>
    <w:rPr>
      <w:rFonts w:ascii="等线" w:hAnsi="等线" w:eastAsia="等线"/>
    </w:rPr>
  </w:style>
  <w:style w:type="paragraph" w:styleId="24">
    <w:name w:val="Normal (Web)"/>
    <w:basedOn w:val="1"/>
    <w:link w:val="42"/>
    <w:autoRedefine/>
    <w:qFormat/>
    <w:uiPriority w:val="0"/>
    <w:pPr>
      <w:widowControl/>
      <w:spacing w:before="100" w:beforeAutospacing="1" w:after="100" w:afterAutospacing="1"/>
      <w:jc w:val="left"/>
    </w:pPr>
    <w:rPr>
      <w:rFonts w:ascii="宋体" w:hAnsi="宋体"/>
      <w:kern w:val="0"/>
      <w:sz w:val="24"/>
      <w:szCs w:val="20"/>
    </w:rPr>
  </w:style>
  <w:style w:type="paragraph" w:styleId="25">
    <w:name w:val="Title"/>
    <w:basedOn w:val="1"/>
    <w:next w:val="1"/>
    <w:link w:val="59"/>
    <w:autoRedefine/>
    <w:qFormat/>
    <w:locked/>
    <w:uiPriority w:val="0"/>
    <w:pPr>
      <w:spacing w:before="120" w:after="120" w:line="360" w:lineRule="auto"/>
      <w:jc w:val="center"/>
      <w:outlineLvl w:val="1"/>
    </w:pPr>
    <w:rPr>
      <w:rFonts w:ascii="Cambria" w:hAnsi="Cambria"/>
      <w:b/>
      <w:bCs/>
      <w:sz w:val="28"/>
      <w:szCs w:val="32"/>
    </w:rPr>
  </w:style>
  <w:style w:type="paragraph" w:styleId="26">
    <w:name w:val="annotation subject"/>
    <w:basedOn w:val="12"/>
    <w:next w:val="12"/>
    <w:link w:val="50"/>
    <w:autoRedefine/>
    <w:semiHidden/>
    <w:qFormat/>
    <w:uiPriority w:val="0"/>
    <w:rPr>
      <w:b/>
    </w:rPr>
  </w:style>
  <w:style w:type="paragraph" w:styleId="27">
    <w:name w:val="Body Text First Indent 2"/>
    <w:basedOn w:val="1"/>
    <w:next w:val="1"/>
    <w:autoRedefine/>
    <w:qFormat/>
    <w:locked/>
    <w:uiPriority w:val="0"/>
    <w:pPr>
      <w:spacing w:after="120"/>
      <w:ind w:left="420" w:leftChars="200" w:firstLine="420"/>
    </w:pPr>
    <w:rPr>
      <w:rFonts w:ascii="Times New Roman" w:hAnsi="Times New Roman" w:eastAsia="宋体"/>
    </w:rPr>
  </w:style>
  <w:style w:type="table" w:styleId="29">
    <w:name w:val="Table Grid"/>
    <w:basedOn w:val="2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page number"/>
    <w:basedOn w:val="30"/>
    <w:autoRedefine/>
    <w:qFormat/>
    <w:locked/>
    <w:uiPriority w:val="0"/>
  </w:style>
  <w:style w:type="character" w:styleId="32">
    <w:name w:val="Hyperlink"/>
    <w:basedOn w:val="30"/>
    <w:autoRedefine/>
    <w:unhideWhenUsed/>
    <w:qFormat/>
    <w:locked/>
    <w:uiPriority w:val="0"/>
    <w:rPr>
      <w:color w:val="0000FF" w:themeColor="hyperlink"/>
      <w:u w:val="single"/>
      <w14:textFill>
        <w14:solidFill>
          <w14:schemeClr w14:val="hlink"/>
        </w14:solidFill>
      </w14:textFill>
    </w:rPr>
  </w:style>
  <w:style w:type="character" w:styleId="33">
    <w:name w:val="annotation reference"/>
    <w:autoRedefine/>
    <w:qFormat/>
    <w:uiPriority w:val="99"/>
    <w:rPr>
      <w:sz w:val="21"/>
    </w:rPr>
  </w:style>
  <w:style w:type="paragraph" w:customStyle="1" w:styleId="34">
    <w:name w:val="0正文"/>
    <w:basedOn w:val="14"/>
    <w:next w:val="24"/>
    <w:autoRedefine/>
    <w:unhideWhenUsed/>
    <w:qFormat/>
    <w:uiPriority w:val="0"/>
    <w:pPr>
      <w:widowControl w:val="0"/>
      <w:spacing w:line="360" w:lineRule="auto"/>
      <w:ind w:firstLine="720" w:firstLineChars="200"/>
    </w:pPr>
    <w:rPr>
      <w:rFonts w:ascii="Calibri" w:hAnsi="Calibri" w:eastAsia="宋体" w:cs="Times New Roman"/>
      <w:sz w:val="24"/>
      <w:szCs w:val="22"/>
      <w:lang w:val="en-US" w:eastAsia="zh-CN" w:bidi="ar-SA"/>
    </w:rPr>
  </w:style>
  <w:style w:type="paragraph" w:customStyle="1" w:styleId="35">
    <w:name w:val="BodyText1I2"/>
    <w:basedOn w:val="36"/>
    <w:autoRedefine/>
    <w:qFormat/>
    <w:uiPriority w:val="0"/>
    <w:pPr>
      <w:spacing w:line="360" w:lineRule="auto"/>
      <w:ind w:left="0" w:leftChars="0" w:firstLine="420" w:firstLineChars="200"/>
    </w:pPr>
    <w:rPr>
      <w:rFonts w:ascii="宋体" w:hAnsi="宋体"/>
      <w:sz w:val="28"/>
      <w:szCs w:val="28"/>
    </w:rPr>
  </w:style>
  <w:style w:type="paragraph" w:customStyle="1" w:styleId="36">
    <w:name w:val="BodyTextIndent"/>
    <w:basedOn w:val="1"/>
    <w:next w:val="1"/>
    <w:autoRedefine/>
    <w:qFormat/>
    <w:uiPriority w:val="0"/>
    <w:pPr>
      <w:spacing w:after="120"/>
      <w:ind w:left="420" w:leftChars="200"/>
    </w:pPr>
  </w:style>
  <w:style w:type="paragraph" w:customStyle="1" w:styleId="37">
    <w:name w:val="样式35"/>
    <w:next w:val="38"/>
    <w:autoRedefine/>
    <w:qFormat/>
    <w:uiPriority w:val="99"/>
    <w:pPr>
      <w:widowControl w:val="0"/>
      <w:spacing w:line="312" w:lineRule="auto"/>
      <w:ind w:firstLine="567"/>
      <w:jc w:val="both"/>
    </w:pPr>
    <w:rPr>
      <w:rFonts w:ascii="宋体" w:hAnsi="Times New Roman" w:eastAsia="宋体" w:cs="Times New Roman"/>
      <w:kern w:val="2"/>
      <w:sz w:val="21"/>
      <w:szCs w:val="22"/>
      <w:lang w:val="en-US" w:eastAsia="zh-CN" w:bidi="ar-SA"/>
    </w:rPr>
  </w:style>
  <w:style w:type="paragraph" w:customStyle="1" w:styleId="38">
    <w:name w:val="font6"/>
    <w:basedOn w:val="1"/>
    <w:next w:val="23"/>
    <w:autoRedefine/>
    <w:qFormat/>
    <w:uiPriority w:val="99"/>
    <w:pPr>
      <w:widowControl/>
      <w:spacing w:before="100" w:beforeAutospacing="1" w:after="100" w:afterAutospacing="1"/>
      <w:jc w:val="left"/>
    </w:pPr>
    <w:rPr>
      <w:rFonts w:ascii="宋体" w:hAnsi="宋体" w:eastAsia="宋体" w:cs="宋体"/>
      <w:kern w:val="0"/>
      <w:sz w:val="20"/>
      <w:szCs w:val="20"/>
    </w:rPr>
  </w:style>
  <w:style w:type="character" w:customStyle="1" w:styleId="39">
    <w:name w:val="页脚 Char"/>
    <w:link w:val="19"/>
    <w:autoRedefine/>
    <w:qFormat/>
    <w:locked/>
    <w:uiPriority w:val="99"/>
    <w:rPr>
      <w:sz w:val="18"/>
    </w:rPr>
  </w:style>
  <w:style w:type="character" w:customStyle="1" w:styleId="40">
    <w:name w:val="日期 Char"/>
    <w:link w:val="16"/>
    <w:autoRedefine/>
    <w:qFormat/>
    <w:locked/>
    <w:uiPriority w:val="0"/>
    <w:rPr>
      <w:rFonts w:ascii="Times New Roman" w:hAnsi="Times New Roman" w:eastAsia="宋体"/>
      <w:sz w:val="24"/>
    </w:rPr>
  </w:style>
  <w:style w:type="character" w:customStyle="1" w:styleId="41">
    <w:name w:val="页脚 字符"/>
    <w:basedOn w:val="30"/>
    <w:autoRedefine/>
    <w:qFormat/>
    <w:uiPriority w:val="99"/>
  </w:style>
  <w:style w:type="character" w:customStyle="1" w:styleId="42">
    <w:name w:val="普通(网站) Char"/>
    <w:link w:val="24"/>
    <w:autoRedefine/>
    <w:qFormat/>
    <w:locked/>
    <w:uiPriority w:val="0"/>
    <w:rPr>
      <w:rFonts w:ascii="宋体" w:hAnsi="宋体" w:eastAsia="宋体"/>
      <w:sz w:val="24"/>
    </w:rPr>
  </w:style>
  <w:style w:type="character" w:customStyle="1" w:styleId="43">
    <w:name w:val="正文文本 字符1"/>
    <w:autoRedefine/>
    <w:semiHidden/>
    <w:qFormat/>
    <w:uiPriority w:val="0"/>
    <w:rPr>
      <w:rFonts w:ascii="Times New Roman" w:hAnsi="Times New Roman" w:eastAsia="宋体"/>
      <w:sz w:val="24"/>
    </w:rPr>
  </w:style>
  <w:style w:type="character" w:customStyle="1" w:styleId="44">
    <w:name w:val="正文文本 Char"/>
    <w:link w:val="13"/>
    <w:autoRedefine/>
    <w:qFormat/>
    <w:locked/>
    <w:uiPriority w:val="0"/>
    <w:rPr>
      <w:sz w:val="18"/>
    </w:rPr>
  </w:style>
  <w:style w:type="character" w:customStyle="1" w:styleId="45">
    <w:name w:val="批注文字 Char"/>
    <w:link w:val="12"/>
    <w:autoRedefine/>
    <w:qFormat/>
    <w:locked/>
    <w:uiPriority w:val="99"/>
    <w:rPr>
      <w:rFonts w:ascii="Times New Roman" w:hAnsi="Times New Roman" w:eastAsia="宋体"/>
      <w:sz w:val="24"/>
    </w:rPr>
  </w:style>
  <w:style w:type="character" w:customStyle="1" w:styleId="46">
    <w:name w:val="表格 Char"/>
    <w:link w:val="47"/>
    <w:autoRedefine/>
    <w:qFormat/>
    <w:locked/>
    <w:uiPriority w:val="0"/>
    <w:rPr>
      <w:rFonts w:ascii="宋体"/>
      <w:sz w:val="21"/>
    </w:rPr>
  </w:style>
  <w:style w:type="paragraph" w:customStyle="1" w:styleId="47">
    <w:name w:val="表格"/>
    <w:basedOn w:val="1"/>
    <w:next w:val="1"/>
    <w:link w:val="46"/>
    <w:autoRedefine/>
    <w:qFormat/>
    <w:uiPriority w:val="0"/>
    <w:pPr>
      <w:adjustRightInd w:val="0"/>
      <w:snapToGrid w:val="0"/>
      <w:spacing w:beforeLines="10" w:afterLines="10" w:line="259" w:lineRule="auto"/>
      <w:jc w:val="center"/>
    </w:pPr>
    <w:rPr>
      <w:rFonts w:ascii="宋体"/>
      <w:kern w:val="0"/>
      <w:szCs w:val="20"/>
    </w:rPr>
  </w:style>
  <w:style w:type="character" w:customStyle="1" w:styleId="48">
    <w:name w:val="日期 字符"/>
    <w:autoRedefine/>
    <w:semiHidden/>
    <w:qFormat/>
    <w:uiPriority w:val="0"/>
    <w:rPr>
      <w:rFonts w:ascii="Times New Roman" w:hAnsi="Times New Roman" w:eastAsia="宋体"/>
      <w:sz w:val="24"/>
    </w:rPr>
  </w:style>
  <w:style w:type="character" w:customStyle="1" w:styleId="49">
    <w:name w:val="批注框文本 Char"/>
    <w:link w:val="18"/>
    <w:autoRedefine/>
    <w:semiHidden/>
    <w:qFormat/>
    <w:locked/>
    <w:uiPriority w:val="0"/>
    <w:rPr>
      <w:rFonts w:ascii="Times New Roman" w:hAnsi="Times New Roman" w:eastAsia="宋体"/>
      <w:sz w:val="18"/>
    </w:rPr>
  </w:style>
  <w:style w:type="character" w:customStyle="1" w:styleId="50">
    <w:name w:val="批注主题 Char"/>
    <w:link w:val="26"/>
    <w:autoRedefine/>
    <w:semiHidden/>
    <w:qFormat/>
    <w:locked/>
    <w:uiPriority w:val="0"/>
    <w:rPr>
      <w:rFonts w:ascii="Times New Roman" w:hAnsi="Times New Roman" w:eastAsia="宋体"/>
      <w:b/>
      <w:kern w:val="2"/>
      <w:sz w:val="24"/>
    </w:rPr>
  </w:style>
  <w:style w:type="character" w:customStyle="1" w:styleId="51">
    <w:name w:val="页眉 Char"/>
    <w:link w:val="20"/>
    <w:autoRedefine/>
    <w:qFormat/>
    <w:locked/>
    <w:uiPriority w:val="0"/>
    <w:rPr>
      <w:sz w:val="18"/>
    </w:rPr>
  </w:style>
  <w:style w:type="character" w:customStyle="1" w:styleId="52">
    <w:name w:val="批注文字 字符1"/>
    <w:autoRedefine/>
    <w:semiHidden/>
    <w:qFormat/>
    <w:uiPriority w:val="0"/>
    <w:rPr>
      <w:rFonts w:ascii="Times New Roman" w:hAnsi="Times New Roman" w:eastAsia="宋体"/>
      <w:sz w:val="24"/>
    </w:rPr>
  </w:style>
  <w:style w:type="character" w:customStyle="1" w:styleId="53">
    <w:name w:val="正文文本缩进 Char"/>
    <w:link w:val="14"/>
    <w:autoRedefine/>
    <w:semiHidden/>
    <w:qFormat/>
    <w:locked/>
    <w:uiPriority w:val="0"/>
    <w:rPr>
      <w:rFonts w:ascii="Times New Roman" w:hAnsi="Times New Roman" w:eastAsia="宋体"/>
      <w:sz w:val="24"/>
    </w:rPr>
  </w:style>
  <w:style w:type="paragraph" w:customStyle="1" w:styleId="54">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5">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56">
    <w:name w:val="表格内容"/>
    <w:basedOn w:val="57"/>
    <w:autoRedefine/>
    <w:qFormat/>
    <w:uiPriority w:val="0"/>
    <w:pPr>
      <w:jc w:val="center"/>
    </w:pPr>
  </w:style>
  <w:style w:type="paragraph" w:customStyle="1" w:styleId="57">
    <w:name w:val="表格固定文字"/>
    <w:basedOn w:val="1"/>
    <w:autoRedefine/>
    <w:qFormat/>
    <w:uiPriority w:val="0"/>
    <w:rPr>
      <w:rFonts w:ascii="宋体" w:hAnsi="宋体" w:cs="Plotter"/>
      <w:sz w:val="24"/>
    </w:rPr>
  </w:style>
  <w:style w:type="paragraph" w:customStyle="1" w:styleId="58">
    <w:name w:val="an标题"/>
    <w:basedOn w:val="25"/>
    <w:autoRedefine/>
    <w:qFormat/>
    <w:uiPriority w:val="0"/>
    <w:pPr>
      <w:outlineLvl w:val="0"/>
    </w:pPr>
    <w:rPr>
      <w:sz w:val="30"/>
    </w:rPr>
  </w:style>
  <w:style w:type="character" w:customStyle="1" w:styleId="59">
    <w:name w:val="标题 Char"/>
    <w:link w:val="25"/>
    <w:autoRedefine/>
    <w:qFormat/>
    <w:uiPriority w:val="0"/>
    <w:rPr>
      <w:rFonts w:ascii="Cambria" w:hAnsi="Cambria" w:cs="Times New Roman"/>
      <w:b/>
      <w:bCs/>
      <w:kern w:val="2"/>
      <w:sz w:val="28"/>
      <w:szCs w:val="32"/>
    </w:rPr>
  </w:style>
  <w:style w:type="character" w:customStyle="1" w:styleId="60">
    <w:name w:val="副标题 Char"/>
    <w:link w:val="22"/>
    <w:autoRedefine/>
    <w:qFormat/>
    <w:uiPriority w:val="0"/>
    <w:rPr>
      <w:rFonts w:ascii="Cambria" w:hAnsi="Cambria" w:cs="Times New Roman"/>
      <w:b/>
      <w:bCs/>
      <w:kern w:val="28"/>
      <w:sz w:val="32"/>
      <w:szCs w:val="32"/>
    </w:rPr>
  </w:style>
  <w:style w:type="character" w:customStyle="1" w:styleId="61">
    <w:name w:val="4正文 Char Char"/>
    <w:link w:val="62"/>
    <w:autoRedefine/>
    <w:qFormat/>
    <w:uiPriority w:val="0"/>
    <w:rPr>
      <w:rFonts w:cs="宋体"/>
      <w:sz w:val="24"/>
    </w:rPr>
  </w:style>
  <w:style w:type="paragraph" w:customStyle="1" w:styleId="62">
    <w:name w:val="4正文"/>
    <w:basedOn w:val="1"/>
    <w:link w:val="61"/>
    <w:autoRedefine/>
    <w:qFormat/>
    <w:uiPriority w:val="0"/>
    <w:pPr>
      <w:spacing w:line="360" w:lineRule="auto"/>
      <w:ind w:firstLine="480" w:firstLineChars="200"/>
    </w:pPr>
    <w:rPr>
      <w:rFonts w:cs="宋体"/>
      <w:kern w:val="0"/>
      <w:sz w:val="24"/>
      <w:szCs w:val="20"/>
    </w:rPr>
  </w:style>
  <w:style w:type="paragraph" w:customStyle="1" w:styleId="63">
    <w:name w:val="文本块1"/>
    <w:basedOn w:val="1"/>
    <w:autoRedefine/>
    <w:qFormat/>
    <w:uiPriority w:val="0"/>
    <w:pPr>
      <w:widowControl/>
      <w:adjustRightInd w:val="0"/>
      <w:snapToGrid w:val="0"/>
      <w:spacing w:line="440" w:lineRule="exact"/>
      <w:ind w:left="113" w:right="113" w:firstLine="567" w:firstLineChars="200"/>
    </w:pPr>
    <w:rPr>
      <w:rFonts w:ascii="Calibri" w:eastAsia="Calibri"/>
      <w:kern w:val="0"/>
      <w:sz w:val="28"/>
      <w:szCs w:val="20"/>
    </w:rPr>
  </w:style>
  <w:style w:type="paragraph" w:customStyle="1" w:styleId="64">
    <w:name w:val="[正文格式]"/>
    <w:basedOn w:val="1"/>
    <w:autoRedefine/>
    <w:qFormat/>
    <w:uiPriority w:val="0"/>
    <w:pPr>
      <w:spacing w:line="360" w:lineRule="auto"/>
      <w:ind w:firstLine="200" w:firstLineChars="200"/>
    </w:pPr>
    <w:rPr>
      <w:rFonts w:cs="宋体"/>
      <w:sz w:val="24"/>
    </w:rPr>
  </w:style>
  <w:style w:type="table" w:customStyle="1" w:styleId="65">
    <w:name w:val="网格型611"/>
    <w:basedOn w:val="28"/>
    <w:autoRedefine/>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66">
    <w:name w:val="修订1"/>
    <w:autoRedefine/>
    <w:hidden/>
    <w:unhideWhenUsed/>
    <w:qFormat/>
    <w:uiPriority w:val="99"/>
    <w:rPr>
      <w:rFonts w:ascii="Times New Roman" w:hAnsi="Times New Roman" w:eastAsia="宋体" w:cs="Times New Roman"/>
      <w:kern w:val="2"/>
      <w:sz w:val="21"/>
      <w:szCs w:val="24"/>
      <w:lang w:val="en-US" w:eastAsia="zh-CN" w:bidi="ar-SA"/>
    </w:rPr>
  </w:style>
  <w:style w:type="paragraph" w:customStyle="1" w:styleId="67">
    <w:name w:val="Table Paragraph"/>
    <w:basedOn w:val="1"/>
    <w:autoRedefine/>
    <w:qFormat/>
    <w:uiPriority w:val="1"/>
    <w:pPr>
      <w:jc w:val="left"/>
    </w:pPr>
    <w:rPr>
      <w:rFonts w:ascii="Calibri" w:hAnsi="Calibri"/>
      <w:kern w:val="0"/>
      <w:sz w:val="22"/>
      <w:szCs w:val="22"/>
      <w:lang w:eastAsia="en-US"/>
    </w:rPr>
  </w:style>
  <w:style w:type="character" w:customStyle="1" w:styleId="68">
    <w:name w:val="font31"/>
    <w:autoRedefine/>
    <w:qFormat/>
    <w:uiPriority w:val="0"/>
    <w:rPr>
      <w:rFonts w:ascii="Wingdings 2" w:hAnsi="Wingdings 2" w:eastAsia="Wingdings 2" w:cs="Wingdings 2"/>
      <w:color w:val="000000"/>
      <w:sz w:val="24"/>
      <w:szCs w:val="24"/>
      <w:u w:val="none"/>
    </w:rPr>
  </w:style>
  <w:style w:type="character" w:customStyle="1" w:styleId="69">
    <w:name w:val="普通(网站) Char1"/>
    <w:autoRedefine/>
    <w:qFormat/>
    <w:locked/>
    <w:uiPriority w:val="0"/>
    <w:rPr>
      <w:rFonts w:ascii="宋体" w:hAnsi="宋体" w:eastAsia="宋体"/>
      <w:sz w:val="24"/>
    </w:rPr>
  </w:style>
  <w:style w:type="paragraph" w:customStyle="1" w:styleId="70">
    <w:name w:val="1表头"/>
    <w:basedOn w:val="1"/>
    <w:autoRedefine/>
    <w:qFormat/>
    <w:uiPriority w:val="0"/>
    <w:pPr>
      <w:spacing w:line="360" w:lineRule="auto"/>
      <w:jc w:val="center"/>
    </w:pPr>
    <w:rPr>
      <w:b/>
      <w:color w:val="000000"/>
      <w:kern w:val="0"/>
    </w:rPr>
  </w:style>
  <w:style w:type="paragraph" w:customStyle="1" w:styleId="71">
    <w:name w:val="样式 样式 (中文) 仿宋_GB2312 居中1 + 小四"/>
    <w:basedOn w:val="1"/>
    <w:autoRedefine/>
    <w:qFormat/>
    <w:uiPriority w:val="0"/>
    <w:pPr>
      <w:jc w:val="center"/>
    </w:pPr>
    <w:rPr>
      <w:rFonts w:cs="宋体"/>
      <w:sz w:val="24"/>
      <w:szCs w:val="20"/>
    </w:rPr>
  </w:style>
  <w:style w:type="paragraph" w:customStyle="1" w:styleId="72">
    <w:name w:val="样式 居中正文 + (符号) 宋体 首行缩进:  2 字符"/>
    <w:basedOn w:val="1"/>
    <w:autoRedefine/>
    <w:qFormat/>
    <w:uiPriority w:val="0"/>
    <w:pPr>
      <w:spacing w:line="360" w:lineRule="auto"/>
      <w:ind w:firstLine="480"/>
    </w:pPr>
    <w:rPr>
      <w:rFonts w:cs="宋体"/>
      <w:color w:val="000000"/>
      <w:kern w:val="0"/>
      <w:sz w:val="24"/>
    </w:rPr>
  </w:style>
  <w:style w:type="paragraph" w:customStyle="1" w:styleId="73">
    <w:name w:val="【正文】"/>
    <w:basedOn w:val="1"/>
    <w:autoRedefine/>
    <w:qFormat/>
    <w:uiPriority w:val="0"/>
    <w:pPr>
      <w:spacing w:line="360" w:lineRule="auto"/>
      <w:ind w:firstLine="200" w:firstLineChars="200"/>
    </w:pPr>
    <w:rPr>
      <w:sz w:val="24"/>
      <w:szCs w:val="20"/>
    </w:rPr>
  </w:style>
  <w:style w:type="paragraph" w:customStyle="1" w:styleId="74">
    <w:name w:val="Other|1"/>
    <w:basedOn w:val="1"/>
    <w:autoRedefine/>
    <w:qFormat/>
    <w:uiPriority w:val="0"/>
    <w:pPr>
      <w:widowControl w:val="0"/>
      <w:shd w:val="clear" w:color="auto" w:fill="auto"/>
      <w:jc w:val="center"/>
    </w:pPr>
    <w:rPr>
      <w:rFonts w:ascii="宋体" w:hAnsi="宋体" w:eastAsia="宋体" w:cs="宋体"/>
      <w:sz w:val="20"/>
      <w:szCs w:val="20"/>
      <w:u w:val="none"/>
      <w:shd w:val="clear" w:color="auto" w:fill="auto"/>
      <w:lang w:val="zh-TW" w:eastAsia="zh-TW" w:bidi="zh-TW"/>
    </w:rPr>
  </w:style>
  <w:style w:type="paragraph" w:customStyle="1" w:styleId="75">
    <w:name w:val="c3"/>
    <w:basedOn w:val="1"/>
    <w:autoRedefine/>
    <w:qFormat/>
    <w:uiPriority w:val="0"/>
    <w:pPr>
      <w:numPr>
        <w:ilvl w:val="2"/>
        <w:numId w:val="2"/>
      </w:numPr>
      <w:spacing w:line="360" w:lineRule="auto"/>
      <w:jc w:val="left"/>
      <w:outlineLvl w:val="2"/>
    </w:pPr>
    <w:rPr>
      <w:b/>
      <w:sz w:val="28"/>
    </w:rPr>
  </w:style>
  <w:style w:type="paragraph" w:customStyle="1" w:styleId="76">
    <w:name w:val="谢正文"/>
    <w:basedOn w:val="1"/>
    <w:autoRedefine/>
    <w:qFormat/>
    <w:uiPriority w:val="0"/>
    <w:pPr>
      <w:widowControl w:val="0"/>
      <w:tabs>
        <w:tab w:val="left" w:pos="566"/>
      </w:tabs>
      <w:spacing w:line="500" w:lineRule="exact"/>
      <w:jc w:val="both"/>
      <w:textAlignment w:val="bottom"/>
    </w:pPr>
    <w:rPr>
      <w:rFonts w:eastAsia="楷体_GB2312"/>
      <w:sz w:val="28"/>
    </w:rPr>
  </w:style>
  <w:style w:type="paragraph" w:customStyle="1" w:styleId="77">
    <w:name w:val="正文首行缩进 2 + Times New Roman"/>
    <w:basedOn w:val="1"/>
    <w:autoRedefine/>
    <w:qFormat/>
    <w:uiPriority w:val="0"/>
    <w:pPr>
      <w:tabs>
        <w:tab w:val="left" w:pos="0"/>
        <w:tab w:val="left" w:pos="720"/>
        <w:tab w:val="left" w:pos="870"/>
        <w:tab w:val="left" w:pos="3150"/>
      </w:tabs>
      <w:autoSpaceDE w:val="0"/>
      <w:autoSpaceDN w:val="0"/>
      <w:spacing w:line="360" w:lineRule="auto"/>
      <w:ind w:firstLine="504" w:firstLineChars="200"/>
    </w:pPr>
    <w:rPr>
      <w:rFonts w:ascii="Arial" w:hAnsi="Arial" w:cs="Arial"/>
      <w:bCs/>
      <w:spacing w:val="6"/>
      <w:kern w:val="0"/>
      <w:sz w:val="24"/>
    </w:rPr>
  </w:style>
  <w:style w:type="paragraph" w:customStyle="1" w:styleId="78">
    <w:name w:val="样式 黑色 行距: 最小值 26 磅"/>
    <w:basedOn w:val="1"/>
    <w:autoRedefine/>
    <w:qFormat/>
    <w:uiPriority w:val="0"/>
    <w:pPr>
      <w:ind w:firstLine="200" w:firstLineChars="200"/>
      <w:jc w:val="left"/>
    </w:pPr>
    <w:rPr>
      <w:rFonts w:eastAsia="楷体_GB2312" w:cs="宋体"/>
      <w:color w:val="000000"/>
      <w:spacing w:val="6"/>
      <w:sz w:val="28"/>
      <w:szCs w:val="20"/>
    </w:rPr>
  </w:style>
  <w:style w:type="paragraph" w:customStyle="1" w:styleId="79">
    <w:name w:val="正正文"/>
    <w:basedOn w:val="1"/>
    <w:autoRedefine/>
    <w:qFormat/>
    <w:uiPriority w:val="0"/>
    <w:pPr>
      <w:spacing w:line="360" w:lineRule="auto"/>
      <w:ind w:firstLine="816" w:firstLineChars="200"/>
    </w:pPr>
    <w:rPr>
      <w:kern w:val="0"/>
      <w:sz w:val="24"/>
      <w:szCs w:val="20"/>
    </w:rPr>
  </w:style>
  <w:style w:type="paragraph" w:customStyle="1" w:styleId="80">
    <w:name w:val="正文01"/>
    <w:basedOn w:val="1"/>
    <w:autoRedefine/>
    <w:qFormat/>
    <w:uiPriority w:val="0"/>
    <w:pPr>
      <w:spacing w:before="60" w:line="460" w:lineRule="exact"/>
      <w:ind w:firstLine="200" w:firstLineChars="200"/>
    </w:pPr>
    <w:rPr>
      <w:sz w:val="24"/>
      <w:szCs w:val="24"/>
    </w:rPr>
  </w:style>
  <w:style w:type="paragraph" w:customStyle="1" w:styleId="81">
    <w:name w:val="无间距"/>
    <w:autoRedefine/>
    <w:qFormat/>
    <w:uiPriority w:val="1"/>
    <w:pPr>
      <w:widowControl w:val="0"/>
      <w:spacing w:beforeLines="50"/>
      <w:jc w:val="center"/>
    </w:pPr>
    <w:rPr>
      <w:rFonts w:ascii="Times New Roman" w:hAnsi="Times New Roman" w:eastAsia="仿宋_GB2312" w:cs="Times New Roman"/>
      <w:b/>
      <w:kern w:val="2"/>
      <w:sz w:val="24"/>
      <w:szCs w:val="21"/>
      <w:lang w:val="en-US" w:eastAsia="zh-CN" w:bidi="ar-SA"/>
    </w:rPr>
  </w:style>
  <w:style w:type="paragraph" w:customStyle="1" w:styleId="82">
    <w:name w:val="中文报告书样式"/>
    <w:basedOn w:val="1"/>
    <w:autoRedefine/>
    <w:qFormat/>
    <w:uiPriority w:val="0"/>
    <w:pPr>
      <w:adjustRightInd w:val="0"/>
      <w:spacing w:line="480" w:lineRule="atLeast"/>
      <w:ind w:firstLine="482"/>
      <w:textAlignment w:val="baseline"/>
    </w:pPr>
    <w:rPr>
      <w:kern w:val="24"/>
      <w:sz w:val="24"/>
      <w:szCs w:val="20"/>
    </w:rPr>
  </w:style>
  <w:style w:type="paragraph" w:customStyle="1" w:styleId="83">
    <w:name w:val="WPS Plain"/>
    <w:autoRedefine/>
    <w:qFormat/>
    <w:uiPriority w:val="0"/>
    <w:rPr>
      <w:rFonts w:ascii="Times New Roman" w:hAnsi="Times New Roman" w:eastAsia="宋体" w:cs="Times New Roman"/>
      <w:lang w:val="en-US" w:eastAsia="zh-CN" w:bidi="ar-SA"/>
    </w:rPr>
  </w:style>
  <w:style w:type="paragraph" w:customStyle="1" w:styleId="84">
    <w:name w:val="p0"/>
    <w:basedOn w:val="1"/>
    <w:autoRedefine/>
    <w:qFormat/>
    <w:uiPriority w:val="0"/>
    <w:pPr>
      <w:widowControl/>
      <w:adjustRightInd/>
      <w:snapToGrid/>
      <w:spacing w:line="365" w:lineRule="atLeast"/>
      <w:ind w:left="1"/>
      <w:textAlignment w:val="bottom"/>
    </w:pPr>
    <w:rPr>
      <w:kern w:val="0"/>
      <w:sz w:val="20"/>
      <w:szCs w:val="20"/>
    </w:rPr>
  </w:style>
  <w:style w:type="character" w:customStyle="1" w:styleId="85">
    <w:name w:val="fontstyle01"/>
    <w:autoRedefine/>
    <w:qFormat/>
    <w:uiPriority w:val="0"/>
    <w:rPr>
      <w:rFonts w:ascii="宋体" w:hAnsi="宋体" w:eastAsia="宋体" w:cs="宋体"/>
      <w:color w:val="000000"/>
      <w:sz w:val="32"/>
      <w:szCs w:val="32"/>
    </w:rPr>
  </w:style>
  <w:style w:type="paragraph" w:customStyle="1" w:styleId="86">
    <w:name w:val="环评表格"/>
    <w:next w:val="1"/>
    <w:autoRedefine/>
    <w:qFormat/>
    <w:uiPriority w:val="0"/>
    <w:pPr>
      <w:adjustRightInd w:val="0"/>
      <w:snapToGrid w:val="0"/>
      <w:jc w:val="center"/>
    </w:pPr>
    <w:rPr>
      <w:rFonts w:ascii="Times New Roman" w:hAnsi="Times New Roman" w:eastAsia="宋体" w:cs="Times New Roman"/>
      <w:sz w:val="21"/>
      <w:szCs w:val="21"/>
      <w:lang w:val="en-US" w:eastAsia="zh-CN" w:bidi="ar-SA"/>
    </w:rPr>
  </w:style>
  <w:style w:type="paragraph" w:customStyle="1" w:styleId="87">
    <w:name w:val="统一正文"/>
    <w:basedOn w:val="1"/>
    <w:autoRedefine/>
    <w:qFormat/>
    <w:uiPriority w:val="0"/>
    <w:pPr>
      <w:autoSpaceDE w:val="0"/>
      <w:autoSpaceDN w:val="0"/>
      <w:spacing w:line="360" w:lineRule="auto"/>
      <w:ind w:firstLine="567" w:firstLineChars="200"/>
      <w:jc w:val="left"/>
      <w:textAlignment w:val="baseline"/>
    </w:pPr>
    <w:rPr>
      <w:kern w:val="0"/>
      <w:sz w:val="28"/>
      <w:szCs w:val="20"/>
      <w:lang w:bidi="he-IL"/>
    </w:rPr>
  </w:style>
  <w:style w:type="paragraph" w:customStyle="1" w:styleId="88">
    <w:name w:val="样式3"/>
    <w:basedOn w:val="8"/>
    <w:autoRedefine/>
    <w:qFormat/>
    <w:uiPriority w:val="0"/>
    <w:pPr>
      <w:numPr>
        <w:ilvl w:val="0"/>
        <w:numId w:val="3"/>
      </w:numPr>
    </w:pPr>
    <w:rPr>
      <w:rFonts w:ascii="Cambria" w:hAnsi="Cambria" w:eastAsia="宋体" w:cs="Times New Roman"/>
    </w:rPr>
  </w:style>
  <w:style w:type="paragraph" w:customStyle="1" w:styleId="89">
    <w:name w:val="环评正文"/>
    <w:basedOn w:val="1"/>
    <w:autoRedefine/>
    <w:qFormat/>
    <w:uiPriority w:val="99"/>
    <w:pPr>
      <w:spacing w:line="360" w:lineRule="auto"/>
      <w:ind w:firstLine="600" w:firstLineChars="200"/>
      <w:jc w:val="left"/>
    </w:pPr>
    <w:rPr>
      <w:sz w:val="24"/>
    </w:rPr>
  </w:style>
  <w:style w:type="paragraph" w:customStyle="1" w:styleId="90">
    <w:name w:val="表头"/>
    <w:basedOn w:val="91"/>
    <w:next w:val="89"/>
    <w:autoRedefine/>
    <w:qFormat/>
    <w:uiPriority w:val="0"/>
    <w:pPr>
      <w:adjustRightInd w:val="0"/>
      <w:spacing w:line="360" w:lineRule="auto"/>
    </w:pPr>
  </w:style>
  <w:style w:type="paragraph" w:customStyle="1" w:styleId="91">
    <w:name w:val="小标题"/>
    <w:basedOn w:val="89"/>
    <w:next w:val="89"/>
    <w:autoRedefine/>
    <w:qFormat/>
    <w:uiPriority w:val="99"/>
    <w:pPr>
      <w:spacing w:line="240" w:lineRule="auto"/>
      <w:ind w:firstLine="0" w:firstLineChars="0"/>
      <w:jc w:val="center"/>
    </w:pPr>
    <w:rPr>
      <w:b/>
    </w:rPr>
  </w:style>
  <w:style w:type="paragraph" w:customStyle="1" w:styleId="92">
    <w:name w:val="表内正文"/>
    <w:basedOn w:val="93"/>
    <w:autoRedefine/>
    <w:qFormat/>
    <w:uiPriority w:val="99"/>
    <w:pPr>
      <w:snapToGrid w:val="0"/>
    </w:pPr>
    <w:rPr>
      <w:rFonts w:ascii="Times New Roman" w:hAnsi="Times New Roman"/>
    </w:rPr>
  </w:style>
  <w:style w:type="paragraph" w:customStyle="1" w:styleId="93">
    <w:name w:val="正表格内容"/>
    <w:basedOn w:val="94"/>
    <w:autoRedefine/>
    <w:qFormat/>
    <w:uiPriority w:val="0"/>
    <w:rPr>
      <w:rFonts w:ascii="Calibri" w:hAnsi="Calibri"/>
      <w:bCs/>
      <w:szCs w:val="21"/>
    </w:rPr>
  </w:style>
  <w:style w:type="paragraph" w:customStyle="1" w:styleId="94">
    <w:name w:val="1表格"/>
    <w:basedOn w:val="1"/>
    <w:autoRedefine/>
    <w:semiHidden/>
    <w:qFormat/>
    <w:uiPriority w:val="0"/>
    <w:pPr>
      <w:jc w:val="center"/>
    </w:pPr>
  </w:style>
  <w:style w:type="paragraph" w:customStyle="1" w:styleId="95">
    <w:name w:val="三级标题"/>
    <w:basedOn w:val="7"/>
    <w:next w:val="89"/>
    <w:autoRedefine/>
    <w:qFormat/>
    <w:uiPriority w:val="99"/>
    <w:pPr>
      <w:keepNext w:val="0"/>
      <w:keepLines w:val="0"/>
      <w:spacing w:before="20"/>
    </w:pPr>
    <w:rPr>
      <w:sz w:val="24"/>
      <w:szCs w:val="21"/>
    </w:rPr>
  </w:style>
  <w:style w:type="paragraph" w:customStyle="1" w:styleId="96">
    <w:name w:val="5文章(治)"/>
    <w:basedOn w:val="1"/>
    <w:qFormat/>
    <w:uiPriority w:val="0"/>
    <w:pPr>
      <w:widowControl w:val="0"/>
      <w:ind w:firstLine="560"/>
      <w:jc w:val="both"/>
    </w:pPr>
    <w:rPr>
      <w:rFonts w:eastAsia="Times New Roman"/>
      <w:kern w:val="2"/>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2" Type="http://schemas.openxmlformats.org/officeDocument/2006/relationships/fontTable" Target="fontTable.xml"/><Relationship Id="rId51" Type="http://schemas.openxmlformats.org/officeDocument/2006/relationships/customXml" Target="../customXml/item2.xml"/><Relationship Id="rId50" Type="http://schemas.openxmlformats.org/officeDocument/2006/relationships/numbering" Target="numbering.xml"/><Relationship Id="rId5" Type="http://schemas.openxmlformats.org/officeDocument/2006/relationships/footer" Target="footer2.xml"/><Relationship Id="rId49" Type="http://schemas.openxmlformats.org/officeDocument/2006/relationships/customXml" Target="../customXml/item1.xml"/><Relationship Id="rId48" Type="http://schemas.openxmlformats.org/officeDocument/2006/relationships/image" Target="media/image28.jpeg"/><Relationship Id="rId47" Type="http://schemas.openxmlformats.org/officeDocument/2006/relationships/image" Target="media/image27.png"/><Relationship Id="rId46" Type="http://schemas.openxmlformats.org/officeDocument/2006/relationships/image" Target="media/image26.png"/><Relationship Id="rId45" Type="http://schemas.openxmlformats.org/officeDocument/2006/relationships/image" Target="media/image25.png"/><Relationship Id="rId44" Type="http://schemas.openxmlformats.org/officeDocument/2006/relationships/image" Target="media/image24.png"/><Relationship Id="rId43" Type="http://schemas.openxmlformats.org/officeDocument/2006/relationships/image" Target="media/image23.jpeg"/><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footer" Target="footer1.xml"/><Relationship Id="rId39" Type="http://schemas.openxmlformats.org/officeDocument/2006/relationships/image" Target="media/image19.png"/><Relationship Id="rId38" Type="http://schemas.openxmlformats.org/officeDocument/2006/relationships/image" Target="media/image18.wmf"/><Relationship Id="rId37" Type="http://schemas.openxmlformats.org/officeDocument/2006/relationships/oleObject" Target="embeddings/oleObject13.bin"/><Relationship Id="rId36" Type="http://schemas.openxmlformats.org/officeDocument/2006/relationships/image" Target="media/image17.wmf"/><Relationship Id="rId35" Type="http://schemas.openxmlformats.org/officeDocument/2006/relationships/oleObject" Target="embeddings/oleObject12.bin"/><Relationship Id="rId34" Type="http://schemas.openxmlformats.org/officeDocument/2006/relationships/image" Target="media/image16.png"/><Relationship Id="rId33" Type="http://schemas.openxmlformats.org/officeDocument/2006/relationships/image" Target="media/image15.wmf"/><Relationship Id="rId32" Type="http://schemas.openxmlformats.org/officeDocument/2006/relationships/oleObject" Target="embeddings/oleObject11.bin"/><Relationship Id="rId31" Type="http://schemas.openxmlformats.org/officeDocument/2006/relationships/image" Target="media/image14.png"/><Relationship Id="rId30" Type="http://schemas.openxmlformats.org/officeDocument/2006/relationships/image" Target="media/image13.wmf"/><Relationship Id="rId3" Type="http://schemas.openxmlformats.org/officeDocument/2006/relationships/header" Target="header1.xml"/><Relationship Id="rId29" Type="http://schemas.openxmlformats.org/officeDocument/2006/relationships/oleObject" Target="embeddings/oleObject10.bin"/><Relationship Id="rId28" Type="http://schemas.openxmlformats.org/officeDocument/2006/relationships/image" Target="media/image12.wmf"/><Relationship Id="rId27" Type="http://schemas.openxmlformats.org/officeDocument/2006/relationships/oleObject" Target="embeddings/oleObject9.bin"/><Relationship Id="rId26" Type="http://schemas.openxmlformats.org/officeDocument/2006/relationships/image" Target="media/image11.wmf"/><Relationship Id="rId25" Type="http://schemas.openxmlformats.org/officeDocument/2006/relationships/oleObject" Target="embeddings/oleObject8.bin"/><Relationship Id="rId24" Type="http://schemas.openxmlformats.org/officeDocument/2006/relationships/image" Target="media/image10.png"/><Relationship Id="rId23" Type="http://schemas.openxmlformats.org/officeDocument/2006/relationships/image" Target="media/image9.wmf"/><Relationship Id="rId22" Type="http://schemas.openxmlformats.org/officeDocument/2006/relationships/oleObject" Target="embeddings/oleObject7.bin"/><Relationship Id="rId21" Type="http://schemas.openxmlformats.org/officeDocument/2006/relationships/image" Target="media/image8.e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emf"/><Relationship Id="rId17" Type="http://schemas.openxmlformats.org/officeDocument/2006/relationships/oleObject" Target="embeddings/oleObject5.bin"/><Relationship Id="rId16" Type="http://schemas.openxmlformats.org/officeDocument/2006/relationships/image" Target="media/image5.emf"/><Relationship Id="rId15" Type="http://schemas.openxmlformats.org/officeDocument/2006/relationships/oleObject" Target="embeddings/oleObject4.bin"/><Relationship Id="rId14" Type="http://schemas.openxmlformats.org/officeDocument/2006/relationships/image" Target="media/image4.emf"/><Relationship Id="rId13" Type="http://schemas.openxmlformats.org/officeDocument/2006/relationships/oleObject" Target="embeddings/oleObject3.bin"/><Relationship Id="rId12" Type="http://schemas.openxmlformats.org/officeDocument/2006/relationships/image" Target="media/image3.emf"/><Relationship Id="rId11" Type="http://schemas.openxmlformats.org/officeDocument/2006/relationships/oleObject" Target="embeddings/oleObject2.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1437F3-2513-4444-934C-D968F0F039EC}">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108</Pages>
  <Words>63061</Words>
  <Characters>76389</Characters>
  <Lines>4442</Lines>
  <Paragraphs>3097</Paragraphs>
  <TotalTime>15</TotalTime>
  <ScaleCrop>false</ScaleCrop>
  <LinksUpToDate>false</LinksUpToDate>
  <CharactersWithSpaces>76937</CharactersWithSpaces>
  <Application>WPS Office_12.1.0.16910_F1E327BC-269C-435d-A152-05C5408002CA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2021-03-30T00:27:00Z</dcterms:created>
  <dc:creator>lhj</dc:creator>
  <cp:lastModifiedBy>miko.woo</cp:lastModifiedBy>
  <cp:lastPrinted>2023-04-17T03:28:00Z</cp:lastPrinted>
  <dcterms:modified xsi:type="dcterms:W3CDTF">2024-05-10T09:01:29Z</dcterms:modified>
  <dc:title>附件2</dc:title>
  <cp:revision>791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2052-12.1.0.16910</vt:lpwstr>
  </property>
  <property fmtid="{D5CDD505-2E9C-101B-9397-08002B2CF9AE}" pid="3" name="ICV">
    <vt:lpwstr>846C10BD0568406B92CEE85B8078A723</vt:lpwstr>
  </property>
</Properties>
</file>