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莆田</w:t>
      </w: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美度鞋业有限公司年生产240万双成型鞋</w:t>
      </w: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项目</w:t>
      </w: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分阶段（5条生产线年生产 200万双成型鞋项目）竣工环境保护验收意见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480"/>
        <w:jc w:val="left"/>
        <w:rPr>
          <w:rFonts w:hint="eastAsia" w:ascii="Times New Roman" w:hAnsi="Times New Roman" w:eastAsia="宋体" w:cs="宋体"/>
          <w:color w:val="000000"/>
          <w:kern w:val="2"/>
          <w:sz w:val="24"/>
          <w:szCs w:val="21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auto"/>
          <w:kern w:val="2"/>
          <w:sz w:val="24"/>
          <w:szCs w:val="21"/>
          <w:highlight w:val="none"/>
          <w:lang w:val="en-US" w:eastAsia="zh-CN" w:bidi="ar-SA"/>
        </w:rPr>
        <w:t>莆田美度鞋业有限公司（以下简称“本公司”）于2024年5月在本公司会议室内主持召开了</w:t>
      </w:r>
      <w:r>
        <w:rPr>
          <w:rFonts w:hint="default" w:ascii="Times New Roman" w:hAnsi="Times New Roman" w:eastAsia="宋体" w:cs="宋体"/>
          <w:color w:val="auto"/>
          <w:kern w:val="2"/>
          <w:sz w:val="24"/>
          <w:szCs w:val="21"/>
          <w:highlight w:val="none"/>
          <w:lang w:val="en-US" w:eastAsia="zh-CN" w:bidi="ar-SA"/>
        </w:rPr>
        <w:t>莆田</w:t>
      </w:r>
      <w:r>
        <w:rPr>
          <w:rFonts w:hint="eastAsia" w:ascii="Times New Roman" w:hAnsi="Times New Roman" w:eastAsia="宋体" w:cs="宋体"/>
          <w:color w:val="auto"/>
          <w:kern w:val="2"/>
          <w:sz w:val="24"/>
          <w:szCs w:val="21"/>
          <w:highlight w:val="none"/>
          <w:lang w:val="en-US" w:eastAsia="zh-CN" w:bidi="ar-SA"/>
        </w:rPr>
        <w:t>美度鞋业有限公司年生产240万双成型鞋</w:t>
      </w:r>
      <w:r>
        <w:rPr>
          <w:rFonts w:hint="default" w:ascii="Times New Roman" w:hAnsi="Times New Roman" w:eastAsia="宋体" w:cs="宋体"/>
          <w:color w:val="auto"/>
          <w:kern w:val="2"/>
          <w:sz w:val="24"/>
          <w:szCs w:val="21"/>
          <w:highlight w:val="none"/>
          <w:lang w:val="en-US" w:eastAsia="zh-CN" w:bidi="ar-SA"/>
        </w:rPr>
        <w:t>项目</w:t>
      </w:r>
      <w:r>
        <w:rPr>
          <w:rFonts w:hint="eastAsia" w:ascii="Times New Roman" w:hAnsi="Times New Roman" w:eastAsia="宋体" w:cs="宋体"/>
          <w:color w:val="auto"/>
          <w:kern w:val="2"/>
          <w:sz w:val="24"/>
          <w:szCs w:val="21"/>
          <w:highlight w:val="none"/>
          <w:lang w:val="en-US" w:eastAsia="zh-CN" w:bidi="ar-SA"/>
        </w:rPr>
        <w:t>分阶段（5条生产线年生产 200万双成型鞋项目）竣工环境保护验收现场检查会。会议期间，与会人员现场检查了污染处理设施的建设和运行情况，听取了关于环保执行情况的汇报、验收监测单位关于竣工环保验收监测情况的介绍，经认真讨论，形成如下验收意见：</w:t>
      </w:r>
    </w:p>
    <w:p>
      <w:pPr>
        <w:adjustRightInd w:val="0"/>
        <w:snapToGrid w:val="0"/>
        <w:spacing w:before="0" w:beforeLines="0" w:after="0" w:afterLines="0" w:line="360" w:lineRule="auto"/>
        <w:outlineLvl w:val="0"/>
        <w:rPr>
          <w:b/>
          <w:color w:val="000000"/>
          <w:sz w:val="30"/>
          <w:szCs w:val="30"/>
          <w:highlight w:val="none"/>
        </w:rPr>
      </w:pPr>
      <w:r>
        <w:rPr>
          <w:b/>
          <w:color w:val="000000"/>
          <w:sz w:val="30"/>
          <w:szCs w:val="30"/>
          <w:highlight w:val="none"/>
        </w:rPr>
        <w:t>一、基本情况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eastAsia="宋体" w:cs="宋体"/>
          <w:b/>
          <w:bCs/>
          <w:sz w:val="24"/>
          <w:szCs w:val="24"/>
          <w:lang w:val="en-US" w:eastAsia="zh-CN"/>
        </w:rPr>
        <w:t>（1）建设内容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default" w:eastAsia="宋体" w:cs="宋体"/>
          <w:sz w:val="24"/>
          <w:szCs w:val="24"/>
          <w:lang w:val="en-US" w:eastAsia="zh-CN"/>
        </w:rPr>
      </w:pPr>
      <w:r>
        <w:rPr>
          <w:rFonts w:hint="eastAsia" w:eastAsia="宋体" w:cs="宋体"/>
          <w:sz w:val="24"/>
          <w:szCs w:val="24"/>
          <w:lang w:val="en-US" w:eastAsia="zh-CN"/>
        </w:rPr>
        <w:t>①项目名称：</w:t>
      </w:r>
      <w:r>
        <w:rPr>
          <w:rFonts w:hint="default" w:eastAsia="宋体" w:cs="宋体"/>
          <w:sz w:val="24"/>
          <w:szCs w:val="24"/>
          <w:lang w:val="en-US" w:eastAsia="zh-CN"/>
        </w:rPr>
        <w:t>莆田</w:t>
      </w:r>
      <w:r>
        <w:rPr>
          <w:rFonts w:hint="eastAsia" w:eastAsia="宋体" w:cs="宋体"/>
          <w:sz w:val="24"/>
          <w:szCs w:val="24"/>
          <w:lang w:val="en-US" w:eastAsia="zh-CN"/>
        </w:rPr>
        <w:t>美度鞋业有限公司年生产240万双成型鞋</w:t>
      </w:r>
      <w:r>
        <w:rPr>
          <w:rFonts w:hint="default" w:eastAsia="宋体" w:cs="宋体"/>
          <w:sz w:val="24"/>
          <w:szCs w:val="24"/>
          <w:lang w:val="en-US" w:eastAsia="zh-CN"/>
        </w:rPr>
        <w:t>项目</w:t>
      </w:r>
      <w:r>
        <w:rPr>
          <w:rFonts w:hint="eastAsia" w:eastAsia="宋体" w:cs="宋体"/>
          <w:sz w:val="24"/>
          <w:szCs w:val="24"/>
          <w:lang w:val="en-US" w:eastAsia="zh-CN"/>
        </w:rPr>
        <w:t>分阶段（5条生产线年生产 200万双成型鞋项目）；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②建设单位：</w:t>
      </w:r>
      <w:r>
        <w:rPr>
          <w:rFonts w:hint="eastAsia" w:ascii="Times New Roman" w:hAnsi="Times New Roman" w:eastAsia="宋体" w:cs="宋体"/>
          <w:color w:val="000000"/>
          <w:kern w:val="2"/>
          <w:sz w:val="24"/>
          <w:szCs w:val="21"/>
          <w:highlight w:val="none"/>
          <w:lang w:val="en-US" w:eastAsia="zh-CN" w:bidi="ar-SA"/>
        </w:rPr>
        <w:t>莆田美度鞋业有限公司</w:t>
      </w:r>
      <w:r>
        <w:rPr>
          <w:rFonts w:hint="eastAsia"/>
          <w:lang w:val="en-US" w:eastAsia="zh-CN"/>
        </w:rPr>
        <w:t>；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③建设地点：</w:t>
      </w:r>
      <w:r>
        <w:rPr>
          <w:rFonts w:hint="eastAsia"/>
          <w:sz w:val="24"/>
          <w:szCs w:val="24"/>
          <w:lang w:val="en-US" w:eastAsia="zh-CN"/>
        </w:rPr>
        <w:t>城厢区华林经济开发区（</w:t>
      </w:r>
      <w:r>
        <w:rPr>
          <w:rFonts w:hint="eastAsia"/>
          <w:color w:val="auto"/>
          <w:sz w:val="24"/>
          <w:szCs w:val="24"/>
          <w:lang w:val="en-US" w:eastAsia="zh-CN"/>
        </w:rPr>
        <w:t>福建省莆田市城厢区华汇西路 1377 号）</w:t>
      </w:r>
      <w:r>
        <w:rPr>
          <w:rFonts w:hint="eastAsia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中心地理坐标</w:t>
      </w:r>
      <w:r>
        <w:rPr>
          <w:rFonts w:hint="eastAsia" w:eastAsia="宋体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</w:rPr>
        <w:t>东经：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118°</w:t>
      </w:r>
      <w:r>
        <w:rPr>
          <w:rFonts w:hint="eastAsia" w:eastAsia="宋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′</w:t>
      </w:r>
      <w:r>
        <w:rPr>
          <w:rFonts w:hint="eastAsia" w:eastAsia="宋体" w:cs="Times New Roman"/>
          <w:sz w:val="24"/>
          <w:szCs w:val="24"/>
          <w:lang w:val="en-US" w:eastAsia="zh-CN"/>
        </w:rPr>
        <w:t>47.263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′′</w:t>
      </w:r>
      <w:r>
        <w:rPr>
          <w:rFonts w:hint="default" w:ascii="Times New Roman" w:hAnsi="Times New Roman" w:eastAsia="宋体" w:cs="Times New Roman"/>
          <w:sz w:val="24"/>
          <w:szCs w:val="24"/>
        </w:rPr>
        <w:t>，北纬：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25°</w:t>
      </w:r>
      <w:r>
        <w:rPr>
          <w:rFonts w:hint="eastAsia" w:eastAsia="宋体" w:cs="Times New Roman"/>
          <w:sz w:val="24"/>
          <w:szCs w:val="24"/>
          <w:lang w:val="en-US" w:eastAsia="zh-CN"/>
        </w:rPr>
        <w:t>38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′</w:t>
      </w:r>
      <w:r>
        <w:rPr>
          <w:rFonts w:hint="eastAsia" w:eastAsia="宋体" w:cs="Times New Roman"/>
          <w:sz w:val="24"/>
          <w:szCs w:val="24"/>
          <w:lang w:val="en-US" w:eastAsia="zh-CN"/>
        </w:rPr>
        <w:t>75.177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′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′</w:t>
      </w:r>
      <w:r>
        <w:rPr>
          <w:rFonts w:hint="eastAsia"/>
          <w:lang w:val="en-US" w:eastAsia="zh-CN"/>
        </w:rPr>
        <w:t>）；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④</w:t>
      </w:r>
      <w:r>
        <w:rPr>
          <w:rFonts w:hint="eastAsia" w:eastAsia="宋体" w:cs="Times New Roman"/>
          <w:color w:val="auto"/>
          <w:sz w:val="24"/>
          <w:szCs w:val="24"/>
          <w:lang w:val="en-US" w:eastAsia="zh-CN"/>
        </w:rPr>
        <w:t>本阶段工程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实际总投资：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eastAsia" w:eastAsia="宋体" w:cs="Times New Roman"/>
          <w:color w:val="auto"/>
          <w:sz w:val="24"/>
          <w:szCs w:val="24"/>
          <w:lang w:val="en-US" w:eastAsia="zh-CN"/>
        </w:rPr>
        <w:t>50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万元，环保投资 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35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万元</w:t>
      </w:r>
      <w:r>
        <w:rPr>
          <w:rFonts w:hint="eastAsia"/>
          <w:lang w:val="en-US" w:eastAsia="zh-CN"/>
        </w:rPr>
        <w:t>；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⑥建设性质：迁建；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⑦建设内容及规模：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eastAsia="宋体" w:cs="Times New Roman"/>
          <w:sz w:val="24"/>
          <w:szCs w:val="24"/>
          <w:lang w:val="en-US" w:eastAsia="zh-CN"/>
        </w:rPr>
        <w:t>本次验收</w:t>
      </w:r>
      <w:r>
        <w:rPr>
          <w:rFonts w:hint="eastAsia" w:cs="Times New Roman"/>
          <w:sz w:val="24"/>
          <w:szCs w:val="24"/>
          <w:lang w:val="en-US" w:eastAsia="zh-CN"/>
        </w:rPr>
        <w:t>为全厂验收，总</w:t>
      </w:r>
      <w:r>
        <w:rPr>
          <w:rFonts w:hint="default" w:ascii="Times New Roman" w:hAnsi="Times New Roman" w:eastAsia="宋体" w:cs="Times New Roman"/>
          <w:sz w:val="24"/>
          <w:szCs w:val="24"/>
        </w:rPr>
        <w:t>占地面积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11460</w:t>
      </w:r>
      <w:r>
        <w:rPr>
          <w:rFonts w:hint="default" w:ascii="Times New Roman" w:hAnsi="Times New Roman" w:eastAsia="宋体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lang w:val="en-US" w:eastAsia="zh-CN"/>
        </w:rPr>
        <w:t>，</w:t>
      </w:r>
      <w:r>
        <w:rPr>
          <w:rFonts w:hint="eastAsia" w:cs="Times New Roman"/>
          <w:lang w:val="en-US" w:eastAsia="zh-CN"/>
        </w:rPr>
        <w:t>设计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年产</w:t>
      </w:r>
      <w:r>
        <w:rPr>
          <w:rFonts w:hint="eastAsia" w:cs="Times New Roman"/>
          <w:sz w:val="24"/>
          <w:szCs w:val="24"/>
          <w:lang w:val="en-US" w:eastAsia="zh-CN"/>
        </w:rPr>
        <w:t>20</w:t>
      </w:r>
      <w:r>
        <w:rPr>
          <w:rFonts w:hint="eastAsia" w:eastAsia="宋体" w:cs="Times New Roman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万双</w:t>
      </w:r>
      <w:r>
        <w:rPr>
          <w:rFonts w:hint="eastAsia" w:eastAsia="宋体" w:cs="Times New Roman"/>
          <w:sz w:val="24"/>
          <w:szCs w:val="24"/>
          <w:lang w:val="en-US" w:eastAsia="zh-CN"/>
        </w:rPr>
        <w:t>成型鞋</w:t>
      </w:r>
      <w:r>
        <w:rPr>
          <w:rFonts w:hint="eastAsia"/>
          <w:lang w:val="en-US" w:eastAsia="zh-CN"/>
        </w:rPr>
        <w:t>；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⑧工作制度：</w:t>
      </w:r>
      <w:r>
        <w:rPr>
          <w:rFonts w:hint="eastAsia" w:ascii="Times New Roman" w:hAnsi="Times New Roman" w:eastAsia="宋体" w:cs="Times New Roman"/>
          <w:lang w:val="en-US" w:eastAsia="zh-CN"/>
        </w:rPr>
        <w:t>职工年工作300天，单班制，全天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工作1</w:t>
      </w:r>
      <w:r>
        <w:rPr>
          <w:rFonts w:hint="eastAsia" w:cs="Times New Roman"/>
          <w:color w:val="auto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小时</w:t>
      </w:r>
      <w:r>
        <w:rPr>
          <w:rFonts w:hint="eastAsia"/>
          <w:lang w:val="en-US" w:eastAsia="zh-CN"/>
        </w:rPr>
        <w:t>；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⑨劳动定员：</w:t>
      </w:r>
      <w:r>
        <w:rPr>
          <w:rFonts w:hint="eastAsia" w:cs="Times New Roman"/>
          <w:lang w:val="en-US" w:eastAsia="zh-CN"/>
        </w:rPr>
        <w:t>260</w:t>
      </w:r>
      <w:r>
        <w:rPr>
          <w:rFonts w:hint="eastAsia" w:ascii="Times New Roman" w:hAnsi="Times New Roman" w:eastAsia="宋体" w:cs="Times New Roman"/>
          <w:lang w:val="en-US" w:eastAsia="zh-CN"/>
        </w:rPr>
        <w:t>人（</w:t>
      </w:r>
      <w:r>
        <w:rPr>
          <w:rFonts w:hint="eastAsia" w:cs="Times New Roman"/>
          <w:lang w:val="en-US" w:eastAsia="zh-CN"/>
        </w:rPr>
        <w:t>无食宿</w:t>
      </w:r>
      <w:r>
        <w:rPr>
          <w:rFonts w:hint="eastAsia" w:ascii="Times New Roman" w:hAnsi="Times New Roman" w:eastAsia="宋体" w:cs="Times New Roman"/>
          <w:lang w:val="en-US" w:eastAsia="zh-CN"/>
        </w:rPr>
        <w:t>）</w:t>
      </w:r>
      <w:r>
        <w:rPr>
          <w:rFonts w:hint="eastAsia"/>
          <w:lang w:val="en-US" w:eastAsia="zh-CN"/>
        </w:rPr>
        <w:t>。</w:t>
      </w:r>
    </w:p>
    <w:p>
      <w:pPr>
        <w:spacing w:line="360" w:lineRule="auto"/>
        <w:ind w:firstLine="482" w:firstLineChars="200"/>
        <w:jc w:val="left"/>
        <w:outlineLvl w:val="1"/>
        <w:rPr>
          <w:rFonts w:hint="default" w:eastAsia="宋体" w:cs="宋体"/>
          <w:b/>
          <w:color w:val="000000"/>
          <w:sz w:val="24"/>
          <w:highlight w:val="none"/>
          <w:lang w:val="en-US" w:eastAsia="zh-CN"/>
        </w:rPr>
      </w:pPr>
      <w:r>
        <w:rPr>
          <w:rFonts w:hint="eastAsia" w:eastAsia="宋体" w:cs="宋体"/>
          <w:b/>
          <w:color w:val="000000"/>
          <w:sz w:val="24"/>
          <w:highlight w:val="none"/>
          <w:lang w:val="en-US" w:eastAsia="zh-CN"/>
        </w:rPr>
        <w:t>（2）建设过程及环保审批情况</w:t>
      </w:r>
    </w:p>
    <w:p>
      <w:pPr>
        <w:pStyle w:val="18"/>
        <w:ind w:firstLine="480"/>
        <w:rPr>
          <w:rFonts w:hint="eastAsia"/>
          <w:highlight w:val="none"/>
        </w:rPr>
      </w:pPr>
      <w:r>
        <w:rPr>
          <w:rFonts w:hint="eastAsia"/>
          <w:sz w:val="24"/>
          <w:szCs w:val="24"/>
          <w:lang w:val="en-US" w:eastAsia="zh-CN"/>
        </w:rPr>
        <w:t>本项目于</w:t>
      </w:r>
      <w:r>
        <w:rPr>
          <w:rFonts w:hint="eastAsia" w:ascii="Times New Roman" w:hAnsi="Times New Roman" w:eastAsia="宋体" w:cs="Times New Roman"/>
          <w:lang w:val="en-US" w:eastAsia="zh-CN"/>
        </w:rPr>
        <w:t>202</w:t>
      </w:r>
      <w:r>
        <w:rPr>
          <w:rFonts w:hint="eastAsia" w:cs="Times New Roman"/>
          <w:lang w:val="en-US" w:eastAsia="zh-CN"/>
        </w:rPr>
        <w:t>2</w:t>
      </w:r>
      <w:r>
        <w:rPr>
          <w:rFonts w:hint="eastAsia"/>
          <w:sz w:val="24"/>
          <w:szCs w:val="24"/>
          <w:lang w:val="en-US" w:eastAsia="zh-CN"/>
        </w:rPr>
        <w:t>年09月06日通过莆田市生态环境局审批</w:t>
      </w:r>
      <w:r>
        <w:rPr>
          <w:rFonts w:hint="eastAsia"/>
          <w:color w:val="auto"/>
          <w:lang w:val="en-US"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于2023年11月份阶段性验收4楼的4条生产线</w:t>
      </w:r>
      <w:r>
        <w:rPr>
          <w:rFonts w:hint="eastAsia" w:cs="Times New Roman"/>
          <w:sz w:val="24"/>
          <w:szCs w:val="24"/>
          <w:lang w:val="en-US" w:eastAsia="zh-CN"/>
        </w:rPr>
        <w:t>，验收规模为年生产160万双成型鞋，为增加产能，在厂房3楼新增一条生产线，</w:t>
      </w:r>
      <w:r>
        <w:rPr>
          <w:rFonts w:hint="eastAsia"/>
          <w:color w:val="auto"/>
          <w:lang w:val="en-US" w:eastAsia="zh-CN"/>
        </w:rPr>
        <w:t>于2024年03月开工建设，2024年4月调试。</w:t>
      </w:r>
      <w:r>
        <w:rPr>
          <w:rFonts w:hint="eastAsia"/>
          <w:highlight w:val="none"/>
        </w:rPr>
        <w:t>目前项目环保设施与主体工程实现“三同时”且设施运转良好，符合建设项目竣工环境环保验收条件。</w:t>
      </w:r>
    </w:p>
    <w:p>
      <w:pPr>
        <w:spacing w:line="360" w:lineRule="auto"/>
        <w:ind w:firstLine="482" w:firstLineChars="200"/>
        <w:jc w:val="left"/>
        <w:outlineLvl w:val="1"/>
        <w:rPr>
          <w:b/>
          <w:color w:val="000000"/>
          <w:sz w:val="24"/>
          <w:highlight w:val="none"/>
        </w:rPr>
      </w:pPr>
      <w:r>
        <w:rPr>
          <w:b/>
          <w:color w:val="000000"/>
          <w:sz w:val="24"/>
          <w:highlight w:val="none"/>
        </w:rPr>
        <w:t>（</w:t>
      </w:r>
      <w:r>
        <w:rPr>
          <w:rFonts w:hint="eastAsia"/>
          <w:b/>
          <w:color w:val="000000"/>
          <w:sz w:val="24"/>
          <w:highlight w:val="none"/>
          <w:lang w:val="en-US" w:eastAsia="zh-CN"/>
        </w:rPr>
        <w:t>3</w:t>
      </w:r>
      <w:r>
        <w:rPr>
          <w:b/>
          <w:color w:val="000000"/>
          <w:sz w:val="24"/>
          <w:highlight w:val="none"/>
        </w:rPr>
        <w:t>）投资情况</w:t>
      </w:r>
    </w:p>
    <w:p>
      <w:pPr>
        <w:pStyle w:val="11"/>
        <w:widowControl w:val="0"/>
        <w:spacing w:before="0" w:beforeAutospacing="0" w:after="0" w:afterAutospacing="0" w:line="360" w:lineRule="auto"/>
        <w:ind w:firstLine="480" w:firstLineChars="200"/>
        <w:jc w:val="both"/>
        <w:rPr>
          <w:color w:val="auto"/>
          <w:kern w:val="0"/>
          <w:sz w:val="24"/>
          <w:szCs w:val="21"/>
          <w:highlight w:val="none"/>
        </w:rPr>
      </w:pPr>
      <w:r>
        <w:rPr>
          <w:rFonts w:ascii="Times New Roman" w:cs="Times New Roman"/>
          <w:color w:val="auto"/>
          <w:highlight w:val="none"/>
        </w:rPr>
        <w:t>本</w:t>
      </w:r>
      <w:r>
        <w:rPr>
          <w:rFonts w:hint="eastAsia" w:ascii="Times New Roman" w:cs="Times New Roman"/>
          <w:color w:val="auto"/>
          <w:highlight w:val="none"/>
          <w:lang w:val="en-US" w:eastAsia="zh-CN"/>
        </w:rPr>
        <w:t>次验收项目</w:t>
      </w:r>
      <w:r>
        <w:rPr>
          <w:rFonts w:ascii="Times New Roman" w:cs="Times New Roman"/>
          <w:color w:val="auto"/>
          <w:highlight w:val="none"/>
        </w:rPr>
        <w:t>总投资</w:t>
      </w:r>
      <w:r>
        <w:rPr>
          <w:rFonts w:hint="eastAsia" w:ascii="Times New Roman" w:cs="Times New Roman"/>
          <w:color w:val="auto"/>
          <w:highlight w:val="none"/>
          <w:lang w:val="en-US" w:eastAsia="zh-CN"/>
        </w:rPr>
        <w:t>5</w:t>
      </w:r>
      <w:r>
        <w:rPr>
          <w:rFonts w:hint="eastAsia" w:ascii="Times New Roman" w:hAnsi="Times New Roman" w:cs="Times New Roman"/>
          <w:color w:val="auto"/>
          <w:szCs w:val="20"/>
          <w:lang w:val="en-US" w:eastAsia="zh-CN" w:bidi="ar"/>
        </w:rPr>
        <w:t>50</w:t>
      </w:r>
      <w:r>
        <w:rPr>
          <w:rFonts w:hint="eastAsia" w:ascii="Times New Roman" w:hAnsi="Times New Roman"/>
          <w:color w:val="auto"/>
          <w:szCs w:val="20"/>
          <w:lang w:bidi="ar"/>
        </w:rPr>
        <w:t>万元，实际环保投资</w:t>
      </w:r>
      <w:r>
        <w:rPr>
          <w:rFonts w:hint="eastAsia" w:ascii="Times New Roman" w:hAnsi="Times New Roman"/>
          <w:color w:val="auto"/>
          <w:szCs w:val="20"/>
          <w:lang w:val="en-US" w:eastAsia="zh-CN" w:bidi="ar"/>
        </w:rPr>
        <w:t>3</w:t>
      </w:r>
      <w:r>
        <w:rPr>
          <w:rFonts w:hint="eastAsia" w:ascii="Times New Roman" w:hAnsi="Times New Roman" w:cs="Times New Roman"/>
          <w:color w:val="auto"/>
          <w:szCs w:val="20"/>
          <w:lang w:val="en-US" w:eastAsia="zh-CN" w:bidi="ar"/>
        </w:rPr>
        <w:t>5</w:t>
      </w:r>
      <w:r>
        <w:rPr>
          <w:rFonts w:hint="eastAsia" w:ascii="Times New Roman" w:hAnsi="Times New Roman"/>
          <w:color w:val="auto"/>
          <w:szCs w:val="20"/>
          <w:lang w:bidi="ar"/>
        </w:rPr>
        <w:t>万元，占工程总投资的</w:t>
      </w:r>
      <w:r>
        <w:rPr>
          <w:rFonts w:hint="eastAsia" w:ascii="Times New Roman" w:hAnsi="Times New Roman" w:cs="Times New Roman"/>
          <w:color w:val="auto"/>
          <w:kern w:val="2"/>
          <w:szCs w:val="24"/>
          <w:lang w:val="en-US" w:eastAsia="zh-CN" w:bidi="ar"/>
        </w:rPr>
        <w:t>6.4</w:t>
      </w:r>
      <w:r>
        <w:rPr>
          <w:rFonts w:ascii="Times New Roman" w:hAnsi="Times New Roman" w:cs="Times New Roman"/>
          <w:color w:val="auto"/>
          <w:kern w:val="2"/>
          <w:szCs w:val="24"/>
          <w:lang w:bidi="ar"/>
        </w:rPr>
        <w:t>%</w:t>
      </w:r>
      <w:r>
        <w:rPr>
          <w:rFonts w:ascii="Times New Roman" w:cs="Times New Roman"/>
          <w:color w:val="auto"/>
          <w:highlight w:val="none"/>
        </w:rPr>
        <w:t>，主要用于三废</w:t>
      </w:r>
      <w:r>
        <w:rPr>
          <w:rFonts w:hAnsi="宋体"/>
          <w:color w:val="auto"/>
          <w:kern w:val="0"/>
          <w:sz w:val="24"/>
          <w:szCs w:val="21"/>
          <w:highlight w:val="none"/>
        </w:rPr>
        <w:t>治理等。</w:t>
      </w:r>
    </w:p>
    <w:p>
      <w:pPr>
        <w:spacing w:line="360" w:lineRule="auto"/>
        <w:ind w:firstLine="482" w:firstLineChars="200"/>
        <w:jc w:val="left"/>
        <w:outlineLvl w:val="1"/>
        <w:rPr>
          <w:b/>
          <w:color w:val="000000"/>
          <w:sz w:val="24"/>
          <w:highlight w:val="none"/>
        </w:rPr>
      </w:pPr>
      <w:r>
        <w:rPr>
          <w:b/>
          <w:color w:val="000000"/>
          <w:sz w:val="24"/>
          <w:highlight w:val="none"/>
        </w:rPr>
        <w:t>（</w:t>
      </w:r>
      <w:r>
        <w:rPr>
          <w:rFonts w:hint="eastAsia"/>
          <w:b/>
          <w:color w:val="000000"/>
          <w:sz w:val="24"/>
          <w:highlight w:val="none"/>
          <w:lang w:val="en-US" w:eastAsia="zh-CN"/>
        </w:rPr>
        <w:t>4</w:t>
      </w:r>
      <w:r>
        <w:rPr>
          <w:b/>
          <w:color w:val="000000"/>
          <w:sz w:val="24"/>
          <w:highlight w:val="none"/>
        </w:rPr>
        <w:t>）验收范围</w:t>
      </w:r>
    </w:p>
    <w:p>
      <w:pPr>
        <w:pStyle w:val="11"/>
        <w:widowControl w:val="0"/>
        <w:spacing w:before="0" w:beforeAutospacing="0" w:after="0" w:afterAutospacing="0" w:line="360" w:lineRule="auto"/>
        <w:ind w:firstLine="480" w:firstLineChars="200"/>
        <w:jc w:val="both"/>
        <w:rPr>
          <w:rFonts w:hint="default" w:ascii="Times New Roman" w:cs="Times New Roman"/>
          <w:color w:val="000000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本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次阶段性验收范围为</w:t>
      </w:r>
      <w:r>
        <w:rPr>
          <w:rFonts w:hint="eastAsia" w:cs="Times New Roman"/>
          <w:sz w:val="24"/>
          <w:szCs w:val="24"/>
          <w:lang w:val="en-US" w:eastAsia="zh-CN"/>
        </w:rPr>
        <w:t>全厂验收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包含3楼和4楼5条成型鞋生产线</w:t>
      </w:r>
      <w:r>
        <w:rPr>
          <w:rFonts w:hint="default" w:ascii="Times New Roman" w:hAnsi="Times New Roman" w:cs="Times New Roman"/>
          <w:lang w:val="en-US" w:eastAsia="zh-CN"/>
        </w:rPr>
        <w:t>，以及环评及环评批复落实情况，废水、废气、噪声、固废等环保设施的建设运行情况等。</w:t>
      </w:r>
    </w:p>
    <w:p>
      <w:pPr>
        <w:adjustRightInd w:val="0"/>
        <w:snapToGrid w:val="0"/>
        <w:spacing w:before="0" w:beforeLines="0" w:beforeAutospacing="0" w:after="0" w:afterLines="0" w:afterAutospacing="0" w:line="360" w:lineRule="auto"/>
        <w:outlineLvl w:val="0"/>
        <w:rPr>
          <w:rFonts w:hint="eastAsia"/>
          <w:b/>
          <w:color w:val="000000"/>
          <w:sz w:val="30"/>
          <w:szCs w:val="30"/>
          <w:highlight w:val="none"/>
        </w:rPr>
      </w:pPr>
      <w:r>
        <w:rPr>
          <w:rFonts w:hint="eastAsia"/>
          <w:b/>
          <w:color w:val="000000"/>
          <w:sz w:val="30"/>
          <w:szCs w:val="30"/>
          <w:highlight w:val="none"/>
        </w:rPr>
        <w:t>二、工程变动情况</w:t>
      </w:r>
    </w:p>
    <w:p>
      <w:pPr>
        <w:keepNext w:val="0"/>
        <w:keepLines w:val="0"/>
        <w:widowControl/>
        <w:suppressLineNumbers w:val="0"/>
        <w:autoSpaceDE/>
        <w:autoSpaceDN/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对照关于印发《污染影响类建设项目重大变动清单（试行）》的通知（环办环评函〔2020〕688号），项目采取阶段性验收，未涉及重大变动内容，满足阶段性验收条件。</w:t>
      </w:r>
    </w:p>
    <w:p>
      <w:pPr>
        <w:adjustRightInd w:val="0"/>
        <w:snapToGrid w:val="0"/>
        <w:spacing w:before="0" w:beforeLines="0" w:beforeAutospacing="0" w:after="0" w:afterLines="0" w:afterAutospacing="0" w:line="360" w:lineRule="auto"/>
        <w:outlineLvl w:val="0"/>
        <w:rPr>
          <w:rFonts w:hint="eastAsia"/>
          <w:b/>
          <w:color w:val="000000"/>
          <w:sz w:val="30"/>
          <w:szCs w:val="30"/>
          <w:highlight w:val="none"/>
        </w:rPr>
      </w:pPr>
      <w:r>
        <w:rPr>
          <w:rFonts w:hint="eastAsia"/>
          <w:b/>
          <w:color w:val="000000"/>
          <w:sz w:val="30"/>
          <w:szCs w:val="30"/>
          <w:highlight w:val="none"/>
        </w:rPr>
        <w:t>三、污染处理设施建设情况</w:t>
      </w:r>
    </w:p>
    <w:p>
      <w:pPr>
        <w:pStyle w:val="22"/>
        <w:bidi w:val="0"/>
        <w:spacing w:line="360" w:lineRule="auto"/>
        <w:ind w:firstLine="48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ascii="Times New Roman" w:cs="Times New Roman"/>
          <w:color w:val="000000"/>
          <w:kern w:val="2"/>
          <w:highlight w:val="none"/>
        </w:rPr>
        <w:t>（</w:t>
      </w:r>
      <w:r>
        <w:rPr>
          <w:rFonts w:ascii="Times New Roman" w:hAnsi="Times New Roman" w:cs="Times New Roman"/>
          <w:color w:val="000000"/>
          <w:kern w:val="2"/>
          <w:highlight w:val="none"/>
        </w:rPr>
        <w:t>1</w:t>
      </w:r>
      <w:r>
        <w:rPr>
          <w:rFonts w:ascii="Times New Roman" w:cs="Times New Roman"/>
          <w:color w:val="000000"/>
          <w:kern w:val="2"/>
          <w:highlight w:val="none"/>
        </w:rPr>
        <w:t>）废水：</w:t>
      </w:r>
      <w:r>
        <w:rPr>
          <w:rFonts w:hint="default"/>
          <w:lang w:val="en-US" w:eastAsia="zh-CN"/>
        </w:rPr>
        <w:t>项目生活污水产生量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12.6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/d</w:t>
      </w:r>
      <w:r>
        <w:rPr>
          <w:rFonts w:hint="eastAsia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项目生活污水经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出租方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三级化粪池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25m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预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处理后纳入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华汇西路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市政污水管网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再排入闽中污水处理厂进行处理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pStyle w:val="22"/>
        <w:bidi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2"/>
          <w:highlight w:val="none"/>
          <w:lang w:val="en-US" w:eastAsia="zh-CN"/>
        </w:rPr>
        <w:t>（2）废气：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本项目运营期产生的大气污染物主要为刷胶、烘干、贴合、冷却等工序产生的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非甲烷总烃、苯、甲苯、二甲苯</w:t>
      </w:r>
      <w:r>
        <w:rPr>
          <w:rFonts w:hint="default" w:ascii="Times New Roman" w:hAnsi="Times New Roman" w:cs="Times New Roman"/>
          <w:lang w:val="en-US" w:eastAsia="zh-CN"/>
        </w:rPr>
        <w:t>。生产期间，车间窗户和大门处于关闭状态，形成有效负压系统，生产废气通过</w:t>
      </w:r>
      <w:r>
        <w:rPr>
          <w:rFonts w:hint="eastAsia" w:ascii="Times New Roman" w:hAnsi="Times New Roman" w:cs="Times New Roman"/>
          <w:lang w:val="en-US" w:eastAsia="zh-CN"/>
        </w:rPr>
        <w:t>集气罩及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引风机收集系统吸入废气管道，再通过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活性炭吸附设施处理后通过2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m高排气筒排放</w:t>
      </w:r>
      <w:r>
        <w:rPr>
          <w:rFonts w:hint="eastAsia" w:ascii="Times New Roman" w:hAnsi="Times New Roman" w:eastAsia="宋体" w:cs="Times New Roman"/>
          <w:lang w:val="en-US" w:eastAsia="zh-CN"/>
        </w:rPr>
        <w:t>。</w:t>
      </w:r>
    </w:p>
    <w:p>
      <w:pPr>
        <w:pStyle w:val="11"/>
        <w:widowControl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color w:val="000000"/>
          <w:kern w:val="2"/>
          <w:highlight w:val="none"/>
        </w:rPr>
      </w:pPr>
      <w:r>
        <w:rPr>
          <w:rFonts w:ascii="Times New Roman" w:cs="Times New Roman"/>
          <w:color w:val="000000"/>
          <w:kern w:val="2"/>
          <w:highlight w:val="none"/>
        </w:rPr>
        <w:t>（</w:t>
      </w:r>
      <w:r>
        <w:rPr>
          <w:rFonts w:ascii="Times New Roman" w:hAnsi="Times New Roman" w:cs="Times New Roman"/>
          <w:color w:val="000000"/>
          <w:kern w:val="2"/>
          <w:highlight w:val="none"/>
        </w:rPr>
        <w:t>3</w:t>
      </w:r>
      <w:r>
        <w:rPr>
          <w:rFonts w:ascii="Times New Roman" w:cs="Times New Roman"/>
          <w:color w:val="000000"/>
          <w:kern w:val="2"/>
          <w:highlight w:val="none"/>
        </w:rPr>
        <w:t>）噪声：本项目噪声防治措施如下：</w:t>
      </w: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生产设备均布置在车间内，对高噪声设备采取必要隔声减振措施。</w:t>
      </w:r>
    </w:p>
    <w:p>
      <w:pPr>
        <w:pStyle w:val="18"/>
        <w:bidi w:val="0"/>
        <w:rPr>
          <w:rFonts w:hint="default"/>
          <w:lang w:val="en-US" w:eastAsia="zh-CN"/>
        </w:rPr>
      </w:pPr>
      <w:r>
        <w:rPr>
          <w:rFonts w:ascii="Times New Roman" w:cs="Times New Roman"/>
          <w:color w:val="000000"/>
          <w:kern w:val="2"/>
          <w:highlight w:val="none"/>
        </w:rPr>
        <w:t>（</w:t>
      </w:r>
      <w:r>
        <w:rPr>
          <w:rFonts w:ascii="Times New Roman" w:hAnsi="Times New Roman" w:cs="Times New Roman"/>
          <w:color w:val="000000"/>
          <w:kern w:val="2"/>
          <w:highlight w:val="none"/>
        </w:rPr>
        <w:t>4</w:t>
      </w:r>
      <w:r>
        <w:rPr>
          <w:rFonts w:ascii="Times New Roman" w:cs="Times New Roman"/>
          <w:color w:val="000000"/>
          <w:kern w:val="2"/>
          <w:highlight w:val="none"/>
        </w:rPr>
        <w:t>）固体废物：</w:t>
      </w:r>
      <w:r>
        <w:rPr>
          <w:rFonts w:hint="default" w:ascii="Times New Roman" w:hAnsi="Times New Roman" w:cs="Times New Roman"/>
          <w:lang w:val="en-US" w:eastAsia="zh-CN"/>
        </w:rPr>
        <w:t>项目生产过程中产生的固体废物包括一般工业固废</w:t>
      </w:r>
      <w:r>
        <w:rPr>
          <w:rFonts w:hint="eastAsia" w:cs="Times New Roman"/>
          <w:lang w:val="en-US" w:eastAsia="zh-CN"/>
        </w:rPr>
        <w:t>、危险废物</w:t>
      </w:r>
      <w:r>
        <w:rPr>
          <w:rFonts w:hint="default" w:ascii="Times New Roman" w:hAnsi="Times New Roman" w:cs="Times New Roman"/>
          <w:lang w:val="en-US" w:eastAsia="zh-CN"/>
        </w:rPr>
        <w:t>及职工生活垃圾。</w:t>
      </w:r>
      <w:r>
        <w:rPr>
          <w:rFonts w:hint="eastAsia"/>
          <w:lang w:val="en-US" w:eastAsia="zh-CN"/>
        </w:rPr>
        <w:t>本项目一般工业固体废物主要为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边角料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和不合格品</w:t>
      </w:r>
      <w:r>
        <w:rPr>
          <w:rFonts w:hint="eastAsia"/>
          <w:lang w:val="en-US"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项目设置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m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的一般固废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点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，用于暂存生产线次品、边角料，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集中收集后，外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运于</w:t>
      </w:r>
      <w:r>
        <w:rPr>
          <w:rFonts w:hint="eastAsia"/>
          <w:sz w:val="24"/>
          <w:szCs w:val="24"/>
          <w:lang w:val="en-US" w:eastAsia="zh-CN"/>
        </w:rPr>
        <w:t>莆田市昌鸿环保科技有限公司处理</w:t>
      </w:r>
      <w:r>
        <w:rPr>
          <w:rFonts w:hint="eastAsia"/>
          <w:lang w:val="en-US" w:eastAsia="zh-CN"/>
        </w:rPr>
        <w:t>；设置10</w:t>
      </w:r>
      <w:r>
        <w:rPr>
          <w:rFonts w:hint="eastAsia"/>
        </w:rPr>
        <w:t>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规范危废间</w:t>
      </w:r>
      <w:r>
        <w:rPr>
          <w:rFonts w:hint="eastAsia"/>
          <w:lang w:val="en-US" w:eastAsia="zh-CN"/>
        </w:rPr>
        <w:t>用于暂存危险废物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主要危险废物有</w:t>
      </w:r>
      <w:r>
        <w:rPr>
          <w:rFonts w:hint="eastAsia" w:ascii="Times New Roman" w:hAnsi="Times New Roman" w:eastAsia="宋体" w:cs="Times New Roman"/>
          <w:lang w:val="en-US" w:eastAsia="zh-CN"/>
        </w:rPr>
        <w:t>原料空桶、废活性炭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及沾染原料的废刷胶工具</w:t>
      </w:r>
      <w:r>
        <w:rPr>
          <w:rFonts w:hint="eastAsia" w:ascii="Times New Roman" w:hAnsi="Times New Roman" w:cs="Times New Roman"/>
          <w:lang w:val="en-US" w:eastAsia="zh-CN"/>
        </w:rPr>
        <w:t>，</w:t>
      </w:r>
      <w:r>
        <w:rPr>
          <w:rFonts w:hint="eastAsia" w:cs="Times New Roman"/>
          <w:lang w:val="en-US" w:eastAsia="zh-CN"/>
        </w:rPr>
        <w:t>原料空桶收集后由</w:t>
      </w:r>
      <w:r>
        <w:rPr>
          <w:rFonts w:hint="eastAsia"/>
          <w:sz w:val="24"/>
          <w:szCs w:val="24"/>
          <w:lang w:val="en-US" w:eastAsia="zh-CN"/>
        </w:rPr>
        <w:t>莆田市昌鸿环保科技有限公司回收</w:t>
      </w:r>
      <w:r>
        <w:rPr>
          <w:rFonts w:hint="eastAsia" w:cs="Times New Roman"/>
          <w:lang w:val="en-US" w:eastAsia="zh-CN"/>
        </w:rPr>
        <w:t>，废活性炭和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沾染原料的废刷胶工具委托</w:t>
      </w:r>
      <w:r>
        <w:rPr>
          <w:rFonts w:hint="eastAsia"/>
          <w:sz w:val="24"/>
          <w:szCs w:val="24"/>
          <w:highlight w:val="none"/>
          <w:lang w:val="en-US" w:eastAsia="zh-CN"/>
        </w:rPr>
        <w:t>福建兴业东江环保科技有限公司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进行处置；生活垃圾收集后由当地环卫部门统一清运处置。</w:t>
      </w:r>
    </w:p>
    <w:p>
      <w:pPr>
        <w:adjustRightInd w:val="0"/>
        <w:snapToGrid w:val="0"/>
        <w:spacing w:before="0" w:beforeLines="0" w:beforeAutospacing="0" w:after="0" w:afterLines="0" w:afterAutospacing="0" w:line="360" w:lineRule="auto"/>
        <w:outlineLvl w:val="0"/>
        <w:rPr>
          <w:rFonts w:hint="eastAsia"/>
          <w:b/>
          <w:color w:val="000000"/>
          <w:sz w:val="30"/>
          <w:szCs w:val="30"/>
          <w:highlight w:val="none"/>
        </w:rPr>
      </w:pPr>
      <w:r>
        <w:rPr>
          <w:rFonts w:hint="eastAsia"/>
          <w:b/>
          <w:color w:val="000000"/>
          <w:sz w:val="30"/>
          <w:szCs w:val="30"/>
          <w:highlight w:val="none"/>
        </w:rPr>
        <w:t>四、污染处理设施处理效果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 xml:space="preserve">（1）废水 </w:t>
      </w:r>
    </w:p>
    <w:p>
      <w:pPr>
        <w:pStyle w:val="18"/>
        <w:bidi w:val="0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项目生活污水经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出租方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三级化粪池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25m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预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处理后纳入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华汇西路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市政污水管网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再排入闽中污水处理厂进行处理</w:t>
      </w:r>
      <w:r>
        <w:rPr>
          <w:rFonts w:hint="eastAsia" w:ascii="Times New Roman" w:hAnsi="Times New Roman" w:cs="Times New Roman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 xml:space="preserve">（2）废气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0"/>
          <w:lang w:val="en-GB" w:eastAsia="zh-CN" w:bidi="ar-SA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验收监测期间，本项目排气筒（DA001）非甲烷总烃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、甲苯、苯、二甲苯</w:t>
      </w: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排放浓度满足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《大气污染物综合排放标准》（GB16297-1996）表2二级标准</w:t>
      </w: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；厂区内的非甲烷总烃排放浓度满足《挥发性有机物无组织排放控制标准》 （GB37822-2019）表A.1规定限值；厂界无组织排放的非甲烷总烃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、甲苯、苯、二甲苯</w:t>
      </w: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排放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浓度</w:t>
      </w: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满足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《大气污染物综合排放标准》（GB16297-1996）</w:t>
      </w: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中相关排放浓度限值</w:t>
      </w: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GB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 xml:space="preserve">综上，项目废气经处理后所排放污染物浓度符合环评及审批部门的要求。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 xml:space="preserve">（3）噪声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验收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监</w:t>
      </w: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测期间，项目厂界噪声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可达</w:t>
      </w: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《工业企业厂界环境噪声排放标准》</w:t>
      </w:r>
      <w:r>
        <w:rPr>
          <w:rFonts w:hint="eastAsia" w:ascii="Times New Roman" w:hAnsi="Times New Roman" w:cs="Times New Roman"/>
          <w:kern w:val="0"/>
          <w:sz w:val="24"/>
          <w:szCs w:val="20"/>
          <w:lang w:val="en-US" w:eastAsia="zh-CN" w:bidi="ar-SA"/>
        </w:rPr>
        <w:t>（</w:t>
      </w: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GB 12348- 2008</w:t>
      </w:r>
      <w:r>
        <w:rPr>
          <w:rFonts w:hint="eastAsia" w:ascii="Times New Roman" w:hAnsi="Times New Roman" w:cs="Times New Roman"/>
          <w:kern w:val="0"/>
          <w:sz w:val="24"/>
          <w:szCs w:val="20"/>
          <w:lang w:val="en-US" w:eastAsia="zh-CN" w:bidi="ar-SA"/>
        </w:rPr>
        <w:t>）</w:t>
      </w: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中</w:t>
      </w:r>
      <w:r>
        <w:rPr>
          <w:rFonts w:hint="eastAsia" w:ascii="Times New Roman" w:hAnsi="Times New Roman" w:cs="Times New Roman"/>
          <w:kern w:val="0"/>
          <w:sz w:val="24"/>
          <w:szCs w:val="20"/>
          <w:lang w:val="en-US" w:eastAsia="zh-CN" w:bidi="ar-SA"/>
        </w:rPr>
        <w:t>3</w:t>
      </w: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类标准（昼间≤6</w:t>
      </w:r>
      <w:r>
        <w:rPr>
          <w:rFonts w:hint="eastAsia" w:ascii="Times New Roman" w:hAnsi="Times New Roman" w:cs="Times New Roman"/>
          <w:kern w:val="0"/>
          <w:sz w:val="24"/>
          <w:szCs w:val="20"/>
          <w:lang w:val="en-US" w:eastAsia="zh-CN" w:bidi="ar-SA"/>
        </w:rPr>
        <w:t>5</w:t>
      </w: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dB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。夜间</w:t>
      </w: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≤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5</w:t>
      </w:r>
      <w:r>
        <w:rPr>
          <w:rFonts w:hint="eastAsia" w:ascii="Times New Roman" w:hAnsi="Times New Roman" w:cs="Times New Roman"/>
          <w:kern w:val="0"/>
          <w:sz w:val="24"/>
          <w:szCs w:val="20"/>
          <w:lang w:val="en-US" w:eastAsia="zh-CN" w:bidi="ar-SA"/>
        </w:rPr>
        <w:t>5</w:t>
      </w: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>dB）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 w:bidi="ar-SA"/>
        </w:rPr>
        <w:t xml:space="preserve">（4）固体废物 </w:t>
      </w:r>
    </w:p>
    <w:p>
      <w:pPr>
        <w:pStyle w:val="22"/>
        <w:bidi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本项目一般工业固体废物</w:t>
      </w:r>
      <w:r>
        <w:rPr>
          <w:rFonts w:hint="default" w:ascii="Times New Roman" w:hAnsi="Times New Roman" w:eastAsia="宋体" w:cs="Times New Roman"/>
          <w:lang w:val="en-US" w:eastAsia="zh-CN"/>
        </w:rPr>
        <w:t>次品</w:t>
      </w:r>
      <w:r>
        <w:rPr>
          <w:rFonts w:hint="eastAsia" w:ascii="Times New Roman" w:hAnsi="Times New Roman" w:eastAsia="宋体" w:cs="Times New Roman"/>
          <w:lang w:val="en-US" w:eastAsia="zh-CN"/>
        </w:rPr>
        <w:t>统一收集后暂存于一般固废间，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外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运于</w:t>
      </w:r>
      <w:r>
        <w:rPr>
          <w:rFonts w:hint="eastAsia"/>
          <w:sz w:val="24"/>
          <w:szCs w:val="24"/>
          <w:lang w:val="en-US" w:eastAsia="zh-CN"/>
        </w:rPr>
        <w:t>莆田市昌鸿环保科技有限公司处理</w:t>
      </w:r>
      <w:r>
        <w:rPr>
          <w:rFonts w:hint="eastAsia" w:ascii="Times New Roman" w:hAnsi="Times New Roman" w:eastAsia="宋体" w:cs="Times New Roman"/>
          <w:lang w:val="en-US" w:eastAsia="zh-CN"/>
        </w:rPr>
        <w:t>；原料空桶</w:t>
      </w:r>
      <w:r>
        <w:rPr>
          <w:rFonts w:hint="eastAsia" w:cs="Times New Roman"/>
          <w:lang w:val="en-US" w:eastAsia="zh-CN"/>
        </w:rPr>
        <w:t>收集后</w:t>
      </w:r>
      <w:r>
        <w:rPr>
          <w:rFonts w:hint="eastAsia" w:ascii="Times New Roman" w:hAnsi="Times New Roman" w:cs="Times New Roman"/>
          <w:lang w:val="en-US" w:eastAsia="zh-CN"/>
        </w:rPr>
        <w:t>由</w:t>
      </w:r>
      <w:r>
        <w:rPr>
          <w:rFonts w:hint="eastAsia"/>
          <w:sz w:val="24"/>
          <w:szCs w:val="24"/>
          <w:lang w:val="en-US" w:eastAsia="zh-CN"/>
        </w:rPr>
        <w:t>莆田市昌鸿环保科技有限公司</w:t>
      </w:r>
      <w:r>
        <w:rPr>
          <w:rFonts w:hint="eastAsia" w:ascii="Times New Roman" w:hAnsi="Times New Roman" w:cs="Times New Roman"/>
          <w:lang w:val="en-US" w:eastAsia="zh-CN"/>
        </w:rPr>
        <w:t>回收；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沾染原料的废刷胶工具</w:t>
      </w:r>
      <w:r>
        <w:rPr>
          <w:rFonts w:hint="eastAsia" w:ascii="Times New Roman" w:hAnsi="Times New Roman" w:eastAsia="宋体" w:cs="Times New Roman"/>
          <w:lang w:val="en-US" w:eastAsia="zh-CN"/>
        </w:rPr>
        <w:t>、废活性炭，委托</w:t>
      </w:r>
      <w:r>
        <w:rPr>
          <w:rFonts w:hint="eastAsia"/>
          <w:sz w:val="24"/>
          <w:szCs w:val="24"/>
          <w:highlight w:val="none"/>
          <w:lang w:val="en-US" w:eastAsia="zh-CN"/>
        </w:rPr>
        <w:t>福建兴业东江环保科技有限公司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4"/>
          <w:szCs w:val="24"/>
          <w:lang w:val="en-US" w:eastAsia="zh-CN" w:bidi="ar-SA"/>
        </w:rPr>
        <w:t>进行处置；生活垃圾由当地环卫部门定期清运。项目固体废物综合处理及有效利用率达100%，不会对周围环境造成二次污染。</w:t>
      </w:r>
    </w:p>
    <w:p>
      <w:pPr>
        <w:pStyle w:val="18"/>
        <w:numPr>
          <w:ilvl w:val="0"/>
          <w:numId w:val="1"/>
        </w:numPr>
        <w:bidi w:val="0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总量控制</w:t>
      </w:r>
    </w:p>
    <w:p>
      <w:pPr>
        <w:pStyle w:val="24"/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验收监测结果核算本项目挥发有机物排放总量为：VOCs 0.943t/a，小于环评批复的3.5429t/a，符合总量控制要求</w:t>
      </w:r>
      <w:r>
        <w:rPr>
          <w:rFonts w:hint="default"/>
          <w:color w:val="auto"/>
          <w:lang w:val="en-US" w:eastAsia="zh-CN"/>
        </w:rPr>
        <w:t>。</w:t>
      </w:r>
    </w:p>
    <w:p>
      <w:pPr>
        <w:adjustRightInd w:val="0"/>
        <w:snapToGrid w:val="0"/>
        <w:spacing w:before="0" w:beforeLines="0" w:after="0" w:afterLines="0" w:line="360" w:lineRule="auto"/>
        <w:outlineLvl w:val="0"/>
        <w:rPr>
          <w:rFonts w:hint="default" w:eastAsia="宋体" w:cs="宋体"/>
          <w:b/>
          <w:color w:val="000000"/>
          <w:sz w:val="30"/>
          <w:szCs w:val="30"/>
          <w:highlight w:val="none"/>
          <w:lang w:val="en-US" w:eastAsia="zh-CN"/>
        </w:rPr>
      </w:pPr>
      <w:r>
        <w:rPr>
          <w:rFonts w:hint="default" w:eastAsia="宋体" w:cs="宋体"/>
          <w:b/>
          <w:color w:val="000000"/>
          <w:sz w:val="30"/>
          <w:szCs w:val="30"/>
          <w:highlight w:val="none"/>
          <w:lang w:val="en-US" w:eastAsia="zh-CN"/>
        </w:rPr>
        <w:t>五、工程建设对环境的影响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经营期间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做好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废气、废水、噪声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污染防治工作，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无组织达标排放非甲烃总烃对环境空气影响较小。</w:t>
      </w:r>
    </w:p>
    <w:p>
      <w:pPr>
        <w:rPr>
          <w:rFonts w:hint="eastAsia"/>
          <w:lang w:val="en-US" w:eastAsia="zh-CN"/>
        </w:rPr>
      </w:pPr>
    </w:p>
    <w:p>
      <w:pPr>
        <w:adjustRightInd w:val="0"/>
        <w:snapToGrid w:val="0"/>
        <w:spacing w:before="0" w:beforeLines="0" w:beforeAutospacing="0" w:after="0" w:afterLines="0" w:afterAutospacing="0" w:line="360" w:lineRule="auto"/>
        <w:outlineLvl w:val="0"/>
        <w:rPr>
          <w:rFonts w:hint="default"/>
          <w:b/>
          <w:color w:val="000000"/>
          <w:sz w:val="30"/>
          <w:szCs w:val="30"/>
          <w:highlight w:val="none"/>
        </w:rPr>
      </w:pPr>
      <w:r>
        <w:rPr>
          <w:rFonts w:hint="eastAsia"/>
          <w:b/>
          <w:color w:val="000000"/>
          <w:sz w:val="30"/>
          <w:szCs w:val="30"/>
          <w:highlight w:val="none"/>
          <w:lang w:val="en-US" w:eastAsia="zh-CN"/>
        </w:rPr>
        <w:t>六</w:t>
      </w:r>
      <w:r>
        <w:rPr>
          <w:rFonts w:hint="default"/>
          <w:b/>
          <w:color w:val="000000"/>
          <w:sz w:val="30"/>
          <w:szCs w:val="30"/>
          <w:highlight w:val="none"/>
        </w:rPr>
        <w:t>、验收结论</w:t>
      </w:r>
    </w:p>
    <w:p>
      <w:pPr>
        <w:pStyle w:val="2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eastAsia="宋体" w:cs="Times New Roman"/>
          <w:b w:val="0"/>
          <w:bCs w:val="0"/>
          <w:sz w:val="24"/>
          <w:szCs w:val="24"/>
          <w:lang w:val="en-US" w:eastAsia="zh-CN"/>
        </w:rPr>
        <w:t>经调查，本阶段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项目</w:t>
      </w:r>
      <w:r>
        <w:rPr>
          <w:rFonts w:hint="eastAsia" w:eastAsia="宋体" w:cs="Times New Roman"/>
          <w:b w:val="0"/>
          <w:bCs w:val="0"/>
          <w:sz w:val="24"/>
          <w:szCs w:val="24"/>
          <w:lang w:val="en-US" w:eastAsia="zh-CN"/>
        </w:rPr>
        <w:t>竣工验收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不存在</w:t>
      </w:r>
      <w:r>
        <w:rPr>
          <w:rFonts w:hint="eastAsia" w:eastAsia="宋体" w:cs="Times New Roman"/>
          <w:b w:val="0"/>
          <w:bCs w:val="0"/>
          <w:sz w:val="24"/>
          <w:szCs w:val="24"/>
          <w:lang w:val="en-US" w:eastAsia="zh-CN"/>
        </w:rPr>
        <w:t>提出的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验收</w:t>
      </w:r>
      <w:r>
        <w:rPr>
          <w:rFonts w:hint="eastAsia" w:eastAsia="宋体" w:cs="Times New Roman"/>
          <w:b w:val="0"/>
          <w:bCs w:val="0"/>
          <w:sz w:val="24"/>
          <w:szCs w:val="24"/>
          <w:lang w:val="en-US" w:eastAsia="zh-CN"/>
        </w:rPr>
        <w:t>不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合格意见的九种</w:t>
      </w:r>
      <w:r>
        <w:rPr>
          <w:rFonts w:hint="eastAsia" w:eastAsia="宋体" w:cs="Times New Roman"/>
          <w:b w:val="0"/>
          <w:bCs w:val="0"/>
          <w:sz w:val="24"/>
          <w:szCs w:val="24"/>
          <w:lang w:val="en-US" w:eastAsia="zh-CN"/>
        </w:rPr>
        <w:t>情形之一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eastAsia" w:eastAsia="宋体" w:cs="Times New Roman"/>
          <w:b w:val="0"/>
          <w:bCs w:val="0"/>
          <w:sz w:val="24"/>
          <w:szCs w:val="24"/>
          <w:lang w:val="en-US" w:eastAsia="zh-CN"/>
        </w:rPr>
        <w:t>本阶段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项目</w:t>
      </w:r>
      <w:r>
        <w:rPr>
          <w:rFonts w:hint="eastAsia" w:eastAsia="宋体" w:cs="Times New Roman"/>
          <w:b w:val="0"/>
          <w:bCs w:val="0"/>
          <w:sz w:val="24"/>
          <w:szCs w:val="24"/>
          <w:lang w:val="en-US" w:eastAsia="zh-CN"/>
        </w:rPr>
        <w:t>验收相关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环保审批手续齐全，</w:t>
      </w:r>
      <w:r>
        <w:rPr>
          <w:rFonts w:hint="eastAsia" w:eastAsia="宋体" w:cs="Times New Roman"/>
          <w:b w:val="0"/>
          <w:bCs w:val="0"/>
          <w:sz w:val="24"/>
          <w:szCs w:val="24"/>
          <w:lang w:val="en-US" w:eastAsia="zh-CN"/>
        </w:rPr>
        <w:t>基本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落实了环评文件及批复要求的各项环保措施；环保设施运行正常，</w:t>
      </w:r>
      <w:r>
        <w:rPr>
          <w:rFonts w:hint="eastAsia" w:eastAsia="宋体" w:cs="Times New Roman"/>
          <w:b w:val="0"/>
          <w:bCs w:val="0"/>
          <w:sz w:val="24"/>
          <w:szCs w:val="24"/>
          <w:lang w:val="en-US" w:eastAsia="zh-CN"/>
        </w:rPr>
        <w:t>具备分阶段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验收工况，竣工验收监测</w:t>
      </w:r>
      <w:r>
        <w:rPr>
          <w:rFonts w:hint="eastAsia" w:eastAsia="宋体" w:cs="Times New Roman"/>
          <w:b w:val="0"/>
          <w:bCs w:val="0"/>
          <w:sz w:val="24"/>
          <w:szCs w:val="24"/>
          <w:lang w:val="en-US" w:eastAsia="zh-CN"/>
        </w:rPr>
        <w:t>表明各主要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污染物排放指标均达标，建议通过验收。</w:t>
      </w:r>
    </w:p>
    <w:p>
      <w:pPr>
        <w:adjustRightInd w:val="0"/>
        <w:snapToGrid w:val="0"/>
        <w:spacing w:before="0" w:beforeLines="0" w:beforeAutospacing="0" w:after="0" w:afterLines="0" w:afterAutospacing="0" w:line="360" w:lineRule="auto"/>
        <w:outlineLvl w:val="0"/>
        <w:rPr>
          <w:rFonts w:hint="default"/>
          <w:b/>
          <w:color w:val="000000"/>
          <w:sz w:val="30"/>
          <w:szCs w:val="30"/>
          <w:highlight w:val="none"/>
        </w:rPr>
      </w:pPr>
      <w:r>
        <w:rPr>
          <w:rFonts w:hint="eastAsia"/>
          <w:b/>
          <w:color w:val="000000"/>
          <w:sz w:val="30"/>
          <w:szCs w:val="30"/>
          <w:highlight w:val="none"/>
          <w:lang w:val="en-US" w:eastAsia="zh-CN"/>
        </w:rPr>
        <w:t>七</w:t>
      </w:r>
      <w:r>
        <w:rPr>
          <w:rFonts w:hint="default"/>
          <w:b/>
          <w:color w:val="000000"/>
          <w:sz w:val="30"/>
          <w:szCs w:val="30"/>
          <w:highlight w:val="none"/>
        </w:rPr>
        <w:t>、后续整改事项</w:t>
      </w:r>
    </w:p>
    <w:p>
      <w:pPr>
        <w:pStyle w:val="2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baseline"/>
        <w:rPr>
          <w:rFonts w:hint="eastAsia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eastAsia="宋体" w:cs="Times New Roman"/>
          <w:b w:val="0"/>
          <w:bCs w:val="0"/>
          <w:sz w:val="24"/>
          <w:szCs w:val="24"/>
          <w:lang w:val="en-US" w:eastAsia="zh-CN"/>
        </w:rPr>
        <w:t>根据项目验收监测及现场检查结果，本项目产生的原料空桶数量及品类较多，需要合理安排不同固废的存放区域，做到不同种类危废单独存放；本项目活性炭吸附装置运行效率较低，建议增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加</w:t>
      </w:r>
      <w:r>
        <w:rPr>
          <w:rFonts w:hint="eastAsia" w:eastAsia="宋体" w:cs="Times New Roman"/>
          <w:b w:val="0"/>
          <w:bCs w:val="0"/>
          <w:sz w:val="24"/>
          <w:szCs w:val="24"/>
          <w:lang w:val="en-US" w:eastAsia="zh-CN"/>
        </w:rPr>
        <w:t>活性炭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的更换频率</w:t>
      </w:r>
      <w:r>
        <w:rPr>
          <w:rFonts w:hint="eastAsia" w:eastAsia="宋体" w:cs="Times New Roman"/>
          <w:b w:val="0"/>
          <w:bCs w:val="0"/>
          <w:sz w:val="24"/>
          <w:szCs w:val="24"/>
          <w:lang w:val="en-US" w:eastAsia="zh-CN"/>
        </w:rPr>
        <w:t>，提高废气的处理效率。</w:t>
      </w:r>
    </w:p>
    <w:p>
      <w:pPr>
        <w:adjustRightInd w:val="0"/>
        <w:snapToGrid w:val="0"/>
        <w:spacing w:before="0" w:beforeLines="0" w:after="0" w:afterLines="0" w:line="360" w:lineRule="auto"/>
        <w:outlineLvl w:val="0"/>
        <w:rPr>
          <w:rFonts w:hint="default" w:eastAsia="宋体" w:cs="宋体"/>
          <w:b/>
          <w:color w:val="000000"/>
          <w:sz w:val="30"/>
          <w:szCs w:val="30"/>
          <w:highlight w:val="none"/>
          <w:lang w:val="en-US" w:eastAsia="zh-CN"/>
        </w:rPr>
      </w:pPr>
      <w:r>
        <w:rPr>
          <w:rFonts w:hint="default" w:eastAsia="宋体" w:cs="宋体"/>
          <w:b/>
          <w:color w:val="000000"/>
          <w:sz w:val="30"/>
          <w:szCs w:val="30"/>
          <w:highlight w:val="none"/>
          <w:lang w:val="en-US" w:eastAsia="zh-CN"/>
        </w:rPr>
        <w:t>八、验收人员信息</w:t>
      </w:r>
    </w:p>
    <w:p>
      <w:pPr>
        <w:pStyle w:val="24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竣工环保验收会参加单位及成员名单附后。</w:t>
      </w:r>
    </w:p>
    <w:p>
      <w:pPr>
        <w:pStyle w:val="13"/>
        <w:rPr>
          <w:rFonts w:hint="eastAsia"/>
          <w:lang w:val="en-US" w:eastAsia="zh-CN"/>
        </w:rPr>
      </w:pPr>
    </w:p>
    <w:p>
      <w:pPr>
        <w:pStyle w:val="20"/>
        <w:tabs>
          <w:tab w:val="left" w:pos="6105"/>
        </w:tabs>
        <w:spacing w:line="440" w:lineRule="exact"/>
        <w:rPr>
          <w:rFonts w:hint="eastAsia" w:ascii="Times New Roman" w:hAnsi="Times New Roman" w:cs="Times New Roman"/>
          <w:color w:val="000000"/>
          <w:highlight w:val="none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highlight w:val="none"/>
        </w:rPr>
      </w:pPr>
    </w:p>
    <w:p>
      <w:pPr>
        <w:jc w:val="right"/>
        <w:rPr>
          <w:rFonts w:hint="eastAsia" w:ascii="仿宋_GB2312" w:hAnsi="Tahoma" w:eastAsia="仿宋_GB2312" w:cs="仿宋_GB2312"/>
          <w:b/>
          <w:kern w:val="0"/>
          <w:sz w:val="28"/>
          <w:szCs w:val="22"/>
          <w:lang w:eastAsia="zh-CN" w:bidi="ar"/>
        </w:rPr>
      </w:pPr>
    </w:p>
    <w:p>
      <w:pPr>
        <w:pStyle w:val="2"/>
        <w:rPr>
          <w:rFonts w:hint="eastAsia" w:ascii="仿宋_GB2312" w:hAnsi="Tahoma" w:eastAsia="仿宋_GB2312" w:cs="仿宋_GB2312"/>
          <w:b/>
          <w:kern w:val="0"/>
          <w:sz w:val="28"/>
          <w:szCs w:val="22"/>
          <w:lang w:eastAsia="zh-CN" w:bidi="ar"/>
        </w:rPr>
      </w:pPr>
    </w:p>
    <w:p>
      <w:pPr>
        <w:rPr>
          <w:rFonts w:hint="eastAsia" w:ascii="仿宋_GB2312" w:hAnsi="Tahoma" w:eastAsia="仿宋_GB2312" w:cs="仿宋_GB2312"/>
          <w:b/>
          <w:kern w:val="0"/>
          <w:sz w:val="28"/>
          <w:szCs w:val="22"/>
          <w:lang w:eastAsia="zh-CN" w:bidi="ar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440" w:lineRule="exact"/>
        <w:ind w:firstLine="562" w:firstLineChars="200"/>
        <w:jc w:val="right"/>
        <w:rPr>
          <w:rFonts w:hint="eastAsia" w:ascii="Calibri" w:hAnsi="Calibri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Calibri" w:hAnsi="Calibri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莆田美度鞋业有限公司</w:t>
      </w:r>
    </w:p>
    <w:p>
      <w:pPr>
        <w:pStyle w:val="10"/>
        <w:rPr>
          <w:rFonts w:hint="eastAsia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宋体" w:cs="宋体"/>
          <w:b/>
          <w:bCs/>
          <w:color w:val="000000"/>
          <w:sz w:val="28"/>
          <w:szCs w:val="28"/>
          <w:highlight w:val="none"/>
          <w:lang w:val="en-US" w:eastAsia="zh-CN"/>
        </w:rPr>
        <w:t xml:space="preserve">                                          </w:t>
      </w:r>
      <w:r>
        <w:rPr>
          <w:rFonts w:hint="eastAsia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 xml:space="preserve">  202</w:t>
      </w:r>
      <w:r>
        <w:rPr>
          <w:rFonts w:hint="eastAsia" w:cs="宋体"/>
          <w:b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年</w:t>
      </w:r>
      <w:r>
        <w:rPr>
          <w:rFonts w:hint="eastAsia" w:cs="宋体"/>
          <w:b/>
          <w:bCs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eastAsia" w:cs="宋体"/>
          <w:b/>
          <w:bCs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日</w:t>
      </w:r>
    </w:p>
    <w:p>
      <w:pPr>
        <w:rPr>
          <w:rFonts w:hint="eastAsia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2"/>
        <w:rPr>
          <w:rFonts w:hint="eastAsia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rPr>
          <w:rFonts w:hint="default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B4C06F"/>
    <w:multiLevelType w:val="singleLevel"/>
    <w:tmpl w:val="7AB4C06F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YjNmMmFhNTIxYWIyZTI0MTEzYzVkYmNkOGRmZWQifQ=="/>
    <w:docVar w:name="KSO_WPS_MARK_KEY" w:val="7612446e-fc53-4512-bbfc-1c8caa8d1f96"/>
  </w:docVars>
  <w:rsids>
    <w:rsidRoot w:val="71734D81"/>
    <w:rsid w:val="02A604E3"/>
    <w:rsid w:val="0523406D"/>
    <w:rsid w:val="05AD1B88"/>
    <w:rsid w:val="06602037"/>
    <w:rsid w:val="0683652B"/>
    <w:rsid w:val="0808579C"/>
    <w:rsid w:val="09012917"/>
    <w:rsid w:val="096D3B08"/>
    <w:rsid w:val="0A544CC8"/>
    <w:rsid w:val="0A5E78F5"/>
    <w:rsid w:val="0D1B1BBB"/>
    <w:rsid w:val="0D3A1F53"/>
    <w:rsid w:val="10E54DCB"/>
    <w:rsid w:val="12752B99"/>
    <w:rsid w:val="139525D9"/>
    <w:rsid w:val="14113A83"/>
    <w:rsid w:val="14155AF6"/>
    <w:rsid w:val="185145F5"/>
    <w:rsid w:val="18DF7E53"/>
    <w:rsid w:val="18EE0096"/>
    <w:rsid w:val="19722A75"/>
    <w:rsid w:val="1AA03612"/>
    <w:rsid w:val="1C71018C"/>
    <w:rsid w:val="1DD66365"/>
    <w:rsid w:val="1FFA3BFD"/>
    <w:rsid w:val="20783067"/>
    <w:rsid w:val="22E03145"/>
    <w:rsid w:val="234C07DB"/>
    <w:rsid w:val="24E011DB"/>
    <w:rsid w:val="25965B8B"/>
    <w:rsid w:val="265B5E13"/>
    <w:rsid w:val="26AF355A"/>
    <w:rsid w:val="27B9736A"/>
    <w:rsid w:val="27FA0805"/>
    <w:rsid w:val="294F692F"/>
    <w:rsid w:val="2A475858"/>
    <w:rsid w:val="2AB90504"/>
    <w:rsid w:val="2C3329F8"/>
    <w:rsid w:val="2CCB23A6"/>
    <w:rsid w:val="2D005C49"/>
    <w:rsid w:val="2EB65EC9"/>
    <w:rsid w:val="30D269A9"/>
    <w:rsid w:val="324A05DB"/>
    <w:rsid w:val="325925CC"/>
    <w:rsid w:val="327127D7"/>
    <w:rsid w:val="32D63C1D"/>
    <w:rsid w:val="363650FE"/>
    <w:rsid w:val="363B7F26"/>
    <w:rsid w:val="363E0457"/>
    <w:rsid w:val="36DA081D"/>
    <w:rsid w:val="376B54F8"/>
    <w:rsid w:val="386C3059"/>
    <w:rsid w:val="3A190FBF"/>
    <w:rsid w:val="3DA94408"/>
    <w:rsid w:val="3F065125"/>
    <w:rsid w:val="3FE67B95"/>
    <w:rsid w:val="408178BE"/>
    <w:rsid w:val="41EA4FEF"/>
    <w:rsid w:val="43F9776B"/>
    <w:rsid w:val="44E4041B"/>
    <w:rsid w:val="45596B6B"/>
    <w:rsid w:val="45F8417E"/>
    <w:rsid w:val="475D74EE"/>
    <w:rsid w:val="47D12ED9"/>
    <w:rsid w:val="4839282C"/>
    <w:rsid w:val="4BBF64E2"/>
    <w:rsid w:val="4C74000E"/>
    <w:rsid w:val="4FD23C92"/>
    <w:rsid w:val="51371566"/>
    <w:rsid w:val="513F242F"/>
    <w:rsid w:val="51AC406F"/>
    <w:rsid w:val="53AD61C3"/>
    <w:rsid w:val="53B92A73"/>
    <w:rsid w:val="53C75190"/>
    <w:rsid w:val="54860B39"/>
    <w:rsid w:val="573568B4"/>
    <w:rsid w:val="58D915D3"/>
    <w:rsid w:val="5A5B4884"/>
    <w:rsid w:val="5C7A2B82"/>
    <w:rsid w:val="5CB23D80"/>
    <w:rsid w:val="5CBD1826"/>
    <w:rsid w:val="5D066D29"/>
    <w:rsid w:val="5EBA0657"/>
    <w:rsid w:val="606D35F9"/>
    <w:rsid w:val="610417D1"/>
    <w:rsid w:val="61117D7D"/>
    <w:rsid w:val="61CD6067"/>
    <w:rsid w:val="63BA261B"/>
    <w:rsid w:val="643E4FFA"/>
    <w:rsid w:val="64B17EC2"/>
    <w:rsid w:val="66216982"/>
    <w:rsid w:val="68FB170C"/>
    <w:rsid w:val="6A5A7B93"/>
    <w:rsid w:val="6B0A20DA"/>
    <w:rsid w:val="6C174144"/>
    <w:rsid w:val="6DBD6417"/>
    <w:rsid w:val="6F2B261F"/>
    <w:rsid w:val="71734D81"/>
    <w:rsid w:val="71CF3736"/>
    <w:rsid w:val="722E408C"/>
    <w:rsid w:val="73D239B1"/>
    <w:rsid w:val="77751453"/>
    <w:rsid w:val="7ABB0CFB"/>
    <w:rsid w:val="7B084A14"/>
    <w:rsid w:val="7C8554FF"/>
    <w:rsid w:val="7DC12ACC"/>
    <w:rsid w:val="7DDA593C"/>
    <w:rsid w:val="7E046E5D"/>
    <w:rsid w:val="7ED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7">
    <w:name w:val="Default Paragraph Font"/>
    <w:autoRedefine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一级aaa"/>
    <w:basedOn w:val="3"/>
    <w:next w:val="1"/>
    <w:autoRedefine/>
    <w:qFormat/>
    <w:uiPriority w:val="0"/>
    <w:pPr>
      <w:keepNext w:val="0"/>
      <w:keepLines w:val="0"/>
      <w:widowControl w:val="0"/>
      <w:tabs>
        <w:tab w:val="left" w:pos="0"/>
      </w:tabs>
      <w:adjustRightInd w:val="0"/>
      <w:snapToGrid w:val="0"/>
      <w:spacing w:before="312" w:beforeLines="100" w:after="312" w:afterLines="100" w:line="360" w:lineRule="auto"/>
    </w:pPr>
    <w:rPr>
      <w:kern w:val="0"/>
      <w:sz w:val="32"/>
      <w:szCs w:val="20"/>
    </w:rPr>
  </w:style>
  <w:style w:type="paragraph" w:styleId="4">
    <w:name w:val="Note Heading"/>
    <w:basedOn w:val="1"/>
    <w:next w:val="1"/>
    <w:semiHidden/>
    <w:qFormat/>
    <w:uiPriority w:val="0"/>
    <w:pPr>
      <w:jc w:val="center"/>
    </w:pPr>
  </w:style>
  <w:style w:type="paragraph" w:styleId="5">
    <w:name w:val="annotation text"/>
    <w:basedOn w:val="1"/>
    <w:autoRedefine/>
    <w:qFormat/>
    <w:uiPriority w:val="0"/>
  </w:style>
  <w:style w:type="paragraph" w:styleId="6">
    <w:name w:val="Salutation"/>
    <w:next w:val="1"/>
    <w:autoRedefine/>
    <w:unhideWhenUsed/>
    <w:qFormat/>
    <w:uiPriority w:val="99"/>
    <w:pPr>
      <w:widowControl w:val="0"/>
      <w:spacing w:line="307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Body Text"/>
    <w:basedOn w:val="1"/>
    <w:next w:val="6"/>
    <w:autoRedefine/>
    <w:semiHidden/>
    <w:qFormat/>
    <w:uiPriority w:val="0"/>
    <w:pPr>
      <w:spacing w:after="120"/>
    </w:pPr>
  </w:style>
  <w:style w:type="paragraph" w:styleId="8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1"/>
    <w:next w:val="1"/>
    <w:autoRedefine/>
    <w:qFormat/>
    <w:uiPriority w:val="0"/>
  </w:style>
  <w:style w:type="paragraph" w:styleId="11">
    <w:name w:val="Normal (Web)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qFormat/>
    <w:uiPriority w:val="10"/>
    <w:pPr>
      <w:spacing w:after="0" w:line="204" w:lineRule="auto"/>
      <w:contextualSpacing/>
    </w:pPr>
    <w:rPr>
      <w:rFonts w:ascii="Cambria" w:hAnsi="Cambria" w:eastAsia="宋体" w:cs="Times New Roman"/>
      <w:caps/>
      <w:color w:val="1F497D"/>
      <w:spacing w:val="-15"/>
      <w:sz w:val="72"/>
      <w:szCs w:val="72"/>
    </w:rPr>
  </w:style>
  <w:style w:type="paragraph" w:styleId="13">
    <w:name w:val="Body Text First Indent"/>
    <w:basedOn w:val="7"/>
    <w:next w:val="1"/>
    <w:autoRedefine/>
    <w:qFormat/>
    <w:uiPriority w:val="0"/>
    <w:pPr>
      <w:tabs>
        <w:tab w:val="right" w:pos="8820"/>
      </w:tabs>
      <w:ind w:firstLine="420" w:firstLineChars="100"/>
    </w:pPr>
  </w:style>
  <w:style w:type="paragraph" w:styleId="14">
    <w:name w:val="Body Text First Indent 2"/>
    <w:basedOn w:val="8"/>
    <w:next w:val="13"/>
    <w:qFormat/>
    <w:uiPriority w:val="0"/>
    <w:pPr>
      <w:ind w:firstLine="420"/>
    </w:pPr>
  </w:style>
  <w:style w:type="table" w:styleId="16">
    <w:name w:val="Table Grid"/>
    <w:basedOn w:val="1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验收报告正文"/>
    <w:basedOn w:val="1"/>
    <w:autoRedefine/>
    <w:qFormat/>
    <w:uiPriority w:val="0"/>
    <w:pPr>
      <w:spacing w:line="360" w:lineRule="auto"/>
      <w:ind w:firstLine="640" w:firstLineChars="200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19">
    <w:name w:val="规范正文"/>
    <w:basedOn w:val="7"/>
    <w:next w:val="1"/>
    <w:autoRedefine/>
    <w:qFormat/>
    <w:uiPriority w:val="0"/>
    <w:pPr>
      <w:spacing w:line="360" w:lineRule="auto"/>
      <w:ind w:firstLine="720" w:firstLineChars="200"/>
    </w:pPr>
    <w:rPr>
      <w:rFonts w:ascii="Times New Roman" w:hAnsi="Times New Roman" w:eastAsia="宋体"/>
      <w:sz w:val="24"/>
    </w:rPr>
  </w:style>
  <w:style w:type="paragraph" w:customStyle="1" w:styleId="20">
    <w:name w:val="Normal (Web)"/>
    <w:basedOn w:val="1"/>
    <w:autoRedefine/>
    <w:qFormat/>
    <w:uiPriority w:val="0"/>
    <w:pPr>
      <w:keepNext w:val="0"/>
      <w:keepLines w:val="0"/>
      <w:widowControl/>
      <w:suppressLineNumbers w:val="0"/>
      <w:adjustRightInd/>
      <w:snapToGrid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snapToGrid/>
      <w:kern w:val="0"/>
      <w:sz w:val="24"/>
      <w:szCs w:val="24"/>
      <w:lang w:val="en-US" w:eastAsia="zh-CN" w:bidi="ar"/>
    </w:rPr>
  </w:style>
  <w:style w:type="paragraph" w:customStyle="1" w:styleId="21">
    <w:name w:val="0正文"/>
    <w:autoRedefine/>
    <w:unhideWhenUsed/>
    <w:qFormat/>
    <w:uiPriority w:val="0"/>
    <w:pPr>
      <w:widowControl w:val="0"/>
      <w:spacing w:line="360" w:lineRule="auto"/>
      <w:ind w:firstLine="720" w:firstLineChars="200"/>
    </w:pPr>
    <w:rPr>
      <w:rFonts w:ascii="Calibri" w:hAnsi="Calibri" w:eastAsia="宋体" w:cs="Times New Roman"/>
      <w:sz w:val="24"/>
      <w:szCs w:val="22"/>
      <w:lang w:val="en-US" w:eastAsia="zh-CN" w:bidi="ar-SA"/>
    </w:rPr>
  </w:style>
  <w:style w:type="paragraph" w:customStyle="1" w:styleId="22">
    <w:name w:val="规范表格文"/>
    <w:basedOn w:val="7"/>
    <w:autoRedefine/>
    <w:qFormat/>
    <w:uiPriority w:val="0"/>
    <w:pPr>
      <w:spacing w:after="0" w:line="240" w:lineRule="auto"/>
      <w:ind w:firstLine="0" w:firstLineChars="0"/>
    </w:pPr>
    <w:rPr>
      <w:sz w:val="24"/>
    </w:rPr>
  </w:style>
  <w:style w:type="paragraph" w:customStyle="1" w:styleId="23">
    <w:name w:val="表格内容"/>
    <w:basedOn w:val="1"/>
    <w:next w:val="1"/>
    <w:autoRedefine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ascii="Times New Roman" w:hAnsi="Times New Roman"/>
      <w:iCs/>
      <w:sz w:val="21"/>
      <w:szCs w:val="21"/>
    </w:rPr>
  </w:style>
  <w:style w:type="paragraph" w:customStyle="1" w:styleId="24">
    <w:name w:val="BGZX"/>
    <w:next w:val="1"/>
    <w:autoRedefine/>
    <w:qFormat/>
    <w:uiPriority w:val="0"/>
    <w:pPr>
      <w:widowControl w:val="0"/>
      <w:adjustRightInd w:val="0"/>
      <w:snapToGrid w:val="0"/>
      <w:spacing w:line="360" w:lineRule="auto"/>
      <w:ind w:firstLine="480" w:firstLineChars="200"/>
      <w:jc w:val="both"/>
    </w:pPr>
    <w:rPr>
      <w:rFonts w:ascii="Times New Roman" w:hAnsi="Times New Roman" w:eastAsia="宋体" w:cs="Times New Roman"/>
      <w:color w:val="000000" w:themeColor="text1"/>
      <w:kern w:val="0"/>
      <w:sz w:val="24"/>
      <w:szCs w:val="22"/>
      <w:lang w:val="en-GB" w:eastAsia="zh-CN" w:bidi="ar-SA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2190</Words>
  <Characters>2379</Characters>
  <Lines>0</Lines>
  <Paragraphs>0</Paragraphs>
  <TotalTime>0</TotalTime>
  <ScaleCrop>false</ScaleCrop>
  <LinksUpToDate>false</LinksUpToDate>
  <CharactersWithSpaces>2441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2022-01-14T11:08:00Z</dcterms:created>
  <dc:creator>我是偏执狂╯﹏╰</dc:creator>
  <cp:lastModifiedBy>风度西关</cp:lastModifiedBy>
  <cp:lastPrinted>2024-05-11T06:13:00Z</cp:lastPrinted>
  <dcterms:modified xsi:type="dcterms:W3CDTF">2024-05-30T07:48:18Z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184D10EB027A445BA8457D3348A15197_13</vt:lpwstr>
  </property>
</Properties>
</file>