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ECE19A">
      <w:pPr>
        <w:keepNext/>
        <w:keepLines/>
        <w:spacing w:before="156" w:beforeLines="50" w:after="156" w:afterLines="50" w:line="720" w:lineRule="auto"/>
        <w:jc w:val="center"/>
        <w:rPr>
          <w:rFonts w:hint="eastAsia"/>
          <w:b/>
          <w:bCs/>
          <w:sz w:val="52"/>
          <w:szCs w:val="52"/>
        </w:rPr>
      </w:pPr>
    </w:p>
    <w:p w14:paraId="0D029528">
      <w:pPr>
        <w:keepNext/>
        <w:keepLines/>
        <w:spacing w:before="156" w:beforeLines="50" w:after="156" w:afterLines="50" w:line="720" w:lineRule="auto"/>
        <w:jc w:val="center"/>
        <w:rPr>
          <w:b/>
          <w:bCs/>
          <w:sz w:val="52"/>
          <w:szCs w:val="52"/>
        </w:rPr>
      </w:pPr>
    </w:p>
    <w:p w14:paraId="39EDC0CF">
      <w:pPr>
        <w:keepNext/>
        <w:keepLines/>
        <w:spacing w:before="156" w:beforeLines="50" w:after="156" w:afterLines="50" w:line="720" w:lineRule="auto"/>
        <w:jc w:val="center"/>
        <w:rPr>
          <w:b/>
          <w:bCs/>
          <w:sz w:val="52"/>
          <w:szCs w:val="52"/>
        </w:rPr>
      </w:pPr>
      <w:r>
        <w:rPr>
          <w:rFonts w:hint="eastAsia"/>
          <w:b/>
          <w:bCs/>
          <w:sz w:val="52"/>
          <w:szCs w:val="52"/>
        </w:rPr>
        <w:t>福建玖辰精工科技有限公司年加工车载盖板玻璃80万片</w:t>
      </w:r>
      <w:r>
        <w:rPr>
          <w:rFonts w:hint="eastAsia"/>
          <w:b/>
          <w:bCs/>
          <w:sz w:val="52"/>
          <w:szCs w:val="52"/>
          <w:lang w:val="en-US" w:eastAsia="zh-CN"/>
        </w:rPr>
        <w:t>项目</w:t>
      </w:r>
      <w:r>
        <w:rPr>
          <w:b/>
          <w:bCs/>
          <w:sz w:val="52"/>
          <w:szCs w:val="52"/>
        </w:rPr>
        <w:t>竣工环境保护验收监测报告表</w:t>
      </w:r>
    </w:p>
    <w:p w14:paraId="0D9F77DD">
      <w:pPr>
        <w:jc w:val="center"/>
      </w:pPr>
    </w:p>
    <w:p w14:paraId="5EA6BAD5">
      <w:pPr>
        <w:jc w:val="center"/>
      </w:pPr>
    </w:p>
    <w:p w14:paraId="328991E2">
      <w:pPr>
        <w:jc w:val="center"/>
      </w:pPr>
    </w:p>
    <w:p w14:paraId="4D3031A8">
      <w:pPr>
        <w:jc w:val="center"/>
      </w:pPr>
    </w:p>
    <w:p w14:paraId="331C62F7">
      <w:pPr>
        <w:jc w:val="center"/>
      </w:pPr>
    </w:p>
    <w:p w14:paraId="12FAEAB3">
      <w:pPr>
        <w:jc w:val="center"/>
      </w:pPr>
    </w:p>
    <w:p w14:paraId="61E26EC8">
      <w:pPr>
        <w:jc w:val="center"/>
      </w:pPr>
    </w:p>
    <w:p w14:paraId="3F179FB5">
      <w:pPr>
        <w:ind w:firstLine="480"/>
      </w:pPr>
    </w:p>
    <w:p w14:paraId="268555DC"/>
    <w:p w14:paraId="3995A1B8"/>
    <w:p w14:paraId="3B0D693A">
      <w:pPr>
        <w:spacing w:line="600" w:lineRule="auto"/>
        <w:jc w:val="center"/>
        <w:rPr>
          <w:b/>
          <w:bCs/>
          <w:sz w:val="32"/>
          <w:szCs w:val="32"/>
        </w:rPr>
      </w:pPr>
      <w:r>
        <w:rPr>
          <w:b/>
          <w:bCs/>
          <w:sz w:val="32"/>
          <w:szCs w:val="32"/>
        </w:rPr>
        <w:t>建设单位：</w:t>
      </w:r>
      <w:r>
        <w:rPr>
          <w:rFonts w:hint="eastAsia"/>
          <w:b/>
          <w:bCs/>
          <w:sz w:val="32"/>
          <w:szCs w:val="32"/>
        </w:rPr>
        <w:t>福建玖辰精工科技有限公司</w:t>
      </w:r>
    </w:p>
    <w:p w14:paraId="7F10E33E">
      <w:pPr>
        <w:spacing w:line="600" w:lineRule="auto"/>
        <w:jc w:val="center"/>
        <w:rPr>
          <w:b/>
          <w:bCs/>
          <w:sz w:val="32"/>
          <w:szCs w:val="32"/>
        </w:rPr>
      </w:pPr>
      <w:r>
        <w:rPr>
          <w:b/>
          <w:bCs/>
          <w:sz w:val="32"/>
          <w:szCs w:val="32"/>
        </w:rPr>
        <w:t>编制单位：</w:t>
      </w:r>
      <w:r>
        <w:rPr>
          <w:rFonts w:hint="eastAsia"/>
          <w:b/>
          <w:bCs/>
          <w:sz w:val="32"/>
          <w:szCs w:val="32"/>
        </w:rPr>
        <w:t>福建玖辰精工科技有限公司</w:t>
      </w:r>
    </w:p>
    <w:p w14:paraId="0781EC6A">
      <w:pPr>
        <w:spacing w:line="600" w:lineRule="auto"/>
        <w:jc w:val="center"/>
        <w:rPr>
          <w:b/>
          <w:bCs/>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r>
        <w:rPr>
          <w:b/>
          <w:bCs/>
          <w:sz w:val="32"/>
          <w:szCs w:val="32"/>
        </w:rPr>
        <w:t>二零</w:t>
      </w:r>
      <w:r>
        <w:rPr>
          <w:rFonts w:hint="eastAsia"/>
          <w:b/>
          <w:bCs/>
          <w:sz w:val="32"/>
          <w:szCs w:val="32"/>
        </w:rPr>
        <w:t>二</w:t>
      </w:r>
      <w:r>
        <w:rPr>
          <w:rFonts w:hint="eastAsia"/>
          <w:b/>
          <w:bCs/>
          <w:sz w:val="32"/>
          <w:szCs w:val="32"/>
          <w:lang w:val="en-US" w:eastAsia="zh-CN"/>
        </w:rPr>
        <w:t>四</w:t>
      </w:r>
      <w:r>
        <w:rPr>
          <w:b/>
          <w:bCs/>
          <w:sz w:val="32"/>
          <w:szCs w:val="32"/>
        </w:rPr>
        <w:t>年</w:t>
      </w:r>
      <w:r>
        <w:rPr>
          <w:rFonts w:hint="eastAsia"/>
          <w:b/>
          <w:bCs/>
          <w:sz w:val="32"/>
          <w:szCs w:val="32"/>
          <w:lang w:val="en-US" w:eastAsia="zh-CN"/>
        </w:rPr>
        <w:t>六</w:t>
      </w:r>
      <w:r>
        <w:rPr>
          <w:b/>
          <w:bCs/>
          <w:sz w:val="32"/>
          <w:szCs w:val="32"/>
        </w:rPr>
        <w:t>月</w:t>
      </w:r>
    </w:p>
    <w:p w14:paraId="5A7F9B49">
      <w:pPr>
        <w:spacing w:line="600" w:lineRule="auto"/>
        <w:jc w:val="left"/>
        <w:rPr>
          <w:b/>
          <w:sz w:val="28"/>
          <w:szCs w:val="28"/>
        </w:rPr>
      </w:pPr>
    </w:p>
    <w:p w14:paraId="609290CE">
      <w:pPr>
        <w:spacing w:line="720" w:lineRule="auto"/>
        <w:jc w:val="left"/>
        <w:rPr>
          <w:sz w:val="28"/>
          <w:szCs w:val="28"/>
        </w:rPr>
      </w:pPr>
      <w:r>
        <w:rPr>
          <w:b/>
          <w:sz w:val="28"/>
          <w:szCs w:val="28"/>
        </w:rPr>
        <w:t>建设单位法人代表:</w:t>
      </w:r>
      <w:r>
        <w:rPr>
          <w:rFonts w:hint="eastAsia"/>
          <w:sz w:val="28"/>
          <w:szCs w:val="28"/>
        </w:rPr>
        <w:t>陈云清</w:t>
      </w:r>
    </w:p>
    <w:p w14:paraId="1F033F8E">
      <w:pPr>
        <w:spacing w:line="720" w:lineRule="auto"/>
        <w:jc w:val="left"/>
        <w:rPr>
          <w:sz w:val="28"/>
          <w:szCs w:val="28"/>
        </w:rPr>
      </w:pPr>
      <w:r>
        <w:rPr>
          <w:b/>
          <w:sz w:val="28"/>
          <w:szCs w:val="28"/>
        </w:rPr>
        <w:t>编制单位法人代表:</w:t>
      </w:r>
      <w:r>
        <w:rPr>
          <w:rFonts w:hint="eastAsia"/>
          <w:sz w:val="28"/>
          <w:szCs w:val="28"/>
        </w:rPr>
        <w:t>陈云清</w:t>
      </w:r>
    </w:p>
    <w:p w14:paraId="269FBCED">
      <w:pPr>
        <w:rPr>
          <w:rFonts w:eastAsia="仿宋_GB2312"/>
          <w:b/>
          <w:sz w:val="28"/>
        </w:rPr>
      </w:pPr>
    </w:p>
    <w:p w14:paraId="3954EB2C">
      <w:pPr>
        <w:rPr>
          <w:rFonts w:eastAsia="仿宋_GB2312"/>
          <w:b/>
          <w:sz w:val="28"/>
        </w:rPr>
      </w:pPr>
    </w:p>
    <w:p w14:paraId="38C2C0C4">
      <w:pPr>
        <w:rPr>
          <w:rFonts w:eastAsia="仿宋_GB2312"/>
          <w:b/>
          <w:sz w:val="28"/>
        </w:rPr>
      </w:pPr>
    </w:p>
    <w:p w14:paraId="278820B5">
      <w:pPr>
        <w:rPr>
          <w:rFonts w:eastAsia="仿宋_GB2312"/>
          <w:sz w:val="28"/>
        </w:rPr>
      </w:pPr>
    </w:p>
    <w:p w14:paraId="01AFDBE7">
      <w:pPr>
        <w:rPr>
          <w:rFonts w:eastAsia="仿宋_GB2312"/>
          <w:sz w:val="28"/>
        </w:rPr>
      </w:pPr>
    </w:p>
    <w:p w14:paraId="3C6C1D24">
      <w:pPr>
        <w:pStyle w:val="15"/>
        <w:rPr>
          <w:rFonts w:eastAsia="仿宋_GB2312"/>
          <w:sz w:val="28"/>
        </w:rPr>
      </w:pPr>
    </w:p>
    <w:p w14:paraId="39CCC8E2">
      <w:pPr>
        <w:rPr>
          <w:rFonts w:eastAsia="仿宋_GB2312"/>
          <w:sz w:val="28"/>
        </w:rPr>
      </w:pPr>
    </w:p>
    <w:p w14:paraId="7217C006">
      <w:pPr>
        <w:pStyle w:val="15"/>
      </w:pPr>
    </w:p>
    <w:p w14:paraId="5C2E4F95">
      <w:pPr>
        <w:rPr>
          <w:b/>
          <w:bCs/>
          <w:sz w:val="28"/>
        </w:rPr>
      </w:pPr>
    </w:p>
    <w:tbl>
      <w:tblPr>
        <w:tblStyle w:val="20"/>
        <w:tblW w:w="9243" w:type="dxa"/>
        <w:tblInd w:w="0" w:type="dxa"/>
        <w:tblLayout w:type="fixed"/>
        <w:tblCellMar>
          <w:top w:w="0" w:type="dxa"/>
          <w:left w:w="108" w:type="dxa"/>
          <w:bottom w:w="0" w:type="dxa"/>
          <w:right w:w="108" w:type="dxa"/>
        </w:tblCellMar>
      </w:tblPr>
      <w:tblGrid>
        <w:gridCol w:w="1599"/>
        <w:gridCol w:w="2866"/>
        <w:gridCol w:w="1770"/>
        <w:gridCol w:w="3008"/>
      </w:tblGrid>
      <w:tr w14:paraId="165C6DFF">
        <w:tblPrEx>
          <w:tblCellMar>
            <w:top w:w="0" w:type="dxa"/>
            <w:left w:w="108" w:type="dxa"/>
            <w:bottom w:w="0" w:type="dxa"/>
            <w:right w:w="108" w:type="dxa"/>
          </w:tblCellMar>
        </w:tblPrEx>
        <w:trPr>
          <w:trHeight w:val="1267" w:hRule="atLeast"/>
        </w:trPr>
        <w:tc>
          <w:tcPr>
            <w:tcW w:w="1599" w:type="dxa"/>
            <w:vAlign w:val="center"/>
          </w:tcPr>
          <w:p w14:paraId="0B35CC5B">
            <w:pPr>
              <w:spacing w:line="240" w:lineRule="auto"/>
              <w:rPr>
                <w:b/>
                <w:bCs/>
              </w:rPr>
            </w:pPr>
            <w:r>
              <w:rPr>
                <w:b/>
                <w:bCs/>
                <w:sz w:val="28"/>
              </w:rPr>
              <w:t>建设单位：</w:t>
            </w:r>
          </w:p>
        </w:tc>
        <w:tc>
          <w:tcPr>
            <w:tcW w:w="2866" w:type="dxa"/>
            <w:vAlign w:val="center"/>
          </w:tcPr>
          <w:p w14:paraId="0E73A73D">
            <w:pPr>
              <w:spacing w:line="240" w:lineRule="auto"/>
            </w:pPr>
            <w:r>
              <w:rPr>
                <w:rFonts w:hint="eastAsia" w:ascii="Times New Roman" w:hAnsi="Times New Roman"/>
                <w:sz w:val="24"/>
                <w:lang w:eastAsia="zh-CN"/>
              </w:rPr>
              <w:t>福建玖辰精工科技有限公司</w:t>
            </w:r>
          </w:p>
        </w:tc>
        <w:tc>
          <w:tcPr>
            <w:tcW w:w="1770" w:type="dxa"/>
            <w:vAlign w:val="center"/>
          </w:tcPr>
          <w:p w14:paraId="6F45E285">
            <w:pPr>
              <w:spacing w:line="240" w:lineRule="auto"/>
              <w:ind w:firstLine="281" w:firstLineChars="100"/>
              <w:rPr>
                <w:b/>
                <w:bCs/>
              </w:rPr>
            </w:pPr>
            <w:r>
              <w:rPr>
                <w:b/>
                <w:bCs/>
                <w:sz w:val="28"/>
              </w:rPr>
              <w:t>编制单位：</w:t>
            </w:r>
          </w:p>
        </w:tc>
        <w:tc>
          <w:tcPr>
            <w:tcW w:w="3008" w:type="dxa"/>
            <w:vAlign w:val="center"/>
          </w:tcPr>
          <w:p w14:paraId="4CBC26B8">
            <w:pPr>
              <w:spacing w:line="240" w:lineRule="auto"/>
            </w:pPr>
            <w:r>
              <w:rPr>
                <w:rFonts w:hint="eastAsia" w:ascii="Times New Roman" w:hAnsi="Times New Roman"/>
                <w:sz w:val="24"/>
                <w:lang w:eastAsia="zh-CN"/>
              </w:rPr>
              <w:t>福建玖辰精工科技有限公司</w:t>
            </w:r>
          </w:p>
        </w:tc>
      </w:tr>
      <w:tr w14:paraId="28A7D018">
        <w:tblPrEx>
          <w:tblCellMar>
            <w:top w:w="0" w:type="dxa"/>
            <w:left w:w="108" w:type="dxa"/>
            <w:bottom w:w="0" w:type="dxa"/>
            <w:right w:w="108" w:type="dxa"/>
          </w:tblCellMar>
        </w:tblPrEx>
        <w:trPr>
          <w:trHeight w:val="1113" w:hRule="atLeast"/>
        </w:trPr>
        <w:tc>
          <w:tcPr>
            <w:tcW w:w="1599" w:type="dxa"/>
            <w:vAlign w:val="center"/>
          </w:tcPr>
          <w:p w14:paraId="5752939C">
            <w:pPr>
              <w:spacing w:line="240" w:lineRule="auto"/>
              <w:rPr>
                <w:b/>
                <w:bCs/>
                <w:color w:val="auto"/>
              </w:rPr>
            </w:pPr>
            <w:r>
              <w:rPr>
                <w:b/>
                <w:bCs/>
                <w:color w:val="auto"/>
                <w:sz w:val="28"/>
              </w:rPr>
              <w:t>电话:</w:t>
            </w:r>
          </w:p>
        </w:tc>
        <w:tc>
          <w:tcPr>
            <w:tcW w:w="2866" w:type="dxa"/>
            <w:vAlign w:val="center"/>
          </w:tcPr>
          <w:p w14:paraId="08DB56CC">
            <w:pPr>
              <w:spacing w:line="240" w:lineRule="auto"/>
              <w:rPr>
                <w:rFonts w:hint="default" w:eastAsia="宋体"/>
                <w:color w:val="auto"/>
                <w:lang w:val="en-US" w:eastAsia="zh-CN"/>
              </w:rPr>
            </w:pPr>
            <w:r>
              <w:rPr>
                <w:rFonts w:ascii="Times New Roman" w:hAnsi="Times New Roman" w:eastAsia="Times New Roman" w:cs="Times New Roman"/>
                <w:spacing w:val="-3"/>
                <w:sz w:val="24"/>
                <w:szCs w:val="24"/>
              </w:rPr>
              <w:t>13599370337</w:t>
            </w:r>
          </w:p>
        </w:tc>
        <w:tc>
          <w:tcPr>
            <w:tcW w:w="1770" w:type="dxa"/>
            <w:vAlign w:val="center"/>
          </w:tcPr>
          <w:p w14:paraId="459A52AE">
            <w:pPr>
              <w:spacing w:line="240" w:lineRule="auto"/>
              <w:ind w:firstLine="281" w:firstLineChars="100"/>
              <w:rPr>
                <w:b/>
                <w:bCs/>
                <w:color w:val="auto"/>
              </w:rPr>
            </w:pPr>
            <w:r>
              <w:rPr>
                <w:b/>
                <w:bCs/>
                <w:color w:val="auto"/>
                <w:sz w:val="28"/>
              </w:rPr>
              <w:t>电话:</w:t>
            </w:r>
          </w:p>
        </w:tc>
        <w:tc>
          <w:tcPr>
            <w:tcW w:w="3008" w:type="dxa"/>
            <w:vAlign w:val="center"/>
          </w:tcPr>
          <w:p w14:paraId="3A35C767">
            <w:pPr>
              <w:spacing w:line="240" w:lineRule="auto"/>
            </w:pPr>
            <w:r>
              <w:rPr>
                <w:rFonts w:ascii="Times New Roman" w:hAnsi="Times New Roman" w:eastAsia="Times New Roman" w:cs="Times New Roman"/>
                <w:spacing w:val="-3"/>
                <w:sz w:val="24"/>
                <w:szCs w:val="24"/>
              </w:rPr>
              <w:t>13599370337</w:t>
            </w:r>
          </w:p>
        </w:tc>
      </w:tr>
      <w:tr w14:paraId="5B1704F4">
        <w:tblPrEx>
          <w:tblCellMar>
            <w:top w:w="0" w:type="dxa"/>
            <w:left w:w="108" w:type="dxa"/>
            <w:bottom w:w="0" w:type="dxa"/>
            <w:right w:w="108" w:type="dxa"/>
          </w:tblCellMar>
        </w:tblPrEx>
        <w:trPr>
          <w:trHeight w:val="888" w:hRule="atLeast"/>
        </w:trPr>
        <w:tc>
          <w:tcPr>
            <w:tcW w:w="1599" w:type="dxa"/>
            <w:vAlign w:val="center"/>
          </w:tcPr>
          <w:p w14:paraId="6DD4C5A6">
            <w:pPr>
              <w:spacing w:line="240" w:lineRule="auto"/>
              <w:rPr>
                <w:b/>
                <w:bCs/>
              </w:rPr>
            </w:pPr>
            <w:r>
              <w:rPr>
                <w:b/>
                <w:bCs/>
                <w:sz w:val="28"/>
              </w:rPr>
              <w:t>传真:</w:t>
            </w:r>
          </w:p>
        </w:tc>
        <w:tc>
          <w:tcPr>
            <w:tcW w:w="2866" w:type="dxa"/>
            <w:vAlign w:val="center"/>
          </w:tcPr>
          <w:p w14:paraId="22A1A25E">
            <w:pPr>
              <w:spacing w:line="240" w:lineRule="auto"/>
            </w:pPr>
            <w:r>
              <w:rPr>
                <w:rFonts w:hint="eastAsia"/>
              </w:rPr>
              <w:t>/</w:t>
            </w:r>
          </w:p>
        </w:tc>
        <w:tc>
          <w:tcPr>
            <w:tcW w:w="1770" w:type="dxa"/>
            <w:vAlign w:val="center"/>
          </w:tcPr>
          <w:p w14:paraId="23BE3B1C">
            <w:pPr>
              <w:spacing w:line="240" w:lineRule="auto"/>
              <w:ind w:firstLine="281" w:firstLineChars="100"/>
              <w:rPr>
                <w:b/>
                <w:bCs/>
              </w:rPr>
            </w:pPr>
            <w:r>
              <w:rPr>
                <w:b/>
                <w:bCs/>
                <w:sz w:val="28"/>
              </w:rPr>
              <w:t>传真:</w:t>
            </w:r>
          </w:p>
        </w:tc>
        <w:tc>
          <w:tcPr>
            <w:tcW w:w="3008" w:type="dxa"/>
            <w:vAlign w:val="center"/>
          </w:tcPr>
          <w:p w14:paraId="3C2331AB">
            <w:pPr>
              <w:spacing w:line="240" w:lineRule="auto"/>
            </w:pPr>
            <w:r>
              <w:rPr>
                <w:rFonts w:hint="eastAsia"/>
              </w:rPr>
              <w:t>/</w:t>
            </w:r>
          </w:p>
        </w:tc>
      </w:tr>
      <w:tr w14:paraId="21998D65">
        <w:tblPrEx>
          <w:tblCellMar>
            <w:top w:w="0" w:type="dxa"/>
            <w:left w:w="108" w:type="dxa"/>
            <w:bottom w:w="0" w:type="dxa"/>
            <w:right w:w="108" w:type="dxa"/>
          </w:tblCellMar>
        </w:tblPrEx>
        <w:trPr>
          <w:trHeight w:val="858" w:hRule="atLeast"/>
        </w:trPr>
        <w:tc>
          <w:tcPr>
            <w:tcW w:w="1599" w:type="dxa"/>
            <w:vAlign w:val="center"/>
          </w:tcPr>
          <w:p w14:paraId="11F4D456">
            <w:pPr>
              <w:spacing w:line="240" w:lineRule="auto"/>
              <w:rPr>
                <w:b/>
                <w:bCs/>
              </w:rPr>
            </w:pPr>
            <w:r>
              <w:rPr>
                <w:b/>
                <w:bCs/>
                <w:sz w:val="28"/>
              </w:rPr>
              <w:t>邮编:</w:t>
            </w:r>
          </w:p>
        </w:tc>
        <w:tc>
          <w:tcPr>
            <w:tcW w:w="2866" w:type="dxa"/>
            <w:vAlign w:val="center"/>
          </w:tcPr>
          <w:p w14:paraId="60203B64">
            <w:pPr>
              <w:spacing w:line="240" w:lineRule="auto"/>
              <w:rPr>
                <w:rFonts w:hint="default" w:eastAsia="宋体"/>
                <w:lang w:val="en-US" w:eastAsia="zh-CN"/>
              </w:rPr>
            </w:pPr>
            <w:r>
              <w:rPr>
                <w:rFonts w:hint="eastAsia"/>
              </w:rPr>
              <w:t>350</w:t>
            </w:r>
            <w:r>
              <w:rPr>
                <w:rFonts w:hint="eastAsia"/>
                <w:lang w:val="en-US" w:eastAsia="zh-CN"/>
              </w:rPr>
              <w:t>323</w:t>
            </w:r>
          </w:p>
        </w:tc>
        <w:tc>
          <w:tcPr>
            <w:tcW w:w="1770" w:type="dxa"/>
            <w:vAlign w:val="center"/>
          </w:tcPr>
          <w:p w14:paraId="5002902A">
            <w:pPr>
              <w:spacing w:line="240" w:lineRule="auto"/>
              <w:ind w:firstLine="281" w:firstLineChars="100"/>
              <w:rPr>
                <w:b/>
                <w:bCs/>
              </w:rPr>
            </w:pPr>
            <w:r>
              <w:rPr>
                <w:b/>
                <w:bCs/>
                <w:sz w:val="28"/>
              </w:rPr>
              <w:t>邮编:</w:t>
            </w:r>
          </w:p>
        </w:tc>
        <w:tc>
          <w:tcPr>
            <w:tcW w:w="3008" w:type="dxa"/>
            <w:vAlign w:val="center"/>
          </w:tcPr>
          <w:p w14:paraId="6D0B0F02">
            <w:pPr>
              <w:spacing w:line="240" w:lineRule="auto"/>
              <w:rPr>
                <w:rFonts w:hint="default" w:eastAsia="宋体"/>
                <w:lang w:val="en-US" w:eastAsia="zh-CN"/>
              </w:rPr>
            </w:pPr>
            <w:r>
              <w:rPr>
                <w:rFonts w:hint="eastAsia"/>
              </w:rPr>
              <w:t>350</w:t>
            </w:r>
            <w:r>
              <w:rPr>
                <w:rFonts w:hint="eastAsia"/>
                <w:lang w:val="en-US" w:eastAsia="zh-CN"/>
              </w:rPr>
              <w:t>323</w:t>
            </w:r>
          </w:p>
        </w:tc>
      </w:tr>
      <w:tr w14:paraId="33C075A9">
        <w:tblPrEx>
          <w:tblCellMar>
            <w:top w:w="0" w:type="dxa"/>
            <w:left w:w="108" w:type="dxa"/>
            <w:bottom w:w="0" w:type="dxa"/>
            <w:right w:w="108" w:type="dxa"/>
          </w:tblCellMar>
        </w:tblPrEx>
        <w:trPr>
          <w:trHeight w:val="888" w:hRule="atLeast"/>
        </w:trPr>
        <w:tc>
          <w:tcPr>
            <w:tcW w:w="1599" w:type="dxa"/>
            <w:vAlign w:val="center"/>
          </w:tcPr>
          <w:p w14:paraId="50FA1A32">
            <w:pPr>
              <w:spacing w:line="240" w:lineRule="auto"/>
              <w:rPr>
                <w:b/>
                <w:bCs/>
              </w:rPr>
            </w:pPr>
            <w:r>
              <w:rPr>
                <w:b/>
                <w:bCs/>
                <w:sz w:val="28"/>
              </w:rPr>
              <w:t>地址:</w:t>
            </w:r>
          </w:p>
        </w:tc>
        <w:tc>
          <w:tcPr>
            <w:tcW w:w="2866" w:type="dxa"/>
            <w:vAlign w:val="center"/>
          </w:tcPr>
          <w:p w14:paraId="7EBFEEF4">
            <w:pPr>
              <w:spacing w:line="240" w:lineRule="auto"/>
              <w:rPr>
                <w:rFonts w:hint="eastAsia" w:ascii="Times New Roman" w:hAnsi="Times New Roman"/>
              </w:rPr>
            </w:pPr>
            <w:r>
              <w:rPr>
                <w:rFonts w:hint="eastAsia" w:ascii="Times New Roman" w:hAnsi="Times New Roman"/>
              </w:rPr>
              <w:t>福建省福州市福清市音西清繁大道399号2号楼</w:t>
            </w:r>
          </w:p>
          <w:p w14:paraId="7B2D80BF">
            <w:pPr>
              <w:spacing w:line="240" w:lineRule="auto"/>
            </w:pPr>
            <w:r>
              <w:rPr>
                <w:rFonts w:hint="eastAsia" w:ascii="Times New Roman" w:hAnsi="Times New Roman"/>
              </w:rPr>
              <w:t>(租赁福建省嘉鑫科技实业有限公司2号车间1层、4层)</w:t>
            </w:r>
          </w:p>
        </w:tc>
        <w:tc>
          <w:tcPr>
            <w:tcW w:w="1770" w:type="dxa"/>
            <w:vAlign w:val="center"/>
          </w:tcPr>
          <w:p w14:paraId="39AC7C77">
            <w:pPr>
              <w:spacing w:line="240" w:lineRule="auto"/>
              <w:ind w:firstLine="281" w:firstLineChars="100"/>
              <w:rPr>
                <w:b/>
                <w:bCs/>
              </w:rPr>
            </w:pPr>
            <w:r>
              <w:rPr>
                <w:b/>
                <w:bCs/>
                <w:sz w:val="28"/>
              </w:rPr>
              <w:t>地址:</w:t>
            </w:r>
          </w:p>
        </w:tc>
        <w:tc>
          <w:tcPr>
            <w:tcW w:w="3008" w:type="dxa"/>
            <w:vAlign w:val="center"/>
          </w:tcPr>
          <w:p w14:paraId="2E16BE1B">
            <w:pPr>
              <w:spacing w:line="240" w:lineRule="auto"/>
              <w:rPr>
                <w:rFonts w:hint="eastAsia" w:ascii="Times New Roman" w:hAnsi="Times New Roman"/>
              </w:rPr>
            </w:pPr>
            <w:r>
              <w:rPr>
                <w:rFonts w:hint="eastAsia" w:ascii="Times New Roman" w:hAnsi="Times New Roman"/>
              </w:rPr>
              <w:t>福建省福州市福清市音西清繁大道399号2号楼</w:t>
            </w:r>
          </w:p>
          <w:p w14:paraId="5006190A">
            <w:pPr>
              <w:spacing w:line="240" w:lineRule="auto"/>
            </w:pPr>
            <w:r>
              <w:rPr>
                <w:rFonts w:hint="eastAsia" w:ascii="Times New Roman" w:hAnsi="Times New Roman"/>
              </w:rPr>
              <w:t>(租赁福建省嘉鑫科技实业有限公司2号车间1层、4层)</w:t>
            </w:r>
          </w:p>
        </w:tc>
      </w:tr>
    </w:tbl>
    <w:p w14:paraId="0F05C6BF">
      <w:pPr>
        <w:sectPr>
          <w:footerReference r:id="rId11" w:type="default"/>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pPr>
    </w:p>
    <w:p w14:paraId="72C16394">
      <w:pPr>
        <w:pStyle w:val="2"/>
      </w:pPr>
      <w:r>
        <w:t>表一</w:t>
      </w:r>
    </w:p>
    <w:tbl>
      <w:tblPr>
        <w:tblStyle w:val="20"/>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8"/>
        <w:gridCol w:w="1873"/>
        <w:gridCol w:w="2109"/>
        <w:gridCol w:w="897"/>
        <w:gridCol w:w="933"/>
        <w:gridCol w:w="1672"/>
      </w:tblGrid>
      <w:tr w14:paraId="15926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19" w:type="dxa"/>
            <w:vAlign w:val="center"/>
          </w:tcPr>
          <w:p w14:paraId="2BE8269F">
            <w:pPr>
              <w:spacing w:line="240" w:lineRule="auto"/>
              <w:jc w:val="center"/>
            </w:pPr>
            <w:r>
              <w:t>建设项目名称</w:t>
            </w:r>
          </w:p>
        </w:tc>
        <w:tc>
          <w:tcPr>
            <w:tcW w:w="7123" w:type="dxa"/>
            <w:gridSpan w:val="5"/>
            <w:vAlign w:val="center"/>
          </w:tcPr>
          <w:p w14:paraId="46833011">
            <w:pPr>
              <w:spacing w:line="240" w:lineRule="auto"/>
            </w:pPr>
            <w:r>
              <w:rPr>
                <w:spacing w:val="-2"/>
              </w:rPr>
              <w:t>福建玖辰精工科技有限公司年加工车载盖板玻璃</w:t>
            </w:r>
            <w:r>
              <w:rPr>
                <w:rFonts w:ascii="Times New Roman" w:hAnsi="Times New Roman" w:eastAsia="Times New Roman" w:cs="Times New Roman"/>
                <w:spacing w:val="-2"/>
              </w:rPr>
              <w:t>80</w:t>
            </w:r>
            <w:r>
              <w:rPr>
                <w:spacing w:val="-2"/>
              </w:rPr>
              <w:t>万片</w:t>
            </w:r>
          </w:p>
        </w:tc>
      </w:tr>
      <w:tr w14:paraId="296E1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2119" w:type="dxa"/>
            <w:vAlign w:val="center"/>
          </w:tcPr>
          <w:p w14:paraId="11E937EA">
            <w:pPr>
              <w:spacing w:line="240" w:lineRule="auto"/>
              <w:jc w:val="center"/>
            </w:pPr>
            <w:r>
              <w:t>建设单位名称</w:t>
            </w:r>
          </w:p>
        </w:tc>
        <w:tc>
          <w:tcPr>
            <w:tcW w:w="7123" w:type="dxa"/>
            <w:gridSpan w:val="5"/>
            <w:vAlign w:val="center"/>
          </w:tcPr>
          <w:p w14:paraId="49F8D495">
            <w:pPr>
              <w:spacing w:line="240" w:lineRule="auto"/>
            </w:pPr>
            <w:r>
              <w:rPr>
                <w:spacing w:val="-2"/>
              </w:rPr>
              <w:t>福建玖辰精工科技有限公司</w:t>
            </w:r>
          </w:p>
        </w:tc>
      </w:tr>
      <w:tr w14:paraId="281283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2119" w:type="dxa"/>
            <w:vAlign w:val="center"/>
          </w:tcPr>
          <w:p w14:paraId="52963DD7">
            <w:pPr>
              <w:spacing w:line="240" w:lineRule="auto"/>
              <w:jc w:val="center"/>
            </w:pPr>
            <w:r>
              <w:t>建设项目性质</w:t>
            </w:r>
          </w:p>
        </w:tc>
        <w:tc>
          <w:tcPr>
            <w:tcW w:w="7123" w:type="dxa"/>
            <w:gridSpan w:val="5"/>
            <w:vAlign w:val="center"/>
          </w:tcPr>
          <w:p w14:paraId="61512260">
            <w:pPr>
              <w:spacing w:line="240" w:lineRule="auto"/>
              <w:rPr>
                <w:rFonts w:hint="eastAsia" w:eastAsia="宋体"/>
                <w:lang w:eastAsia="zh-CN"/>
              </w:rPr>
            </w:pPr>
            <w:r>
              <w:rPr>
                <w:rFonts w:hint="eastAsia"/>
                <w:lang w:val="en-US" w:eastAsia="zh-CN"/>
              </w:rPr>
              <w:t>新建</w:t>
            </w:r>
          </w:p>
        </w:tc>
      </w:tr>
      <w:tr w14:paraId="23678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2119" w:type="dxa"/>
            <w:vAlign w:val="center"/>
          </w:tcPr>
          <w:p w14:paraId="7F35E79D">
            <w:pPr>
              <w:spacing w:line="240" w:lineRule="auto"/>
              <w:jc w:val="center"/>
            </w:pPr>
            <w:r>
              <w:t>建设地点</w:t>
            </w:r>
          </w:p>
        </w:tc>
        <w:tc>
          <w:tcPr>
            <w:tcW w:w="7123" w:type="dxa"/>
            <w:gridSpan w:val="5"/>
            <w:vAlign w:val="center"/>
          </w:tcPr>
          <w:p w14:paraId="47035B7D">
            <w:pPr>
              <w:pStyle w:val="78"/>
              <w:spacing w:before="53" w:line="219" w:lineRule="auto"/>
            </w:pPr>
            <w:r>
              <w:rPr>
                <w:spacing w:val="-3"/>
              </w:rPr>
              <w:t>福建省福州市福清市音西清繁大道</w:t>
            </w:r>
            <w:r>
              <w:rPr>
                <w:rFonts w:ascii="Times New Roman" w:hAnsi="Times New Roman" w:eastAsia="Times New Roman" w:cs="Times New Roman"/>
                <w:spacing w:val="-3"/>
              </w:rPr>
              <w:t>399</w:t>
            </w:r>
            <w:r>
              <w:rPr>
                <w:spacing w:val="-3"/>
              </w:rPr>
              <w:t>号</w:t>
            </w:r>
            <w:r>
              <w:rPr>
                <w:rFonts w:ascii="Times New Roman" w:hAnsi="Times New Roman" w:eastAsia="Times New Roman" w:cs="Times New Roman"/>
                <w:spacing w:val="-3"/>
              </w:rPr>
              <w:t>2</w:t>
            </w:r>
            <w:r>
              <w:rPr>
                <w:spacing w:val="-3"/>
              </w:rPr>
              <w:t>号楼</w:t>
            </w:r>
            <w:r>
              <w:rPr>
                <w:rFonts w:ascii="Times New Roman" w:hAnsi="Times New Roman" w:eastAsia="Times New Roman" w:cs="Times New Roman"/>
                <w:spacing w:val="-2"/>
              </w:rPr>
              <w:t>(</w:t>
            </w:r>
            <w:r>
              <w:rPr>
                <w:spacing w:val="-2"/>
              </w:rPr>
              <w:t>租赁福建省嘉鑫科技实业有限公司</w:t>
            </w:r>
            <w:r>
              <w:rPr>
                <w:rFonts w:ascii="Times New Roman" w:hAnsi="Times New Roman" w:eastAsia="Times New Roman" w:cs="Times New Roman"/>
                <w:spacing w:val="-2"/>
              </w:rPr>
              <w:t>2</w:t>
            </w:r>
            <w:r>
              <w:rPr>
                <w:spacing w:val="-2"/>
              </w:rPr>
              <w:t>号车间</w:t>
            </w:r>
            <w:r>
              <w:rPr>
                <w:rFonts w:ascii="Times New Roman" w:hAnsi="Times New Roman" w:eastAsia="Times New Roman" w:cs="Times New Roman"/>
                <w:spacing w:val="-2"/>
              </w:rPr>
              <w:t>1</w:t>
            </w:r>
            <w:r>
              <w:rPr>
                <w:spacing w:val="-2"/>
              </w:rPr>
              <w:t>层、</w:t>
            </w:r>
            <w:r>
              <w:rPr>
                <w:rFonts w:ascii="Times New Roman" w:hAnsi="Times New Roman" w:eastAsia="Times New Roman" w:cs="Times New Roman"/>
                <w:spacing w:val="-3"/>
              </w:rPr>
              <w:t>4</w:t>
            </w:r>
            <w:r>
              <w:rPr>
                <w:spacing w:val="-3"/>
              </w:rPr>
              <w:t>层</w:t>
            </w:r>
            <w:r>
              <w:rPr>
                <w:rFonts w:ascii="Times New Roman" w:hAnsi="Times New Roman" w:eastAsia="Times New Roman" w:cs="Times New Roman"/>
                <w:spacing w:val="-3"/>
              </w:rPr>
              <w:t>)</w:t>
            </w:r>
          </w:p>
        </w:tc>
      </w:tr>
      <w:tr w14:paraId="0C8D2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2119" w:type="dxa"/>
            <w:vAlign w:val="center"/>
          </w:tcPr>
          <w:p w14:paraId="32BBD7BB">
            <w:pPr>
              <w:spacing w:line="240" w:lineRule="auto"/>
              <w:jc w:val="center"/>
            </w:pPr>
            <w:r>
              <w:t>主要产品名称</w:t>
            </w:r>
          </w:p>
        </w:tc>
        <w:tc>
          <w:tcPr>
            <w:tcW w:w="7123" w:type="dxa"/>
            <w:gridSpan w:val="5"/>
            <w:vAlign w:val="center"/>
          </w:tcPr>
          <w:p w14:paraId="7E52C47A">
            <w:pPr>
              <w:spacing w:line="240" w:lineRule="auto"/>
              <w:rPr>
                <w:rFonts w:hint="eastAsia" w:eastAsia="宋体"/>
                <w:lang w:eastAsia="zh-CN"/>
              </w:rPr>
            </w:pPr>
            <w:r>
              <w:rPr>
                <w:spacing w:val="-2"/>
              </w:rPr>
              <w:t>车载盖板玻璃</w:t>
            </w:r>
          </w:p>
        </w:tc>
      </w:tr>
      <w:tr w14:paraId="76AA5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19" w:type="dxa"/>
            <w:vAlign w:val="center"/>
          </w:tcPr>
          <w:p w14:paraId="3E3A456C">
            <w:pPr>
              <w:spacing w:line="240" w:lineRule="auto"/>
              <w:jc w:val="center"/>
            </w:pPr>
            <w:r>
              <w:t>设计生产能力</w:t>
            </w:r>
          </w:p>
        </w:tc>
        <w:tc>
          <w:tcPr>
            <w:tcW w:w="7123" w:type="dxa"/>
            <w:gridSpan w:val="5"/>
            <w:vAlign w:val="center"/>
          </w:tcPr>
          <w:p w14:paraId="72337EF4">
            <w:pPr>
              <w:spacing w:line="240" w:lineRule="auto"/>
              <w:rPr>
                <w:rFonts w:hint="eastAsia" w:eastAsia="宋体"/>
                <w:lang w:val="en-US" w:eastAsia="zh-CN"/>
              </w:rPr>
            </w:pPr>
            <w:r>
              <w:rPr>
                <w:spacing w:val="-2"/>
              </w:rPr>
              <w:t>年加工车载盖板玻璃</w:t>
            </w:r>
            <w:r>
              <w:rPr>
                <w:rFonts w:ascii="Times New Roman" w:hAnsi="Times New Roman" w:eastAsia="Times New Roman" w:cs="Times New Roman"/>
                <w:spacing w:val="-2"/>
              </w:rPr>
              <w:t>80</w:t>
            </w:r>
            <w:r>
              <w:rPr>
                <w:spacing w:val="-2"/>
              </w:rPr>
              <w:t>万片</w:t>
            </w:r>
          </w:p>
        </w:tc>
      </w:tr>
      <w:tr w14:paraId="59B4C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19" w:type="dxa"/>
            <w:vAlign w:val="center"/>
          </w:tcPr>
          <w:p w14:paraId="564BD216">
            <w:pPr>
              <w:spacing w:line="240" w:lineRule="auto"/>
              <w:jc w:val="center"/>
            </w:pPr>
            <w:r>
              <w:t>实际生产能力</w:t>
            </w:r>
          </w:p>
        </w:tc>
        <w:tc>
          <w:tcPr>
            <w:tcW w:w="7123" w:type="dxa"/>
            <w:gridSpan w:val="5"/>
            <w:vAlign w:val="center"/>
          </w:tcPr>
          <w:p w14:paraId="4A4308A8">
            <w:pPr>
              <w:spacing w:line="240" w:lineRule="auto"/>
            </w:pPr>
            <w:r>
              <w:rPr>
                <w:spacing w:val="-2"/>
              </w:rPr>
              <w:t>年加工车载盖板玻璃</w:t>
            </w:r>
            <w:r>
              <w:rPr>
                <w:rFonts w:ascii="Times New Roman" w:hAnsi="Times New Roman" w:eastAsia="Times New Roman" w:cs="Times New Roman"/>
                <w:spacing w:val="-2"/>
              </w:rPr>
              <w:t>80</w:t>
            </w:r>
            <w:r>
              <w:rPr>
                <w:spacing w:val="-2"/>
              </w:rPr>
              <w:t>万片</w:t>
            </w:r>
          </w:p>
        </w:tc>
      </w:tr>
      <w:tr w14:paraId="645EB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19" w:type="dxa"/>
            <w:vAlign w:val="center"/>
          </w:tcPr>
          <w:p w14:paraId="3348A2A6">
            <w:pPr>
              <w:spacing w:line="240" w:lineRule="auto"/>
              <w:jc w:val="center"/>
            </w:pPr>
            <w:r>
              <w:t>建设项目环评时间</w:t>
            </w:r>
          </w:p>
        </w:tc>
        <w:tc>
          <w:tcPr>
            <w:tcW w:w="1860" w:type="dxa"/>
            <w:vAlign w:val="center"/>
          </w:tcPr>
          <w:p w14:paraId="1B2DE551">
            <w:pPr>
              <w:spacing w:line="240" w:lineRule="auto"/>
              <w:jc w:val="center"/>
            </w:pPr>
            <w:r>
              <w:t>20</w:t>
            </w:r>
            <w:r>
              <w:rPr>
                <w:rFonts w:hint="eastAsia"/>
              </w:rPr>
              <w:t>2</w:t>
            </w:r>
            <w:r>
              <w:rPr>
                <w:rFonts w:hint="eastAsia"/>
                <w:lang w:val="en-US" w:eastAsia="zh-CN"/>
              </w:rPr>
              <w:t>3</w:t>
            </w:r>
            <w:r>
              <w:t>年</w:t>
            </w:r>
            <w:r>
              <w:rPr>
                <w:rFonts w:hint="eastAsia"/>
                <w:lang w:val="en-US" w:eastAsia="zh-CN"/>
              </w:rPr>
              <w:t>8</w:t>
            </w:r>
            <w:r>
              <w:t>月</w:t>
            </w:r>
          </w:p>
        </w:tc>
        <w:tc>
          <w:tcPr>
            <w:tcW w:w="2172" w:type="dxa"/>
            <w:vAlign w:val="center"/>
          </w:tcPr>
          <w:p w14:paraId="051105D7">
            <w:pPr>
              <w:spacing w:line="240" w:lineRule="auto"/>
              <w:jc w:val="center"/>
            </w:pPr>
            <w:r>
              <w:t>开工建设时间</w:t>
            </w:r>
          </w:p>
        </w:tc>
        <w:tc>
          <w:tcPr>
            <w:tcW w:w="3091" w:type="dxa"/>
            <w:gridSpan w:val="3"/>
            <w:vAlign w:val="center"/>
          </w:tcPr>
          <w:p w14:paraId="04DDE13F">
            <w:pPr>
              <w:spacing w:line="240" w:lineRule="auto"/>
              <w:jc w:val="center"/>
              <w:rPr>
                <w:rFonts w:hint="eastAsia" w:eastAsia="宋体"/>
                <w:lang w:eastAsia="zh-CN"/>
              </w:rPr>
            </w:pPr>
            <w:r>
              <w:t>20</w:t>
            </w:r>
            <w:r>
              <w:rPr>
                <w:rFonts w:hint="eastAsia"/>
                <w:lang w:val="en-US" w:eastAsia="zh-CN"/>
              </w:rPr>
              <w:t>23</w:t>
            </w:r>
            <w:r>
              <w:t>年</w:t>
            </w:r>
            <w:r>
              <w:rPr>
                <w:rFonts w:hint="eastAsia"/>
                <w:lang w:val="en-US" w:eastAsia="zh-CN"/>
              </w:rPr>
              <w:t>12</w:t>
            </w:r>
            <w:r>
              <w:t>月</w:t>
            </w:r>
          </w:p>
        </w:tc>
      </w:tr>
      <w:tr w14:paraId="5225B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19" w:type="dxa"/>
            <w:vAlign w:val="center"/>
          </w:tcPr>
          <w:p w14:paraId="76596398">
            <w:pPr>
              <w:spacing w:line="240" w:lineRule="auto"/>
              <w:jc w:val="center"/>
            </w:pPr>
            <w:r>
              <w:t>调试时间</w:t>
            </w:r>
          </w:p>
        </w:tc>
        <w:tc>
          <w:tcPr>
            <w:tcW w:w="1860" w:type="dxa"/>
            <w:vAlign w:val="center"/>
          </w:tcPr>
          <w:p w14:paraId="337DBD61">
            <w:pPr>
              <w:spacing w:line="240" w:lineRule="auto"/>
              <w:jc w:val="center"/>
            </w:pPr>
            <w:r>
              <w:t>20</w:t>
            </w:r>
            <w:r>
              <w:rPr>
                <w:rFonts w:hint="eastAsia"/>
              </w:rPr>
              <w:t>2</w:t>
            </w:r>
            <w:r>
              <w:rPr>
                <w:rFonts w:hint="eastAsia"/>
                <w:lang w:val="en-US" w:eastAsia="zh-CN"/>
              </w:rPr>
              <w:t>4</w:t>
            </w:r>
            <w:r>
              <w:t>年</w:t>
            </w:r>
            <w:r>
              <w:rPr>
                <w:rFonts w:hint="eastAsia"/>
                <w:lang w:val="en-US" w:eastAsia="zh-CN"/>
              </w:rPr>
              <w:t>1</w:t>
            </w:r>
            <w:r>
              <w:t>月</w:t>
            </w:r>
          </w:p>
        </w:tc>
        <w:tc>
          <w:tcPr>
            <w:tcW w:w="2172" w:type="dxa"/>
            <w:vAlign w:val="center"/>
          </w:tcPr>
          <w:p w14:paraId="4739D4C2">
            <w:pPr>
              <w:spacing w:line="240" w:lineRule="auto"/>
              <w:jc w:val="center"/>
            </w:pPr>
            <w:r>
              <w:t>验收现场监测时间</w:t>
            </w:r>
          </w:p>
        </w:tc>
        <w:tc>
          <w:tcPr>
            <w:tcW w:w="3091" w:type="dxa"/>
            <w:gridSpan w:val="3"/>
            <w:vAlign w:val="center"/>
          </w:tcPr>
          <w:p w14:paraId="792126A8">
            <w:pPr>
              <w:spacing w:line="240" w:lineRule="auto"/>
              <w:jc w:val="center"/>
              <w:rPr>
                <w:rFonts w:hint="eastAsia" w:eastAsia="宋体"/>
                <w:lang w:eastAsia="zh-CN"/>
              </w:rPr>
            </w:pPr>
            <w:r>
              <w:rPr>
                <w:color w:val="auto"/>
              </w:rPr>
              <w:t>20</w:t>
            </w:r>
            <w:r>
              <w:rPr>
                <w:rFonts w:hint="eastAsia"/>
                <w:color w:val="auto"/>
              </w:rPr>
              <w:t>2</w:t>
            </w:r>
            <w:r>
              <w:rPr>
                <w:rFonts w:hint="eastAsia"/>
                <w:color w:val="auto"/>
                <w:lang w:val="en-US" w:eastAsia="zh-CN"/>
              </w:rPr>
              <w:t>4</w:t>
            </w:r>
            <w:r>
              <w:rPr>
                <w:color w:val="auto"/>
              </w:rPr>
              <w:t>年</w:t>
            </w:r>
            <w:r>
              <w:rPr>
                <w:rFonts w:hint="eastAsia"/>
                <w:color w:val="auto"/>
                <w:lang w:val="en-US" w:eastAsia="zh-CN"/>
              </w:rPr>
              <w:t>5</w:t>
            </w:r>
            <w:r>
              <w:rPr>
                <w:color w:val="auto"/>
              </w:rPr>
              <w:t>月</w:t>
            </w:r>
            <w:r>
              <w:rPr>
                <w:rFonts w:hint="eastAsia"/>
                <w:color w:val="auto"/>
                <w:lang w:val="en-US" w:eastAsia="zh-CN"/>
              </w:rPr>
              <w:t>30</w:t>
            </w:r>
            <w:r>
              <w:rPr>
                <w:color w:val="auto"/>
              </w:rPr>
              <w:t>日~20</w:t>
            </w:r>
            <w:r>
              <w:rPr>
                <w:rFonts w:hint="eastAsia"/>
                <w:color w:val="auto"/>
              </w:rPr>
              <w:t>2</w:t>
            </w:r>
            <w:r>
              <w:rPr>
                <w:rFonts w:hint="eastAsia"/>
                <w:color w:val="auto"/>
                <w:lang w:val="en-US" w:eastAsia="zh-CN"/>
              </w:rPr>
              <w:t>4</w:t>
            </w:r>
            <w:r>
              <w:rPr>
                <w:color w:val="auto"/>
              </w:rPr>
              <w:t>年</w:t>
            </w:r>
            <w:r>
              <w:rPr>
                <w:rFonts w:hint="eastAsia"/>
                <w:color w:val="auto"/>
                <w:lang w:val="en-US" w:eastAsia="zh-CN"/>
              </w:rPr>
              <w:t>5</w:t>
            </w:r>
            <w:r>
              <w:rPr>
                <w:color w:val="auto"/>
              </w:rPr>
              <w:t>月</w:t>
            </w:r>
            <w:r>
              <w:rPr>
                <w:rFonts w:hint="eastAsia"/>
                <w:color w:val="auto"/>
                <w:lang w:val="en-US" w:eastAsia="zh-CN"/>
              </w:rPr>
              <w:t>31</w:t>
            </w:r>
            <w:r>
              <w:rPr>
                <w:color w:val="auto"/>
              </w:rPr>
              <w:t>日</w:t>
            </w:r>
            <w:r>
              <w:rPr>
                <w:rFonts w:hint="eastAsia"/>
                <w:color w:val="auto"/>
                <w:lang w:eastAsia="zh-CN"/>
              </w:rPr>
              <w:t>；</w:t>
            </w:r>
          </w:p>
        </w:tc>
      </w:tr>
      <w:tr w14:paraId="57581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119" w:type="dxa"/>
            <w:vAlign w:val="center"/>
          </w:tcPr>
          <w:p w14:paraId="7802A820">
            <w:pPr>
              <w:spacing w:line="240" w:lineRule="auto"/>
              <w:jc w:val="center"/>
            </w:pPr>
            <w:r>
              <w:t>环评报告表</w:t>
            </w:r>
          </w:p>
          <w:p w14:paraId="2435E042">
            <w:pPr>
              <w:spacing w:line="240" w:lineRule="auto"/>
              <w:jc w:val="center"/>
            </w:pPr>
            <w:r>
              <w:t>审批部门</w:t>
            </w:r>
          </w:p>
        </w:tc>
        <w:tc>
          <w:tcPr>
            <w:tcW w:w="1860" w:type="dxa"/>
            <w:vAlign w:val="center"/>
          </w:tcPr>
          <w:p w14:paraId="2F1BEFCF">
            <w:pPr>
              <w:spacing w:line="240" w:lineRule="auto"/>
              <w:jc w:val="center"/>
            </w:pPr>
            <w:r>
              <w:rPr>
                <w:rFonts w:hint="eastAsia"/>
              </w:rPr>
              <w:t>福州市</w:t>
            </w:r>
            <w:r>
              <w:rPr>
                <w:rFonts w:hint="eastAsia"/>
                <w:lang w:val="en-US" w:eastAsia="zh-CN"/>
              </w:rPr>
              <w:t>福清</w:t>
            </w:r>
            <w:r>
              <w:rPr>
                <w:rFonts w:hint="eastAsia"/>
              </w:rPr>
              <w:t>生态环境局</w:t>
            </w:r>
          </w:p>
        </w:tc>
        <w:tc>
          <w:tcPr>
            <w:tcW w:w="2172" w:type="dxa"/>
            <w:vAlign w:val="center"/>
          </w:tcPr>
          <w:p w14:paraId="4E8BD9EB">
            <w:pPr>
              <w:spacing w:line="240" w:lineRule="auto"/>
              <w:jc w:val="center"/>
            </w:pPr>
            <w:r>
              <w:t>环评报告表</w:t>
            </w:r>
          </w:p>
          <w:p w14:paraId="3CF03274">
            <w:pPr>
              <w:spacing w:line="240" w:lineRule="auto"/>
              <w:jc w:val="center"/>
            </w:pPr>
            <w:r>
              <w:t>编制单位</w:t>
            </w:r>
          </w:p>
        </w:tc>
        <w:tc>
          <w:tcPr>
            <w:tcW w:w="3091" w:type="dxa"/>
            <w:gridSpan w:val="3"/>
            <w:vAlign w:val="center"/>
          </w:tcPr>
          <w:p w14:paraId="3C273DD1">
            <w:pPr>
              <w:spacing w:line="240" w:lineRule="auto"/>
              <w:jc w:val="center"/>
              <w:rPr>
                <w:rFonts w:hint="default" w:eastAsia="宋体"/>
                <w:lang w:val="en-US" w:eastAsia="zh-CN"/>
              </w:rPr>
            </w:pPr>
            <w:r>
              <w:rPr>
                <w:rFonts w:hint="eastAsia"/>
                <w:bCs/>
                <w:kern w:val="0"/>
                <w:lang w:val="en-US" w:eastAsia="zh-CN"/>
              </w:rPr>
              <w:t>福建创达环保科技有限公司</w:t>
            </w:r>
          </w:p>
        </w:tc>
      </w:tr>
      <w:tr w14:paraId="695E9B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19" w:type="dxa"/>
            <w:vAlign w:val="center"/>
          </w:tcPr>
          <w:p w14:paraId="69752D0F">
            <w:pPr>
              <w:spacing w:line="240" w:lineRule="auto"/>
              <w:jc w:val="center"/>
            </w:pPr>
            <w:r>
              <w:t>环保设施设计单位</w:t>
            </w:r>
          </w:p>
        </w:tc>
        <w:tc>
          <w:tcPr>
            <w:tcW w:w="1860" w:type="dxa"/>
            <w:vAlign w:val="center"/>
          </w:tcPr>
          <w:p w14:paraId="12F4F4DE">
            <w:pPr>
              <w:spacing w:line="240" w:lineRule="auto"/>
              <w:jc w:val="center"/>
            </w:pPr>
            <w:r>
              <w:rPr>
                <w:rFonts w:hint="eastAsia"/>
              </w:rPr>
              <w:t>/</w:t>
            </w:r>
          </w:p>
        </w:tc>
        <w:tc>
          <w:tcPr>
            <w:tcW w:w="2172" w:type="dxa"/>
            <w:vAlign w:val="center"/>
          </w:tcPr>
          <w:p w14:paraId="6F2AD2A3">
            <w:pPr>
              <w:spacing w:line="240" w:lineRule="auto"/>
              <w:jc w:val="center"/>
            </w:pPr>
            <w:r>
              <w:t>环保设施施工单位</w:t>
            </w:r>
          </w:p>
        </w:tc>
        <w:tc>
          <w:tcPr>
            <w:tcW w:w="3091" w:type="dxa"/>
            <w:gridSpan w:val="3"/>
            <w:vAlign w:val="center"/>
          </w:tcPr>
          <w:p w14:paraId="3F94EC25">
            <w:pPr>
              <w:spacing w:line="240" w:lineRule="auto"/>
              <w:jc w:val="center"/>
              <w:rPr>
                <w:rFonts w:hint="eastAsia" w:eastAsia="宋体"/>
                <w:lang w:eastAsia="zh-CN"/>
              </w:rPr>
            </w:pPr>
            <w:r>
              <w:rPr>
                <w:rFonts w:hint="eastAsia"/>
                <w:bCs/>
                <w:kern w:val="0"/>
                <w:lang w:val="en-US" w:eastAsia="zh-CN"/>
              </w:rPr>
              <w:t>/</w:t>
            </w:r>
          </w:p>
        </w:tc>
      </w:tr>
      <w:tr w14:paraId="5F907E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19" w:type="dxa"/>
            <w:vAlign w:val="center"/>
          </w:tcPr>
          <w:p w14:paraId="261E397D">
            <w:pPr>
              <w:spacing w:line="240" w:lineRule="auto"/>
              <w:jc w:val="center"/>
            </w:pPr>
            <w:r>
              <w:t>投资总概算</w:t>
            </w:r>
          </w:p>
        </w:tc>
        <w:tc>
          <w:tcPr>
            <w:tcW w:w="1860" w:type="dxa"/>
            <w:vAlign w:val="center"/>
          </w:tcPr>
          <w:p w14:paraId="204D882B">
            <w:pPr>
              <w:spacing w:line="240" w:lineRule="auto"/>
              <w:jc w:val="center"/>
              <w:rPr>
                <w:rFonts w:hint="default" w:eastAsia="宋体"/>
                <w:lang w:val="en-US" w:eastAsia="zh-CN"/>
              </w:rPr>
            </w:pPr>
            <w:r>
              <w:rPr>
                <w:rFonts w:hint="eastAsia"/>
                <w:lang w:val="en-US" w:eastAsia="zh-CN"/>
              </w:rPr>
              <w:t>2000</w:t>
            </w:r>
          </w:p>
        </w:tc>
        <w:tc>
          <w:tcPr>
            <w:tcW w:w="2172" w:type="dxa"/>
            <w:vAlign w:val="center"/>
          </w:tcPr>
          <w:p w14:paraId="5FBC69EB">
            <w:pPr>
              <w:spacing w:line="240" w:lineRule="auto"/>
              <w:jc w:val="center"/>
            </w:pPr>
            <w:r>
              <w:t>环保投资总概算</w:t>
            </w:r>
          </w:p>
        </w:tc>
        <w:tc>
          <w:tcPr>
            <w:tcW w:w="648" w:type="dxa"/>
            <w:vAlign w:val="center"/>
          </w:tcPr>
          <w:p w14:paraId="2DEA70D2">
            <w:pPr>
              <w:spacing w:line="240" w:lineRule="auto"/>
              <w:jc w:val="center"/>
              <w:rPr>
                <w:rFonts w:hint="default" w:eastAsia="宋体"/>
                <w:lang w:val="en-US" w:eastAsia="zh-CN"/>
              </w:rPr>
            </w:pPr>
            <w:r>
              <w:rPr>
                <w:rFonts w:hint="eastAsia"/>
                <w:lang w:val="en-US" w:eastAsia="zh-CN"/>
              </w:rPr>
              <w:t>400</w:t>
            </w:r>
          </w:p>
        </w:tc>
        <w:tc>
          <w:tcPr>
            <w:tcW w:w="817" w:type="dxa"/>
            <w:vAlign w:val="center"/>
          </w:tcPr>
          <w:p w14:paraId="31148496">
            <w:pPr>
              <w:spacing w:line="240" w:lineRule="auto"/>
              <w:jc w:val="center"/>
            </w:pPr>
            <w:r>
              <w:t>比例</w:t>
            </w:r>
          </w:p>
        </w:tc>
        <w:tc>
          <w:tcPr>
            <w:tcW w:w="1626" w:type="dxa"/>
            <w:vAlign w:val="center"/>
          </w:tcPr>
          <w:p w14:paraId="4E4AA16C">
            <w:pPr>
              <w:spacing w:line="240" w:lineRule="auto"/>
              <w:jc w:val="center"/>
            </w:pPr>
            <w:r>
              <w:rPr>
                <w:rFonts w:hint="eastAsia"/>
                <w:lang w:val="en-US" w:eastAsia="zh-CN"/>
              </w:rPr>
              <w:t>20</w:t>
            </w:r>
            <w:r>
              <w:t>%</w:t>
            </w:r>
          </w:p>
        </w:tc>
      </w:tr>
      <w:tr w14:paraId="33DD3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19" w:type="dxa"/>
            <w:vAlign w:val="center"/>
          </w:tcPr>
          <w:p w14:paraId="79A10959">
            <w:pPr>
              <w:spacing w:line="240" w:lineRule="auto"/>
              <w:jc w:val="center"/>
            </w:pPr>
            <w:r>
              <w:t>实际总概算</w:t>
            </w:r>
          </w:p>
        </w:tc>
        <w:tc>
          <w:tcPr>
            <w:tcW w:w="1860" w:type="dxa"/>
            <w:vAlign w:val="center"/>
          </w:tcPr>
          <w:p w14:paraId="6B661F10">
            <w:pPr>
              <w:spacing w:line="240" w:lineRule="auto"/>
              <w:jc w:val="center"/>
              <w:rPr>
                <w:rFonts w:hint="default" w:eastAsia="宋体"/>
                <w:lang w:val="en-US" w:eastAsia="zh-CN"/>
              </w:rPr>
            </w:pPr>
            <w:r>
              <w:rPr>
                <w:rFonts w:hint="eastAsia"/>
                <w:lang w:val="en-US" w:eastAsia="zh-CN"/>
              </w:rPr>
              <w:t>2000</w:t>
            </w:r>
          </w:p>
        </w:tc>
        <w:tc>
          <w:tcPr>
            <w:tcW w:w="2172" w:type="dxa"/>
            <w:vAlign w:val="center"/>
          </w:tcPr>
          <w:p w14:paraId="120CC925">
            <w:pPr>
              <w:spacing w:line="240" w:lineRule="auto"/>
              <w:jc w:val="center"/>
            </w:pPr>
            <w:r>
              <w:t>环保投资</w:t>
            </w:r>
          </w:p>
        </w:tc>
        <w:tc>
          <w:tcPr>
            <w:tcW w:w="648" w:type="dxa"/>
            <w:vAlign w:val="center"/>
          </w:tcPr>
          <w:p w14:paraId="6D16CA0D">
            <w:pPr>
              <w:spacing w:line="240" w:lineRule="auto"/>
              <w:jc w:val="center"/>
              <w:rPr>
                <w:rFonts w:hint="default" w:eastAsia="宋体"/>
                <w:lang w:val="en-US" w:eastAsia="zh-CN"/>
              </w:rPr>
            </w:pPr>
            <w:r>
              <w:rPr>
                <w:rFonts w:hint="eastAsia"/>
                <w:lang w:val="en-US" w:eastAsia="zh-CN"/>
              </w:rPr>
              <w:t>400</w:t>
            </w:r>
          </w:p>
        </w:tc>
        <w:tc>
          <w:tcPr>
            <w:tcW w:w="817" w:type="dxa"/>
            <w:vAlign w:val="center"/>
          </w:tcPr>
          <w:p w14:paraId="7CC05B8A">
            <w:pPr>
              <w:spacing w:line="240" w:lineRule="auto"/>
              <w:jc w:val="center"/>
            </w:pPr>
            <w:r>
              <w:t>比例</w:t>
            </w:r>
          </w:p>
        </w:tc>
        <w:tc>
          <w:tcPr>
            <w:tcW w:w="1626" w:type="dxa"/>
            <w:vAlign w:val="center"/>
          </w:tcPr>
          <w:p w14:paraId="624E04AE">
            <w:pPr>
              <w:spacing w:line="240" w:lineRule="auto"/>
              <w:jc w:val="center"/>
            </w:pPr>
            <w:r>
              <w:rPr>
                <w:rFonts w:hint="eastAsia"/>
                <w:lang w:val="en-US" w:eastAsia="zh-CN"/>
              </w:rPr>
              <w:t>20</w:t>
            </w:r>
            <w:r>
              <w:t>%</w:t>
            </w:r>
          </w:p>
        </w:tc>
      </w:tr>
      <w:tr w14:paraId="1A294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35" w:hRule="atLeast"/>
          <w:jc w:val="center"/>
        </w:trPr>
        <w:tc>
          <w:tcPr>
            <w:tcW w:w="2119" w:type="dxa"/>
            <w:vAlign w:val="center"/>
          </w:tcPr>
          <w:p w14:paraId="247D5C86">
            <w:pPr>
              <w:jc w:val="center"/>
            </w:pPr>
            <w:r>
              <w:t>验收监测依据</w:t>
            </w:r>
          </w:p>
        </w:tc>
        <w:tc>
          <w:tcPr>
            <w:tcW w:w="7123" w:type="dxa"/>
            <w:gridSpan w:val="5"/>
            <w:vAlign w:val="center"/>
          </w:tcPr>
          <w:p w14:paraId="7FFAA243">
            <w:pPr>
              <w:ind w:firstLine="480" w:firstLineChars="200"/>
            </w:pPr>
            <w:r>
              <w:t>（1）《建设项目环境管理条例》（中华人民共和国国务院令第682号，2017.10.1）；</w:t>
            </w:r>
          </w:p>
          <w:p w14:paraId="48508E26">
            <w:pPr>
              <w:ind w:right="-19" w:rightChars="-8" w:firstLine="480" w:firstLineChars="200"/>
            </w:pPr>
            <w:r>
              <w:t>（</w:t>
            </w:r>
            <w:r>
              <w:rPr>
                <w:rFonts w:hint="eastAsia"/>
                <w:lang w:val="en-US" w:eastAsia="zh-CN"/>
              </w:rPr>
              <w:t>2</w:t>
            </w:r>
            <w:r>
              <w:t>）</w:t>
            </w:r>
            <w:r>
              <w:rPr>
                <w:rFonts w:hint="eastAsia"/>
              </w:rPr>
              <w:t>《建设项目竣工环境保护验收暂行办法》，国环规环评〔2017〕4号，2017年11月20日</w:t>
            </w:r>
            <w:r>
              <w:t>；</w:t>
            </w:r>
          </w:p>
          <w:p w14:paraId="0C517AFB">
            <w:pPr>
              <w:adjustRightInd w:val="0"/>
              <w:snapToGrid w:val="0"/>
              <w:ind w:firstLine="480" w:firstLineChars="200"/>
              <w:rPr>
                <w:rFonts w:hint="eastAsia"/>
              </w:rPr>
            </w:pPr>
            <w:r>
              <w:t>（</w:t>
            </w:r>
            <w:r>
              <w:rPr>
                <w:rFonts w:hint="eastAsia"/>
                <w:lang w:val="en-US" w:eastAsia="zh-CN"/>
              </w:rPr>
              <w:t>3</w:t>
            </w:r>
            <w:r>
              <w:t>）《建设项目竣工环境保护验收技术指南污染影响类》（生态环境部，公告2018年第9号，2018年5月15日）；</w:t>
            </w:r>
          </w:p>
          <w:p w14:paraId="33656342">
            <w:pPr>
              <w:adjustRightInd w:val="0"/>
              <w:snapToGrid w:val="0"/>
              <w:ind w:firstLine="480" w:firstLineChars="200"/>
            </w:pPr>
            <w:r>
              <w:rPr>
                <w:rFonts w:hint="eastAsia"/>
              </w:rPr>
              <w:t>（</w:t>
            </w:r>
            <w:r>
              <w:rPr>
                <w:rFonts w:hint="eastAsia"/>
                <w:lang w:val="en-US" w:eastAsia="zh-CN"/>
              </w:rPr>
              <w:t>4</w:t>
            </w:r>
            <w:r>
              <w:rPr>
                <w:rFonts w:hint="eastAsia"/>
              </w:rPr>
              <w:t>）《关于印发污染影响类建设项目重大变动清单（试行）的通知》（环办环评函[2020]668号）</w:t>
            </w:r>
          </w:p>
          <w:p w14:paraId="5F77654A">
            <w:pPr>
              <w:ind w:right="-19" w:rightChars="-8" w:firstLine="480" w:firstLineChars="200"/>
            </w:pPr>
            <w:r>
              <w:t>（</w:t>
            </w:r>
            <w:r>
              <w:rPr>
                <w:rFonts w:hint="eastAsia"/>
                <w:lang w:val="en-US" w:eastAsia="zh-CN"/>
              </w:rPr>
              <w:t>5</w:t>
            </w:r>
            <w:r>
              <w:t>）《</w:t>
            </w:r>
            <w:r>
              <w:rPr>
                <w:rFonts w:hint="eastAsia"/>
              </w:rPr>
              <w:t>福建玖辰精工科技有限公司年加工车载盖板玻璃80万片</w:t>
            </w:r>
            <w:r>
              <w:t>环境影响报告表》，</w:t>
            </w:r>
            <w:r>
              <w:rPr>
                <w:rFonts w:hint="eastAsia"/>
                <w:bCs/>
                <w:kern w:val="0"/>
                <w:lang w:val="en-US" w:eastAsia="zh-CN"/>
              </w:rPr>
              <w:t>福建创达环保科技有限公司</w:t>
            </w:r>
            <w:r>
              <w:t>，20</w:t>
            </w:r>
            <w:r>
              <w:rPr>
                <w:rFonts w:hint="eastAsia"/>
              </w:rPr>
              <w:t>2</w:t>
            </w:r>
            <w:r>
              <w:rPr>
                <w:rFonts w:hint="eastAsia"/>
                <w:lang w:val="en-US" w:eastAsia="zh-CN"/>
              </w:rPr>
              <w:t>3</w:t>
            </w:r>
            <w:r>
              <w:t>年</w:t>
            </w:r>
            <w:r>
              <w:rPr>
                <w:rFonts w:hint="eastAsia"/>
                <w:lang w:val="en-US" w:eastAsia="zh-CN"/>
              </w:rPr>
              <w:t>8</w:t>
            </w:r>
            <w:r>
              <w:t>月；</w:t>
            </w:r>
          </w:p>
          <w:p w14:paraId="7DD3C2AE">
            <w:pPr>
              <w:widowControl/>
              <w:ind w:firstLine="480" w:firstLineChars="200"/>
              <w:jc w:val="left"/>
            </w:pPr>
            <w:r>
              <w:t>（</w:t>
            </w:r>
            <w:r>
              <w:rPr>
                <w:rFonts w:hint="eastAsia"/>
                <w:lang w:val="en-US" w:eastAsia="zh-CN"/>
              </w:rPr>
              <w:t>6</w:t>
            </w:r>
            <w:r>
              <w:t>）《</w:t>
            </w:r>
            <w:r>
              <w:rPr>
                <w:rFonts w:hint="eastAsia"/>
              </w:rPr>
              <w:t>福州市生态环境局</w:t>
            </w:r>
            <w:r>
              <w:t>关</w:t>
            </w:r>
            <w:r>
              <w:rPr>
                <w:color w:val="auto"/>
              </w:rPr>
              <w:t>于</w:t>
            </w:r>
            <w:r>
              <w:rPr>
                <w:rFonts w:hint="eastAsia"/>
              </w:rPr>
              <w:t>福建玖辰精工科技有限公司年加工车载盖板玻璃80万片</w:t>
            </w:r>
            <w:r>
              <w:rPr>
                <w:rFonts w:hint="eastAsia"/>
                <w:color w:val="auto"/>
              </w:rPr>
              <w:t>环境影响报告表</w:t>
            </w:r>
            <w:r>
              <w:rPr>
                <w:color w:val="auto"/>
              </w:rPr>
              <w:t>的批复》（</w:t>
            </w:r>
            <w:r>
              <w:rPr>
                <w:rFonts w:hint="eastAsia"/>
                <w:color w:val="auto"/>
              </w:rPr>
              <w:t>榕</w:t>
            </w:r>
            <w:r>
              <w:rPr>
                <w:rFonts w:hint="eastAsia"/>
                <w:color w:val="auto"/>
                <w:lang w:val="en-US" w:eastAsia="zh-CN"/>
              </w:rPr>
              <w:t>融</w:t>
            </w:r>
            <w:r>
              <w:rPr>
                <w:rFonts w:hint="eastAsia"/>
                <w:color w:val="auto"/>
              </w:rPr>
              <w:t>环评〔2023〕</w:t>
            </w:r>
            <w:r>
              <w:rPr>
                <w:rFonts w:hint="eastAsia"/>
                <w:color w:val="auto"/>
                <w:lang w:val="en-US" w:eastAsia="zh-CN"/>
              </w:rPr>
              <w:t>92</w:t>
            </w:r>
            <w:r>
              <w:rPr>
                <w:rFonts w:hint="eastAsia"/>
                <w:color w:val="auto"/>
              </w:rPr>
              <w:t>号</w:t>
            </w:r>
            <w:r>
              <w:rPr>
                <w:color w:val="auto"/>
              </w:rPr>
              <w:t>），福州市生态环境局，20</w:t>
            </w:r>
            <w:r>
              <w:rPr>
                <w:rFonts w:hint="eastAsia"/>
                <w:color w:val="auto"/>
              </w:rPr>
              <w:t>2</w:t>
            </w:r>
            <w:r>
              <w:rPr>
                <w:rFonts w:hint="eastAsia"/>
                <w:color w:val="auto"/>
                <w:lang w:val="en-US" w:eastAsia="zh-CN"/>
              </w:rPr>
              <w:t>3</w:t>
            </w:r>
            <w:r>
              <w:rPr>
                <w:color w:val="auto"/>
              </w:rPr>
              <w:t>年</w:t>
            </w:r>
            <w:r>
              <w:rPr>
                <w:rFonts w:hint="eastAsia"/>
                <w:color w:val="auto"/>
                <w:lang w:val="en-US" w:eastAsia="zh-CN"/>
              </w:rPr>
              <w:t>10</w:t>
            </w:r>
            <w:r>
              <w:rPr>
                <w:color w:val="auto"/>
              </w:rPr>
              <w:t>月</w:t>
            </w:r>
            <w:r>
              <w:rPr>
                <w:rFonts w:hint="eastAsia"/>
                <w:color w:val="auto"/>
                <w:lang w:val="en-US" w:eastAsia="zh-CN"/>
              </w:rPr>
              <w:t>8</w:t>
            </w:r>
            <w:r>
              <w:rPr>
                <w:color w:val="auto"/>
              </w:rPr>
              <w:t>日；</w:t>
            </w:r>
          </w:p>
        </w:tc>
      </w:tr>
      <w:tr w14:paraId="5510C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54" w:hRule="atLeast"/>
          <w:jc w:val="center"/>
        </w:trPr>
        <w:tc>
          <w:tcPr>
            <w:tcW w:w="2119" w:type="dxa"/>
            <w:vAlign w:val="center"/>
          </w:tcPr>
          <w:p w14:paraId="1913678A">
            <w:r>
              <w:t>验收监测评价标准、标号、级别、限值</w:t>
            </w:r>
          </w:p>
        </w:tc>
        <w:tc>
          <w:tcPr>
            <w:tcW w:w="7123" w:type="dxa"/>
            <w:gridSpan w:val="5"/>
          </w:tcPr>
          <w:p w14:paraId="6CC368B1">
            <w:pPr>
              <w:keepNext/>
              <w:keepLines/>
              <w:rPr>
                <w:b/>
                <w:bCs/>
              </w:rPr>
            </w:pPr>
            <w:bookmarkStart w:id="0" w:name="_Toc27359"/>
            <w:bookmarkStart w:id="1" w:name="_Toc497001473"/>
            <w:r>
              <w:rPr>
                <w:b/>
                <w:bCs/>
              </w:rPr>
              <w:t>一、污染物排放标准</w:t>
            </w:r>
            <w:bookmarkEnd w:id="0"/>
            <w:bookmarkEnd w:id="1"/>
          </w:p>
          <w:p w14:paraId="044D7067">
            <w:pPr>
              <w:ind w:firstLine="488"/>
            </w:pPr>
            <w:bookmarkStart w:id="2" w:name="_Toc496979036"/>
            <w:bookmarkStart w:id="3" w:name="_Toc497001475"/>
            <w:r>
              <w:rPr>
                <w:rFonts w:hint="eastAsia"/>
                <w:b w:val="0"/>
                <w:bCs w:val="0"/>
                <w:lang w:val="en-US" w:eastAsia="zh-CN"/>
              </w:rPr>
              <w:t>本工程废水经预处理后排入福清市融元污水处理厂集中处理，废水执行《污水综合排放标准》（GB8978-1996）表4中三级标准及福清市融元污水处理厂接管标准，从严执行，其中氨氮、总磷执行《污水排入城镇下水道水质标准》（GB/T31962-2015）表1中B级标准。福清市融元污水处理厂出水排放执行《城镇污水处理厂污染物排放标准》（GB18918-2002）一级A标准，最后排入龙江</w:t>
            </w:r>
            <w:r>
              <w:rPr>
                <w:rFonts w:hint="eastAsia"/>
              </w:rPr>
              <w:t>。</w:t>
            </w:r>
            <w:r>
              <w:t>详见表1-1。</w:t>
            </w:r>
          </w:p>
          <w:p w14:paraId="356E3277">
            <w:pPr>
              <w:pStyle w:val="28"/>
              <w:spacing w:line="360" w:lineRule="auto"/>
              <w:ind w:firstLine="480"/>
            </w:pPr>
            <w:r>
              <w:rPr>
                <w:bCs/>
              </w:rPr>
              <w:t>表1-1</w:t>
            </w:r>
            <w:r>
              <w:t>项目污水排放标准</w:t>
            </w:r>
          </w:p>
          <w:tbl>
            <w:tblPr>
              <w:tblStyle w:val="20"/>
              <w:tblW w:w="70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1309"/>
              <w:gridCol w:w="4278"/>
            </w:tblGrid>
            <w:tr w14:paraId="16567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497" w:type="dxa"/>
                  <w:vAlign w:val="center"/>
                </w:tcPr>
                <w:p w14:paraId="6EE25DBB">
                  <w:pPr>
                    <w:pStyle w:val="16"/>
                    <w:jc w:val="center"/>
                    <w:rPr>
                      <w:sz w:val="21"/>
                      <w:szCs w:val="21"/>
                    </w:rPr>
                  </w:pPr>
                  <w:r>
                    <w:rPr>
                      <w:sz w:val="21"/>
                      <w:szCs w:val="21"/>
                    </w:rPr>
                    <w:t>指标</w:t>
                  </w:r>
                </w:p>
              </w:tc>
              <w:tc>
                <w:tcPr>
                  <w:tcW w:w="1309" w:type="dxa"/>
                  <w:vAlign w:val="center"/>
                </w:tcPr>
                <w:p w14:paraId="27540085">
                  <w:pPr>
                    <w:pStyle w:val="16"/>
                    <w:jc w:val="center"/>
                    <w:rPr>
                      <w:sz w:val="21"/>
                      <w:szCs w:val="21"/>
                      <w:lang w:eastAsia="zh-CN"/>
                    </w:rPr>
                  </w:pPr>
                  <w:r>
                    <w:rPr>
                      <w:sz w:val="21"/>
                      <w:szCs w:val="21"/>
                      <w:lang w:eastAsia="zh-CN"/>
                    </w:rPr>
                    <w:t>三级标准值</w:t>
                  </w:r>
                </w:p>
              </w:tc>
              <w:tc>
                <w:tcPr>
                  <w:tcW w:w="4278" w:type="dxa"/>
                  <w:vAlign w:val="center"/>
                </w:tcPr>
                <w:p w14:paraId="1101573C">
                  <w:pPr>
                    <w:pStyle w:val="16"/>
                    <w:jc w:val="center"/>
                    <w:rPr>
                      <w:sz w:val="21"/>
                      <w:szCs w:val="21"/>
                    </w:rPr>
                  </w:pPr>
                  <w:r>
                    <w:rPr>
                      <w:sz w:val="21"/>
                      <w:szCs w:val="21"/>
                    </w:rPr>
                    <w:t>标准来源</w:t>
                  </w:r>
                </w:p>
              </w:tc>
            </w:tr>
            <w:tr w14:paraId="132AC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97" w:type="dxa"/>
                  <w:vAlign w:val="center"/>
                </w:tcPr>
                <w:p w14:paraId="6598C036">
                  <w:pPr>
                    <w:pStyle w:val="16"/>
                    <w:jc w:val="center"/>
                    <w:rPr>
                      <w:sz w:val="21"/>
                      <w:szCs w:val="21"/>
                    </w:rPr>
                  </w:pPr>
                  <w:r>
                    <w:rPr>
                      <w:sz w:val="21"/>
                      <w:szCs w:val="21"/>
                    </w:rPr>
                    <w:t>pH</w:t>
                  </w:r>
                </w:p>
              </w:tc>
              <w:tc>
                <w:tcPr>
                  <w:tcW w:w="1309" w:type="dxa"/>
                  <w:vAlign w:val="center"/>
                </w:tcPr>
                <w:p w14:paraId="03F46561">
                  <w:pPr>
                    <w:pStyle w:val="16"/>
                    <w:jc w:val="center"/>
                    <w:rPr>
                      <w:sz w:val="21"/>
                      <w:szCs w:val="21"/>
                    </w:rPr>
                  </w:pPr>
                  <w:r>
                    <w:rPr>
                      <w:sz w:val="21"/>
                      <w:szCs w:val="21"/>
                    </w:rPr>
                    <w:t>6～9</w:t>
                  </w:r>
                </w:p>
              </w:tc>
              <w:tc>
                <w:tcPr>
                  <w:tcW w:w="4278" w:type="dxa"/>
                  <w:vMerge w:val="restart"/>
                  <w:vAlign w:val="center"/>
                </w:tcPr>
                <w:p w14:paraId="1C526267">
                  <w:pPr>
                    <w:pStyle w:val="16"/>
                    <w:jc w:val="center"/>
                    <w:rPr>
                      <w:sz w:val="21"/>
                      <w:szCs w:val="21"/>
                      <w:lang w:eastAsia="zh-CN"/>
                    </w:rPr>
                  </w:pPr>
                  <w:r>
                    <w:rPr>
                      <w:sz w:val="21"/>
                      <w:szCs w:val="21"/>
                    </w:rPr>
                    <w:t>GB8978-1996《污水综合排放标准》</w:t>
                  </w:r>
                </w:p>
              </w:tc>
            </w:tr>
            <w:tr w14:paraId="56A38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97" w:type="dxa"/>
                  <w:vAlign w:val="center"/>
                </w:tcPr>
                <w:p w14:paraId="3BC16C17">
                  <w:pPr>
                    <w:pStyle w:val="47"/>
                    <w:jc w:val="center"/>
                    <w:rPr>
                      <w:rFonts w:ascii="Times New Roman" w:hAnsi="Times New Roman"/>
                    </w:rPr>
                  </w:pPr>
                  <w:r>
                    <w:rPr>
                      <w:rFonts w:ascii="Times New Roman" w:hAnsi="Times New Roman"/>
                    </w:rPr>
                    <w:t>COD</w:t>
                  </w:r>
                </w:p>
              </w:tc>
              <w:tc>
                <w:tcPr>
                  <w:tcW w:w="1309" w:type="dxa"/>
                  <w:vAlign w:val="center"/>
                </w:tcPr>
                <w:p w14:paraId="1900F855">
                  <w:pPr>
                    <w:pStyle w:val="47"/>
                    <w:jc w:val="center"/>
                    <w:rPr>
                      <w:rFonts w:ascii="Times New Roman" w:hAnsi="Times New Roman"/>
                    </w:rPr>
                  </w:pPr>
                  <w:r>
                    <w:rPr>
                      <w:rFonts w:ascii="Times New Roman" w:hAnsi="Times New Roman"/>
                    </w:rPr>
                    <w:t>500</w:t>
                  </w:r>
                </w:p>
              </w:tc>
              <w:tc>
                <w:tcPr>
                  <w:tcW w:w="4278" w:type="dxa"/>
                  <w:vMerge w:val="continue"/>
                  <w:vAlign w:val="center"/>
                </w:tcPr>
                <w:p w14:paraId="4256B5D3">
                  <w:pPr>
                    <w:pStyle w:val="47"/>
                    <w:jc w:val="center"/>
                    <w:rPr>
                      <w:rFonts w:ascii="Times New Roman" w:hAnsi="Times New Roman"/>
                    </w:rPr>
                  </w:pPr>
                </w:p>
              </w:tc>
            </w:tr>
            <w:tr w14:paraId="32401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97" w:type="dxa"/>
                  <w:vAlign w:val="center"/>
                </w:tcPr>
                <w:p w14:paraId="22DDAE35">
                  <w:pPr>
                    <w:pStyle w:val="47"/>
                    <w:jc w:val="center"/>
                    <w:rPr>
                      <w:rFonts w:ascii="Times New Roman" w:hAnsi="Times New Roman"/>
                    </w:rPr>
                  </w:pPr>
                  <w:r>
                    <w:rPr>
                      <w:rFonts w:ascii="Times New Roman" w:hAnsi="Times New Roman"/>
                    </w:rPr>
                    <w:t>BOD</w:t>
                  </w:r>
                  <w:r>
                    <w:rPr>
                      <w:rFonts w:ascii="Times New Roman" w:hAnsi="Times New Roman"/>
                      <w:vertAlign w:val="subscript"/>
                    </w:rPr>
                    <w:t>5</w:t>
                  </w:r>
                </w:p>
              </w:tc>
              <w:tc>
                <w:tcPr>
                  <w:tcW w:w="1309" w:type="dxa"/>
                  <w:vAlign w:val="center"/>
                </w:tcPr>
                <w:p w14:paraId="33F4E27B">
                  <w:pPr>
                    <w:pStyle w:val="47"/>
                    <w:jc w:val="center"/>
                    <w:rPr>
                      <w:rFonts w:ascii="Times New Roman" w:hAnsi="Times New Roman"/>
                    </w:rPr>
                  </w:pPr>
                  <w:r>
                    <w:rPr>
                      <w:rFonts w:ascii="Times New Roman" w:hAnsi="Times New Roman"/>
                    </w:rPr>
                    <w:t>300</w:t>
                  </w:r>
                </w:p>
              </w:tc>
              <w:tc>
                <w:tcPr>
                  <w:tcW w:w="4278" w:type="dxa"/>
                  <w:vMerge w:val="continue"/>
                  <w:vAlign w:val="center"/>
                </w:tcPr>
                <w:p w14:paraId="3738A93D">
                  <w:pPr>
                    <w:pStyle w:val="47"/>
                    <w:jc w:val="center"/>
                    <w:rPr>
                      <w:rFonts w:ascii="Times New Roman" w:hAnsi="Times New Roman"/>
                    </w:rPr>
                  </w:pPr>
                </w:p>
              </w:tc>
            </w:tr>
            <w:tr w14:paraId="3B6F6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97" w:type="dxa"/>
                  <w:vAlign w:val="center"/>
                </w:tcPr>
                <w:p w14:paraId="02DF7A58">
                  <w:pPr>
                    <w:pStyle w:val="47"/>
                    <w:jc w:val="center"/>
                    <w:rPr>
                      <w:rFonts w:ascii="Times New Roman" w:hAnsi="Times New Roman"/>
                    </w:rPr>
                  </w:pPr>
                  <w:r>
                    <w:rPr>
                      <w:rFonts w:ascii="Times New Roman" w:hAnsi="Times New Roman"/>
                    </w:rPr>
                    <w:t>SS</w:t>
                  </w:r>
                </w:p>
              </w:tc>
              <w:tc>
                <w:tcPr>
                  <w:tcW w:w="1309" w:type="dxa"/>
                  <w:vAlign w:val="center"/>
                </w:tcPr>
                <w:p w14:paraId="6C70F7ED">
                  <w:pPr>
                    <w:pStyle w:val="47"/>
                    <w:jc w:val="center"/>
                    <w:rPr>
                      <w:rFonts w:ascii="Times New Roman" w:hAnsi="Times New Roman"/>
                    </w:rPr>
                  </w:pPr>
                  <w:r>
                    <w:rPr>
                      <w:rFonts w:ascii="Times New Roman" w:hAnsi="Times New Roman"/>
                    </w:rPr>
                    <w:t>400</w:t>
                  </w:r>
                </w:p>
              </w:tc>
              <w:tc>
                <w:tcPr>
                  <w:tcW w:w="4278" w:type="dxa"/>
                  <w:vMerge w:val="continue"/>
                  <w:vAlign w:val="center"/>
                </w:tcPr>
                <w:p w14:paraId="1BA66BF4">
                  <w:pPr>
                    <w:pStyle w:val="47"/>
                    <w:jc w:val="center"/>
                    <w:rPr>
                      <w:rFonts w:ascii="Times New Roman" w:hAnsi="Times New Roman"/>
                    </w:rPr>
                  </w:pPr>
                </w:p>
              </w:tc>
            </w:tr>
            <w:tr w14:paraId="4133D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97" w:type="dxa"/>
                  <w:vAlign w:val="center"/>
                </w:tcPr>
                <w:p w14:paraId="3FAC05DB">
                  <w:pPr>
                    <w:pStyle w:val="47"/>
                    <w:jc w:val="center"/>
                    <w:rPr>
                      <w:rFonts w:ascii="Times New Roman" w:hAnsi="Times New Roman"/>
                    </w:rPr>
                  </w:pPr>
                  <w:r>
                    <w:rPr>
                      <w:rFonts w:ascii="Times New Roman" w:hAnsi="Times New Roman"/>
                    </w:rPr>
                    <w:t>氨氮(以N计)</w:t>
                  </w:r>
                </w:p>
              </w:tc>
              <w:tc>
                <w:tcPr>
                  <w:tcW w:w="1309" w:type="dxa"/>
                  <w:vAlign w:val="center"/>
                </w:tcPr>
                <w:p w14:paraId="13ED4D66">
                  <w:pPr>
                    <w:pStyle w:val="47"/>
                    <w:jc w:val="center"/>
                    <w:rPr>
                      <w:rFonts w:ascii="Times New Roman" w:hAnsi="Times New Roman"/>
                    </w:rPr>
                  </w:pPr>
                  <w:r>
                    <w:rPr>
                      <w:rFonts w:ascii="Times New Roman" w:hAnsi="Times New Roman"/>
                    </w:rPr>
                    <w:t>45</w:t>
                  </w:r>
                </w:p>
              </w:tc>
              <w:tc>
                <w:tcPr>
                  <w:tcW w:w="4278" w:type="dxa"/>
                  <w:vAlign w:val="center"/>
                </w:tcPr>
                <w:p w14:paraId="57478EA4">
                  <w:pPr>
                    <w:pStyle w:val="16"/>
                    <w:jc w:val="center"/>
                    <w:rPr>
                      <w:sz w:val="21"/>
                      <w:szCs w:val="21"/>
                    </w:rPr>
                  </w:pPr>
                  <w:r>
                    <w:rPr>
                      <w:rFonts w:hint="eastAsia"/>
                      <w:sz w:val="21"/>
                      <w:szCs w:val="21"/>
                    </w:rPr>
                    <w:t>《污水排入城镇下水道水质标准</w:t>
                  </w:r>
                  <w:r>
                    <w:rPr>
                      <w:rFonts w:hint="eastAsia"/>
                      <w:sz w:val="21"/>
                      <w:szCs w:val="21"/>
                      <w:lang w:eastAsia="zh-CN"/>
                    </w:rPr>
                    <w:t>》</w:t>
                  </w:r>
                  <w:r>
                    <w:rPr>
                      <w:rFonts w:hint="eastAsia"/>
                      <w:sz w:val="21"/>
                      <w:szCs w:val="21"/>
                    </w:rPr>
                    <w:t>(GB/T31962-2015)</w:t>
                  </w:r>
                </w:p>
              </w:tc>
            </w:tr>
            <w:bookmarkEnd w:id="2"/>
            <w:bookmarkEnd w:id="3"/>
          </w:tbl>
          <w:p w14:paraId="313F4222">
            <w:pPr>
              <w:keepNext/>
              <w:keepLines/>
              <w:numPr>
                <w:ilvl w:val="0"/>
                <w:numId w:val="1"/>
              </w:numPr>
              <w:rPr>
                <w:b/>
                <w:bCs/>
              </w:rPr>
            </w:pPr>
            <w:r>
              <w:rPr>
                <w:b/>
                <w:bCs/>
              </w:rPr>
              <w:t>废气</w:t>
            </w:r>
          </w:p>
          <w:p w14:paraId="39810FAC">
            <w:pPr>
              <w:adjustRightInd w:val="0"/>
              <w:snapToGrid w:val="0"/>
              <w:ind w:firstLine="480" w:firstLineChars="200"/>
              <w:rPr>
                <w:rFonts w:hint="default" w:ascii="Times New Roman" w:hAnsi="Times New Roman" w:cs="Times New Roman"/>
              </w:rPr>
            </w:pPr>
            <w:r>
              <w:rPr>
                <w:rFonts w:hint="default" w:ascii="Times New Roman" w:hAnsi="Times New Roman" w:cs="Times New Roman"/>
              </w:rPr>
              <w:t>本项目油墨印刷干有机废气非甲烷总烃从严执行《印刷行业挥发性有机物排放标准》（DB35/1784-2018）表1标准，厂区内无组织监控点以及企业边界监控点执行表2、3的规定。</w:t>
            </w:r>
          </w:p>
          <w:p w14:paraId="54CA7EAC">
            <w:pPr>
              <w:adjustRightInd w:val="0"/>
              <w:snapToGrid w:val="0"/>
              <w:ind w:firstLine="480" w:firstLineChars="200"/>
              <w:rPr>
                <w:rFonts w:hint="eastAsia"/>
                <w:lang w:eastAsia="zh-CN"/>
              </w:rPr>
            </w:pPr>
            <w:r>
              <w:rPr>
                <w:rFonts w:hint="default" w:ascii="Times New Roman" w:hAnsi="Times New Roman" w:cs="Times New Roman"/>
              </w:rPr>
              <w:t>同时，根据《福建省生态环境厅关于国家和地方相关大气污染物排放标准执行有关事项的通知》文中要求，在非甲烷总烃无组织排放控制上，增加“厂区内监控点处任意一次NMHC浓度值”的控制要求，排放浓度应符合《挥发性有机物无组织排放控制标准》(GB37822-2019)中表A.1特别排放限值要求</w:t>
            </w:r>
            <w:r>
              <w:rPr>
                <w:rFonts w:hint="eastAsia"/>
                <w:lang w:eastAsia="zh-CN"/>
              </w:rPr>
              <w:t>。</w:t>
            </w:r>
          </w:p>
          <w:p w14:paraId="34080132">
            <w:pPr>
              <w:pStyle w:val="72"/>
              <w:spacing w:line="360" w:lineRule="auto"/>
              <w:rPr>
                <w:color w:val="auto"/>
                <w:sz w:val="24"/>
                <w:szCs w:val="24"/>
              </w:rPr>
            </w:pPr>
            <w:r>
              <w:rPr>
                <w:color w:val="auto"/>
                <w:sz w:val="24"/>
                <w:szCs w:val="24"/>
              </w:rPr>
              <w:t>表</w:t>
            </w:r>
            <w:r>
              <w:rPr>
                <w:rFonts w:hint="eastAsia"/>
                <w:color w:val="auto"/>
                <w:sz w:val="24"/>
                <w:szCs w:val="24"/>
                <w:lang w:val="en-US" w:eastAsia="zh-CN"/>
              </w:rPr>
              <w:t>1</w:t>
            </w:r>
            <w:r>
              <w:rPr>
                <w:rFonts w:hint="eastAsia"/>
                <w:color w:val="auto"/>
                <w:sz w:val="24"/>
                <w:szCs w:val="24"/>
              </w:rPr>
              <w:t>-</w:t>
            </w:r>
            <w:r>
              <w:rPr>
                <w:rFonts w:hint="eastAsia"/>
                <w:color w:val="auto"/>
                <w:sz w:val="24"/>
                <w:szCs w:val="24"/>
                <w:lang w:val="en-US" w:eastAsia="zh-CN"/>
              </w:rPr>
              <w:t>2</w:t>
            </w:r>
            <w:r>
              <w:rPr>
                <w:rFonts w:hint="eastAsia"/>
                <w:color w:val="auto"/>
                <w:sz w:val="24"/>
                <w:szCs w:val="24"/>
              </w:rPr>
              <w:t>废气污染物排放标准</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271"/>
              <w:gridCol w:w="1119"/>
              <w:gridCol w:w="1501"/>
              <w:gridCol w:w="2100"/>
            </w:tblGrid>
            <w:tr w14:paraId="7876B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pct"/>
                  <w:vMerge w:val="restart"/>
                  <w:tcBorders>
                    <w:top w:val="single" w:color="auto" w:sz="12" w:space="0"/>
                    <w:left w:val="nil"/>
                    <w:bottom w:val="single" w:color="auto" w:sz="4" w:space="0"/>
                    <w:right w:val="single" w:color="auto" w:sz="4" w:space="0"/>
                  </w:tcBorders>
                  <w:noWrap w:val="0"/>
                  <w:vAlign w:val="center"/>
                </w:tcPr>
                <w:p w14:paraId="74BB8703">
                  <w:pPr>
                    <w:spacing w:line="340" w:lineRule="exact"/>
                    <w:jc w:val="center"/>
                    <w:rPr>
                      <w:color w:val="auto"/>
                      <w:sz w:val="21"/>
                      <w:szCs w:val="21"/>
                      <w:lang w:bidi="ar"/>
                    </w:rPr>
                  </w:pPr>
                  <w:r>
                    <w:rPr>
                      <w:rFonts w:hint="eastAsia"/>
                      <w:color w:val="auto"/>
                      <w:sz w:val="21"/>
                      <w:szCs w:val="21"/>
                      <w:lang w:bidi="ar"/>
                    </w:rPr>
                    <w:t>污染物</w:t>
                  </w:r>
                </w:p>
              </w:tc>
              <w:tc>
                <w:tcPr>
                  <w:tcW w:w="875" w:type="pct"/>
                  <w:vMerge w:val="restart"/>
                  <w:tcBorders>
                    <w:top w:val="single" w:color="auto" w:sz="12" w:space="0"/>
                    <w:left w:val="single" w:color="auto" w:sz="4" w:space="0"/>
                    <w:bottom w:val="single" w:color="auto" w:sz="4" w:space="0"/>
                    <w:right w:val="single" w:color="auto" w:sz="4" w:space="0"/>
                  </w:tcBorders>
                  <w:noWrap w:val="0"/>
                  <w:vAlign w:val="center"/>
                </w:tcPr>
                <w:p w14:paraId="488CE2AD">
                  <w:pPr>
                    <w:spacing w:line="340" w:lineRule="exact"/>
                    <w:jc w:val="center"/>
                    <w:rPr>
                      <w:color w:val="auto"/>
                      <w:sz w:val="21"/>
                      <w:szCs w:val="21"/>
                      <w:lang w:bidi="ar"/>
                    </w:rPr>
                  </w:pPr>
                  <w:r>
                    <w:rPr>
                      <w:rFonts w:hint="eastAsia"/>
                      <w:color w:val="auto"/>
                      <w:sz w:val="21"/>
                      <w:szCs w:val="21"/>
                      <w:lang w:bidi="ar"/>
                    </w:rPr>
                    <w:t>最高允许排放浓度</w:t>
                  </w:r>
                  <w:r>
                    <w:rPr>
                      <w:color w:val="auto"/>
                      <w:sz w:val="21"/>
                      <w:szCs w:val="21"/>
                      <w:lang w:bidi="ar"/>
                    </w:rPr>
                    <w:t>(mg/m</w:t>
                  </w:r>
                  <w:r>
                    <w:rPr>
                      <w:color w:val="auto"/>
                      <w:sz w:val="21"/>
                      <w:szCs w:val="21"/>
                      <w:vertAlign w:val="superscript"/>
                      <w:lang w:bidi="ar"/>
                    </w:rPr>
                    <w:t>3</w:t>
                  </w:r>
                  <w:r>
                    <w:rPr>
                      <w:color w:val="auto"/>
                      <w:sz w:val="21"/>
                      <w:szCs w:val="21"/>
                      <w:lang w:bidi="ar"/>
                    </w:rPr>
                    <w:t>)</w:t>
                  </w:r>
                </w:p>
              </w:tc>
              <w:tc>
                <w:tcPr>
                  <w:tcW w:w="770" w:type="pct"/>
                  <w:vMerge w:val="restart"/>
                  <w:tcBorders>
                    <w:top w:val="single" w:color="auto" w:sz="12" w:space="0"/>
                    <w:left w:val="single" w:color="auto" w:sz="4" w:space="0"/>
                    <w:bottom w:val="single" w:color="auto" w:sz="4" w:space="0"/>
                    <w:right w:val="single" w:color="auto" w:sz="4" w:space="0"/>
                  </w:tcBorders>
                  <w:noWrap w:val="0"/>
                  <w:vAlign w:val="center"/>
                </w:tcPr>
                <w:p w14:paraId="40FF2202">
                  <w:pPr>
                    <w:spacing w:line="340" w:lineRule="exact"/>
                    <w:jc w:val="center"/>
                    <w:rPr>
                      <w:color w:val="auto"/>
                      <w:sz w:val="21"/>
                      <w:szCs w:val="21"/>
                      <w:lang w:bidi="ar"/>
                    </w:rPr>
                  </w:pPr>
                  <w:r>
                    <w:rPr>
                      <w:rFonts w:hint="eastAsia"/>
                      <w:color w:val="auto"/>
                      <w:sz w:val="21"/>
                      <w:szCs w:val="21"/>
                      <w:lang w:bidi="ar"/>
                    </w:rPr>
                    <w:t>排气筒</w:t>
                  </w:r>
                </w:p>
                <w:p w14:paraId="05DBDF73">
                  <w:pPr>
                    <w:spacing w:line="340" w:lineRule="exact"/>
                    <w:jc w:val="center"/>
                    <w:rPr>
                      <w:color w:val="auto"/>
                      <w:sz w:val="21"/>
                      <w:szCs w:val="21"/>
                      <w:lang w:bidi="ar"/>
                    </w:rPr>
                  </w:pPr>
                  <w:r>
                    <w:rPr>
                      <w:color w:val="auto"/>
                      <w:sz w:val="21"/>
                      <w:szCs w:val="21"/>
                      <w:lang w:bidi="ar"/>
                    </w:rPr>
                    <w:t>(m)</w:t>
                  </w:r>
                </w:p>
              </w:tc>
              <w:tc>
                <w:tcPr>
                  <w:tcW w:w="1033" w:type="pct"/>
                  <w:vMerge w:val="restart"/>
                  <w:tcBorders>
                    <w:top w:val="single" w:color="auto" w:sz="12" w:space="0"/>
                    <w:left w:val="single" w:color="auto" w:sz="4" w:space="0"/>
                    <w:bottom w:val="single" w:color="auto" w:sz="4" w:space="0"/>
                    <w:right w:val="single" w:color="auto" w:sz="4" w:space="0"/>
                  </w:tcBorders>
                  <w:noWrap w:val="0"/>
                  <w:vAlign w:val="center"/>
                </w:tcPr>
                <w:p w14:paraId="17A8CBDC">
                  <w:pPr>
                    <w:spacing w:line="340" w:lineRule="exact"/>
                    <w:jc w:val="center"/>
                    <w:rPr>
                      <w:color w:val="auto"/>
                      <w:sz w:val="21"/>
                      <w:szCs w:val="21"/>
                      <w:lang w:bidi="ar"/>
                    </w:rPr>
                  </w:pPr>
                  <w:r>
                    <w:rPr>
                      <w:rFonts w:hint="eastAsia"/>
                      <w:color w:val="auto"/>
                      <w:sz w:val="21"/>
                      <w:szCs w:val="21"/>
                      <w:lang w:bidi="ar"/>
                    </w:rPr>
                    <w:t>最高允许</w:t>
                  </w:r>
                </w:p>
                <w:p w14:paraId="11330711">
                  <w:pPr>
                    <w:spacing w:line="340" w:lineRule="exact"/>
                    <w:jc w:val="center"/>
                    <w:rPr>
                      <w:color w:val="auto"/>
                      <w:sz w:val="21"/>
                      <w:szCs w:val="21"/>
                      <w:lang w:bidi="ar"/>
                    </w:rPr>
                  </w:pPr>
                  <w:r>
                    <w:rPr>
                      <w:rFonts w:hint="eastAsia"/>
                      <w:color w:val="auto"/>
                      <w:sz w:val="21"/>
                      <w:szCs w:val="21"/>
                      <w:lang w:bidi="ar"/>
                    </w:rPr>
                    <w:t>排放速率</w:t>
                  </w:r>
                  <w:r>
                    <w:rPr>
                      <w:color w:val="auto"/>
                      <w:sz w:val="21"/>
                      <w:szCs w:val="21"/>
                      <w:lang w:bidi="ar"/>
                    </w:rPr>
                    <w:t>(kg/</w:t>
                  </w:r>
                  <w:r>
                    <w:rPr>
                      <w:color w:val="auto"/>
                      <w:sz w:val="21"/>
                      <w:szCs w:val="21"/>
                      <w:lang w:bidi="ar"/>
                    </w:rPr>
                    <w:cr/>
                  </w:r>
                  <w:r>
                    <w:rPr>
                      <w:color w:val="auto"/>
                      <w:sz w:val="21"/>
                      <w:szCs w:val="21"/>
                      <w:lang w:bidi="ar"/>
                    </w:rPr>
                    <w:t>)</w:t>
                  </w:r>
                </w:p>
              </w:tc>
              <w:tc>
                <w:tcPr>
                  <w:tcW w:w="1442" w:type="pct"/>
                  <w:vMerge w:val="restart"/>
                  <w:tcBorders>
                    <w:top w:val="single" w:color="auto" w:sz="12" w:space="0"/>
                    <w:left w:val="single" w:color="auto" w:sz="4" w:space="0"/>
                    <w:bottom w:val="single" w:color="auto" w:sz="4" w:space="0"/>
                    <w:right w:val="nil"/>
                  </w:tcBorders>
                  <w:noWrap w:val="0"/>
                  <w:vAlign w:val="center"/>
                </w:tcPr>
                <w:p w14:paraId="22D15F39">
                  <w:pPr>
                    <w:spacing w:line="340" w:lineRule="exact"/>
                    <w:jc w:val="center"/>
                    <w:rPr>
                      <w:color w:val="auto"/>
                      <w:sz w:val="21"/>
                      <w:szCs w:val="21"/>
                      <w:lang w:bidi="ar"/>
                    </w:rPr>
                  </w:pPr>
                  <w:r>
                    <w:rPr>
                      <w:rFonts w:hint="eastAsia"/>
                      <w:color w:val="auto"/>
                      <w:sz w:val="21"/>
                      <w:szCs w:val="21"/>
                      <w:lang w:bidi="ar"/>
                    </w:rPr>
                    <w:t>污染物排放监控位置</w:t>
                  </w:r>
                </w:p>
              </w:tc>
            </w:tr>
            <w:tr w14:paraId="6112E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pct"/>
                  <w:vMerge w:val="continue"/>
                  <w:tcBorders>
                    <w:top w:val="single" w:color="auto" w:sz="12" w:space="0"/>
                    <w:left w:val="nil"/>
                    <w:bottom w:val="single" w:color="auto" w:sz="4" w:space="0"/>
                    <w:right w:val="single" w:color="auto" w:sz="4" w:space="0"/>
                  </w:tcBorders>
                  <w:noWrap w:val="0"/>
                  <w:vAlign w:val="center"/>
                </w:tcPr>
                <w:p w14:paraId="2D41B522">
                  <w:pPr>
                    <w:rPr>
                      <w:color w:val="auto"/>
                      <w:sz w:val="21"/>
                      <w:szCs w:val="21"/>
                      <w:lang w:bidi="ar"/>
                    </w:rPr>
                  </w:pPr>
                </w:p>
              </w:tc>
              <w:tc>
                <w:tcPr>
                  <w:tcW w:w="875" w:type="pct"/>
                  <w:vMerge w:val="continue"/>
                  <w:tcBorders>
                    <w:top w:val="single" w:color="auto" w:sz="12" w:space="0"/>
                    <w:left w:val="single" w:color="auto" w:sz="4" w:space="0"/>
                    <w:bottom w:val="single" w:color="auto" w:sz="4" w:space="0"/>
                    <w:right w:val="single" w:color="auto" w:sz="4" w:space="0"/>
                  </w:tcBorders>
                  <w:noWrap w:val="0"/>
                  <w:vAlign w:val="center"/>
                </w:tcPr>
                <w:p w14:paraId="2E8E1658">
                  <w:pPr>
                    <w:rPr>
                      <w:color w:val="auto"/>
                      <w:sz w:val="21"/>
                      <w:szCs w:val="21"/>
                      <w:lang w:bidi="ar"/>
                    </w:rPr>
                  </w:pPr>
                </w:p>
              </w:tc>
              <w:tc>
                <w:tcPr>
                  <w:tcW w:w="770" w:type="pct"/>
                  <w:vMerge w:val="continue"/>
                  <w:tcBorders>
                    <w:top w:val="single" w:color="auto" w:sz="12" w:space="0"/>
                    <w:left w:val="single" w:color="auto" w:sz="4" w:space="0"/>
                    <w:bottom w:val="single" w:color="auto" w:sz="4" w:space="0"/>
                    <w:right w:val="single" w:color="auto" w:sz="4" w:space="0"/>
                  </w:tcBorders>
                  <w:noWrap w:val="0"/>
                  <w:vAlign w:val="center"/>
                </w:tcPr>
                <w:p w14:paraId="72E0C2FF">
                  <w:pPr>
                    <w:rPr>
                      <w:color w:val="auto"/>
                      <w:sz w:val="21"/>
                      <w:szCs w:val="21"/>
                      <w:lang w:bidi="ar"/>
                    </w:rPr>
                  </w:pPr>
                </w:p>
              </w:tc>
              <w:tc>
                <w:tcPr>
                  <w:tcW w:w="1033" w:type="pct"/>
                  <w:vMerge w:val="continue"/>
                  <w:tcBorders>
                    <w:top w:val="single" w:color="auto" w:sz="12" w:space="0"/>
                    <w:left w:val="single" w:color="auto" w:sz="4" w:space="0"/>
                    <w:bottom w:val="single" w:color="auto" w:sz="4" w:space="0"/>
                    <w:right w:val="single" w:color="auto" w:sz="4" w:space="0"/>
                  </w:tcBorders>
                  <w:noWrap w:val="0"/>
                  <w:vAlign w:val="center"/>
                </w:tcPr>
                <w:p w14:paraId="2DFF01C1">
                  <w:pPr>
                    <w:rPr>
                      <w:color w:val="auto"/>
                      <w:sz w:val="21"/>
                      <w:szCs w:val="21"/>
                      <w:lang w:bidi="ar"/>
                    </w:rPr>
                  </w:pPr>
                </w:p>
              </w:tc>
              <w:tc>
                <w:tcPr>
                  <w:tcW w:w="1442" w:type="pct"/>
                  <w:vMerge w:val="continue"/>
                  <w:tcBorders>
                    <w:top w:val="single" w:color="auto" w:sz="12" w:space="0"/>
                    <w:left w:val="single" w:color="auto" w:sz="4" w:space="0"/>
                    <w:bottom w:val="single" w:color="auto" w:sz="4" w:space="0"/>
                    <w:right w:val="nil"/>
                  </w:tcBorders>
                  <w:noWrap w:val="0"/>
                  <w:vAlign w:val="center"/>
                </w:tcPr>
                <w:p w14:paraId="7312F6D2">
                  <w:pPr>
                    <w:rPr>
                      <w:color w:val="auto"/>
                      <w:sz w:val="21"/>
                      <w:szCs w:val="21"/>
                      <w:lang w:bidi="ar"/>
                    </w:rPr>
                  </w:pPr>
                </w:p>
              </w:tc>
            </w:tr>
            <w:tr w14:paraId="3D5EF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pct"/>
                  <w:tcBorders>
                    <w:top w:val="single" w:color="auto" w:sz="4" w:space="0"/>
                    <w:left w:val="nil"/>
                    <w:bottom w:val="single" w:color="auto" w:sz="4" w:space="0"/>
                    <w:right w:val="single" w:color="auto" w:sz="4" w:space="0"/>
                  </w:tcBorders>
                  <w:noWrap w:val="0"/>
                  <w:vAlign w:val="center"/>
                </w:tcPr>
                <w:p w14:paraId="564260FE">
                  <w:pPr>
                    <w:spacing w:line="340" w:lineRule="exact"/>
                    <w:jc w:val="center"/>
                    <w:rPr>
                      <w:color w:val="auto"/>
                      <w:sz w:val="21"/>
                      <w:szCs w:val="21"/>
                      <w:lang w:bidi="ar"/>
                    </w:rPr>
                  </w:pPr>
                  <w:r>
                    <w:rPr>
                      <w:rFonts w:hint="eastAsia"/>
                      <w:color w:val="auto"/>
                      <w:sz w:val="21"/>
                      <w:szCs w:val="21"/>
                      <w:lang w:bidi="ar"/>
                    </w:rPr>
                    <w:t>非甲烷总烃</w:t>
                  </w:r>
                </w:p>
              </w:tc>
              <w:tc>
                <w:tcPr>
                  <w:tcW w:w="875" w:type="pct"/>
                  <w:tcBorders>
                    <w:top w:val="single" w:color="auto" w:sz="4" w:space="0"/>
                    <w:left w:val="single" w:color="auto" w:sz="4" w:space="0"/>
                    <w:bottom w:val="single" w:color="auto" w:sz="4" w:space="0"/>
                    <w:right w:val="single" w:color="auto" w:sz="4" w:space="0"/>
                  </w:tcBorders>
                  <w:noWrap w:val="0"/>
                  <w:vAlign w:val="center"/>
                </w:tcPr>
                <w:p w14:paraId="644E1AD0">
                  <w:pPr>
                    <w:spacing w:line="340" w:lineRule="exact"/>
                    <w:jc w:val="center"/>
                    <w:rPr>
                      <w:color w:val="auto"/>
                      <w:sz w:val="21"/>
                      <w:szCs w:val="21"/>
                      <w:lang w:bidi="ar"/>
                    </w:rPr>
                  </w:pPr>
                  <w:r>
                    <w:rPr>
                      <w:color w:val="auto"/>
                      <w:sz w:val="21"/>
                      <w:szCs w:val="21"/>
                      <w:lang w:bidi="ar"/>
                    </w:rPr>
                    <w:t>50</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2C3666AA">
                  <w:pPr>
                    <w:spacing w:line="340" w:lineRule="exact"/>
                    <w:jc w:val="center"/>
                    <w:rPr>
                      <w:color w:val="auto"/>
                      <w:sz w:val="21"/>
                      <w:szCs w:val="21"/>
                      <w:lang w:bidi="ar"/>
                    </w:rPr>
                  </w:pPr>
                  <w:r>
                    <w:rPr>
                      <w:rFonts w:hint="eastAsia"/>
                      <w:color w:val="auto"/>
                      <w:sz w:val="21"/>
                      <w:szCs w:val="21"/>
                      <w:lang w:bidi="ar"/>
                    </w:rPr>
                    <w:t>15</w:t>
                  </w:r>
                </w:p>
              </w:tc>
              <w:tc>
                <w:tcPr>
                  <w:tcW w:w="1033" w:type="pct"/>
                  <w:tcBorders>
                    <w:top w:val="single" w:color="auto" w:sz="4" w:space="0"/>
                    <w:left w:val="single" w:color="auto" w:sz="4" w:space="0"/>
                    <w:bottom w:val="single" w:color="auto" w:sz="4" w:space="0"/>
                    <w:right w:val="single" w:color="auto" w:sz="4" w:space="0"/>
                  </w:tcBorders>
                  <w:noWrap w:val="0"/>
                  <w:vAlign w:val="center"/>
                </w:tcPr>
                <w:p w14:paraId="57D9F24E">
                  <w:pPr>
                    <w:spacing w:line="340" w:lineRule="exact"/>
                    <w:jc w:val="center"/>
                    <w:rPr>
                      <w:color w:val="auto"/>
                      <w:sz w:val="21"/>
                      <w:szCs w:val="21"/>
                      <w:lang w:bidi="ar"/>
                    </w:rPr>
                  </w:pPr>
                  <w:r>
                    <w:rPr>
                      <w:rFonts w:hint="eastAsia"/>
                      <w:color w:val="auto"/>
                      <w:sz w:val="21"/>
                      <w:szCs w:val="21"/>
                      <w:lang w:bidi="ar"/>
                    </w:rPr>
                    <w:t>1.5</w:t>
                  </w:r>
                </w:p>
              </w:tc>
              <w:tc>
                <w:tcPr>
                  <w:tcW w:w="1442" w:type="pct"/>
                  <w:tcBorders>
                    <w:top w:val="single" w:color="auto" w:sz="4" w:space="0"/>
                    <w:left w:val="single" w:color="auto" w:sz="4" w:space="0"/>
                    <w:bottom w:val="single" w:color="auto" w:sz="4" w:space="0"/>
                    <w:right w:val="nil"/>
                  </w:tcBorders>
                  <w:noWrap w:val="0"/>
                  <w:vAlign w:val="center"/>
                </w:tcPr>
                <w:p w14:paraId="3FCCA325">
                  <w:pPr>
                    <w:spacing w:line="340" w:lineRule="exact"/>
                    <w:jc w:val="center"/>
                    <w:rPr>
                      <w:color w:val="auto"/>
                      <w:sz w:val="21"/>
                      <w:szCs w:val="21"/>
                      <w:lang w:bidi="ar"/>
                    </w:rPr>
                  </w:pPr>
                  <w:r>
                    <w:rPr>
                      <w:rFonts w:hint="eastAsia"/>
                      <w:color w:val="auto"/>
                      <w:sz w:val="21"/>
                      <w:szCs w:val="21"/>
                      <w:lang w:bidi="ar"/>
                    </w:rPr>
                    <w:t>车间或生产设施的排气筒</w:t>
                  </w:r>
                </w:p>
              </w:tc>
            </w:tr>
            <w:tr w14:paraId="56B65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nil"/>
                    <w:bottom w:val="single" w:color="auto" w:sz="12" w:space="0"/>
                    <w:right w:val="nil"/>
                  </w:tcBorders>
                  <w:noWrap w:val="0"/>
                  <w:vAlign w:val="center"/>
                </w:tcPr>
                <w:p w14:paraId="5E25030A">
                  <w:pPr>
                    <w:spacing w:line="340" w:lineRule="exact"/>
                    <w:jc w:val="center"/>
                    <w:rPr>
                      <w:color w:val="auto"/>
                      <w:sz w:val="21"/>
                      <w:szCs w:val="21"/>
                    </w:rPr>
                  </w:pPr>
                  <w:r>
                    <w:rPr>
                      <w:rFonts w:hint="eastAsia"/>
                      <w:color w:val="auto"/>
                      <w:sz w:val="21"/>
                      <w:szCs w:val="21"/>
                    </w:rPr>
                    <w:t>备注：当非甲烷总烃去除率</w:t>
                  </w:r>
                  <w:r>
                    <w:rPr>
                      <w:color w:val="auto"/>
                      <w:sz w:val="21"/>
                      <w:szCs w:val="21"/>
                    </w:rPr>
                    <w:t>≥90%</w:t>
                  </w:r>
                  <w:r>
                    <w:rPr>
                      <w:rFonts w:hint="eastAsia"/>
                      <w:color w:val="auto"/>
                      <w:sz w:val="21"/>
                      <w:szCs w:val="21"/>
                    </w:rPr>
                    <w:t>时，等同于满足最高允许排放速率限值要求</w:t>
                  </w:r>
                </w:p>
              </w:tc>
            </w:tr>
          </w:tbl>
          <w:p w14:paraId="10A0EBD6">
            <w:pPr>
              <w:pStyle w:val="15"/>
              <w:rPr>
                <w:rFonts w:hint="eastAsia"/>
                <w:lang w:eastAsia="zh-CN"/>
              </w:rPr>
            </w:pPr>
          </w:p>
        </w:tc>
      </w:tr>
      <w:tr w14:paraId="7D7F4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599" w:hRule="atLeast"/>
          <w:jc w:val="center"/>
        </w:trPr>
        <w:tc>
          <w:tcPr>
            <w:tcW w:w="2119" w:type="dxa"/>
            <w:vAlign w:val="center"/>
          </w:tcPr>
          <w:p w14:paraId="6DCF02E9"/>
        </w:tc>
        <w:tc>
          <w:tcPr>
            <w:tcW w:w="7123" w:type="dxa"/>
            <w:gridSpan w:val="5"/>
          </w:tcPr>
          <w:p w14:paraId="03CE8D5A">
            <w:pPr>
              <w:pStyle w:val="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表</w:t>
            </w:r>
            <w:r>
              <w:rPr>
                <w:rFonts w:hint="eastAsia"/>
                <w:color w:val="auto"/>
                <w:lang w:val="en-US" w:eastAsia="zh-CN"/>
              </w:rPr>
              <w:t>1</w:t>
            </w:r>
            <w:r>
              <w:rPr>
                <w:rFonts w:hint="eastAsia"/>
                <w:color w:val="auto"/>
              </w:rPr>
              <w:t>-</w:t>
            </w:r>
            <w:r>
              <w:rPr>
                <w:rFonts w:hint="eastAsia"/>
                <w:color w:val="auto"/>
                <w:lang w:val="en-US" w:eastAsia="zh-CN"/>
              </w:rPr>
              <w:t>3</w:t>
            </w:r>
            <w:r>
              <w:rPr>
                <w:color w:val="auto"/>
              </w:rPr>
              <w:t>《挥发性有机物无组织排放控制标准（GB37822-2019）</w:t>
            </w:r>
          </w:p>
          <w:p w14:paraId="31C6909E">
            <w:pPr>
              <w:pStyle w:val="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t>（摘录）</w:t>
            </w:r>
          </w:p>
          <w:tbl>
            <w:tblPr>
              <w:tblStyle w:val="20"/>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24"/>
              <w:gridCol w:w="1220"/>
              <w:gridCol w:w="750"/>
              <w:gridCol w:w="882"/>
              <w:gridCol w:w="1144"/>
              <w:gridCol w:w="775"/>
              <w:gridCol w:w="2173"/>
            </w:tblGrid>
            <w:tr w14:paraId="7DB786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6" w:type="dxa"/>
                  <w:vMerge w:val="restart"/>
                  <w:tcBorders>
                    <w:top w:val="single" w:color="000000" w:sz="12" w:space="0"/>
                    <w:left w:val="nil"/>
                    <w:bottom w:val="single" w:color="000000" w:sz="4" w:space="0"/>
                    <w:right w:val="single" w:color="000000" w:sz="4" w:space="0"/>
                  </w:tcBorders>
                  <w:noWrap w:val="0"/>
                  <w:tcMar>
                    <w:top w:w="15" w:type="dxa"/>
                    <w:left w:w="15" w:type="dxa"/>
                    <w:bottom w:w="0" w:type="dxa"/>
                    <w:right w:w="15" w:type="dxa"/>
                  </w:tcMar>
                  <w:vAlign w:val="center"/>
                </w:tcPr>
                <w:p w14:paraId="73A578D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sz w:val="21"/>
                      <w:szCs w:val="21"/>
                    </w:rPr>
                  </w:pPr>
                  <w:r>
                    <w:rPr>
                      <w:rFonts w:hint="eastAsia"/>
                      <w:color w:val="auto"/>
                      <w:sz w:val="21"/>
                      <w:szCs w:val="21"/>
                      <w:lang w:bidi="ar"/>
                    </w:rPr>
                    <w:t>序号</w:t>
                  </w:r>
                </w:p>
              </w:tc>
              <w:tc>
                <w:tcPr>
                  <w:tcW w:w="1380" w:type="dxa"/>
                  <w:vMerge w:val="restart"/>
                  <w:tcBorders>
                    <w:top w:val="single" w:color="000000" w:sz="12"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91A326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sz w:val="21"/>
                      <w:szCs w:val="21"/>
                    </w:rPr>
                  </w:pPr>
                  <w:r>
                    <w:rPr>
                      <w:rFonts w:hint="eastAsia"/>
                      <w:color w:val="auto"/>
                      <w:sz w:val="21"/>
                      <w:szCs w:val="21"/>
                      <w:lang w:bidi="ar"/>
                    </w:rPr>
                    <w:t>适用行业范围</w:t>
                  </w:r>
                </w:p>
              </w:tc>
              <w:tc>
                <w:tcPr>
                  <w:tcW w:w="945" w:type="dxa"/>
                  <w:vMerge w:val="restart"/>
                  <w:tcBorders>
                    <w:top w:val="single" w:color="000000" w:sz="12"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168229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sz w:val="21"/>
                      <w:szCs w:val="21"/>
                    </w:rPr>
                  </w:pPr>
                  <w:r>
                    <w:rPr>
                      <w:rFonts w:hint="eastAsia"/>
                      <w:color w:val="auto"/>
                      <w:sz w:val="21"/>
                      <w:szCs w:val="21"/>
                      <w:lang w:bidi="ar"/>
                    </w:rPr>
                    <w:t>污染物项目</w:t>
                  </w:r>
                </w:p>
              </w:tc>
              <w:tc>
                <w:tcPr>
                  <w:tcW w:w="2594" w:type="dxa"/>
                  <w:gridSpan w:val="2"/>
                  <w:tcBorders>
                    <w:top w:val="single" w:color="000000" w:sz="12"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2BC6625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sz w:val="21"/>
                      <w:szCs w:val="21"/>
                    </w:rPr>
                  </w:pPr>
                  <w:r>
                    <w:rPr>
                      <w:rFonts w:hint="eastAsia"/>
                      <w:color w:val="auto"/>
                      <w:sz w:val="21"/>
                      <w:szCs w:val="21"/>
                      <w:lang w:bidi="ar"/>
                    </w:rPr>
                    <w:t>厂区内监控点浓度限值</w:t>
                  </w:r>
                </w:p>
              </w:tc>
              <w:tc>
                <w:tcPr>
                  <w:tcW w:w="958" w:type="dxa"/>
                  <w:vMerge w:val="restart"/>
                  <w:tcBorders>
                    <w:top w:val="single" w:color="000000" w:sz="12"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A41B11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sz w:val="21"/>
                      <w:szCs w:val="21"/>
                    </w:rPr>
                  </w:pPr>
                  <w:r>
                    <w:rPr>
                      <w:rFonts w:hint="eastAsia"/>
                      <w:color w:val="auto"/>
                      <w:sz w:val="21"/>
                      <w:szCs w:val="21"/>
                      <w:lang w:bidi="ar"/>
                    </w:rPr>
                    <w:t>企业边界监控点浓度限值</w:t>
                  </w:r>
                </w:p>
              </w:tc>
              <w:tc>
                <w:tcPr>
                  <w:tcW w:w="2412" w:type="dxa"/>
                  <w:vMerge w:val="restart"/>
                  <w:tcBorders>
                    <w:top w:val="single" w:color="000000" w:sz="12" w:space="0"/>
                    <w:left w:val="single" w:color="000000" w:sz="4" w:space="0"/>
                    <w:bottom w:val="single" w:color="000000" w:sz="4" w:space="0"/>
                    <w:right w:val="nil"/>
                  </w:tcBorders>
                  <w:noWrap w:val="0"/>
                  <w:tcMar>
                    <w:top w:w="15" w:type="dxa"/>
                    <w:left w:w="15" w:type="dxa"/>
                    <w:bottom w:w="0" w:type="dxa"/>
                    <w:right w:w="15" w:type="dxa"/>
                  </w:tcMar>
                  <w:vAlign w:val="center"/>
                </w:tcPr>
                <w:p w14:paraId="3973F54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sz w:val="21"/>
                      <w:szCs w:val="21"/>
                    </w:rPr>
                  </w:pPr>
                  <w:r>
                    <w:rPr>
                      <w:rFonts w:hint="eastAsia"/>
                      <w:color w:val="auto"/>
                      <w:sz w:val="21"/>
                      <w:szCs w:val="21"/>
                      <w:lang w:bidi="ar"/>
                    </w:rPr>
                    <w:t>执行标准</w:t>
                  </w:r>
                </w:p>
              </w:tc>
            </w:tr>
            <w:tr w14:paraId="21FE02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6" w:type="dxa"/>
                  <w:vMerge w:val="continue"/>
                  <w:tcBorders>
                    <w:top w:val="single" w:color="000000" w:sz="12" w:space="0"/>
                    <w:left w:val="nil"/>
                    <w:bottom w:val="single" w:color="000000" w:sz="4" w:space="0"/>
                    <w:right w:val="single" w:color="000000" w:sz="4" w:space="0"/>
                  </w:tcBorders>
                  <w:noWrap w:val="0"/>
                  <w:vAlign w:val="center"/>
                </w:tcPr>
                <w:p w14:paraId="43F7DA17">
                  <w:pPr>
                    <w:keepNext w:val="0"/>
                    <w:keepLines w:val="0"/>
                    <w:pageBreakBefore w:val="0"/>
                    <w:widowControl w:val="0"/>
                    <w:kinsoku/>
                    <w:wordWrap/>
                    <w:overflowPunct/>
                    <w:topLinePunct w:val="0"/>
                    <w:autoSpaceDE/>
                    <w:autoSpaceDN/>
                    <w:bidi w:val="0"/>
                    <w:adjustRightInd/>
                    <w:snapToGrid/>
                    <w:spacing w:line="240" w:lineRule="auto"/>
                    <w:rPr>
                      <w:color w:val="auto"/>
                      <w:sz w:val="21"/>
                      <w:szCs w:val="21"/>
                    </w:rPr>
                  </w:pPr>
                </w:p>
              </w:tc>
              <w:tc>
                <w:tcPr>
                  <w:tcW w:w="1380" w:type="dxa"/>
                  <w:vMerge w:val="continue"/>
                  <w:tcBorders>
                    <w:top w:val="single" w:color="000000" w:sz="12" w:space="0"/>
                    <w:left w:val="single" w:color="000000" w:sz="4" w:space="0"/>
                    <w:bottom w:val="single" w:color="000000" w:sz="4" w:space="0"/>
                    <w:right w:val="single" w:color="000000" w:sz="4" w:space="0"/>
                  </w:tcBorders>
                  <w:noWrap w:val="0"/>
                  <w:vAlign w:val="center"/>
                </w:tcPr>
                <w:p w14:paraId="4B6FDA81">
                  <w:pPr>
                    <w:keepNext w:val="0"/>
                    <w:keepLines w:val="0"/>
                    <w:pageBreakBefore w:val="0"/>
                    <w:widowControl w:val="0"/>
                    <w:kinsoku/>
                    <w:wordWrap/>
                    <w:overflowPunct/>
                    <w:topLinePunct w:val="0"/>
                    <w:autoSpaceDE/>
                    <w:autoSpaceDN/>
                    <w:bidi w:val="0"/>
                    <w:adjustRightInd/>
                    <w:snapToGrid/>
                    <w:spacing w:line="240" w:lineRule="auto"/>
                    <w:rPr>
                      <w:color w:val="auto"/>
                      <w:sz w:val="21"/>
                      <w:szCs w:val="21"/>
                    </w:rPr>
                  </w:pPr>
                </w:p>
              </w:tc>
              <w:tc>
                <w:tcPr>
                  <w:tcW w:w="945" w:type="dxa"/>
                  <w:vMerge w:val="continue"/>
                  <w:tcBorders>
                    <w:top w:val="single" w:color="000000" w:sz="12" w:space="0"/>
                    <w:left w:val="single" w:color="000000" w:sz="4" w:space="0"/>
                    <w:bottom w:val="single" w:color="000000" w:sz="4" w:space="0"/>
                    <w:right w:val="single" w:color="000000" w:sz="4" w:space="0"/>
                  </w:tcBorders>
                  <w:noWrap w:val="0"/>
                  <w:vAlign w:val="center"/>
                </w:tcPr>
                <w:p w14:paraId="1B70B3C4">
                  <w:pPr>
                    <w:keepNext w:val="0"/>
                    <w:keepLines w:val="0"/>
                    <w:pageBreakBefore w:val="0"/>
                    <w:widowControl w:val="0"/>
                    <w:kinsoku/>
                    <w:wordWrap/>
                    <w:overflowPunct/>
                    <w:topLinePunct w:val="0"/>
                    <w:autoSpaceDE/>
                    <w:autoSpaceDN/>
                    <w:bidi w:val="0"/>
                    <w:adjustRightInd/>
                    <w:snapToGrid/>
                    <w:spacing w:line="240" w:lineRule="auto"/>
                    <w:rPr>
                      <w:color w:val="auto"/>
                      <w:sz w:val="21"/>
                      <w:szCs w:val="21"/>
                    </w:rPr>
                  </w:pPr>
                </w:p>
              </w:tc>
              <w:tc>
                <w:tcPr>
                  <w:tcW w:w="1106"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21D8EC2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sz w:val="21"/>
                      <w:szCs w:val="21"/>
                    </w:rPr>
                  </w:pPr>
                  <w:r>
                    <w:rPr>
                      <w:color w:val="auto"/>
                      <w:sz w:val="21"/>
                      <w:szCs w:val="21"/>
                      <w:lang w:bidi="ar"/>
                    </w:rPr>
                    <w:t>1h</w:t>
                  </w:r>
                  <w:r>
                    <w:rPr>
                      <w:rFonts w:hint="eastAsia"/>
                      <w:color w:val="auto"/>
                      <w:sz w:val="21"/>
                      <w:szCs w:val="21"/>
                      <w:lang w:bidi="ar"/>
                    </w:rPr>
                    <w:t>平均浓度值</w:t>
                  </w:r>
                </w:p>
              </w:tc>
              <w:tc>
                <w:tcPr>
                  <w:tcW w:w="1488"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5288EB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sz w:val="21"/>
                      <w:szCs w:val="21"/>
                    </w:rPr>
                  </w:pPr>
                  <w:r>
                    <w:rPr>
                      <w:rFonts w:hint="eastAsia"/>
                      <w:color w:val="auto"/>
                      <w:sz w:val="21"/>
                      <w:szCs w:val="21"/>
                      <w:lang w:bidi="ar"/>
                    </w:rPr>
                    <w:t>监控点处任意一次</w:t>
                  </w:r>
                  <w:r>
                    <w:rPr>
                      <w:rFonts w:hint="eastAsia"/>
                      <w:color w:val="auto"/>
                      <w:sz w:val="21"/>
                      <w:szCs w:val="21"/>
                      <w:lang w:val="en-US" w:eastAsia="zh-CN" w:bidi="ar"/>
                    </w:rPr>
                    <w:t>特别排放</w:t>
                  </w:r>
                  <w:r>
                    <w:rPr>
                      <w:rFonts w:hint="eastAsia"/>
                      <w:color w:val="auto"/>
                      <w:sz w:val="21"/>
                      <w:szCs w:val="21"/>
                      <w:lang w:bidi="ar"/>
                    </w:rPr>
                    <w:t>浓度值</w:t>
                  </w:r>
                </w:p>
              </w:tc>
              <w:tc>
                <w:tcPr>
                  <w:tcW w:w="958" w:type="dxa"/>
                  <w:vMerge w:val="continue"/>
                  <w:tcBorders>
                    <w:top w:val="single" w:color="000000" w:sz="12" w:space="0"/>
                    <w:left w:val="single" w:color="000000" w:sz="4" w:space="0"/>
                    <w:bottom w:val="single" w:color="000000" w:sz="4" w:space="0"/>
                    <w:right w:val="single" w:color="000000" w:sz="4" w:space="0"/>
                  </w:tcBorders>
                  <w:noWrap w:val="0"/>
                  <w:vAlign w:val="center"/>
                </w:tcPr>
                <w:p w14:paraId="578D7FE2">
                  <w:pPr>
                    <w:keepNext w:val="0"/>
                    <w:keepLines w:val="0"/>
                    <w:pageBreakBefore w:val="0"/>
                    <w:widowControl w:val="0"/>
                    <w:kinsoku/>
                    <w:wordWrap/>
                    <w:overflowPunct/>
                    <w:topLinePunct w:val="0"/>
                    <w:autoSpaceDE/>
                    <w:autoSpaceDN/>
                    <w:bidi w:val="0"/>
                    <w:adjustRightInd/>
                    <w:snapToGrid/>
                    <w:spacing w:line="240" w:lineRule="auto"/>
                    <w:rPr>
                      <w:color w:val="auto"/>
                      <w:sz w:val="21"/>
                      <w:szCs w:val="21"/>
                    </w:rPr>
                  </w:pPr>
                </w:p>
              </w:tc>
              <w:tc>
                <w:tcPr>
                  <w:tcW w:w="2412" w:type="dxa"/>
                  <w:vMerge w:val="continue"/>
                  <w:tcBorders>
                    <w:top w:val="single" w:color="000000" w:sz="12" w:space="0"/>
                    <w:left w:val="single" w:color="000000" w:sz="4" w:space="0"/>
                    <w:bottom w:val="single" w:color="000000" w:sz="4" w:space="0"/>
                    <w:right w:val="nil"/>
                  </w:tcBorders>
                  <w:noWrap w:val="0"/>
                  <w:vAlign w:val="center"/>
                </w:tcPr>
                <w:p w14:paraId="51E799E7">
                  <w:pPr>
                    <w:keepNext w:val="0"/>
                    <w:keepLines w:val="0"/>
                    <w:pageBreakBefore w:val="0"/>
                    <w:widowControl w:val="0"/>
                    <w:kinsoku/>
                    <w:wordWrap/>
                    <w:overflowPunct/>
                    <w:topLinePunct w:val="0"/>
                    <w:autoSpaceDE/>
                    <w:autoSpaceDN/>
                    <w:bidi w:val="0"/>
                    <w:adjustRightInd/>
                    <w:snapToGrid/>
                    <w:spacing w:line="240" w:lineRule="auto"/>
                    <w:rPr>
                      <w:color w:val="auto"/>
                      <w:sz w:val="21"/>
                      <w:szCs w:val="21"/>
                    </w:rPr>
                  </w:pPr>
                </w:p>
              </w:tc>
            </w:tr>
            <w:tr w14:paraId="4901EC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6"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14:paraId="5970BC2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sz w:val="21"/>
                      <w:szCs w:val="21"/>
                    </w:rPr>
                  </w:pPr>
                  <w:r>
                    <w:rPr>
                      <w:color w:val="auto"/>
                      <w:sz w:val="21"/>
                      <w:szCs w:val="21"/>
                    </w:rPr>
                    <w:t>1</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1A39F0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sz w:val="21"/>
                      <w:szCs w:val="21"/>
                    </w:rPr>
                  </w:pPr>
                  <w:r>
                    <w:rPr>
                      <w:color w:val="auto"/>
                      <w:sz w:val="21"/>
                      <w:szCs w:val="21"/>
                      <w:lang w:bidi="ar"/>
                    </w:rPr>
                    <w:t>C2311</w:t>
                  </w:r>
                  <w:r>
                    <w:rPr>
                      <w:rFonts w:hint="eastAsia"/>
                      <w:color w:val="auto"/>
                      <w:sz w:val="21"/>
                      <w:szCs w:val="21"/>
                      <w:lang w:bidi="ar"/>
                    </w:rPr>
                    <w:t>、</w:t>
                  </w:r>
                  <w:r>
                    <w:rPr>
                      <w:color w:val="auto"/>
                      <w:sz w:val="21"/>
                      <w:szCs w:val="21"/>
                      <w:lang w:bidi="ar"/>
                    </w:rPr>
                    <w:t>C2312</w:t>
                  </w:r>
                  <w:r>
                    <w:rPr>
                      <w:rFonts w:hint="eastAsia"/>
                      <w:color w:val="auto"/>
                      <w:sz w:val="21"/>
                      <w:szCs w:val="21"/>
                      <w:lang w:bidi="ar"/>
                    </w:rPr>
                    <w:t>、</w:t>
                  </w:r>
                  <w:r>
                    <w:rPr>
                      <w:color w:val="auto"/>
                      <w:sz w:val="21"/>
                      <w:szCs w:val="21"/>
                      <w:lang w:bidi="ar"/>
                    </w:rPr>
                    <w:t>C2319</w:t>
                  </w:r>
                </w:p>
              </w:tc>
              <w:tc>
                <w:tcPr>
                  <w:tcW w:w="945"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2A5763C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sz w:val="21"/>
                      <w:szCs w:val="21"/>
                    </w:rPr>
                  </w:pPr>
                  <w:r>
                    <w:rPr>
                      <w:rFonts w:hint="eastAsia"/>
                      <w:color w:val="auto"/>
                      <w:sz w:val="21"/>
                      <w:szCs w:val="21"/>
                    </w:rPr>
                    <w:t>非甲烷总烃</w:t>
                  </w:r>
                </w:p>
              </w:tc>
              <w:tc>
                <w:tcPr>
                  <w:tcW w:w="1106"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47B36F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eastAsia="宋体"/>
                      <w:color w:val="auto"/>
                      <w:sz w:val="21"/>
                      <w:szCs w:val="21"/>
                      <w:lang w:val="en-US" w:eastAsia="zh-CN"/>
                    </w:rPr>
                  </w:pPr>
                  <w:r>
                    <w:rPr>
                      <w:rFonts w:hint="eastAsia"/>
                      <w:color w:val="auto"/>
                      <w:sz w:val="21"/>
                      <w:szCs w:val="21"/>
                      <w:lang w:val="en-US" w:eastAsia="zh-CN" w:bidi="ar"/>
                    </w:rPr>
                    <w:t>6.0</w:t>
                  </w:r>
                </w:p>
              </w:tc>
              <w:tc>
                <w:tcPr>
                  <w:tcW w:w="1488"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966AF3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color w:val="auto"/>
                      <w:sz w:val="21"/>
                      <w:szCs w:val="21"/>
                      <w:lang w:val="en-US"/>
                    </w:rPr>
                  </w:pPr>
                  <w:r>
                    <w:rPr>
                      <w:rFonts w:hint="eastAsia"/>
                      <w:color w:val="auto"/>
                      <w:sz w:val="21"/>
                      <w:szCs w:val="21"/>
                      <w:lang w:val="en-US" w:eastAsia="zh-CN" w:bidi="ar"/>
                    </w:rPr>
                    <w:t>20</w:t>
                  </w:r>
                </w:p>
              </w:tc>
              <w:tc>
                <w:tcPr>
                  <w:tcW w:w="958"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DE8D94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eastAsia="宋体"/>
                      <w:color w:val="auto"/>
                      <w:sz w:val="21"/>
                      <w:szCs w:val="21"/>
                      <w:lang w:eastAsia="zh-CN"/>
                    </w:rPr>
                  </w:pPr>
                  <w:r>
                    <w:rPr>
                      <w:color w:val="auto"/>
                      <w:sz w:val="21"/>
                      <w:szCs w:val="21"/>
                      <w:lang w:bidi="ar"/>
                    </w:rPr>
                    <w:t>2.0</w:t>
                  </w:r>
                </w:p>
              </w:tc>
              <w:tc>
                <w:tcPr>
                  <w:tcW w:w="2412" w:type="dxa"/>
                  <w:tcBorders>
                    <w:top w:val="single" w:color="000000" w:sz="4" w:space="0"/>
                    <w:left w:val="single" w:color="000000" w:sz="4" w:space="0"/>
                    <w:bottom w:val="single" w:color="000000" w:sz="4" w:space="0"/>
                    <w:right w:val="nil"/>
                  </w:tcBorders>
                  <w:noWrap w:val="0"/>
                  <w:tcMar>
                    <w:top w:w="15" w:type="dxa"/>
                    <w:left w:w="15" w:type="dxa"/>
                    <w:bottom w:w="0" w:type="dxa"/>
                    <w:right w:w="15" w:type="dxa"/>
                  </w:tcMar>
                  <w:vAlign w:val="center"/>
                </w:tcPr>
                <w:p w14:paraId="2C68C6A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sz w:val="21"/>
                      <w:szCs w:val="21"/>
                    </w:rPr>
                  </w:pPr>
                  <w:r>
                    <w:rPr>
                      <w:rFonts w:hint="eastAsia"/>
                      <w:color w:val="auto"/>
                      <w:sz w:val="21"/>
                      <w:szCs w:val="21"/>
                      <w:lang w:bidi="ar"/>
                    </w:rPr>
                    <w:t>厂区内监控点任意一次浓度值执行</w:t>
                  </w:r>
                  <w:r>
                    <w:rPr>
                      <w:color w:val="auto"/>
                      <w:sz w:val="21"/>
                      <w:szCs w:val="21"/>
                      <w:lang w:bidi="ar"/>
                    </w:rPr>
                    <w:t>GB37822-2019</w:t>
                  </w:r>
                  <w:r>
                    <w:rPr>
                      <w:rFonts w:hint="eastAsia"/>
                      <w:color w:val="auto"/>
                      <w:sz w:val="21"/>
                      <w:szCs w:val="21"/>
                      <w:lang w:bidi="ar"/>
                    </w:rPr>
                    <w:t>，其余执行</w:t>
                  </w:r>
                  <w:r>
                    <w:rPr>
                      <w:color w:val="auto"/>
                      <w:sz w:val="21"/>
                      <w:szCs w:val="21"/>
                      <w:lang w:bidi="ar"/>
                    </w:rPr>
                    <w:t>DB35/1784-2018</w:t>
                  </w:r>
                </w:p>
              </w:tc>
            </w:tr>
            <w:tr w14:paraId="0E0C92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645" w:type="dxa"/>
                  <w:gridSpan w:val="7"/>
                  <w:tcBorders>
                    <w:top w:val="single" w:color="000000" w:sz="4" w:space="0"/>
                    <w:left w:val="nil"/>
                    <w:bottom w:val="single" w:color="000000" w:sz="12" w:space="0"/>
                    <w:right w:val="nil"/>
                  </w:tcBorders>
                  <w:noWrap w:val="0"/>
                  <w:tcMar>
                    <w:top w:w="15" w:type="dxa"/>
                    <w:left w:w="15" w:type="dxa"/>
                    <w:bottom w:w="0" w:type="dxa"/>
                    <w:right w:w="15" w:type="dxa"/>
                  </w:tcMar>
                  <w:vAlign w:val="center"/>
                </w:tcPr>
                <w:p w14:paraId="1A825AB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sz w:val="21"/>
                      <w:szCs w:val="21"/>
                      <w:lang w:bidi="ar"/>
                    </w:rPr>
                  </w:pPr>
                  <w:r>
                    <w:rPr>
                      <w:rFonts w:hint="eastAsia"/>
                      <w:color w:val="auto"/>
                      <w:sz w:val="21"/>
                      <w:szCs w:val="21"/>
                      <w:lang w:bidi="ar"/>
                    </w:rPr>
                    <w:t>备注：其他无组织排放控制要求，执行</w:t>
                  </w:r>
                  <w:r>
                    <w:rPr>
                      <w:color w:val="auto"/>
                      <w:sz w:val="21"/>
                      <w:szCs w:val="21"/>
                      <w:lang w:bidi="ar"/>
                    </w:rPr>
                    <w:t>GB37822-2019</w:t>
                  </w:r>
                  <w:r>
                    <w:rPr>
                      <w:rFonts w:hint="eastAsia"/>
                      <w:color w:val="auto"/>
                      <w:sz w:val="21"/>
                      <w:szCs w:val="21"/>
                      <w:lang w:bidi="ar"/>
                    </w:rPr>
                    <w:t>的有关规定。</w:t>
                  </w:r>
                </w:p>
              </w:tc>
            </w:tr>
          </w:tbl>
          <w:p w14:paraId="3E2955E2">
            <w:pPr>
              <w:rPr>
                <w:b/>
                <w:bCs/>
              </w:rPr>
            </w:pPr>
            <w:r>
              <w:rPr>
                <w:b/>
                <w:bCs/>
              </w:rPr>
              <w:t>（3）噪声</w:t>
            </w:r>
          </w:p>
          <w:p w14:paraId="798C3830">
            <w:pPr>
              <w:ind w:firstLine="480"/>
            </w:pPr>
            <w:r>
              <w:t>项目运营期噪声排放执行GB12348-2008《工业企业厂界环境噪声排放标准》中的</w:t>
            </w:r>
            <w:r>
              <w:rPr>
                <w:rFonts w:hint="eastAsia"/>
                <w:lang w:val="en-US" w:eastAsia="zh-CN"/>
              </w:rPr>
              <w:t>3</w:t>
            </w:r>
            <w:r>
              <w:t>类标准。</w:t>
            </w:r>
          </w:p>
          <w:p w14:paraId="34C26BB6">
            <w:pPr>
              <w:ind w:firstLine="490"/>
              <w:jc w:val="center"/>
              <w:rPr>
                <w:b/>
                <w:bCs/>
              </w:rPr>
            </w:pPr>
            <w:r>
              <w:rPr>
                <w:b/>
                <w:bCs/>
              </w:rPr>
              <w:t>表1-</w:t>
            </w:r>
            <w:r>
              <w:rPr>
                <w:rFonts w:hint="eastAsia"/>
                <w:b/>
                <w:bCs/>
                <w:lang w:val="en-US" w:eastAsia="zh-CN"/>
              </w:rPr>
              <w:t>4</w:t>
            </w:r>
            <w:r>
              <w:rPr>
                <w:b/>
                <w:bCs/>
              </w:rPr>
              <w:t>工业企业厂界环境噪声排放限值单位：dB(A)</w:t>
            </w:r>
          </w:p>
          <w:tbl>
            <w:tblPr>
              <w:tblStyle w:val="2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958"/>
              <w:gridCol w:w="2175"/>
              <w:gridCol w:w="2134"/>
            </w:tblGrid>
            <w:tr w14:paraId="0261E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0" w:hRule="atLeast"/>
                <w:jc w:val="center"/>
              </w:trPr>
              <w:tc>
                <w:tcPr>
                  <w:tcW w:w="2035" w:type="pct"/>
                  <w:vAlign w:val="center"/>
                </w:tcPr>
                <w:p w14:paraId="46595B57">
                  <w:pPr>
                    <w:pStyle w:val="44"/>
                    <w:rPr>
                      <w:color w:val="auto"/>
                    </w:rPr>
                  </w:pPr>
                  <w:r>
                    <w:rPr>
                      <w:color w:val="auto"/>
                    </w:rPr>
                    <w:t>类别</w:t>
                  </w:r>
                </w:p>
              </w:tc>
              <w:tc>
                <w:tcPr>
                  <w:tcW w:w="1496" w:type="pct"/>
                  <w:vAlign w:val="center"/>
                </w:tcPr>
                <w:p w14:paraId="2221A307">
                  <w:pPr>
                    <w:pStyle w:val="44"/>
                    <w:rPr>
                      <w:color w:val="auto"/>
                    </w:rPr>
                  </w:pPr>
                  <w:r>
                    <w:rPr>
                      <w:color w:val="auto"/>
                    </w:rPr>
                    <w:t>昼间</w:t>
                  </w:r>
                </w:p>
              </w:tc>
              <w:tc>
                <w:tcPr>
                  <w:tcW w:w="1468" w:type="pct"/>
                  <w:vAlign w:val="center"/>
                </w:tcPr>
                <w:p w14:paraId="21E0B40D">
                  <w:pPr>
                    <w:pStyle w:val="44"/>
                    <w:rPr>
                      <w:color w:val="auto"/>
                    </w:rPr>
                  </w:pPr>
                  <w:r>
                    <w:rPr>
                      <w:color w:val="auto"/>
                    </w:rPr>
                    <w:t>夜间</w:t>
                  </w:r>
                </w:p>
              </w:tc>
            </w:tr>
            <w:tr w14:paraId="317F8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35" w:type="pct"/>
                  <w:vAlign w:val="center"/>
                </w:tcPr>
                <w:p w14:paraId="0FA64611">
                  <w:pPr>
                    <w:pStyle w:val="44"/>
                    <w:rPr>
                      <w:color w:val="auto"/>
                    </w:rPr>
                  </w:pPr>
                  <w:r>
                    <w:rPr>
                      <w:rFonts w:hint="eastAsia"/>
                      <w:color w:val="auto"/>
                      <w:lang w:val="en-US" w:eastAsia="zh-CN"/>
                    </w:rPr>
                    <w:t>3</w:t>
                  </w:r>
                  <w:r>
                    <w:rPr>
                      <w:color w:val="auto"/>
                    </w:rPr>
                    <w:t>类</w:t>
                  </w:r>
                </w:p>
              </w:tc>
              <w:tc>
                <w:tcPr>
                  <w:tcW w:w="1496" w:type="pct"/>
                  <w:vAlign w:val="center"/>
                </w:tcPr>
                <w:p w14:paraId="483D584E">
                  <w:pPr>
                    <w:pStyle w:val="44"/>
                    <w:rPr>
                      <w:rFonts w:hint="eastAsia" w:eastAsia="宋体"/>
                      <w:color w:val="auto"/>
                      <w:lang w:eastAsia="zh-CN"/>
                    </w:rPr>
                  </w:pPr>
                  <w:r>
                    <w:rPr>
                      <w:rFonts w:hint="eastAsia"/>
                      <w:color w:val="auto"/>
                    </w:rPr>
                    <w:t>6</w:t>
                  </w:r>
                  <w:r>
                    <w:rPr>
                      <w:rFonts w:hint="eastAsia"/>
                      <w:color w:val="auto"/>
                      <w:lang w:val="en-US" w:eastAsia="zh-CN"/>
                    </w:rPr>
                    <w:t>5</w:t>
                  </w:r>
                </w:p>
              </w:tc>
              <w:tc>
                <w:tcPr>
                  <w:tcW w:w="1468" w:type="pct"/>
                  <w:vAlign w:val="center"/>
                </w:tcPr>
                <w:p w14:paraId="3BFD8351">
                  <w:pPr>
                    <w:pStyle w:val="44"/>
                    <w:rPr>
                      <w:rFonts w:hint="eastAsia" w:eastAsia="宋体"/>
                      <w:color w:val="auto"/>
                      <w:lang w:eastAsia="zh-CN"/>
                    </w:rPr>
                  </w:pPr>
                  <w:r>
                    <w:rPr>
                      <w:rFonts w:hint="eastAsia"/>
                      <w:color w:val="auto"/>
                    </w:rPr>
                    <w:t>5</w:t>
                  </w:r>
                  <w:r>
                    <w:rPr>
                      <w:rFonts w:hint="eastAsia"/>
                      <w:color w:val="auto"/>
                      <w:lang w:val="en-US" w:eastAsia="zh-CN"/>
                    </w:rPr>
                    <w:t>5</w:t>
                  </w:r>
                </w:p>
              </w:tc>
            </w:tr>
          </w:tbl>
          <w:p w14:paraId="3C177651">
            <w:pPr>
              <w:keepNext/>
              <w:keepLines/>
              <w:spacing w:before="120" w:beforeLines="50"/>
            </w:pPr>
            <w:r>
              <w:rPr>
                <w:b/>
                <w:bCs/>
              </w:rPr>
              <w:t>（4）固废</w:t>
            </w:r>
          </w:p>
          <w:p w14:paraId="21EA07E1">
            <w:pPr>
              <w:tabs>
                <w:tab w:val="left" w:pos="1530"/>
              </w:tabs>
              <w:ind w:firstLine="480" w:firstLineChars="200"/>
              <w:rPr>
                <w:rFonts w:hint="eastAsia" w:eastAsia="宋体"/>
                <w:lang w:val="en-US" w:eastAsia="zh-CN"/>
              </w:rPr>
            </w:pPr>
            <w:r>
              <w:rPr>
                <w:rFonts w:hint="eastAsia"/>
              </w:rPr>
              <w:t>一般固体废物贮存处置按照《一般工业固体废物贮存、处置场污染控制标准》（G18599-2020）的相关规定进行综合利用和处置。危险废物应按照《危险废物贮存污染控制标准》（GB18597-2023）和《危险废物污染防治技术政策》中的要求进行处置</w:t>
            </w:r>
            <w:r>
              <w:rPr>
                <w:rFonts w:hint="eastAsia"/>
                <w:lang w:eastAsia="zh-CN"/>
              </w:rPr>
              <w:t>。</w:t>
            </w:r>
          </w:p>
        </w:tc>
      </w:tr>
    </w:tbl>
    <w:p w14:paraId="71AF4804">
      <w:pPr>
        <w:outlineLvl w:val="0"/>
        <w:rPr>
          <w:rFonts w:eastAsia="仿宋_GB2312"/>
          <w:b/>
          <w:sz w:val="21"/>
          <w:szCs w:val="21"/>
        </w:rPr>
      </w:pPr>
      <w:r>
        <w:rPr>
          <w:rFonts w:eastAsia="仿宋_GB2312"/>
          <w:sz w:val="21"/>
          <w:szCs w:val="21"/>
        </w:rPr>
        <w:br w:type="page"/>
      </w:r>
      <w:r>
        <w:rPr>
          <w:rStyle w:val="26"/>
        </w:rPr>
        <w:t>表二</w:t>
      </w:r>
    </w:p>
    <w:tbl>
      <w:tblPr>
        <w:tblStyle w:val="20"/>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14:paraId="37A54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040" w:hRule="atLeast"/>
          <w:jc w:val="center"/>
        </w:trPr>
        <w:tc>
          <w:tcPr>
            <w:tcW w:w="9242" w:type="dxa"/>
          </w:tcPr>
          <w:p w14:paraId="7A82D31B">
            <w:pPr>
              <w:spacing w:before="48" w:beforeLines="20"/>
              <w:rPr>
                <w:rFonts w:hint="eastAsia" w:eastAsia="宋体"/>
                <w:b/>
                <w:bCs/>
                <w:lang w:eastAsia="zh-CN"/>
              </w:rPr>
            </w:pPr>
            <w:r>
              <w:rPr>
                <w:b/>
                <w:bCs/>
              </w:rPr>
              <w:t>工程建设内容：</w:t>
            </w:r>
          </w:p>
          <w:p w14:paraId="5719670A">
            <w:pPr>
              <w:ind w:firstLine="480"/>
            </w:pPr>
            <w:r>
              <w:rPr>
                <w:rFonts w:hint="eastAsia" w:ascii="Times New Roman" w:hAnsi="Times New Roman"/>
                <w:color w:val="auto"/>
                <w:sz w:val="24"/>
              </w:rPr>
              <w:t>福建玖辰精工科技有限公司拟投资2000万元，位于福建省福州市福清市音西清繁大道399号2号楼(租赁福建省嘉鑫科技实业有限公司2号车间1层、4层)，租赁嘉鑫厂内面积5730m</w:t>
            </w:r>
            <w:r>
              <w:rPr>
                <w:rFonts w:hint="eastAsia" w:ascii="Times New Roman" w:hAnsi="Times New Roman"/>
                <w:color w:val="auto"/>
                <w:sz w:val="24"/>
                <w:vertAlign w:val="superscript"/>
              </w:rPr>
              <w:t>2</w:t>
            </w:r>
            <w:r>
              <w:rPr>
                <w:rFonts w:hint="eastAsia" w:ascii="Times New Roman" w:hAnsi="Times New Roman"/>
                <w:color w:val="auto"/>
                <w:sz w:val="24"/>
              </w:rPr>
              <w:t>（1层租赁面积为左侧2510m</w:t>
            </w:r>
            <w:r>
              <w:rPr>
                <w:rFonts w:hint="eastAsia" w:ascii="Times New Roman" w:hAnsi="Times New Roman"/>
                <w:color w:val="auto"/>
                <w:sz w:val="24"/>
                <w:vertAlign w:val="superscript"/>
              </w:rPr>
              <w:t>2</w:t>
            </w:r>
            <w:r>
              <w:rPr>
                <w:rFonts w:hint="eastAsia" w:ascii="Times New Roman" w:hAnsi="Times New Roman"/>
                <w:color w:val="auto"/>
                <w:sz w:val="24"/>
              </w:rPr>
              <w:t>、2层租赁面积为3220m</w:t>
            </w:r>
            <w:r>
              <w:rPr>
                <w:rFonts w:hint="eastAsia" w:ascii="Times New Roman" w:hAnsi="Times New Roman"/>
                <w:color w:val="auto"/>
                <w:sz w:val="24"/>
                <w:vertAlign w:val="superscript"/>
              </w:rPr>
              <w:t>2</w:t>
            </w:r>
            <w:r>
              <w:rPr>
                <w:rFonts w:hint="eastAsia" w:ascii="Times New Roman" w:hAnsi="Times New Roman"/>
                <w:color w:val="auto"/>
                <w:sz w:val="24"/>
              </w:rPr>
              <w:t>），购置开料机、磨边机、印刷机、全自动清洗机等附属设备，从事车载盖板玻璃生产项目。预计年产车载盖板玻璃80万片</w:t>
            </w:r>
            <w:r>
              <w:rPr>
                <w:rFonts w:hint="eastAsia"/>
                <w:color w:val="auto"/>
                <w:sz w:val="24"/>
                <w:lang w:val="en-US" w:eastAsia="zh-CN"/>
              </w:rPr>
              <w:t>。</w:t>
            </w:r>
            <w:r>
              <w:t>本项目地理位置见附图1，本项目周边环境示意图见附图2。</w:t>
            </w:r>
          </w:p>
          <w:p w14:paraId="5CA24F5F">
            <w:pPr>
              <w:ind w:firstLine="480"/>
              <w:rPr>
                <w:sz w:val="21"/>
                <w:szCs w:val="21"/>
              </w:rPr>
            </w:pPr>
            <w:r>
              <w:rPr>
                <w:color w:val="auto"/>
              </w:rPr>
              <w:t>项目主要从事</w:t>
            </w:r>
            <w:r>
              <w:rPr>
                <w:rFonts w:hint="eastAsia" w:ascii="Times New Roman" w:hAnsi="Times New Roman"/>
                <w:color w:val="auto"/>
                <w:sz w:val="24"/>
              </w:rPr>
              <w:t>车载盖板玻璃</w:t>
            </w:r>
            <w:r>
              <w:rPr>
                <w:rFonts w:hint="eastAsia"/>
                <w:color w:val="auto"/>
              </w:rPr>
              <w:t>生产</w:t>
            </w:r>
            <w:r>
              <w:rPr>
                <w:color w:val="auto"/>
              </w:rPr>
              <w:t>，设计规模</w:t>
            </w:r>
            <w:r>
              <w:rPr>
                <w:rFonts w:hint="eastAsia" w:ascii="Times New Roman" w:hAnsi="Times New Roman"/>
                <w:color w:val="auto"/>
                <w:sz w:val="24"/>
              </w:rPr>
              <w:t>年产车载盖板玻璃80万片</w:t>
            </w:r>
            <w:r>
              <w:rPr>
                <w:rFonts w:hint="eastAsia"/>
                <w:color w:val="auto"/>
              </w:rPr>
              <w:t>，实际</w:t>
            </w:r>
            <w:r>
              <w:rPr>
                <w:rFonts w:hint="eastAsia" w:ascii="Times New Roman" w:hAnsi="Times New Roman"/>
                <w:color w:val="auto"/>
                <w:sz w:val="24"/>
              </w:rPr>
              <w:t>年产车载盖板玻璃80万片</w:t>
            </w:r>
            <w:r>
              <w:rPr>
                <w:color w:val="auto"/>
              </w:rPr>
              <w:t>。项目总平布置图见附图</w:t>
            </w:r>
            <w:r>
              <w:rPr>
                <w:rFonts w:hint="eastAsia"/>
                <w:color w:val="auto"/>
              </w:rPr>
              <w:t>3</w:t>
            </w:r>
            <w:r>
              <w:rPr>
                <w:color w:val="auto"/>
              </w:rPr>
              <w:t>，分别设有</w:t>
            </w:r>
            <w:r>
              <w:rPr>
                <w:rFonts w:hint="eastAsia"/>
                <w:color w:val="auto"/>
                <w:szCs w:val="21"/>
                <w:lang w:val="en-US" w:eastAsia="zh-CN"/>
              </w:rPr>
              <w:t>生产车间、成品区、加工区</w:t>
            </w:r>
            <w:r>
              <w:rPr>
                <w:color w:val="auto"/>
              </w:rPr>
              <w:t>。项目总投资</w:t>
            </w:r>
            <w:r>
              <w:rPr>
                <w:rFonts w:hint="eastAsia"/>
                <w:color w:val="auto"/>
                <w:lang w:val="en-US" w:eastAsia="zh-CN"/>
              </w:rPr>
              <w:t>2000</w:t>
            </w:r>
            <w:r>
              <w:rPr>
                <w:color w:val="auto"/>
              </w:rPr>
              <w:t>万元</w:t>
            </w:r>
            <w:r>
              <w:rPr>
                <w:rFonts w:hint="eastAsia"/>
                <w:color w:val="auto"/>
              </w:rPr>
              <w:t>，</w:t>
            </w:r>
            <w:r>
              <w:rPr>
                <w:rFonts w:hint="eastAsia"/>
                <w:color w:val="auto"/>
                <w:lang w:val="en-US" w:eastAsia="zh-CN"/>
              </w:rPr>
              <w:t>新增员工20人，</w:t>
            </w:r>
            <w:r>
              <w:rPr>
                <w:rFonts w:hint="eastAsia"/>
                <w:color w:val="auto"/>
              </w:rPr>
              <w:t>年生产</w:t>
            </w:r>
            <w:r>
              <w:rPr>
                <w:rFonts w:hint="eastAsia"/>
                <w:color w:val="auto"/>
                <w:lang w:val="en-US" w:eastAsia="zh-CN"/>
              </w:rPr>
              <w:t>264</w:t>
            </w:r>
            <w:r>
              <w:rPr>
                <w:rFonts w:hint="eastAsia"/>
                <w:color w:val="auto"/>
              </w:rPr>
              <w:t>天，每天8小时</w:t>
            </w:r>
            <w:r>
              <w:rPr>
                <w:color w:val="auto"/>
              </w:rPr>
              <w:t>，工程组成及建设内容详见表2-1。</w:t>
            </w:r>
          </w:p>
        </w:tc>
      </w:tr>
    </w:tbl>
    <w:p w14:paraId="6F52AC8F">
      <w:pPr>
        <w:sectPr>
          <w:footerReference r:id="rId12" w:type="default"/>
          <w:pgSz w:w="11906" w:h="16838"/>
          <w:pgMar w:top="1440" w:right="1440" w:bottom="1440" w:left="1440" w:header="708" w:footer="708" w:gutter="0"/>
          <w:pgBorders>
            <w:top w:val="none" w:sz="0" w:space="0"/>
            <w:left w:val="none" w:sz="0" w:space="0"/>
            <w:bottom w:val="none" w:sz="0" w:space="0"/>
            <w:right w:val="none" w:sz="0" w:space="0"/>
          </w:pgBorders>
          <w:pgNumType w:start="1"/>
          <w:cols w:space="720" w:num="1"/>
          <w:docGrid w:linePitch="360" w:charSpace="0"/>
        </w:sectPr>
      </w:pPr>
    </w:p>
    <w:p w14:paraId="32834DBF">
      <w:pPr>
        <w:ind w:firstLine="482" w:firstLineChars="200"/>
        <w:jc w:val="center"/>
        <w:rPr>
          <w:b/>
          <w:bCs/>
        </w:rPr>
      </w:pPr>
      <w:r>
        <w:rPr>
          <w:b/>
          <w:bCs/>
        </w:rPr>
        <w:t>表2-1项目组成一览表</w:t>
      </w:r>
    </w:p>
    <w:tbl>
      <w:tblPr>
        <w:tblStyle w:val="2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689"/>
        <w:gridCol w:w="1037"/>
        <w:gridCol w:w="4297"/>
        <w:gridCol w:w="4855"/>
        <w:gridCol w:w="2293"/>
      </w:tblGrid>
      <w:tr w14:paraId="0BDF6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50" w:type="pct"/>
            <w:noWrap w:val="0"/>
            <w:vAlign w:val="center"/>
          </w:tcPr>
          <w:p w14:paraId="0BA1AE7B">
            <w:pPr>
              <w:pStyle w:val="44"/>
              <w:keepNext w:val="0"/>
              <w:keepLines w:val="0"/>
              <w:pageBreakBefore w:val="0"/>
              <w:kinsoku/>
              <w:wordWrap/>
              <w:overflowPunct/>
              <w:topLinePunct w:val="0"/>
              <w:autoSpaceDE/>
              <w:autoSpaceDN/>
              <w:bidi w:val="0"/>
              <w:adjustRightInd/>
              <w:snapToGrid/>
              <w:spacing w:line="240" w:lineRule="auto"/>
              <w:textAlignment w:val="auto"/>
              <w:rPr>
                <w:b/>
                <w:bCs/>
                <w:color w:val="000000"/>
              </w:rPr>
            </w:pPr>
            <w:r>
              <w:rPr>
                <w:b/>
                <w:bCs/>
                <w:color w:val="000000"/>
              </w:rPr>
              <w:t>类别</w:t>
            </w:r>
          </w:p>
        </w:tc>
        <w:tc>
          <w:tcPr>
            <w:tcW w:w="609" w:type="pct"/>
            <w:gridSpan w:val="2"/>
            <w:noWrap w:val="0"/>
            <w:vAlign w:val="center"/>
          </w:tcPr>
          <w:p w14:paraId="73C36E83">
            <w:pPr>
              <w:pStyle w:val="44"/>
              <w:keepNext w:val="0"/>
              <w:keepLines w:val="0"/>
              <w:pageBreakBefore w:val="0"/>
              <w:kinsoku/>
              <w:wordWrap/>
              <w:overflowPunct/>
              <w:topLinePunct w:val="0"/>
              <w:autoSpaceDE/>
              <w:autoSpaceDN/>
              <w:bidi w:val="0"/>
              <w:adjustRightInd/>
              <w:snapToGrid/>
              <w:spacing w:line="240" w:lineRule="auto"/>
              <w:textAlignment w:val="auto"/>
              <w:rPr>
                <w:b/>
                <w:bCs/>
                <w:color w:val="000000"/>
              </w:rPr>
            </w:pPr>
            <w:r>
              <w:rPr>
                <w:b/>
                <w:bCs/>
                <w:color w:val="000000"/>
              </w:rPr>
              <w:t>项目</w:t>
            </w:r>
          </w:p>
        </w:tc>
        <w:tc>
          <w:tcPr>
            <w:tcW w:w="1516" w:type="pct"/>
            <w:noWrap w:val="0"/>
            <w:vAlign w:val="center"/>
          </w:tcPr>
          <w:p w14:paraId="01EADF18">
            <w:pPr>
              <w:pStyle w:val="44"/>
              <w:keepNext w:val="0"/>
              <w:keepLines w:val="0"/>
              <w:pageBreakBefore w:val="0"/>
              <w:kinsoku/>
              <w:wordWrap/>
              <w:overflowPunct/>
              <w:topLinePunct w:val="0"/>
              <w:autoSpaceDE/>
              <w:autoSpaceDN/>
              <w:bidi w:val="0"/>
              <w:adjustRightInd/>
              <w:snapToGrid/>
              <w:spacing w:line="240" w:lineRule="auto"/>
              <w:textAlignment w:val="auto"/>
              <w:rPr>
                <w:rFonts w:hint="default"/>
                <w:b/>
                <w:bCs/>
                <w:color w:val="000000"/>
                <w:lang w:val="en-US"/>
              </w:rPr>
            </w:pPr>
            <w:r>
              <w:rPr>
                <w:rFonts w:hint="eastAsia"/>
                <w:b/>
                <w:bCs/>
                <w:color w:val="000000"/>
                <w:lang w:val="en-US" w:eastAsia="zh-CN"/>
              </w:rPr>
              <w:t>环评内容</w:t>
            </w:r>
          </w:p>
        </w:tc>
        <w:tc>
          <w:tcPr>
            <w:tcW w:w="1713" w:type="pct"/>
            <w:noWrap w:val="0"/>
            <w:vAlign w:val="center"/>
          </w:tcPr>
          <w:p w14:paraId="1226BCE3">
            <w:pPr>
              <w:pStyle w:val="44"/>
              <w:keepNext w:val="0"/>
              <w:keepLines w:val="0"/>
              <w:pageBreakBefore w:val="0"/>
              <w:kinsoku/>
              <w:wordWrap/>
              <w:overflowPunct/>
              <w:topLinePunct w:val="0"/>
              <w:autoSpaceDE/>
              <w:autoSpaceDN/>
              <w:bidi w:val="0"/>
              <w:adjustRightInd/>
              <w:snapToGrid/>
              <w:spacing w:line="240" w:lineRule="auto"/>
              <w:textAlignment w:val="auto"/>
              <w:rPr>
                <w:rFonts w:hint="default" w:eastAsia="宋体"/>
                <w:b/>
                <w:bCs/>
                <w:color w:val="000000"/>
                <w:lang w:val="en-US" w:eastAsia="zh-CN"/>
              </w:rPr>
            </w:pPr>
            <w:r>
              <w:rPr>
                <w:rFonts w:hint="eastAsia"/>
                <w:b/>
                <w:bCs/>
                <w:color w:val="000000"/>
                <w:lang w:val="en-US" w:eastAsia="zh-CN"/>
              </w:rPr>
              <w:t>实际建设情况</w:t>
            </w:r>
          </w:p>
        </w:tc>
        <w:tc>
          <w:tcPr>
            <w:tcW w:w="809" w:type="pct"/>
            <w:noWrap w:val="0"/>
            <w:vAlign w:val="center"/>
          </w:tcPr>
          <w:p w14:paraId="5C86FB5F">
            <w:pPr>
              <w:pStyle w:val="44"/>
              <w:keepNext w:val="0"/>
              <w:keepLines w:val="0"/>
              <w:pageBreakBefore w:val="0"/>
              <w:kinsoku/>
              <w:wordWrap/>
              <w:overflowPunct/>
              <w:topLinePunct w:val="0"/>
              <w:autoSpaceDE/>
              <w:autoSpaceDN/>
              <w:bidi w:val="0"/>
              <w:adjustRightInd/>
              <w:snapToGrid/>
              <w:spacing w:line="240" w:lineRule="auto"/>
              <w:textAlignment w:val="auto"/>
              <w:rPr>
                <w:rFonts w:hint="default" w:eastAsia="宋体"/>
                <w:b/>
                <w:bCs/>
                <w:color w:val="000000"/>
                <w:lang w:val="en-US" w:eastAsia="zh-CN"/>
              </w:rPr>
            </w:pPr>
            <w:r>
              <w:rPr>
                <w:rFonts w:hint="eastAsia"/>
                <w:b/>
                <w:bCs/>
                <w:color w:val="000000"/>
                <w:lang w:val="en-US" w:eastAsia="zh-CN"/>
              </w:rPr>
              <w:t>一致性分析</w:t>
            </w:r>
          </w:p>
        </w:tc>
      </w:tr>
      <w:tr w14:paraId="1E3F3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350" w:type="pct"/>
            <w:noWrap w:val="0"/>
            <w:vAlign w:val="center"/>
          </w:tcPr>
          <w:p w14:paraId="67A15ABD">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rFonts w:hint="eastAsia"/>
                <w:color w:val="000000"/>
              </w:rPr>
              <w:t>主体工程</w:t>
            </w:r>
          </w:p>
        </w:tc>
        <w:tc>
          <w:tcPr>
            <w:tcW w:w="609" w:type="pct"/>
            <w:gridSpan w:val="2"/>
            <w:noWrap w:val="0"/>
            <w:vAlign w:val="center"/>
          </w:tcPr>
          <w:p w14:paraId="063AEA39">
            <w:pPr>
              <w:pStyle w:val="44"/>
              <w:keepNext w:val="0"/>
              <w:keepLines w:val="0"/>
              <w:pageBreakBefore w:val="0"/>
              <w:kinsoku/>
              <w:wordWrap/>
              <w:overflowPunct/>
              <w:topLinePunct w:val="0"/>
              <w:autoSpaceDE/>
              <w:autoSpaceDN/>
              <w:bidi w:val="0"/>
              <w:adjustRightInd/>
              <w:snapToGrid/>
              <w:spacing w:line="240" w:lineRule="auto"/>
              <w:textAlignment w:val="auto"/>
              <w:rPr>
                <w:rFonts w:hint="default" w:eastAsia="宋体"/>
                <w:color w:val="000000"/>
                <w:lang w:val="en-US" w:eastAsia="zh-CN"/>
              </w:rPr>
            </w:pPr>
            <w:r>
              <w:rPr>
                <w:rFonts w:hint="eastAsia"/>
                <w:color w:val="000000"/>
                <w:lang w:val="en-US" w:eastAsia="zh-CN"/>
              </w:rPr>
              <w:t>生产车间</w:t>
            </w:r>
          </w:p>
        </w:tc>
        <w:tc>
          <w:tcPr>
            <w:tcW w:w="1516" w:type="pct"/>
            <w:noWrap w:val="0"/>
            <w:vAlign w:val="center"/>
          </w:tcPr>
          <w:p w14:paraId="13A088CA">
            <w:pPr>
              <w:pStyle w:val="17"/>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olor w:val="000000"/>
                <w:kern w:val="2"/>
                <w:sz w:val="21"/>
                <w:szCs w:val="22"/>
                <w:lang w:val="en-US" w:eastAsia="zh-CN"/>
              </w:rPr>
            </w:pPr>
            <w:r>
              <w:rPr>
                <w:rFonts w:hint="eastAsia" w:ascii="Times New Roman" w:hAnsi="Times New Roman"/>
                <w:color w:val="000000"/>
                <w:kern w:val="2"/>
                <w:sz w:val="21"/>
                <w:szCs w:val="22"/>
                <w:lang w:val="en-US" w:eastAsia="zh-CN"/>
              </w:rPr>
              <w:t>嘉鑫厂内有两层（分别为福建省嘉鑫科技实业有限公司2号车间的1层和4层），1层具体设置开料、精雕、超声波清洗等车间，各车间内均配备相应的生产设备</w:t>
            </w:r>
          </w:p>
        </w:tc>
        <w:tc>
          <w:tcPr>
            <w:tcW w:w="1713" w:type="pct"/>
            <w:noWrap w:val="0"/>
            <w:vAlign w:val="center"/>
          </w:tcPr>
          <w:p w14:paraId="5506BCC6">
            <w:pPr>
              <w:pStyle w:val="44"/>
              <w:keepNext w:val="0"/>
              <w:keepLines w:val="0"/>
              <w:pageBreakBefore w:val="0"/>
              <w:kinsoku/>
              <w:wordWrap/>
              <w:overflowPunct/>
              <w:topLinePunct w:val="0"/>
              <w:autoSpaceDE/>
              <w:autoSpaceDN/>
              <w:bidi w:val="0"/>
              <w:adjustRightInd/>
              <w:snapToGrid/>
              <w:spacing w:line="240" w:lineRule="auto"/>
              <w:textAlignment w:val="auto"/>
              <w:rPr>
                <w:rFonts w:hint="eastAsia"/>
                <w:color w:val="000000"/>
              </w:rPr>
            </w:pPr>
            <w:r>
              <w:rPr>
                <w:rFonts w:hint="eastAsia" w:ascii="Times New Roman" w:hAnsi="Times New Roman" w:eastAsia="宋体" w:cs="Times New Roman"/>
                <w:color w:val="000000"/>
                <w:kern w:val="2"/>
                <w:sz w:val="21"/>
                <w:szCs w:val="22"/>
                <w:lang w:val="en-US" w:eastAsia="zh-CN" w:bidi="ar-SA"/>
              </w:rPr>
              <w:t>嘉鑫厂内有两层（分别为福建省嘉鑫科技实业有限公司2号车间的1层和4层），1层具体设置开料、精雕、超声波清洗等车间，各车间内均配备相应的生产设备</w:t>
            </w:r>
          </w:p>
        </w:tc>
        <w:tc>
          <w:tcPr>
            <w:tcW w:w="809" w:type="pct"/>
            <w:noWrap w:val="0"/>
            <w:vAlign w:val="center"/>
          </w:tcPr>
          <w:p w14:paraId="282ED71D">
            <w:pPr>
              <w:pStyle w:val="44"/>
              <w:keepNext w:val="0"/>
              <w:keepLines w:val="0"/>
              <w:pageBreakBefore w:val="0"/>
              <w:kinsoku/>
              <w:wordWrap/>
              <w:overflowPunct/>
              <w:topLinePunct w:val="0"/>
              <w:autoSpaceDE/>
              <w:autoSpaceDN/>
              <w:bidi w:val="0"/>
              <w:adjustRightInd/>
              <w:snapToGrid/>
              <w:spacing w:line="240" w:lineRule="auto"/>
              <w:textAlignment w:val="auto"/>
              <w:rPr>
                <w:rFonts w:hint="eastAsia" w:eastAsia="宋体"/>
                <w:color w:val="000000"/>
                <w:lang w:val="en-US" w:eastAsia="zh-CN"/>
              </w:rPr>
            </w:pPr>
            <w:r>
              <w:rPr>
                <w:rFonts w:hint="eastAsia"/>
                <w:color w:val="000000"/>
                <w:lang w:val="en-US" w:eastAsia="zh-CN"/>
              </w:rPr>
              <w:t>一致</w:t>
            </w:r>
          </w:p>
        </w:tc>
      </w:tr>
      <w:tr w14:paraId="36A41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50" w:type="pct"/>
            <w:vMerge w:val="restart"/>
            <w:noWrap w:val="0"/>
            <w:vAlign w:val="center"/>
          </w:tcPr>
          <w:p w14:paraId="4723EFE3">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公用工程</w:t>
            </w:r>
          </w:p>
        </w:tc>
        <w:tc>
          <w:tcPr>
            <w:tcW w:w="609" w:type="pct"/>
            <w:gridSpan w:val="2"/>
            <w:noWrap w:val="0"/>
            <w:vAlign w:val="center"/>
          </w:tcPr>
          <w:p w14:paraId="1D56C315">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供水</w:t>
            </w:r>
          </w:p>
        </w:tc>
        <w:tc>
          <w:tcPr>
            <w:tcW w:w="1516" w:type="pct"/>
            <w:noWrap w:val="0"/>
            <w:vAlign w:val="center"/>
          </w:tcPr>
          <w:p w14:paraId="445337D8">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接市政供水管网</w:t>
            </w:r>
          </w:p>
        </w:tc>
        <w:tc>
          <w:tcPr>
            <w:tcW w:w="1713" w:type="pct"/>
            <w:noWrap w:val="0"/>
            <w:vAlign w:val="center"/>
          </w:tcPr>
          <w:p w14:paraId="123481B1">
            <w:pPr>
              <w:pStyle w:val="4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rPr>
            </w:pPr>
            <w:r>
              <w:rPr>
                <w:color w:val="000000"/>
              </w:rPr>
              <w:t>接市政供水管网</w:t>
            </w:r>
          </w:p>
        </w:tc>
        <w:tc>
          <w:tcPr>
            <w:tcW w:w="809" w:type="pct"/>
            <w:noWrap w:val="0"/>
            <w:vAlign w:val="center"/>
          </w:tcPr>
          <w:p w14:paraId="0E3777FA">
            <w:pPr>
              <w:pStyle w:val="44"/>
              <w:keepNext w:val="0"/>
              <w:keepLines w:val="0"/>
              <w:pageBreakBefore w:val="0"/>
              <w:kinsoku/>
              <w:wordWrap/>
              <w:overflowPunct/>
              <w:topLinePunct w:val="0"/>
              <w:autoSpaceDE/>
              <w:autoSpaceDN/>
              <w:bidi w:val="0"/>
              <w:adjustRightInd/>
              <w:snapToGrid/>
              <w:spacing w:line="240" w:lineRule="auto"/>
              <w:textAlignment w:val="auto"/>
              <w:rPr>
                <w:rFonts w:hint="eastAsia"/>
                <w:color w:val="000000"/>
              </w:rPr>
            </w:pPr>
            <w:r>
              <w:rPr>
                <w:rFonts w:hint="eastAsia"/>
                <w:color w:val="000000"/>
                <w:lang w:val="en-US" w:eastAsia="zh-CN"/>
              </w:rPr>
              <w:t>一致</w:t>
            </w:r>
          </w:p>
        </w:tc>
      </w:tr>
      <w:tr w14:paraId="5B98E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50" w:type="pct"/>
            <w:vMerge w:val="continue"/>
            <w:noWrap w:val="0"/>
            <w:vAlign w:val="center"/>
          </w:tcPr>
          <w:p w14:paraId="61B7340F">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p>
        </w:tc>
        <w:tc>
          <w:tcPr>
            <w:tcW w:w="609" w:type="pct"/>
            <w:gridSpan w:val="2"/>
            <w:noWrap w:val="0"/>
            <w:vAlign w:val="center"/>
          </w:tcPr>
          <w:p w14:paraId="1EDC072E">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供电</w:t>
            </w:r>
          </w:p>
        </w:tc>
        <w:tc>
          <w:tcPr>
            <w:tcW w:w="1516" w:type="pct"/>
            <w:noWrap w:val="0"/>
            <w:vAlign w:val="center"/>
          </w:tcPr>
          <w:p w14:paraId="58DDF5AA">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接市政供电系统</w:t>
            </w:r>
          </w:p>
        </w:tc>
        <w:tc>
          <w:tcPr>
            <w:tcW w:w="1713" w:type="pct"/>
            <w:noWrap w:val="0"/>
            <w:vAlign w:val="center"/>
          </w:tcPr>
          <w:p w14:paraId="35D2C6F6">
            <w:pPr>
              <w:pStyle w:val="4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rPr>
            </w:pPr>
            <w:r>
              <w:rPr>
                <w:color w:val="000000"/>
              </w:rPr>
              <w:t>接市政供电系统</w:t>
            </w:r>
          </w:p>
        </w:tc>
        <w:tc>
          <w:tcPr>
            <w:tcW w:w="809" w:type="pct"/>
            <w:noWrap w:val="0"/>
            <w:vAlign w:val="center"/>
          </w:tcPr>
          <w:p w14:paraId="69E01B25">
            <w:pPr>
              <w:pStyle w:val="44"/>
              <w:keepNext w:val="0"/>
              <w:keepLines w:val="0"/>
              <w:pageBreakBefore w:val="0"/>
              <w:kinsoku/>
              <w:wordWrap/>
              <w:overflowPunct/>
              <w:topLinePunct w:val="0"/>
              <w:autoSpaceDE/>
              <w:autoSpaceDN/>
              <w:bidi w:val="0"/>
              <w:adjustRightInd/>
              <w:snapToGrid/>
              <w:spacing w:line="240" w:lineRule="auto"/>
              <w:textAlignment w:val="auto"/>
              <w:rPr>
                <w:rFonts w:hint="eastAsia"/>
                <w:color w:val="000000"/>
              </w:rPr>
            </w:pPr>
            <w:r>
              <w:rPr>
                <w:rFonts w:hint="eastAsia"/>
                <w:color w:val="000000"/>
                <w:lang w:val="en-US" w:eastAsia="zh-CN"/>
              </w:rPr>
              <w:t>一致</w:t>
            </w:r>
          </w:p>
        </w:tc>
      </w:tr>
      <w:tr w14:paraId="3B998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50" w:type="pct"/>
            <w:vMerge w:val="restart"/>
            <w:noWrap w:val="0"/>
            <w:vAlign w:val="center"/>
          </w:tcPr>
          <w:p w14:paraId="098571C2">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环保工程</w:t>
            </w:r>
          </w:p>
        </w:tc>
        <w:tc>
          <w:tcPr>
            <w:tcW w:w="609" w:type="pct"/>
            <w:gridSpan w:val="2"/>
            <w:noWrap w:val="0"/>
            <w:vAlign w:val="center"/>
          </w:tcPr>
          <w:p w14:paraId="669E2B3E">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废水处理</w:t>
            </w:r>
          </w:p>
        </w:tc>
        <w:tc>
          <w:tcPr>
            <w:tcW w:w="1516" w:type="pct"/>
            <w:noWrap w:val="0"/>
            <w:vAlign w:val="center"/>
          </w:tcPr>
          <w:p w14:paraId="7A1B239F">
            <w:pPr>
              <w:pStyle w:val="44"/>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color w:val="000000"/>
              </w:rPr>
            </w:pPr>
            <w:r>
              <w:rPr>
                <w:rFonts w:hint="eastAsia"/>
                <w:color w:val="000000"/>
                <w:lang w:val="en-US" w:eastAsia="zh-CN"/>
              </w:rPr>
              <w:t>1、</w:t>
            </w:r>
            <w:r>
              <w:rPr>
                <w:rFonts w:hint="eastAsia"/>
                <w:color w:val="000000"/>
              </w:rPr>
              <w:t>浓水：接入福清市融元污水处理厂</w:t>
            </w:r>
          </w:p>
          <w:p w14:paraId="26BA2197">
            <w:pPr>
              <w:pStyle w:val="44"/>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color w:val="000000"/>
                <w:lang w:val="en-US" w:eastAsia="zh-CN"/>
              </w:rPr>
            </w:pPr>
            <w:r>
              <w:rPr>
                <w:rFonts w:hint="eastAsia"/>
                <w:color w:val="000000"/>
                <w:lang w:val="en-US" w:eastAsia="zh-CN"/>
              </w:rPr>
              <w:t>2、清洗废水：经福建省嘉鑫科技实业有限公司新建污水处理设施（隔油、调节池+一体化气浮）处理后接入福清市融元污水处理</w:t>
            </w:r>
          </w:p>
          <w:p w14:paraId="5EFF0AA0">
            <w:pPr>
              <w:pStyle w:val="44"/>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color w:val="000000"/>
                <w:lang w:val="en-US" w:eastAsia="zh-CN"/>
              </w:rPr>
            </w:pPr>
            <w:r>
              <w:rPr>
                <w:rFonts w:hint="eastAsia"/>
                <w:color w:val="000000"/>
                <w:lang w:val="en-US" w:eastAsia="zh-CN"/>
              </w:rPr>
              <w:t>厂</w:t>
            </w:r>
          </w:p>
          <w:p w14:paraId="28255AFA">
            <w:pPr>
              <w:pStyle w:val="44"/>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color w:val="000000"/>
                <w:lang w:val="en-US" w:eastAsia="zh-CN"/>
              </w:rPr>
            </w:pPr>
            <w:r>
              <w:rPr>
                <w:rFonts w:hint="eastAsia"/>
                <w:color w:val="000000"/>
                <w:lang w:val="en-US" w:eastAsia="zh-CN"/>
              </w:rPr>
              <w:t>3、磨边废水：经福建省嘉鑫科技实业有限公司新建污水处理设施（隔油、调节池+一体化气浮）处理后接入福清市融元污水处理厂</w:t>
            </w:r>
          </w:p>
          <w:p w14:paraId="0FE9EE92">
            <w:pPr>
              <w:pStyle w:val="44"/>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default"/>
                <w:color w:val="000000"/>
                <w:lang w:val="en-US" w:eastAsia="zh-CN"/>
              </w:rPr>
            </w:pPr>
            <w:r>
              <w:rPr>
                <w:rFonts w:hint="eastAsia"/>
                <w:color w:val="000000"/>
                <w:lang w:val="en-US" w:eastAsia="zh-CN"/>
              </w:rPr>
              <w:t>4、生活污水：经化粪池处理后接入福清市融元污水处理厂</w:t>
            </w:r>
          </w:p>
        </w:tc>
        <w:tc>
          <w:tcPr>
            <w:tcW w:w="4855" w:type="dxa"/>
            <w:noWrap w:val="0"/>
            <w:vAlign w:val="center"/>
          </w:tcPr>
          <w:p w14:paraId="38586A2A">
            <w:pPr>
              <w:pStyle w:val="44"/>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color w:val="000000"/>
              </w:rPr>
            </w:pPr>
            <w:r>
              <w:rPr>
                <w:rFonts w:hint="eastAsia"/>
                <w:color w:val="000000"/>
                <w:lang w:val="en-US" w:eastAsia="zh-CN"/>
              </w:rPr>
              <w:t>1、</w:t>
            </w:r>
            <w:r>
              <w:rPr>
                <w:rFonts w:hint="eastAsia"/>
                <w:color w:val="000000"/>
              </w:rPr>
              <w:t>浓水：接入福清市融元污水处理厂</w:t>
            </w:r>
          </w:p>
          <w:p w14:paraId="763B5257">
            <w:pPr>
              <w:pStyle w:val="44"/>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color w:val="000000"/>
                <w:lang w:val="en-US" w:eastAsia="zh-CN"/>
              </w:rPr>
            </w:pPr>
            <w:r>
              <w:rPr>
                <w:rFonts w:hint="eastAsia"/>
                <w:color w:val="000000"/>
                <w:lang w:val="en-US" w:eastAsia="zh-CN"/>
              </w:rPr>
              <w:t>2、清洗废水：经福建省嘉鑫科技实业有限公司新建污水处理设施（隔油、调节池+一体化气浮）处理后接入福清市融元污水处理</w:t>
            </w:r>
          </w:p>
          <w:p w14:paraId="2B9A5F11">
            <w:pPr>
              <w:pStyle w:val="44"/>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color w:val="000000"/>
                <w:lang w:val="en-US" w:eastAsia="zh-CN"/>
              </w:rPr>
            </w:pPr>
            <w:r>
              <w:rPr>
                <w:rFonts w:hint="eastAsia"/>
                <w:color w:val="000000"/>
                <w:lang w:val="en-US" w:eastAsia="zh-CN"/>
              </w:rPr>
              <w:t>厂</w:t>
            </w:r>
          </w:p>
          <w:p w14:paraId="7D754B53">
            <w:pPr>
              <w:pStyle w:val="44"/>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color w:val="000000"/>
                <w:lang w:val="en-US" w:eastAsia="zh-CN"/>
              </w:rPr>
            </w:pPr>
            <w:r>
              <w:rPr>
                <w:rFonts w:hint="eastAsia"/>
                <w:color w:val="000000"/>
                <w:lang w:val="en-US" w:eastAsia="zh-CN"/>
              </w:rPr>
              <w:t>3、磨边废水：经福建省嘉鑫科技实业有限公司新建污水处理设施（隔油、调节池+一体化气浮）处理后接入福清市融元污水处理厂</w:t>
            </w:r>
          </w:p>
          <w:p w14:paraId="2032E742">
            <w:pPr>
              <w:pStyle w:val="44"/>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color w:val="000000"/>
              </w:rPr>
            </w:pPr>
            <w:r>
              <w:rPr>
                <w:rFonts w:hint="eastAsia"/>
                <w:color w:val="000000"/>
                <w:lang w:val="en-US" w:eastAsia="zh-CN"/>
              </w:rPr>
              <w:t>4、生活污水：经化粪池处理后接入福清市融元污水处理厂</w:t>
            </w:r>
          </w:p>
        </w:tc>
        <w:tc>
          <w:tcPr>
            <w:tcW w:w="809" w:type="pct"/>
            <w:noWrap w:val="0"/>
            <w:vAlign w:val="center"/>
          </w:tcPr>
          <w:p w14:paraId="1BDD56C6">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rFonts w:hint="eastAsia"/>
                <w:color w:val="000000"/>
                <w:lang w:val="en-US" w:eastAsia="zh-CN"/>
              </w:rPr>
              <w:t>一致</w:t>
            </w:r>
          </w:p>
        </w:tc>
      </w:tr>
      <w:tr w14:paraId="39CCC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350" w:type="pct"/>
            <w:vMerge w:val="continue"/>
            <w:noWrap w:val="0"/>
            <w:vAlign w:val="center"/>
          </w:tcPr>
          <w:p w14:paraId="2BF299F4">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p>
        </w:tc>
        <w:tc>
          <w:tcPr>
            <w:tcW w:w="609" w:type="pct"/>
            <w:gridSpan w:val="2"/>
            <w:noWrap w:val="0"/>
            <w:vAlign w:val="center"/>
          </w:tcPr>
          <w:p w14:paraId="2D5D0D8B">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废气处理</w:t>
            </w:r>
          </w:p>
        </w:tc>
        <w:tc>
          <w:tcPr>
            <w:tcW w:w="1516" w:type="pct"/>
            <w:noWrap w:val="0"/>
            <w:vAlign w:val="center"/>
          </w:tcPr>
          <w:p w14:paraId="66AD4E84">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rFonts w:hint="eastAsia"/>
                <w:color w:val="000000"/>
                <w:szCs w:val="21"/>
              </w:rPr>
              <w:t>油墨丝印烘干有机废气：集气罩+活性炭吸附装置，15m高排气筒</w:t>
            </w:r>
          </w:p>
        </w:tc>
        <w:tc>
          <w:tcPr>
            <w:tcW w:w="4855" w:type="dxa"/>
            <w:noWrap w:val="0"/>
            <w:vAlign w:val="center"/>
          </w:tcPr>
          <w:p w14:paraId="3F27C6BC">
            <w:pPr>
              <w:pStyle w:val="44"/>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olor w:val="000000"/>
                <w:kern w:val="2"/>
                <w:sz w:val="21"/>
                <w:szCs w:val="22"/>
                <w:lang w:val="en-US" w:eastAsia="zh-CN"/>
              </w:rPr>
            </w:pPr>
            <w:r>
              <w:rPr>
                <w:rFonts w:hint="eastAsia"/>
                <w:color w:val="000000"/>
                <w:szCs w:val="21"/>
              </w:rPr>
              <w:t>油墨丝印烘干有机废气：集气罩+活性炭吸附装置，15m高排气筒</w:t>
            </w:r>
          </w:p>
        </w:tc>
        <w:tc>
          <w:tcPr>
            <w:tcW w:w="809" w:type="pct"/>
            <w:noWrap w:val="0"/>
            <w:vAlign w:val="center"/>
          </w:tcPr>
          <w:p w14:paraId="3042741C">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olor w:val="000000"/>
                <w:kern w:val="2"/>
                <w:sz w:val="21"/>
                <w:szCs w:val="22"/>
                <w:lang w:val="en-US" w:eastAsia="zh-CN"/>
              </w:rPr>
            </w:pPr>
            <w:r>
              <w:rPr>
                <w:rFonts w:hint="eastAsia"/>
                <w:color w:val="000000"/>
                <w:lang w:val="en-US" w:eastAsia="zh-CN"/>
              </w:rPr>
              <w:t>一致</w:t>
            </w:r>
          </w:p>
        </w:tc>
      </w:tr>
      <w:tr w14:paraId="658D9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50" w:type="pct"/>
            <w:vMerge w:val="continue"/>
            <w:noWrap w:val="0"/>
            <w:vAlign w:val="center"/>
          </w:tcPr>
          <w:p w14:paraId="11207B86">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p>
        </w:tc>
        <w:tc>
          <w:tcPr>
            <w:tcW w:w="243" w:type="pct"/>
            <w:vMerge w:val="restart"/>
            <w:noWrap w:val="0"/>
            <w:vAlign w:val="center"/>
          </w:tcPr>
          <w:p w14:paraId="29B6362F">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固废处置</w:t>
            </w:r>
          </w:p>
        </w:tc>
        <w:tc>
          <w:tcPr>
            <w:tcW w:w="366" w:type="pct"/>
            <w:noWrap w:val="0"/>
            <w:vAlign w:val="center"/>
          </w:tcPr>
          <w:p w14:paraId="6D26CE48">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生活垃圾</w:t>
            </w:r>
          </w:p>
        </w:tc>
        <w:tc>
          <w:tcPr>
            <w:tcW w:w="1516" w:type="pct"/>
            <w:noWrap w:val="0"/>
            <w:vAlign w:val="center"/>
          </w:tcPr>
          <w:p w14:paraId="0994EC8E">
            <w:pPr>
              <w:pStyle w:val="44"/>
              <w:keepNext w:val="0"/>
              <w:keepLines w:val="0"/>
              <w:pageBreakBefore w:val="0"/>
              <w:kinsoku/>
              <w:wordWrap/>
              <w:overflowPunct/>
              <w:topLinePunct w:val="0"/>
              <w:autoSpaceDE/>
              <w:autoSpaceDN/>
              <w:bidi w:val="0"/>
              <w:adjustRightInd/>
              <w:snapToGrid/>
              <w:spacing w:line="240" w:lineRule="auto"/>
              <w:jc w:val="left"/>
              <w:textAlignment w:val="auto"/>
              <w:rPr>
                <w:color w:val="000000"/>
              </w:rPr>
            </w:pPr>
            <w:r>
              <w:rPr>
                <w:color w:val="000000"/>
              </w:rPr>
              <w:t>设置生活垃圾桶，生活垃圾经分类收集后委托市政环卫部门统一清运处置</w:t>
            </w:r>
          </w:p>
        </w:tc>
        <w:tc>
          <w:tcPr>
            <w:tcW w:w="1713" w:type="pct"/>
            <w:noWrap w:val="0"/>
            <w:vAlign w:val="center"/>
          </w:tcPr>
          <w:p w14:paraId="42E6B0D6">
            <w:pPr>
              <w:pStyle w:val="44"/>
              <w:keepNext w:val="0"/>
              <w:keepLines w:val="0"/>
              <w:pageBreakBefore w:val="0"/>
              <w:kinsoku/>
              <w:wordWrap/>
              <w:overflowPunct/>
              <w:topLinePunct w:val="0"/>
              <w:autoSpaceDE/>
              <w:autoSpaceDN/>
              <w:bidi w:val="0"/>
              <w:adjustRightInd/>
              <w:snapToGrid/>
              <w:spacing w:line="240" w:lineRule="auto"/>
              <w:textAlignment w:val="auto"/>
              <w:rPr>
                <w:rFonts w:hint="eastAsia"/>
                <w:color w:val="000000"/>
              </w:rPr>
            </w:pPr>
            <w:r>
              <w:rPr>
                <w:color w:val="000000"/>
              </w:rPr>
              <w:t>设置生活垃圾桶，生活垃圾经分类收集后委托市政环卫部门统一清运处置</w:t>
            </w:r>
          </w:p>
        </w:tc>
        <w:tc>
          <w:tcPr>
            <w:tcW w:w="809" w:type="pct"/>
            <w:noWrap w:val="0"/>
            <w:vAlign w:val="center"/>
          </w:tcPr>
          <w:p w14:paraId="6AAF15A3">
            <w:pPr>
              <w:pStyle w:val="44"/>
              <w:keepNext w:val="0"/>
              <w:keepLines w:val="0"/>
              <w:pageBreakBefore w:val="0"/>
              <w:kinsoku/>
              <w:wordWrap/>
              <w:overflowPunct/>
              <w:topLinePunct w:val="0"/>
              <w:autoSpaceDE/>
              <w:autoSpaceDN/>
              <w:bidi w:val="0"/>
              <w:adjustRightInd/>
              <w:snapToGrid/>
              <w:spacing w:line="240" w:lineRule="auto"/>
              <w:textAlignment w:val="auto"/>
              <w:rPr>
                <w:rFonts w:hint="eastAsia"/>
                <w:color w:val="000000"/>
              </w:rPr>
            </w:pPr>
            <w:r>
              <w:rPr>
                <w:rFonts w:hint="eastAsia"/>
                <w:color w:val="000000"/>
                <w:lang w:val="en-US" w:eastAsia="zh-CN"/>
              </w:rPr>
              <w:t>一致</w:t>
            </w:r>
          </w:p>
        </w:tc>
      </w:tr>
      <w:tr w14:paraId="7E8AE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50" w:type="pct"/>
            <w:vMerge w:val="continue"/>
            <w:noWrap w:val="0"/>
            <w:vAlign w:val="center"/>
          </w:tcPr>
          <w:p w14:paraId="27DE629B">
            <w:pPr>
              <w:pStyle w:val="44"/>
              <w:keepNext w:val="0"/>
              <w:keepLines w:val="0"/>
              <w:pageBreakBefore w:val="0"/>
              <w:kinsoku/>
              <w:wordWrap/>
              <w:overflowPunct/>
              <w:topLinePunct w:val="0"/>
              <w:autoSpaceDE/>
              <w:autoSpaceDN/>
              <w:bidi w:val="0"/>
              <w:adjustRightInd/>
              <w:snapToGrid/>
              <w:spacing w:line="240" w:lineRule="auto"/>
              <w:jc w:val="left"/>
              <w:textAlignment w:val="auto"/>
              <w:rPr>
                <w:color w:val="000000"/>
              </w:rPr>
            </w:pPr>
          </w:p>
        </w:tc>
        <w:tc>
          <w:tcPr>
            <w:tcW w:w="243" w:type="pct"/>
            <w:vMerge w:val="continue"/>
            <w:noWrap w:val="0"/>
            <w:vAlign w:val="center"/>
          </w:tcPr>
          <w:p w14:paraId="4ED4ABF5">
            <w:pPr>
              <w:pStyle w:val="44"/>
              <w:keepNext w:val="0"/>
              <w:keepLines w:val="0"/>
              <w:pageBreakBefore w:val="0"/>
              <w:kinsoku/>
              <w:wordWrap/>
              <w:overflowPunct/>
              <w:topLinePunct w:val="0"/>
              <w:autoSpaceDE/>
              <w:autoSpaceDN/>
              <w:bidi w:val="0"/>
              <w:adjustRightInd/>
              <w:snapToGrid/>
              <w:spacing w:line="240" w:lineRule="auto"/>
              <w:jc w:val="left"/>
              <w:textAlignment w:val="auto"/>
              <w:rPr>
                <w:color w:val="000000"/>
              </w:rPr>
            </w:pPr>
          </w:p>
        </w:tc>
        <w:tc>
          <w:tcPr>
            <w:tcW w:w="366" w:type="pct"/>
            <w:noWrap w:val="0"/>
            <w:vAlign w:val="center"/>
          </w:tcPr>
          <w:p w14:paraId="487A6815">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一般工业固体废物</w:t>
            </w:r>
          </w:p>
        </w:tc>
        <w:tc>
          <w:tcPr>
            <w:tcW w:w="1516" w:type="pct"/>
            <w:noWrap w:val="0"/>
            <w:vAlign w:val="center"/>
          </w:tcPr>
          <w:p w14:paraId="1868ECFE">
            <w:pPr>
              <w:pStyle w:val="44"/>
              <w:keepNext w:val="0"/>
              <w:keepLines w:val="0"/>
              <w:pageBreakBefore w:val="0"/>
              <w:kinsoku/>
              <w:wordWrap/>
              <w:overflowPunct/>
              <w:topLinePunct w:val="0"/>
              <w:autoSpaceDE/>
              <w:autoSpaceDN/>
              <w:bidi w:val="0"/>
              <w:adjustRightInd/>
              <w:snapToGrid/>
              <w:spacing w:line="240" w:lineRule="auto"/>
              <w:jc w:val="left"/>
              <w:textAlignment w:val="auto"/>
              <w:rPr>
                <w:color w:val="000000"/>
              </w:rPr>
            </w:pPr>
            <w:r>
              <w:rPr>
                <w:color w:val="000000"/>
              </w:rPr>
              <w:t>设一般工业固废暂存区，外售或委托环卫部门清运</w:t>
            </w:r>
          </w:p>
        </w:tc>
        <w:tc>
          <w:tcPr>
            <w:tcW w:w="1713" w:type="pct"/>
            <w:noWrap w:val="0"/>
            <w:vAlign w:val="center"/>
          </w:tcPr>
          <w:p w14:paraId="5B7DA446">
            <w:pPr>
              <w:pStyle w:val="44"/>
              <w:keepNext w:val="0"/>
              <w:keepLines w:val="0"/>
              <w:pageBreakBefore w:val="0"/>
              <w:kinsoku/>
              <w:wordWrap/>
              <w:overflowPunct/>
              <w:topLinePunct w:val="0"/>
              <w:autoSpaceDE/>
              <w:autoSpaceDN/>
              <w:bidi w:val="0"/>
              <w:adjustRightInd/>
              <w:snapToGrid/>
              <w:spacing w:line="240" w:lineRule="auto"/>
              <w:textAlignment w:val="auto"/>
              <w:rPr>
                <w:rFonts w:hint="eastAsia"/>
                <w:color w:val="000000"/>
              </w:rPr>
            </w:pPr>
            <w:r>
              <w:rPr>
                <w:color w:val="000000"/>
              </w:rPr>
              <w:t>设一般工业固废暂存区，外售或委托环卫部门清运</w:t>
            </w:r>
          </w:p>
        </w:tc>
        <w:tc>
          <w:tcPr>
            <w:tcW w:w="809" w:type="pct"/>
            <w:noWrap w:val="0"/>
            <w:vAlign w:val="center"/>
          </w:tcPr>
          <w:p w14:paraId="4875E1E9">
            <w:pPr>
              <w:pStyle w:val="44"/>
              <w:keepNext w:val="0"/>
              <w:keepLines w:val="0"/>
              <w:pageBreakBefore w:val="0"/>
              <w:kinsoku/>
              <w:wordWrap/>
              <w:overflowPunct/>
              <w:topLinePunct w:val="0"/>
              <w:autoSpaceDE/>
              <w:autoSpaceDN/>
              <w:bidi w:val="0"/>
              <w:adjustRightInd/>
              <w:snapToGrid/>
              <w:spacing w:line="240" w:lineRule="auto"/>
              <w:textAlignment w:val="auto"/>
              <w:rPr>
                <w:rFonts w:hint="eastAsia"/>
                <w:color w:val="000000"/>
              </w:rPr>
            </w:pPr>
            <w:r>
              <w:rPr>
                <w:rFonts w:hint="eastAsia"/>
                <w:color w:val="000000"/>
                <w:lang w:val="en-US" w:eastAsia="zh-CN"/>
              </w:rPr>
              <w:t>一致</w:t>
            </w:r>
          </w:p>
        </w:tc>
      </w:tr>
      <w:tr w14:paraId="730FE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50" w:type="pct"/>
            <w:vMerge w:val="continue"/>
            <w:noWrap w:val="0"/>
            <w:vAlign w:val="center"/>
          </w:tcPr>
          <w:p w14:paraId="76C29DE7">
            <w:pPr>
              <w:pStyle w:val="44"/>
              <w:keepNext w:val="0"/>
              <w:keepLines w:val="0"/>
              <w:pageBreakBefore w:val="0"/>
              <w:kinsoku/>
              <w:wordWrap/>
              <w:overflowPunct/>
              <w:topLinePunct w:val="0"/>
              <w:autoSpaceDE/>
              <w:autoSpaceDN/>
              <w:bidi w:val="0"/>
              <w:adjustRightInd/>
              <w:snapToGrid/>
              <w:spacing w:line="240" w:lineRule="auto"/>
              <w:jc w:val="left"/>
              <w:textAlignment w:val="auto"/>
              <w:rPr>
                <w:color w:val="000000"/>
              </w:rPr>
            </w:pPr>
          </w:p>
        </w:tc>
        <w:tc>
          <w:tcPr>
            <w:tcW w:w="243" w:type="pct"/>
            <w:vMerge w:val="continue"/>
            <w:noWrap w:val="0"/>
            <w:vAlign w:val="center"/>
          </w:tcPr>
          <w:p w14:paraId="731AEDC4">
            <w:pPr>
              <w:pStyle w:val="44"/>
              <w:keepNext w:val="0"/>
              <w:keepLines w:val="0"/>
              <w:pageBreakBefore w:val="0"/>
              <w:kinsoku/>
              <w:wordWrap/>
              <w:overflowPunct/>
              <w:topLinePunct w:val="0"/>
              <w:autoSpaceDE/>
              <w:autoSpaceDN/>
              <w:bidi w:val="0"/>
              <w:adjustRightInd/>
              <w:snapToGrid/>
              <w:spacing w:line="240" w:lineRule="auto"/>
              <w:jc w:val="left"/>
              <w:textAlignment w:val="auto"/>
              <w:rPr>
                <w:color w:val="000000"/>
              </w:rPr>
            </w:pPr>
          </w:p>
        </w:tc>
        <w:tc>
          <w:tcPr>
            <w:tcW w:w="366" w:type="pct"/>
            <w:noWrap w:val="0"/>
            <w:vAlign w:val="center"/>
          </w:tcPr>
          <w:p w14:paraId="5F1E01DA">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危险废物</w:t>
            </w:r>
          </w:p>
        </w:tc>
        <w:tc>
          <w:tcPr>
            <w:tcW w:w="1516" w:type="pct"/>
            <w:noWrap w:val="0"/>
            <w:vAlign w:val="center"/>
          </w:tcPr>
          <w:p w14:paraId="6968027F">
            <w:pPr>
              <w:pStyle w:val="44"/>
              <w:keepNext w:val="0"/>
              <w:keepLines w:val="0"/>
              <w:pageBreakBefore w:val="0"/>
              <w:kinsoku/>
              <w:wordWrap/>
              <w:overflowPunct/>
              <w:topLinePunct w:val="0"/>
              <w:autoSpaceDE/>
              <w:autoSpaceDN/>
              <w:bidi w:val="0"/>
              <w:adjustRightInd/>
              <w:snapToGrid/>
              <w:spacing w:line="240" w:lineRule="auto"/>
              <w:jc w:val="left"/>
              <w:textAlignment w:val="auto"/>
              <w:rPr>
                <w:color w:val="000000"/>
              </w:rPr>
            </w:pPr>
            <w:r>
              <w:rPr>
                <w:rFonts w:hint="eastAsia"/>
                <w:color w:val="000000"/>
              </w:rPr>
              <w:t>设置了</w:t>
            </w:r>
            <w:r>
              <w:rPr>
                <w:color w:val="000000"/>
              </w:rPr>
              <w:t>危险废物暂存间，占地</w:t>
            </w:r>
            <w:r>
              <w:rPr>
                <w:rFonts w:hint="eastAsia"/>
                <w:color w:val="000000"/>
              </w:rPr>
              <w:t>2</w:t>
            </w:r>
            <w:r>
              <w:rPr>
                <w:rFonts w:hint="eastAsia"/>
                <w:color w:val="000000"/>
                <w:lang w:val="en-US" w:eastAsia="zh-CN"/>
              </w:rPr>
              <w:t>5</w:t>
            </w:r>
            <w:r>
              <w:rPr>
                <w:color w:val="000000"/>
              </w:rPr>
              <w:t>m</w:t>
            </w:r>
            <w:r>
              <w:rPr>
                <w:color w:val="000000"/>
                <w:vertAlign w:val="superscript"/>
              </w:rPr>
              <w:t>2</w:t>
            </w:r>
            <w:r>
              <w:rPr>
                <w:color w:val="000000"/>
              </w:rPr>
              <w:t>，贴明警示标志并设好围堰和地面防渗，</w:t>
            </w:r>
            <w:r>
              <w:rPr>
                <w:rFonts w:hint="eastAsia"/>
                <w:color w:val="000000"/>
              </w:rPr>
              <w:t>项目废活性炭等危险废物暂时存放在危险废物暂存间。</w:t>
            </w:r>
          </w:p>
        </w:tc>
        <w:tc>
          <w:tcPr>
            <w:tcW w:w="1713" w:type="pct"/>
            <w:noWrap w:val="0"/>
            <w:vAlign w:val="center"/>
          </w:tcPr>
          <w:p w14:paraId="2A1EBFA0">
            <w:pPr>
              <w:pStyle w:val="44"/>
              <w:keepNext w:val="0"/>
              <w:keepLines w:val="0"/>
              <w:pageBreakBefore w:val="0"/>
              <w:kinsoku/>
              <w:wordWrap/>
              <w:overflowPunct/>
              <w:topLinePunct w:val="0"/>
              <w:autoSpaceDE/>
              <w:autoSpaceDN/>
              <w:bidi w:val="0"/>
              <w:adjustRightInd/>
              <w:snapToGrid/>
              <w:spacing w:line="240" w:lineRule="auto"/>
              <w:textAlignment w:val="auto"/>
              <w:rPr>
                <w:rFonts w:hint="eastAsia"/>
                <w:color w:val="000000"/>
              </w:rPr>
            </w:pPr>
            <w:r>
              <w:rPr>
                <w:rFonts w:hint="eastAsia"/>
                <w:color w:val="000000"/>
              </w:rPr>
              <w:t>厂房内设置了</w:t>
            </w:r>
            <w:r>
              <w:rPr>
                <w:color w:val="000000"/>
              </w:rPr>
              <w:t>危险废物暂存间，占地</w:t>
            </w:r>
            <w:r>
              <w:rPr>
                <w:rFonts w:hint="eastAsia"/>
                <w:color w:val="000000"/>
              </w:rPr>
              <w:t>2</w:t>
            </w:r>
            <w:r>
              <w:rPr>
                <w:rFonts w:hint="eastAsia"/>
                <w:color w:val="000000"/>
                <w:lang w:val="en-US" w:eastAsia="zh-CN"/>
              </w:rPr>
              <w:t>5</w:t>
            </w:r>
            <w:r>
              <w:rPr>
                <w:color w:val="000000"/>
              </w:rPr>
              <w:t>m</w:t>
            </w:r>
            <w:r>
              <w:rPr>
                <w:color w:val="000000"/>
                <w:vertAlign w:val="superscript"/>
              </w:rPr>
              <w:t>2</w:t>
            </w:r>
            <w:r>
              <w:rPr>
                <w:color w:val="000000"/>
              </w:rPr>
              <w:t>，贴明警示标志并设好围堰和地面防渗，</w:t>
            </w:r>
            <w:r>
              <w:rPr>
                <w:rFonts w:hint="eastAsia"/>
                <w:color w:val="000000"/>
              </w:rPr>
              <w:t>项目废胶废活性炭等危险废物暂时存放在危险废物暂存间</w:t>
            </w:r>
          </w:p>
        </w:tc>
        <w:tc>
          <w:tcPr>
            <w:tcW w:w="809" w:type="pct"/>
            <w:noWrap w:val="0"/>
            <w:vAlign w:val="center"/>
          </w:tcPr>
          <w:p w14:paraId="05C17247">
            <w:pPr>
              <w:pStyle w:val="44"/>
              <w:keepNext w:val="0"/>
              <w:keepLines w:val="0"/>
              <w:pageBreakBefore w:val="0"/>
              <w:kinsoku/>
              <w:wordWrap/>
              <w:overflowPunct/>
              <w:topLinePunct w:val="0"/>
              <w:autoSpaceDE/>
              <w:autoSpaceDN/>
              <w:bidi w:val="0"/>
              <w:adjustRightInd/>
              <w:snapToGrid/>
              <w:spacing w:line="240" w:lineRule="auto"/>
              <w:textAlignment w:val="auto"/>
              <w:rPr>
                <w:rFonts w:hint="eastAsia"/>
                <w:color w:val="000000"/>
              </w:rPr>
            </w:pPr>
            <w:r>
              <w:rPr>
                <w:rFonts w:hint="eastAsia"/>
                <w:color w:val="000000"/>
                <w:lang w:val="en-US" w:eastAsia="zh-CN"/>
              </w:rPr>
              <w:t>一致</w:t>
            </w:r>
          </w:p>
        </w:tc>
      </w:tr>
      <w:tr w14:paraId="0282F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50" w:type="pct"/>
            <w:vMerge w:val="continue"/>
            <w:noWrap w:val="0"/>
            <w:vAlign w:val="center"/>
          </w:tcPr>
          <w:p w14:paraId="657EA561">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p>
        </w:tc>
        <w:tc>
          <w:tcPr>
            <w:tcW w:w="609" w:type="pct"/>
            <w:gridSpan w:val="2"/>
            <w:noWrap w:val="0"/>
            <w:vAlign w:val="center"/>
          </w:tcPr>
          <w:p w14:paraId="212052D3">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噪声处置</w:t>
            </w:r>
          </w:p>
        </w:tc>
        <w:tc>
          <w:tcPr>
            <w:tcW w:w="1516" w:type="pct"/>
            <w:noWrap w:val="0"/>
            <w:vAlign w:val="center"/>
          </w:tcPr>
          <w:p w14:paraId="14624627">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color w:val="000000"/>
              </w:rPr>
              <w:t>选用低噪声设备，加强设备的维护管理，对高噪声设备采取减震、隔声等降噪措施</w:t>
            </w:r>
          </w:p>
        </w:tc>
        <w:tc>
          <w:tcPr>
            <w:tcW w:w="1713" w:type="pct"/>
            <w:noWrap w:val="0"/>
            <w:vAlign w:val="center"/>
          </w:tcPr>
          <w:p w14:paraId="1E81CD64">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rFonts w:hint="eastAsia"/>
                <w:color w:val="000000"/>
                <w:lang w:val="en-US" w:eastAsia="zh-CN"/>
              </w:rPr>
              <w:t>已</w:t>
            </w:r>
            <w:r>
              <w:rPr>
                <w:color w:val="000000"/>
              </w:rPr>
              <w:t>选用低噪声设备、隔声、减振、消声处理</w:t>
            </w:r>
          </w:p>
        </w:tc>
        <w:tc>
          <w:tcPr>
            <w:tcW w:w="809" w:type="pct"/>
            <w:noWrap w:val="0"/>
            <w:vAlign w:val="center"/>
          </w:tcPr>
          <w:p w14:paraId="25E3353B">
            <w:pPr>
              <w:pStyle w:val="44"/>
              <w:keepNext w:val="0"/>
              <w:keepLines w:val="0"/>
              <w:pageBreakBefore w:val="0"/>
              <w:kinsoku/>
              <w:wordWrap/>
              <w:overflowPunct/>
              <w:topLinePunct w:val="0"/>
              <w:autoSpaceDE/>
              <w:autoSpaceDN/>
              <w:bidi w:val="0"/>
              <w:adjustRightInd/>
              <w:snapToGrid/>
              <w:spacing w:line="240" w:lineRule="auto"/>
              <w:textAlignment w:val="auto"/>
              <w:rPr>
                <w:color w:val="000000"/>
              </w:rPr>
            </w:pPr>
            <w:r>
              <w:rPr>
                <w:rFonts w:hint="eastAsia"/>
                <w:color w:val="000000"/>
                <w:lang w:val="en-US" w:eastAsia="zh-CN"/>
              </w:rPr>
              <w:t>一致</w:t>
            </w:r>
          </w:p>
        </w:tc>
      </w:tr>
    </w:tbl>
    <w:p w14:paraId="500B1FD8">
      <w:pPr>
        <w:ind w:firstLine="480" w:firstLineChars="200"/>
        <w:sectPr>
          <w:pgSz w:w="16838" w:h="11906" w:orient="landscape"/>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pPr>
    </w:p>
    <w:tbl>
      <w:tblPr>
        <w:tblStyle w:val="20"/>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14:paraId="0EEB9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9" w:hRule="atLeast"/>
          <w:jc w:val="center"/>
        </w:trPr>
        <w:tc>
          <w:tcPr>
            <w:tcW w:w="9242" w:type="dxa"/>
          </w:tcPr>
          <w:p w14:paraId="54F4B157">
            <w:pPr>
              <w:spacing w:before="48" w:beforeLines="20"/>
              <w:rPr>
                <w:b/>
                <w:bCs/>
              </w:rPr>
            </w:pPr>
            <w:r>
              <w:rPr>
                <w:b/>
                <w:bCs/>
              </w:rPr>
              <w:t>原辅材料消耗及水平衡：</w:t>
            </w:r>
          </w:p>
          <w:p w14:paraId="2807C827">
            <w:pPr>
              <w:ind w:firstLine="480" w:firstLineChars="200"/>
            </w:pPr>
            <w:r>
              <w:t>项目主要从事</w:t>
            </w:r>
            <w:r>
              <w:rPr>
                <w:rFonts w:hint="eastAsia"/>
              </w:rPr>
              <w:t>车载盖板玻璃的生产</w:t>
            </w:r>
            <w:r>
              <w:t>，</w:t>
            </w:r>
            <w:r>
              <w:rPr>
                <w:rFonts w:hint="eastAsia" w:ascii="Times New Roman" w:hAnsi="Times New Roman"/>
              </w:rPr>
              <w:t>生产车载盖板玻璃</w:t>
            </w:r>
            <w:r>
              <w:rPr>
                <w:rFonts w:hint="eastAsia"/>
                <w:lang w:val="en-US" w:eastAsia="zh-CN"/>
              </w:rPr>
              <w:t>80万片/年</w:t>
            </w:r>
            <w:r>
              <w:t>。环评阶段主要原辅材料用量与验收工程原辅料用量未发生</w:t>
            </w:r>
            <w:r>
              <w:rPr>
                <w:rFonts w:hint="eastAsia"/>
              </w:rPr>
              <w:t>变动</w:t>
            </w:r>
            <w:r>
              <w:t>，详见表2-2。</w:t>
            </w:r>
          </w:p>
          <w:p w14:paraId="6BF5A1E1">
            <w:pPr>
              <w:spacing w:line="240" w:lineRule="auto"/>
              <w:ind w:firstLine="490"/>
              <w:jc w:val="center"/>
              <w:rPr>
                <w:b/>
                <w:bCs/>
                <w:snapToGrid w:val="0"/>
                <w:lang w:bidi="en-US"/>
              </w:rPr>
            </w:pPr>
            <w:r>
              <w:rPr>
                <w:b/>
                <w:bCs/>
                <w:snapToGrid w:val="0"/>
                <w:lang w:bidi="en-US"/>
              </w:rPr>
              <w:t>表2-2主要原辅材料及用量</w:t>
            </w:r>
          </w:p>
          <w:tbl>
            <w:tblPr>
              <w:tblStyle w:val="20"/>
              <w:tblW w:w="902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85"/>
              <w:gridCol w:w="3047"/>
              <w:gridCol w:w="1099"/>
              <w:gridCol w:w="1847"/>
              <w:gridCol w:w="1843"/>
            </w:tblGrid>
            <w:tr w14:paraId="7EEFF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1185" w:type="dxa"/>
                  <w:vAlign w:val="center"/>
                </w:tcPr>
                <w:p w14:paraId="5B42DC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序号</w:t>
                  </w:r>
                </w:p>
              </w:tc>
              <w:tc>
                <w:tcPr>
                  <w:tcW w:w="3047" w:type="dxa"/>
                  <w:vAlign w:val="center"/>
                </w:tcPr>
                <w:p w14:paraId="0DB887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原辅材料名称</w:t>
                  </w:r>
                </w:p>
              </w:tc>
              <w:tc>
                <w:tcPr>
                  <w:tcW w:w="1099" w:type="dxa"/>
                  <w:vAlign w:val="center"/>
                </w:tcPr>
                <w:p w14:paraId="7D9732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单位</w:t>
                  </w:r>
                </w:p>
              </w:tc>
              <w:tc>
                <w:tcPr>
                  <w:tcW w:w="1847" w:type="dxa"/>
                  <w:vAlign w:val="center"/>
                </w:tcPr>
                <w:p w14:paraId="0F790A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1"/>
                      <w:szCs w:val="21"/>
                    </w:rPr>
                  </w:pPr>
                  <w:r>
                    <w:rPr>
                      <w:rFonts w:hint="eastAsia"/>
                      <w:b/>
                      <w:sz w:val="21"/>
                      <w:szCs w:val="21"/>
                    </w:rPr>
                    <w:t>环评</w:t>
                  </w:r>
                  <w:r>
                    <w:rPr>
                      <w:rFonts w:hint="eastAsia"/>
                      <w:b/>
                      <w:sz w:val="21"/>
                      <w:szCs w:val="21"/>
                      <w:lang w:val="en-US" w:eastAsia="zh-CN"/>
                    </w:rPr>
                    <w:t>全厂</w:t>
                  </w:r>
                  <w:r>
                    <w:rPr>
                      <w:b/>
                      <w:sz w:val="21"/>
                      <w:szCs w:val="21"/>
                    </w:rPr>
                    <w:t>年用量</w:t>
                  </w:r>
                </w:p>
              </w:tc>
              <w:tc>
                <w:tcPr>
                  <w:tcW w:w="1843" w:type="dxa"/>
                  <w:vAlign w:val="center"/>
                </w:tcPr>
                <w:p w14:paraId="1E911B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1"/>
                      <w:szCs w:val="21"/>
                    </w:rPr>
                  </w:pPr>
                  <w:r>
                    <w:rPr>
                      <w:rFonts w:hint="eastAsia"/>
                      <w:b/>
                      <w:sz w:val="21"/>
                      <w:szCs w:val="21"/>
                    </w:rPr>
                    <w:t>实际年用量</w:t>
                  </w:r>
                </w:p>
              </w:tc>
            </w:tr>
            <w:tr w14:paraId="16D57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1185" w:type="dxa"/>
                  <w:vAlign w:val="center"/>
                </w:tcPr>
                <w:p w14:paraId="6AE851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c>
                <w:tcPr>
                  <w:tcW w:w="3047" w:type="dxa"/>
                  <w:vAlign w:val="center"/>
                </w:tcPr>
                <w:p w14:paraId="001C49A8">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玻璃原片</w:t>
                  </w:r>
                </w:p>
              </w:tc>
              <w:tc>
                <w:tcPr>
                  <w:tcW w:w="1099" w:type="dxa"/>
                  <w:vAlign w:val="center"/>
                </w:tcPr>
                <w:p w14:paraId="43246D4D">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平方米</w:t>
                  </w:r>
                </w:p>
              </w:tc>
              <w:tc>
                <w:tcPr>
                  <w:tcW w:w="1847" w:type="dxa"/>
                  <w:vAlign w:val="center"/>
                </w:tcPr>
                <w:p w14:paraId="53ABA68F">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500000</w:t>
                  </w:r>
                </w:p>
              </w:tc>
              <w:tc>
                <w:tcPr>
                  <w:tcW w:w="1843" w:type="dxa"/>
                  <w:vAlign w:val="center"/>
                </w:tcPr>
                <w:p w14:paraId="766DCAAC">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lang w:val="en-US"/>
                    </w:rPr>
                  </w:pPr>
                  <w:r>
                    <w:rPr>
                      <w:rFonts w:hint="eastAsia" w:cs="Times New Roman"/>
                      <w:sz w:val="21"/>
                      <w:szCs w:val="21"/>
                      <w:lang w:val="en-US" w:eastAsia="zh-CN"/>
                    </w:rPr>
                    <w:t>500000</w:t>
                  </w:r>
                </w:p>
              </w:tc>
            </w:tr>
            <w:tr w14:paraId="47DBC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185" w:type="dxa"/>
                  <w:vAlign w:val="center"/>
                </w:tcPr>
                <w:p w14:paraId="2E650B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2</w:t>
                  </w:r>
                </w:p>
              </w:tc>
              <w:tc>
                <w:tcPr>
                  <w:tcW w:w="3047" w:type="dxa"/>
                  <w:vAlign w:val="center"/>
                </w:tcPr>
                <w:p w14:paraId="40E8DC37">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清洗剂</w:t>
                  </w:r>
                </w:p>
              </w:tc>
              <w:tc>
                <w:tcPr>
                  <w:tcW w:w="1099" w:type="dxa"/>
                  <w:vAlign w:val="center"/>
                </w:tcPr>
                <w:p w14:paraId="6D8BCD49">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吨</w:t>
                  </w:r>
                </w:p>
              </w:tc>
              <w:tc>
                <w:tcPr>
                  <w:tcW w:w="1847" w:type="dxa"/>
                  <w:vAlign w:val="center"/>
                </w:tcPr>
                <w:p w14:paraId="021FD4D0">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500</w:t>
                  </w:r>
                </w:p>
              </w:tc>
              <w:tc>
                <w:tcPr>
                  <w:tcW w:w="1843" w:type="dxa"/>
                  <w:vAlign w:val="center"/>
                </w:tcPr>
                <w:p w14:paraId="663F3F65">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szCs w:val="21"/>
                      <w:lang w:val="en-US" w:eastAsia="zh-CN"/>
                    </w:rPr>
                  </w:pPr>
                  <w:r>
                    <w:rPr>
                      <w:rFonts w:hint="eastAsia" w:cs="Times New Roman"/>
                      <w:sz w:val="21"/>
                      <w:szCs w:val="21"/>
                      <w:lang w:val="en-US" w:eastAsia="zh-CN"/>
                    </w:rPr>
                    <w:t>500</w:t>
                  </w:r>
                </w:p>
              </w:tc>
            </w:tr>
            <w:tr w14:paraId="52BA6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185" w:type="dxa"/>
                  <w:vAlign w:val="center"/>
                </w:tcPr>
                <w:p w14:paraId="735C51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3</w:t>
                  </w:r>
                </w:p>
              </w:tc>
              <w:tc>
                <w:tcPr>
                  <w:tcW w:w="3047" w:type="dxa"/>
                  <w:vAlign w:val="center"/>
                </w:tcPr>
                <w:p w14:paraId="40E19630">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磨头</w:t>
                  </w:r>
                </w:p>
              </w:tc>
              <w:tc>
                <w:tcPr>
                  <w:tcW w:w="1099" w:type="dxa"/>
                  <w:vAlign w:val="center"/>
                </w:tcPr>
                <w:p w14:paraId="4DA54CAE">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支</w:t>
                  </w:r>
                </w:p>
              </w:tc>
              <w:tc>
                <w:tcPr>
                  <w:tcW w:w="1847" w:type="dxa"/>
                  <w:vAlign w:val="center"/>
                </w:tcPr>
                <w:p w14:paraId="54E42945">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66000</w:t>
                  </w:r>
                </w:p>
              </w:tc>
              <w:tc>
                <w:tcPr>
                  <w:tcW w:w="1843" w:type="dxa"/>
                  <w:vAlign w:val="center"/>
                </w:tcPr>
                <w:p w14:paraId="3420661E">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szCs w:val="21"/>
                      <w:lang w:val="en-US" w:eastAsia="zh-CN"/>
                    </w:rPr>
                  </w:pPr>
                  <w:r>
                    <w:rPr>
                      <w:rFonts w:hint="eastAsia" w:cs="Times New Roman"/>
                      <w:sz w:val="21"/>
                      <w:szCs w:val="21"/>
                      <w:lang w:val="en-US" w:eastAsia="zh-CN"/>
                    </w:rPr>
                    <w:t>66000</w:t>
                  </w:r>
                </w:p>
              </w:tc>
            </w:tr>
            <w:tr w14:paraId="551D6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185" w:type="dxa"/>
                  <w:vAlign w:val="center"/>
                </w:tcPr>
                <w:p w14:paraId="429B82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4</w:t>
                  </w:r>
                </w:p>
              </w:tc>
              <w:tc>
                <w:tcPr>
                  <w:tcW w:w="3047" w:type="dxa"/>
                  <w:vAlign w:val="center"/>
                </w:tcPr>
                <w:p w14:paraId="448E8A57">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spacing w:val="7"/>
                      <w:sz w:val="20"/>
                      <w:szCs w:val="20"/>
                    </w:rPr>
                    <w:t>切削液</w:t>
                  </w:r>
                </w:p>
              </w:tc>
              <w:tc>
                <w:tcPr>
                  <w:tcW w:w="1099" w:type="dxa"/>
                  <w:vAlign w:val="center"/>
                </w:tcPr>
                <w:p w14:paraId="528EE914">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吨</w:t>
                  </w:r>
                </w:p>
              </w:tc>
              <w:tc>
                <w:tcPr>
                  <w:tcW w:w="1847" w:type="dxa"/>
                  <w:vAlign w:val="center"/>
                </w:tcPr>
                <w:p w14:paraId="4190455C">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w:t>
                  </w:r>
                </w:p>
              </w:tc>
              <w:tc>
                <w:tcPr>
                  <w:tcW w:w="1843" w:type="dxa"/>
                  <w:vAlign w:val="center"/>
                </w:tcPr>
                <w:p w14:paraId="53F0EB5A">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szCs w:val="21"/>
                      <w:lang w:val="en-US" w:eastAsia="zh-CN"/>
                    </w:rPr>
                  </w:pPr>
                  <w:r>
                    <w:rPr>
                      <w:rFonts w:hint="eastAsia" w:cs="Times New Roman"/>
                      <w:sz w:val="21"/>
                      <w:szCs w:val="21"/>
                      <w:lang w:val="en-US" w:eastAsia="zh-CN"/>
                    </w:rPr>
                    <w:t>1.2</w:t>
                  </w:r>
                </w:p>
              </w:tc>
            </w:tr>
            <w:tr w14:paraId="25AF9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185" w:type="dxa"/>
                  <w:vAlign w:val="center"/>
                </w:tcPr>
                <w:p w14:paraId="085271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rFonts w:hint="eastAsia"/>
                      <w:sz w:val="21"/>
                      <w:szCs w:val="21"/>
                      <w:lang w:val="en-US" w:eastAsia="zh-CN"/>
                    </w:rPr>
                    <w:t>5</w:t>
                  </w:r>
                </w:p>
              </w:tc>
              <w:tc>
                <w:tcPr>
                  <w:tcW w:w="3047" w:type="dxa"/>
                  <w:vAlign w:val="center"/>
                </w:tcPr>
                <w:p w14:paraId="6D2A64E0">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pacing w:val="7"/>
                      <w:sz w:val="20"/>
                      <w:szCs w:val="20"/>
                    </w:rPr>
                  </w:pPr>
                  <w:r>
                    <w:rPr>
                      <w:rFonts w:hint="eastAsia"/>
                      <w:spacing w:val="7"/>
                      <w:sz w:val="20"/>
                      <w:szCs w:val="20"/>
                    </w:rPr>
                    <w:t>HY系列油墨</w:t>
                  </w:r>
                </w:p>
              </w:tc>
              <w:tc>
                <w:tcPr>
                  <w:tcW w:w="1099" w:type="dxa"/>
                  <w:vAlign w:val="center"/>
                </w:tcPr>
                <w:p w14:paraId="0D422E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吨</w:t>
                  </w:r>
                </w:p>
              </w:tc>
              <w:tc>
                <w:tcPr>
                  <w:tcW w:w="1847" w:type="dxa"/>
                  <w:vAlign w:val="center"/>
                </w:tcPr>
                <w:p w14:paraId="04F84076">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sz w:val="21"/>
                      <w:szCs w:val="21"/>
                      <w:lang w:val="en-US" w:eastAsia="zh-CN"/>
                    </w:rPr>
                  </w:pPr>
                  <w:r>
                    <w:rPr>
                      <w:rFonts w:hint="eastAsia" w:cs="Times New Roman"/>
                      <w:sz w:val="21"/>
                      <w:szCs w:val="21"/>
                      <w:lang w:val="en-US" w:eastAsia="zh-CN"/>
                    </w:rPr>
                    <w:t>3</w:t>
                  </w:r>
                </w:p>
              </w:tc>
              <w:tc>
                <w:tcPr>
                  <w:tcW w:w="1843" w:type="dxa"/>
                  <w:vAlign w:val="center"/>
                </w:tcPr>
                <w:p w14:paraId="109E81E4">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cs="Times New Roman"/>
                      <w:sz w:val="21"/>
                      <w:szCs w:val="21"/>
                      <w:lang w:val="en-US" w:eastAsia="zh-CN"/>
                    </w:rPr>
                    <w:t>3</w:t>
                  </w:r>
                </w:p>
              </w:tc>
            </w:tr>
            <w:tr w14:paraId="7695E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185" w:type="dxa"/>
                  <w:vAlign w:val="center"/>
                </w:tcPr>
                <w:p w14:paraId="13DC04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rFonts w:hint="eastAsia"/>
                      <w:sz w:val="21"/>
                      <w:szCs w:val="21"/>
                      <w:lang w:val="en-US" w:eastAsia="zh-CN"/>
                    </w:rPr>
                    <w:t>6</w:t>
                  </w:r>
                </w:p>
              </w:tc>
              <w:tc>
                <w:tcPr>
                  <w:tcW w:w="3047" w:type="dxa"/>
                  <w:vAlign w:val="center"/>
                </w:tcPr>
                <w:p w14:paraId="546B9D23">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pacing w:val="7"/>
                      <w:sz w:val="20"/>
                      <w:szCs w:val="20"/>
                    </w:rPr>
                  </w:pPr>
                  <w:r>
                    <w:rPr>
                      <w:rFonts w:hint="eastAsia"/>
                      <w:spacing w:val="7"/>
                      <w:sz w:val="20"/>
                      <w:szCs w:val="20"/>
                    </w:rPr>
                    <w:t>12-QFC油墨</w:t>
                  </w:r>
                </w:p>
              </w:tc>
              <w:tc>
                <w:tcPr>
                  <w:tcW w:w="1099" w:type="dxa"/>
                  <w:vAlign w:val="center"/>
                </w:tcPr>
                <w:p w14:paraId="15DC23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吨</w:t>
                  </w:r>
                </w:p>
              </w:tc>
              <w:tc>
                <w:tcPr>
                  <w:tcW w:w="1847" w:type="dxa"/>
                  <w:vAlign w:val="center"/>
                </w:tcPr>
                <w:p w14:paraId="101F3F4A">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sz w:val="21"/>
                      <w:szCs w:val="21"/>
                      <w:lang w:val="en-US" w:eastAsia="zh-CN"/>
                    </w:rPr>
                  </w:pPr>
                  <w:r>
                    <w:rPr>
                      <w:rFonts w:hint="eastAsia" w:cs="Times New Roman"/>
                      <w:sz w:val="21"/>
                      <w:szCs w:val="21"/>
                      <w:lang w:val="en-US" w:eastAsia="zh-CN"/>
                    </w:rPr>
                    <w:t>5</w:t>
                  </w:r>
                </w:p>
              </w:tc>
              <w:tc>
                <w:tcPr>
                  <w:tcW w:w="1843" w:type="dxa"/>
                  <w:vAlign w:val="center"/>
                </w:tcPr>
                <w:p w14:paraId="31615986">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cs="Times New Roman"/>
                      <w:sz w:val="21"/>
                      <w:szCs w:val="21"/>
                      <w:lang w:val="en-US" w:eastAsia="zh-CN"/>
                    </w:rPr>
                    <w:t>5</w:t>
                  </w:r>
                </w:p>
              </w:tc>
            </w:tr>
            <w:tr w14:paraId="42274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185" w:type="dxa"/>
                  <w:vAlign w:val="center"/>
                </w:tcPr>
                <w:p w14:paraId="703991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rFonts w:hint="eastAsia"/>
                      <w:sz w:val="21"/>
                      <w:szCs w:val="21"/>
                      <w:lang w:val="en-US" w:eastAsia="zh-CN"/>
                    </w:rPr>
                    <w:t>7</w:t>
                  </w:r>
                </w:p>
              </w:tc>
              <w:tc>
                <w:tcPr>
                  <w:tcW w:w="3047" w:type="dxa"/>
                  <w:vAlign w:val="center"/>
                </w:tcPr>
                <w:p w14:paraId="39E72D91">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pacing w:val="7"/>
                      <w:sz w:val="20"/>
                      <w:szCs w:val="20"/>
                    </w:rPr>
                  </w:pPr>
                  <w:r>
                    <w:rPr>
                      <w:rFonts w:hint="eastAsia"/>
                      <w:spacing w:val="7"/>
                      <w:sz w:val="20"/>
                      <w:szCs w:val="20"/>
                    </w:rPr>
                    <w:t>硝酸钾</w:t>
                  </w:r>
                </w:p>
              </w:tc>
              <w:tc>
                <w:tcPr>
                  <w:tcW w:w="1099" w:type="dxa"/>
                  <w:vAlign w:val="center"/>
                </w:tcPr>
                <w:p w14:paraId="2AA387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吨</w:t>
                  </w:r>
                </w:p>
              </w:tc>
              <w:tc>
                <w:tcPr>
                  <w:tcW w:w="1847" w:type="dxa"/>
                  <w:vAlign w:val="center"/>
                </w:tcPr>
                <w:p w14:paraId="1F60050F">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sz w:val="21"/>
                      <w:szCs w:val="21"/>
                      <w:lang w:val="en-US" w:eastAsia="zh-CN"/>
                    </w:rPr>
                  </w:pPr>
                  <w:r>
                    <w:rPr>
                      <w:rFonts w:hint="eastAsia" w:cs="Times New Roman"/>
                      <w:sz w:val="21"/>
                      <w:szCs w:val="21"/>
                      <w:lang w:val="en-US" w:eastAsia="zh-CN"/>
                    </w:rPr>
                    <w:t>120</w:t>
                  </w:r>
                </w:p>
              </w:tc>
              <w:tc>
                <w:tcPr>
                  <w:tcW w:w="1843" w:type="dxa"/>
                  <w:vAlign w:val="center"/>
                </w:tcPr>
                <w:p w14:paraId="5CE926C7">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cs="Times New Roman"/>
                      <w:sz w:val="21"/>
                      <w:szCs w:val="21"/>
                      <w:lang w:val="en-US" w:eastAsia="zh-CN"/>
                    </w:rPr>
                    <w:t>120</w:t>
                  </w:r>
                </w:p>
              </w:tc>
            </w:tr>
          </w:tbl>
          <w:p w14:paraId="4651EE25">
            <w:pPr>
              <w:spacing w:before="48" w:beforeLines="20"/>
              <w:rPr>
                <w:sz w:val="21"/>
                <w:szCs w:val="21"/>
              </w:rPr>
            </w:pPr>
          </w:p>
        </w:tc>
      </w:tr>
      <w:tr w14:paraId="1F10F8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53" w:hRule="atLeast"/>
          <w:jc w:val="center"/>
        </w:trPr>
        <w:tc>
          <w:tcPr>
            <w:tcW w:w="9242" w:type="dxa"/>
          </w:tcPr>
          <w:p w14:paraId="3AE7F53E">
            <w:pPr>
              <w:spacing w:before="48" w:beforeLines="20"/>
              <w:rPr>
                <w:b/>
                <w:bCs/>
              </w:rPr>
            </w:pPr>
            <w:r>
              <w:rPr>
                <w:b/>
                <w:bCs/>
              </w:rPr>
              <w:t>主要工艺流程及产污环节（附处理工艺流程图，标出产污节点）</w:t>
            </w:r>
          </w:p>
          <w:p w14:paraId="1186B1A3">
            <w:pPr>
              <w:jc w:val="center"/>
              <w:rPr>
                <w:rFonts w:hint="eastAsia" w:eastAsia="宋体"/>
                <w:lang w:eastAsia="zh-CN"/>
              </w:rPr>
            </w:pPr>
            <w:r>
              <w:drawing>
                <wp:inline distT="0" distB="0" distL="114300" distR="114300">
                  <wp:extent cx="5727065" cy="31210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5727065" cy="3121025"/>
                          </a:xfrm>
                          <a:prstGeom prst="rect">
                            <a:avLst/>
                          </a:prstGeom>
                          <a:noFill/>
                          <a:ln>
                            <a:noFill/>
                          </a:ln>
                        </pic:spPr>
                      </pic:pic>
                    </a:graphicData>
                  </a:graphic>
                </wp:inline>
              </w:drawing>
            </w:r>
          </w:p>
          <w:p w14:paraId="73B32C88">
            <w:pPr>
              <w:spacing w:line="260" w:lineRule="exact"/>
              <w:jc w:val="center"/>
              <w:rPr>
                <w:rFonts w:hint="eastAsia" w:eastAsia="宋体"/>
                <w:b/>
                <w:lang w:val="en-US" w:eastAsia="zh-CN"/>
              </w:rPr>
            </w:pPr>
            <w:r>
              <w:rPr>
                <w:b/>
                <w:snapToGrid w:val="0"/>
                <w:lang w:bidi="en-US"/>
              </w:rPr>
              <w:t>图2-1项目生产工艺及产污环节</w:t>
            </w:r>
            <w:r>
              <w:rPr>
                <w:b/>
              </w:rPr>
              <w:t>图</w:t>
            </w:r>
          </w:p>
        </w:tc>
      </w:tr>
      <w:tr w14:paraId="4E327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99" w:hRule="atLeast"/>
          <w:jc w:val="center"/>
        </w:trPr>
        <w:tc>
          <w:tcPr>
            <w:tcW w:w="9242" w:type="dxa"/>
          </w:tcPr>
          <w:p w14:paraId="51B62776">
            <w:pPr>
              <w:rPr>
                <w:b/>
              </w:rPr>
            </w:pPr>
            <w:r>
              <w:rPr>
                <w:b/>
              </w:rPr>
              <w:t>工艺流程说明：</w:t>
            </w:r>
          </w:p>
          <w:p w14:paraId="6674F9A9">
            <w:pPr>
              <w:ind w:firstLine="600" w:firstLineChars="250"/>
              <w:rPr>
                <w:rFonts w:hint="eastAsia" w:ascii="Times New Roman" w:hAnsi="Times New Roman"/>
              </w:rPr>
            </w:pPr>
            <w:r>
              <w:rPr>
                <w:rFonts w:hint="eastAsia" w:ascii="Times New Roman" w:hAnsi="Times New Roman"/>
              </w:rPr>
              <w:t>本产品工艺流程较为简单，本项目</w:t>
            </w:r>
            <w:r>
              <w:rPr>
                <w:rFonts w:hint="eastAsia"/>
                <w:lang w:val="en-US" w:eastAsia="zh-CN"/>
              </w:rPr>
              <w:t>从事车载盖板玻璃</w:t>
            </w:r>
            <w:r>
              <w:rPr>
                <w:rFonts w:hint="eastAsia" w:ascii="Times New Roman" w:hAnsi="Times New Roman"/>
              </w:rPr>
              <w:t>的生产；</w:t>
            </w:r>
          </w:p>
          <w:p w14:paraId="7FF7426F">
            <w:pPr>
              <w:pStyle w:val="9"/>
              <w:ind w:firstLine="480" w:firstLineChars="200"/>
              <w:rPr>
                <w:rFonts w:hint="eastAsia" w:ascii="Times New Roman" w:hAnsi="Times New Roman"/>
              </w:rPr>
            </w:pPr>
            <w:r>
              <w:rPr>
                <w:rFonts w:hint="eastAsia" w:ascii="Times New Roman" w:hAnsi="Times New Roman"/>
              </w:rPr>
              <w:t>①开料：采用开料机将原料玻璃切割成需要的尺寸玻璃，由于开料机刀轮的材质比玻璃的硬度大，可以轻易把玻璃划开，因此不产生粉尘。此过程会产生S1边角料及残次品和噪声。</w:t>
            </w:r>
          </w:p>
          <w:p w14:paraId="266020A8">
            <w:pPr>
              <w:pStyle w:val="9"/>
              <w:ind w:firstLine="480" w:firstLineChars="200"/>
              <w:rPr>
                <w:rFonts w:hint="eastAsia" w:ascii="Times New Roman" w:hAnsi="Times New Roman"/>
              </w:rPr>
            </w:pPr>
            <w:r>
              <w:rPr>
                <w:rFonts w:hint="eastAsia" w:ascii="Times New Roman" w:hAnsi="Times New Roman"/>
              </w:rPr>
              <w:t>②CNC加工：CNC是一种由程序控制自动化机床，该控制系统能够逻辑的处理具有控制编码或其他符号指令规定的程序，通过计算机将其译码，从而使机床执行规定好了的动作，通过磨头切削将毛坯料加工成半成品零件。CNC作业时使用精雕机对裁切好的玻璃进行磨边，磨边时加入纯水提升效果，去除余量，同时利用掰边机进行掰边，使其边角圆润、无毛边，精雕过程加入切削液，因此不产生粉尘。此过程会产生S1</w:t>
            </w:r>
            <w:r>
              <w:rPr>
                <w:rFonts w:hint="eastAsia"/>
                <w:lang w:val="en-US" w:eastAsia="zh-CN"/>
              </w:rPr>
              <w:t>·</w:t>
            </w:r>
            <w:r>
              <w:rPr>
                <w:rFonts w:hint="eastAsia" w:ascii="Times New Roman" w:hAnsi="Times New Roman"/>
              </w:rPr>
              <w:t>边角料及残次品、噪声、S2废切削液、W1磨边废水。</w:t>
            </w:r>
          </w:p>
          <w:p w14:paraId="11779555">
            <w:pPr>
              <w:pStyle w:val="9"/>
              <w:ind w:firstLine="480" w:firstLineChars="200"/>
              <w:rPr>
                <w:rFonts w:hint="eastAsia" w:ascii="Times New Roman" w:hAnsi="Times New Roman"/>
              </w:rPr>
            </w:pPr>
            <w:r>
              <w:rPr>
                <w:rFonts w:hint="eastAsia" w:ascii="Times New Roman" w:hAnsi="Times New Roman"/>
              </w:rPr>
              <w:t>③超声波清洗1：通过平板清洗机去除附着在玻璃表面的赃污及尘点等物，使玻璃在钢化等生产工序达到更好的效果。清洗机清洗后送入隧道式烘干机进行烘干，清洗过程主要为清洗工段和漂洗工段，清洗工段采用清洗剂与纯水混合使用，漂洗工段采用逆流漂洗工艺，均使用纯水。此过程会产生W2清洗废水和噪声。</w:t>
            </w:r>
          </w:p>
          <w:p w14:paraId="7C34BCDC">
            <w:pPr>
              <w:pStyle w:val="9"/>
              <w:ind w:firstLine="480" w:firstLineChars="200"/>
              <w:rPr>
                <w:rFonts w:hint="eastAsia" w:ascii="Times New Roman" w:hAnsi="Times New Roman"/>
              </w:rPr>
            </w:pPr>
            <w:r>
              <w:rPr>
                <w:rFonts w:hint="eastAsia" w:ascii="Times New Roman" w:hAnsi="Times New Roman"/>
              </w:rPr>
              <w:t>④强化（钢化）：清洗烘干后的玻璃先将钢化炉预热段预热至200℃，然后进入加热段加热至400℃(硝酸钾在此温度下融化，不挥发)的液态硝酸钾槽浸泡2-4h，取出后放置冷却，钢化工序采用电加热。此过程会产生S3废硝酸钾和废硝酸钾包装袋。</w:t>
            </w:r>
          </w:p>
          <w:p w14:paraId="47845E41">
            <w:pPr>
              <w:pStyle w:val="9"/>
              <w:ind w:firstLine="480" w:firstLineChars="200"/>
              <w:rPr>
                <w:rFonts w:hint="eastAsia" w:ascii="Times New Roman" w:hAnsi="Times New Roman"/>
              </w:rPr>
            </w:pPr>
            <w:r>
              <w:rPr>
                <w:rFonts w:hint="eastAsia" w:ascii="Times New Roman" w:hAnsi="Times New Roman"/>
              </w:rPr>
              <w:t>⑥超声波清洗2：通过超声波清洗机去除附着在玻璃表面的赃污及尘点等物，使玻璃在覆膜等生产工序达到更好的效果。此过程会产生W3清洗废水和噪声。</w:t>
            </w:r>
          </w:p>
          <w:p w14:paraId="25909EC2">
            <w:pPr>
              <w:pStyle w:val="9"/>
              <w:ind w:firstLine="480" w:firstLineChars="200"/>
              <w:rPr>
                <w:rFonts w:hint="eastAsia" w:ascii="Times New Roman" w:hAnsi="Times New Roman"/>
              </w:rPr>
            </w:pPr>
            <w:r>
              <w:rPr>
                <w:rFonts w:hint="eastAsia" w:ascii="Times New Roman" w:hAnsi="Times New Roman"/>
              </w:rPr>
              <w:t>⑦检验：根据要求对产品贴上保护膜，并进行检验。此过程会产生S1边角料及残次品。</w:t>
            </w:r>
          </w:p>
          <w:p w14:paraId="0576DEB4">
            <w:pPr>
              <w:pStyle w:val="9"/>
              <w:ind w:firstLine="480" w:firstLineChars="200"/>
              <w:rPr>
                <w:rFonts w:hint="eastAsia" w:ascii="Times New Roman" w:hAnsi="Times New Roman"/>
              </w:rPr>
            </w:pPr>
            <w:r>
              <w:rPr>
                <w:rFonts w:hint="eastAsia" w:ascii="Times New Roman" w:hAnsi="Times New Roman"/>
              </w:rPr>
              <w:t>⑧印刷、烘干：该生产工序在洁净厂房内进行，通过网版及定位板印刷使油墨附着在玻璃表面，再经隧道式烘干机进行烘干从而实现成品要求的外观效果。隧道式烘干机采用电加热。此过程会产生G1有机废气、S4废原料桶和噪声。</w:t>
            </w:r>
          </w:p>
          <w:p w14:paraId="052B9A3E">
            <w:pPr>
              <w:pStyle w:val="9"/>
              <w:ind w:firstLine="480" w:firstLineChars="200"/>
            </w:pPr>
            <w:r>
              <w:rPr>
                <w:rFonts w:hint="eastAsia" w:ascii="Times New Roman" w:hAnsi="Times New Roman"/>
              </w:rPr>
              <w:t>⑨成品包装入库：生产线所得产品即为成品，包装入库待售。此过程会产生S5废包装材料。</w:t>
            </w:r>
          </w:p>
        </w:tc>
      </w:tr>
      <w:tr w14:paraId="35A28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52" w:hRule="atLeast"/>
          <w:jc w:val="center"/>
        </w:trPr>
        <w:tc>
          <w:tcPr>
            <w:tcW w:w="9242" w:type="dxa"/>
          </w:tcPr>
          <w:p w14:paraId="13D3848F">
            <w:pPr>
              <w:ind w:firstLine="482" w:firstLineChars="200"/>
              <w:rPr>
                <w:b/>
              </w:rPr>
            </w:pPr>
            <w:r>
              <w:rPr>
                <w:b/>
              </w:rPr>
              <w:t>主要产污环节：</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922"/>
              <w:gridCol w:w="1540"/>
              <w:gridCol w:w="1949"/>
              <w:gridCol w:w="3911"/>
            </w:tblGrid>
            <w:tr w14:paraId="7009F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7" w:type="pct"/>
                  <w:noWrap w:val="0"/>
                  <w:vAlign w:val="center"/>
                </w:tcPr>
                <w:p w14:paraId="11890AB5">
                  <w:pPr>
                    <w:keepNext w:val="0"/>
                    <w:keepLines w:val="0"/>
                    <w:pageBreakBefore w:val="0"/>
                    <w:widowControl/>
                    <w:kinsoku/>
                    <w:wordWrap/>
                    <w:overflowPunct/>
                    <w:topLinePunct w:val="0"/>
                    <w:bidi w:val="0"/>
                    <w:adjustRightInd/>
                    <w:snapToGrid/>
                    <w:spacing w:line="240" w:lineRule="auto"/>
                    <w:jc w:val="center"/>
                    <w:rPr>
                      <w:b/>
                      <w:bCs/>
                      <w:color w:val="000000"/>
                      <w:kern w:val="0"/>
                      <w:sz w:val="21"/>
                      <w:szCs w:val="21"/>
                    </w:rPr>
                  </w:pPr>
                  <w:r>
                    <w:rPr>
                      <w:b/>
                      <w:bCs/>
                      <w:color w:val="000000"/>
                      <w:kern w:val="0"/>
                      <w:sz w:val="21"/>
                      <w:szCs w:val="21"/>
                    </w:rPr>
                    <w:t>序号</w:t>
                  </w:r>
                </w:p>
              </w:tc>
              <w:tc>
                <w:tcPr>
                  <w:tcW w:w="511" w:type="pct"/>
                  <w:noWrap w:val="0"/>
                  <w:vAlign w:val="center"/>
                </w:tcPr>
                <w:p w14:paraId="366A797B">
                  <w:pPr>
                    <w:keepNext w:val="0"/>
                    <w:keepLines w:val="0"/>
                    <w:pageBreakBefore w:val="0"/>
                    <w:widowControl/>
                    <w:kinsoku/>
                    <w:wordWrap/>
                    <w:overflowPunct/>
                    <w:topLinePunct w:val="0"/>
                    <w:bidi w:val="0"/>
                    <w:adjustRightInd/>
                    <w:snapToGrid/>
                    <w:spacing w:line="240" w:lineRule="auto"/>
                    <w:jc w:val="center"/>
                    <w:rPr>
                      <w:b/>
                      <w:bCs/>
                      <w:color w:val="000000"/>
                      <w:kern w:val="0"/>
                      <w:sz w:val="21"/>
                      <w:szCs w:val="21"/>
                    </w:rPr>
                  </w:pPr>
                  <w:r>
                    <w:rPr>
                      <w:b/>
                      <w:bCs/>
                      <w:color w:val="000000"/>
                      <w:kern w:val="0"/>
                      <w:sz w:val="21"/>
                      <w:szCs w:val="21"/>
                    </w:rPr>
                    <w:t>污染源</w:t>
                  </w:r>
                </w:p>
              </w:tc>
              <w:tc>
                <w:tcPr>
                  <w:tcW w:w="853" w:type="pct"/>
                  <w:tcBorders>
                    <w:left w:val="single" w:color="000000" w:sz="4" w:space="0"/>
                    <w:right w:val="single" w:color="000000" w:sz="4" w:space="0"/>
                  </w:tcBorders>
                  <w:noWrap w:val="0"/>
                  <w:vAlign w:val="center"/>
                </w:tcPr>
                <w:p w14:paraId="2042690C">
                  <w:pPr>
                    <w:keepNext w:val="0"/>
                    <w:keepLines w:val="0"/>
                    <w:pageBreakBefore w:val="0"/>
                    <w:widowControl/>
                    <w:kinsoku/>
                    <w:wordWrap/>
                    <w:overflowPunct/>
                    <w:topLinePunct w:val="0"/>
                    <w:bidi w:val="0"/>
                    <w:adjustRightInd/>
                    <w:snapToGrid/>
                    <w:spacing w:line="240" w:lineRule="auto"/>
                    <w:jc w:val="center"/>
                    <w:rPr>
                      <w:b/>
                      <w:bCs/>
                      <w:color w:val="000000"/>
                      <w:kern w:val="0"/>
                      <w:sz w:val="21"/>
                      <w:szCs w:val="21"/>
                    </w:rPr>
                  </w:pPr>
                  <w:r>
                    <w:rPr>
                      <w:b/>
                      <w:bCs/>
                      <w:color w:val="000000"/>
                      <w:kern w:val="0"/>
                      <w:sz w:val="21"/>
                      <w:szCs w:val="21"/>
                    </w:rPr>
                    <w:t>污染源</w:t>
                  </w:r>
                </w:p>
              </w:tc>
              <w:tc>
                <w:tcPr>
                  <w:tcW w:w="1080" w:type="pct"/>
                  <w:tcBorders>
                    <w:left w:val="single" w:color="000000" w:sz="4" w:space="0"/>
                    <w:right w:val="single" w:color="000000" w:sz="4" w:space="0"/>
                  </w:tcBorders>
                  <w:noWrap w:val="0"/>
                  <w:vAlign w:val="center"/>
                </w:tcPr>
                <w:p w14:paraId="31715011">
                  <w:pPr>
                    <w:keepNext w:val="0"/>
                    <w:keepLines w:val="0"/>
                    <w:pageBreakBefore w:val="0"/>
                    <w:widowControl/>
                    <w:kinsoku/>
                    <w:wordWrap/>
                    <w:overflowPunct/>
                    <w:topLinePunct w:val="0"/>
                    <w:bidi w:val="0"/>
                    <w:adjustRightInd/>
                    <w:snapToGrid/>
                    <w:spacing w:line="240" w:lineRule="auto"/>
                    <w:jc w:val="center"/>
                    <w:rPr>
                      <w:b/>
                      <w:bCs/>
                      <w:color w:val="000000"/>
                      <w:kern w:val="0"/>
                      <w:sz w:val="21"/>
                      <w:szCs w:val="21"/>
                    </w:rPr>
                  </w:pPr>
                  <w:r>
                    <w:rPr>
                      <w:b/>
                      <w:bCs/>
                      <w:color w:val="000000"/>
                      <w:kern w:val="0"/>
                      <w:sz w:val="21"/>
                      <w:szCs w:val="21"/>
                    </w:rPr>
                    <w:t>污染物名称</w:t>
                  </w:r>
                </w:p>
              </w:tc>
              <w:tc>
                <w:tcPr>
                  <w:tcW w:w="2167" w:type="pct"/>
                  <w:tcBorders>
                    <w:left w:val="single" w:color="000000" w:sz="4" w:space="0"/>
                  </w:tcBorders>
                  <w:noWrap w:val="0"/>
                  <w:vAlign w:val="center"/>
                </w:tcPr>
                <w:p w14:paraId="1306E529">
                  <w:pPr>
                    <w:keepNext w:val="0"/>
                    <w:keepLines w:val="0"/>
                    <w:pageBreakBefore w:val="0"/>
                    <w:widowControl/>
                    <w:kinsoku/>
                    <w:wordWrap/>
                    <w:overflowPunct/>
                    <w:topLinePunct w:val="0"/>
                    <w:bidi w:val="0"/>
                    <w:adjustRightInd/>
                    <w:snapToGrid/>
                    <w:spacing w:line="240" w:lineRule="auto"/>
                    <w:jc w:val="center"/>
                    <w:rPr>
                      <w:b/>
                      <w:bCs/>
                      <w:color w:val="000000"/>
                      <w:kern w:val="0"/>
                      <w:sz w:val="21"/>
                      <w:szCs w:val="21"/>
                    </w:rPr>
                  </w:pPr>
                  <w:r>
                    <w:rPr>
                      <w:b/>
                      <w:bCs/>
                      <w:color w:val="000000"/>
                      <w:sz w:val="21"/>
                      <w:szCs w:val="21"/>
                    </w:rPr>
                    <w:t>处置措施</w:t>
                  </w:r>
                </w:p>
              </w:tc>
            </w:tr>
            <w:tr w14:paraId="27660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 w:type="pct"/>
                  <w:vMerge w:val="restart"/>
                  <w:noWrap w:val="0"/>
                  <w:vAlign w:val="center"/>
                </w:tcPr>
                <w:p w14:paraId="070289FC">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color w:val="000000"/>
                      <w:kern w:val="0"/>
                      <w:sz w:val="21"/>
                      <w:szCs w:val="21"/>
                    </w:rPr>
                    <w:t>1</w:t>
                  </w:r>
                </w:p>
              </w:tc>
              <w:tc>
                <w:tcPr>
                  <w:tcW w:w="511" w:type="pct"/>
                  <w:vMerge w:val="restart"/>
                  <w:noWrap w:val="0"/>
                  <w:vAlign w:val="center"/>
                </w:tcPr>
                <w:p w14:paraId="3002E5A6">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color w:val="000000"/>
                      <w:kern w:val="0"/>
                      <w:sz w:val="21"/>
                      <w:szCs w:val="21"/>
                    </w:rPr>
                    <w:t>废水</w:t>
                  </w:r>
                </w:p>
              </w:tc>
              <w:tc>
                <w:tcPr>
                  <w:tcW w:w="853" w:type="pct"/>
                  <w:tcBorders>
                    <w:left w:val="single" w:color="000000" w:sz="4" w:space="0"/>
                    <w:right w:val="single" w:color="000000" w:sz="4" w:space="0"/>
                  </w:tcBorders>
                  <w:noWrap w:val="0"/>
                  <w:vAlign w:val="center"/>
                </w:tcPr>
                <w:p w14:paraId="49AD00CF">
                  <w:pPr>
                    <w:keepNext w:val="0"/>
                    <w:keepLines w:val="0"/>
                    <w:pageBreakBefore w:val="0"/>
                    <w:widowControl/>
                    <w:kinsoku/>
                    <w:wordWrap/>
                    <w:overflowPunct/>
                    <w:topLinePunct w:val="0"/>
                    <w:bidi w:val="0"/>
                    <w:adjustRightInd/>
                    <w:snapToGrid/>
                    <w:spacing w:line="240" w:lineRule="auto"/>
                    <w:jc w:val="center"/>
                    <w:rPr>
                      <w:rFonts w:hint="default" w:eastAsia="宋体"/>
                      <w:color w:val="000000"/>
                      <w:kern w:val="0"/>
                      <w:sz w:val="21"/>
                      <w:szCs w:val="21"/>
                      <w:lang w:val="en-US" w:eastAsia="zh-CN"/>
                    </w:rPr>
                  </w:pPr>
                  <w:r>
                    <w:rPr>
                      <w:rFonts w:hint="eastAsia"/>
                      <w:color w:val="000000"/>
                      <w:kern w:val="0"/>
                      <w:sz w:val="21"/>
                      <w:szCs w:val="21"/>
                      <w:lang w:val="en-US" w:eastAsia="zh-CN"/>
                    </w:rPr>
                    <w:t>生活污水</w:t>
                  </w:r>
                </w:p>
              </w:tc>
              <w:tc>
                <w:tcPr>
                  <w:tcW w:w="1080" w:type="pct"/>
                  <w:tcBorders>
                    <w:left w:val="single" w:color="000000" w:sz="4" w:space="0"/>
                    <w:right w:val="single" w:color="000000" w:sz="4" w:space="0"/>
                  </w:tcBorders>
                  <w:noWrap w:val="0"/>
                  <w:vAlign w:val="center"/>
                </w:tcPr>
                <w:p w14:paraId="3DA18514">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rFonts w:hint="eastAsia"/>
                      <w:color w:val="000000"/>
                      <w:kern w:val="0"/>
                      <w:sz w:val="21"/>
                      <w:szCs w:val="21"/>
                    </w:rPr>
                    <w:t>pH、COD、BOD</w:t>
                  </w:r>
                  <w:r>
                    <w:rPr>
                      <w:rFonts w:hint="eastAsia"/>
                      <w:color w:val="000000"/>
                      <w:kern w:val="0"/>
                      <w:sz w:val="21"/>
                      <w:szCs w:val="21"/>
                      <w:vertAlign w:val="subscript"/>
                    </w:rPr>
                    <w:t>5</w:t>
                  </w:r>
                  <w:r>
                    <w:rPr>
                      <w:rFonts w:hint="eastAsia"/>
                      <w:color w:val="000000"/>
                      <w:kern w:val="0"/>
                      <w:sz w:val="21"/>
                      <w:szCs w:val="21"/>
                    </w:rPr>
                    <w:t>、SS、氨氮</w:t>
                  </w:r>
                </w:p>
              </w:tc>
              <w:tc>
                <w:tcPr>
                  <w:tcW w:w="2167" w:type="pct"/>
                  <w:tcBorders>
                    <w:left w:val="single" w:color="000000" w:sz="4" w:space="0"/>
                  </w:tcBorders>
                  <w:noWrap w:val="0"/>
                  <w:vAlign w:val="center"/>
                </w:tcPr>
                <w:p w14:paraId="72D0ADE5">
                  <w:pPr>
                    <w:keepNext w:val="0"/>
                    <w:keepLines w:val="0"/>
                    <w:pageBreakBefore w:val="0"/>
                    <w:widowControl/>
                    <w:kinsoku/>
                    <w:wordWrap/>
                    <w:overflowPunct/>
                    <w:topLinePunct w:val="0"/>
                    <w:bidi w:val="0"/>
                    <w:adjustRightInd/>
                    <w:snapToGrid/>
                    <w:spacing w:line="240" w:lineRule="auto"/>
                    <w:jc w:val="center"/>
                    <w:rPr>
                      <w:color w:val="000000"/>
                      <w:sz w:val="21"/>
                      <w:szCs w:val="21"/>
                    </w:rPr>
                  </w:pPr>
                  <w:r>
                    <w:rPr>
                      <w:rFonts w:hint="eastAsia"/>
                      <w:color w:val="000000"/>
                      <w:sz w:val="21"/>
                      <w:szCs w:val="21"/>
                    </w:rPr>
                    <w:t>生活污水经嘉鑫厂内化粪池处理后，接入福清市融元污水处理厂</w:t>
                  </w:r>
                </w:p>
              </w:tc>
            </w:tr>
            <w:tr w14:paraId="780E9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 w:type="pct"/>
                  <w:vMerge w:val="continue"/>
                  <w:noWrap w:val="0"/>
                  <w:vAlign w:val="center"/>
                </w:tcPr>
                <w:p w14:paraId="56139913">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p>
              </w:tc>
              <w:tc>
                <w:tcPr>
                  <w:tcW w:w="511" w:type="pct"/>
                  <w:vMerge w:val="continue"/>
                  <w:noWrap w:val="0"/>
                  <w:vAlign w:val="center"/>
                </w:tcPr>
                <w:p w14:paraId="4B8A4D7C">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p>
              </w:tc>
              <w:tc>
                <w:tcPr>
                  <w:tcW w:w="853" w:type="pct"/>
                  <w:tcBorders>
                    <w:left w:val="single" w:color="000000" w:sz="4" w:space="0"/>
                    <w:right w:val="single" w:color="000000" w:sz="4" w:space="0"/>
                  </w:tcBorders>
                  <w:noWrap w:val="0"/>
                  <w:vAlign w:val="center"/>
                </w:tcPr>
                <w:p w14:paraId="7C5B3104">
                  <w:pPr>
                    <w:keepNext w:val="0"/>
                    <w:keepLines w:val="0"/>
                    <w:pageBreakBefore w:val="0"/>
                    <w:widowControl/>
                    <w:kinsoku/>
                    <w:wordWrap/>
                    <w:overflowPunct/>
                    <w:topLinePunct w:val="0"/>
                    <w:bidi w:val="0"/>
                    <w:adjustRightInd/>
                    <w:snapToGrid/>
                    <w:spacing w:line="240" w:lineRule="auto"/>
                    <w:jc w:val="center"/>
                    <w:rPr>
                      <w:rFonts w:hint="eastAsia"/>
                      <w:color w:val="000000"/>
                      <w:kern w:val="0"/>
                      <w:sz w:val="21"/>
                      <w:szCs w:val="21"/>
                    </w:rPr>
                  </w:pPr>
                  <w:r>
                    <w:rPr>
                      <w:rFonts w:hint="eastAsia"/>
                      <w:color w:val="000000"/>
                      <w:kern w:val="0"/>
                      <w:sz w:val="21"/>
                      <w:szCs w:val="21"/>
                    </w:rPr>
                    <w:t>W1磨边废水</w:t>
                  </w:r>
                </w:p>
              </w:tc>
              <w:tc>
                <w:tcPr>
                  <w:tcW w:w="1080" w:type="pct"/>
                  <w:tcBorders>
                    <w:left w:val="single" w:color="000000" w:sz="4" w:space="0"/>
                    <w:right w:val="single" w:color="000000" w:sz="4" w:space="0"/>
                  </w:tcBorders>
                  <w:noWrap w:val="0"/>
                  <w:vAlign w:val="center"/>
                </w:tcPr>
                <w:p w14:paraId="4949AD68">
                  <w:pPr>
                    <w:keepNext w:val="0"/>
                    <w:keepLines w:val="0"/>
                    <w:pageBreakBefore w:val="0"/>
                    <w:widowControl/>
                    <w:kinsoku/>
                    <w:wordWrap/>
                    <w:overflowPunct/>
                    <w:topLinePunct w:val="0"/>
                    <w:bidi w:val="0"/>
                    <w:adjustRightInd/>
                    <w:snapToGrid/>
                    <w:spacing w:line="240" w:lineRule="auto"/>
                    <w:jc w:val="center"/>
                    <w:rPr>
                      <w:rFonts w:hint="eastAsia"/>
                      <w:color w:val="000000"/>
                      <w:kern w:val="0"/>
                      <w:sz w:val="21"/>
                      <w:szCs w:val="21"/>
                    </w:rPr>
                  </w:pPr>
                  <w:r>
                    <w:rPr>
                      <w:rFonts w:hint="eastAsia"/>
                      <w:color w:val="000000"/>
                      <w:kern w:val="0"/>
                      <w:sz w:val="21"/>
                      <w:szCs w:val="21"/>
                    </w:rPr>
                    <w:t>pH、SS、COD、NH</w:t>
                  </w:r>
                  <w:r>
                    <w:rPr>
                      <w:rFonts w:hint="eastAsia"/>
                      <w:color w:val="000000"/>
                      <w:kern w:val="0"/>
                      <w:sz w:val="21"/>
                      <w:szCs w:val="21"/>
                      <w:vertAlign w:val="subscript"/>
                    </w:rPr>
                    <w:t>3</w:t>
                  </w:r>
                  <w:r>
                    <w:rPr>
                      <w:rFonts w:hint="eastAsia"/>
                      <w:color w:val="000000"/>
                      <w:kern w:val="0"/>
                      <w:sz w:val="21"/>
                      <w:szCs w:val="21"/>
                    </w:rPr>
                    <w:t>-N、TN、LAS、石油类</w:t>
                  </w:r>
                </w:p>
              </w:tc>
              <w:tc>
                <w:tcPr>
                  <w:tcW w:w="2167" w:type="pct"/>
                  <w:tcBorders>
                    <w:left w:val="single" w:color="000000" w:sz="4" w:space="0"/>
                  </w:tcBorders>
                  <w:noWrap w:val="0"/>
                  <w:vAlign w:val="center"/>
                </w:tcPr>
                <w:p w14:paraId="2CD72EB5">
                  <w:pPr>
                    <w:keepNext w:val="0"/>
                    <w:keepLines w:val="0"/>
                    <w:pageBreakBefore w:val="0"/>
                    <w:widowControl/>
                    <w:kinsoku/>
                    <w:wordWrap/>
                    <w:overflowPunct/>
                    <w:topLinePunct w:val="0"/>
                    <w:bidi w:val="0"/>
                    <w:adjustRightInd/>
                    <w:snapToGrid/>
                    <w:spacing w:line="240" w:lineRule="auto"/>
                    <w:jc w:val="center"/>
                    <w:rPr>
                      <w:rFonts w:hint="eastAsia"/>
                      <w:color w:val="000000"/>
                      <w:sz w:val="21"/>
                      <w:szCs w:val="21"/>
                    </w:rPr>
                  </w:pPr>
                  <w:r>
                    <w:rPr>
                      <w:rFonts w:hint="eastAsia"/>
                      <w:color w:val="000000"/>
                      <w:sz w:val="21"/>
                      <w:szCs w:val="21"/>
                    </w:rPr>
                    <w:t>经嘉鑫厂内污水处理设施处理后接入福清市融元污水处理厂</w:t>
                  </w:r>
                </w:p>
              </w:tc>
            </w:tr>
            <w:tr w14:paraId="53586B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 w:type="pct"/>
                  <w:vMerge w:val="continue"/>
                  <w:noWrap w:val="0"/>
                  <w:vAlign w:val="center"/>
                </w:tcPr>
                <w:p w14:paraId="1DA99D8E">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p>
              </w:tc>
              <w:tc>
                <w:tcPr>
                  <w:tcW w:w="511" w:type="pct"/>
                  <w:vMerge w:val="continue"/>
                  <w:noWrap w:val="0"/>
                  <w:vAlign w:val="center"/>
                </w:tcPr>
                <w:p w14:paraId="440B2B39">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p>
              </w:tc>
              <w:tc>
                <w:tcPr>
                  <w:tcW w:w="853" w:type="pct"/>
                  <w:tcBorders>
                    <w:left w:val="single" w:color="000000" w:sz="4" w:space="0"/>
                    <w:right w:val="single" w:color="000000" w:sz="4" w:space="0"/>
                  </w:tcBorders>
                  <w:noWrap w:val="0"/>
                  <w:vAlign w:val="center"/>
                </w:tcPr>
                <w:p w14:paraId="4E04B479">
                  <w:pPr>
                    <w:keepNext w:val="0"/>
                    <w:keepLines w:val="0"/>
                    <w:pageBreakBefore w:val="0"/>
                    <w:widowControl/>
                    <w:kinsoku/>
                    <w:wordWrap/>
                    <w:overflowPunct/>
                    <w:topLinePunct w:val="0"/>
                    <w:bidi w:val="0"/>
                    <w:adjustRightInd/>
                    <w:snapToGrid/>
                    <w:spacing w:line="240" w:lineRule="auto"/>
                    <w:jc w:val="center"/>
                    <w:rPr>
                      <w:rFonts w:hint="eastAsia"/>
                      <w:color w:val="000000"/>
                      <w:kern w:val="0"/>
                      <w:sz w:val="21"/>
                      <w:szCs w:val="21"/>
                    </w:rPr>
                  </w:pPr>
                  <w:r>
                    <w:rPr>
                      <w:rFonts w:hint="eastAsia"/>
                      <w:color w:val="000000"/>
                      <w:kern w:val="0"/>
                      <w:sz w:val="21"/>
                      <w:szCs w:val="21"/>
                    </w:rPr>
                    <w:t>W2清洗废水</w:t>
                  </w:r>
                </w:p>
              </w:tc>
              <w:tc>
                <w:tcPr>
                  <w:tcW w:w="1080" w:type="pct"/>
                  <w:tcBorders>
                    <w:left w:val="single" w:color="000000" w:sz="4" w:space="0"/>
                    <w:right w:val="single" w:color="000000" w:sz="4" w:space="0"/>
                  </w:tcBorders>
                  <w:noWrap w:val="0"/>
                  <w:vAlign w:val="center"/>
                </w:tcPr>
                <w:p w14:paraId="68CEE137">
                  <w:pPr>
                    <w:keepNext w:val="0"/>
                    <w:keepLines w:val="0"/>
                    <w:pageBreakBefore w:val="0"/>
                    <w:widowControl/>
                    <w:kinsoku/>
                    <w:wordWrap/>
                    <w:overflowPunct/>
                    <w:topLinePunct w:val="0"/>
                    <w:bidi w:val="0"/>
                    <w:adjustRightInd/>
                    <w:snapToGrid/>
                    <w:spacing w:line="240" w:lineRule="auto"/>
                    <w:jc w:val="center"/>
                    <w:rPr>
                      <w:rFonts w:hint="eastAsia"/>
                      <w:color w:val="000000"/>
                      <w:kern w:val="0"/>
                      <w:sz w:val="21"/>
                      <w:szCs w:val="21"/>
                    </w:rPr>
                  </w:pPr>
                  <w:r>
                    <w:rPr>
                      <w:rFonts w:hint="eastAsia"/>
                      <w:color w:val="000000"/>
                      <w:kern w:val="0"/>
                      <w:sz w:val="21"/>
                      <w:szCs w:val="21"/>
                    </w:rPr>
                    <w:t>pH、SS、COD、NH</w:t>
                  </w:r>
                  <w:r>
                    <w:rPr>
                      <w:rFonts w:hint="eastAsia"/>
                      <w:color w:val="000000"/>
                      <w:kern w:val="0"/>
                      <w:sz w:val="21"/>
                      <w:szCs w:val="21"/>
                      <w:vertAlign w:val="subscript"/>
                    </w:rPr>
                    <w:t>3</w:t>
                  </w:r>
                  <w:r>
                    <w:rPr>
                      <w:rFonts w:hint="eastAsia"/>
                      <w:color w:val="000000"/>
                      <w:kern w:val="0"/>
                      <w:sz w:val="21"/>
                      <w:szCs w:val="21"/>
                    </w:rPr>
                    <w:t>-N、TN、LAS、石油类</w:t>
                  </w:r>
                </w:p>
              </w:tc>
              <w:tc>
                <w:tcPr>
                  <w:tcW w:w="2167" w:type="pct"/>
                  <w:tcBorders>
                    <w:left w:val="single" w:color="000000" w:sz="4" w:space="0"/>
                  </w:tcBorders>
                  <w:noWrap w:val="0"/>
                  <w:vAlign w:val="center"/>
                </w:tcPr>
                <w:p w14:paraId="3211EC14">
                  <w:pPr>
                    <w:keepNext w:val="0"/>
                    <w:keepLines w:val="0"/>
                    <w:pageBreakBefore w:val="0"/>
                    <w:widowControl/>
                    <w:kinsoku/>
                    <w:wordWrap/>
                    <w:overflowPunct/>
                    <w:topLinePunct w:val="0"/>
                    <w:bidi w:val="0"/>
                    <w:adjustRightInd/>
                    <w:snapToGrid/>
                    <w:spacing w:line="240" w:lineRule="auto"/>
                    <w:jc w:val="center"/>
                    <w:rPr>
                      <w:rFonts w:hint="eastAsia"/>
                      <w:color w:val="000000"/>
                      <w:sz w:val="21"/>
                      <w:szCs w:val="21"/>
                    </w:rPr>
                  </w:pPr>
                  <w:r>
                    <w:rPr>
                      <w:rFonts w:hint="eastAsia"/>
                      <w:color w:val="000000"/>
                      <w:sz w:val="21"/>
                      <w:szCs w:val="21"/>
                    </w:rPr>
                    <w:t>经嘉鑫厂内污水处理设施处理后接入福清市融元污水处理厂</w:t>
                  </w:r>
                </w:p>
              </w:tc>
            </w:tr>
            <w:tr w14:paraId="4001B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 w:type="pct"/>
                  <w:vMerge w:val="continue"/>
                  <w:noWrap w:val="0"/>
                  <w:vAlign w:val="center"/>
                </w:tcPr>
                <w:p w14:paraId="7D36AB14">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p>
              </w:tc>
              <w:tc>
                <w:tcPr>
                  <w:tcW w:w="511" w:type="pct"/>
                  <w:vMerge w:val="continue"/>
                  <w:noWrap w:val="0"/>
                  <w:vAlign w:val="center"/>
                </w:tcPr>
                <w:p w14:paraId="412B6096">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p>
              </w:tc>
              <w:tc>
                <w:tcPr>
                  <w:tcW w:w="853" w:type="pct"/>
                  <w:tcBorders>
                    <w:left w:val="single" w:color="000000" w:sz="4" w:space="0"/>
                    <w:right w:val="single" w:color="000000" w:sz="4" w:space="0"/>
                  </w:tcBorders>
                  <w:noWrap w:val="0"/>
                  <w:vAlign w:val="center"/>
                </w:tcPr>
                <w:p w14:paraId="58B705E7">
                  <w:pPr>
                    <w:keepNext w:val="0"/>
                    <w:keepLines w:val="0"/>
                    <w:pageBreakBefore w:val="0"/>
                    <w:widowControl/>
                    <w:kinsoku/>
                    <w:wordWrap/>
                    <w:overflowPunct/>
                    <w:topLinePunct w:val="0"/>
                    <w:bidi w:val="0"/>
                    <w:adjustRightInd/>
                    <w:snapToGrid/>
                    <w:spacing w:line="240" w:lineRule="auto"/>
                    <w:jc w:val="center"/>
                    <w:rPr>
                      <w:rFonts w:hint="eastAsia"/>
                      <w:color w:val="000000"/>
                      <w:kern w:val="0"/>
                      <w:sz w:val="21"/>
                      <w:szCs w:val="21"/>
                    </w:rPr>
                  </w:pPr>
                  <w:r>
                    <w:rPr>
                      <w:rFonts w:hint="eastAsia"/>
                      <w:color w:val="000000"/>
                      <w:kern w:val="0"/>
                      <w:sz w:val="21"/>
                      <w:szCs w:val="21"/>
                    </w:rPr>
                    <w:t>W3浓水</w:t>
                  </w:r>
                </w:p>
              </w:tc>
              <w:tc>
                <w:tcPr>
                  <w:tcW w:w="1080" w:type="pct"/>
                  <w:tcBorders>
                    <w:left w:val="single" w:color="000000" w:sz="4" w:space="0"/>
                    <w:right w:val="single" w:color="000000" w:sz="4" w:space="0"/>
                  </w:tcBorders>
                  <w:noWrap w:val="0"/>
                  <w:vAlign w:val="center"/>
                </w:tcPr>
                <w:p w14:paraId="557CDBB6">
                  <w:pPr>
                    <w:keepNext w:val="0"/>
                    <w:keepLines w:val="0"/>
                    <w:pageBreakBefore w:val="0"/>
                    <w:widowControl/>
                    <w:kinsoku/>
                    <w:wordWrap/>
                    <w:overflowPunct/>
                    <w:topLinePunct w:val="0"/>
                    <w:bidi w:val="0"/>
                    <w:adjustRightInd/>
                    <w:snapToGrid/>
                    <w:spacing w:line="240" w:lineRule="auto"/>
                    <w:jc w:val="center"/>
                    <w:rPr>
                      <w:rFonts w:hint="eastAsia"/>
                      <w:color w:val="000000"/>
                      <w:kern w:val="0"/>
                      <w:sz w:val="21"/>
                      <w:szCs w:val="21"/>
                    </w:rPr>
                  </w:pPr>
                  <w:r>
                    <w:rPr>
                      <w:rFonts w:hint="eastAsia"/>
                      <w:color w:val="000000"/>
                      <w:kern w:val="0"/>
                      <w:sz w:val="21"/>
                      <w:szCs w:val="21"/>
                    </w:rPr>
                    <w:t>COD、SS、NH</w:t>
                  </w:r>
                  <w:r>
                    <w:rPr>
                      <w:rFonts w:hint="eastAsia"/>
                      <w:color w:val="000000"/>
                      <w:kern w:val="0"/>
                      <w:sz w:val="21"/>
                      <w:szCs w:val="21"/>
                      <w:vertAlign w:val="subscript"/>
                    </w:rPr>
                    <w:t>3</w:t>
                  </w:r>
                  <w:r>
                    <w:rPr>
                      <w:rFonts w:hint="eastAsia"/>
                      <w:color w:val="000000"/>
                      <w:kern w:val="0"/>
                      <w:sz w:val="21"/>
                      <w:szCs w:val="21"/>
                    </w:rPr>
                    <w:t>-N、pH</w:t>
                  </w:r>
                </w:p>
              </w:tc>
              <w:tc>
                <w:tcPr>
                  <w:tcW w:w="2167" w:type="pct"/>
                  <w:tcBorders>
                    <w:left w:val="single" w:color="000000" w:sz="4" w:space="0"/>
                  </w:tcBorders>
                  <w:noWrap w:val="0"/>
                  <w:vAlign w:val="center"/>
                </w:tcPr>
                <w:p w14:paraId="4C8211AE">
                  <w:pPr>
                    <w:keepNext w:val="0"/>
                    <w:keepLines w:val="0"/>
                    <w:pageBreakBefore w:val="0"/>
                    <w:widowControl/>
                    <w:kinsoku/>
                    <w:wordWrap/>
                    <w:overflowPunct/>
                    <w:topLinePunct w:val="0"/>
                    <w:bidi w:val="0"/>
                    <w:adjustRightInd/>
                    <w:snapToGrid/>
                    <w:spacing w:line="240" w:lineRule="auto"/>
                    <w:jc w:val="center"/>
                    <w:rPr>
                      <w:rFonts w:hint="eastAsia"/>
                      <w:color w:val="000000"/>
                      <w:sz w:val="21"/>
                      <w:szCs w:val="21"/>
                    </w:rPr>
                  </w:pPr>
                  <w:r>
                    <w:rPr>
                      <w:rFonts w:hint="eastAsia"/>
                      <w:color w:val="000000"/>
                      <w:sz w:val="21"/>
                      <w:szCs w:val="21"/>
                    </w:rPr>
                    <w:t>接入福清市融元污水处理厂</w:t>
                  </w:r>
                </w:p>
              </w:tc>
            </w:tr>
            <w:tr w14:paraId="1B94D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 w:type="pct"/>
                  <w:noWrap w:val="0"/>
                  <w:vAlign w:val="center"/>
                </w:tcPr>
                <w:p w14:paraId="7A2D8C52">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color w:val="000000"/>
                      <w:kern w:val="0"/>
                      <w:sz w:val="21"/>
                      <w:szCs w:val="21"/>
                    </w:rPr>
                    <w:t>2</w:t>
                  </w:r>
                </w:p>
              </w:tc>
              <w:tc>
                <w:tcPr>
                  <w:tcW w:w="511" w:type="pct"/>
                  <w:noWrap w:val="0"/>
                  <w:vAlign w:val="center"/>
                </w:tcPr>
                <w:p w14:paraId="21BC6A53">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rFonts w:hint="eastAsia"/>
                      <w:color w:val="000000"/>
                      <w:kern w:val="0"/>
                      <w:sz w:val="21"/>
                      <w:szCs w:val="21"/>
                    </w:rPr>
                    <w:t>废气</w:t>
                  </w:r>
                </w:p>
              </w:tc>
              <w:tc>
                <w:tcPr>
                  <w:tcW w:w="853" w:type="pct"/>
                  <w:tcBorders>
                    <w:left w:val="single" w:color="000000" w:sz="4" w:space="0"/>
                    <w:bottom w:val="single" w:color="auto" w:sz="4" w:space="0"/>
                    <w:right w:val="single" w:color="000000" w:sz="4" w:space="0"/>
                  </w:tcBorders>
                  <w:noWrap w:val="0"/>
                  <w:vAlign w:val="center"/>
                </w:tcPr>
                <w:p w14:paraId="06CD3423">
                  <w:pPr>
                    <w:keepNext w:val="0"/>
                    <w:keepLines w:val="0"/>
                    <w:pageBreakBefore w:val="0"/>
                    <w:widowControl/>
                    <w:kinsoku/>
                    <w:wordWrap/>
                    <w:overflowPunct/>
                    <w:topLinePunct w:val="0"/>
                    <w:bidi w:val="0"/>
                    <w:adjustRightInd/>
                    <w:snapToGrid/>
                    <w:spacing w:line="240" w:lineRule="auto"/>
                    <w:jc w:val="center"/>
                    <w:rPr>
                      <w:rFonts w:hint="default" w:eastAsia="宋体"/>
                      <w:color w:val="000000"/>
                      <w:kern w:val="0"/>
                      <w:sz w:val="21"/>
                      <w:szCs w:val="21"/>
                      <w:lang w:val="en-US" w:eastAsia="zh-CN"/>
                    </w:rPr>
                  </w:pPr>
                  <w:r>
                    <w:rPr>
                      <w:rFonts w:hint="eastAsia"/>
                      <w:color w:val="000000"/>
                      <w:kern w:val="0"/>
                      <w:sz w:val="21"/>
                      <w:szCs w:val="21"/>
                      <w:lang w:val="en-US" w:eastAsia="zh-CN"/>
                    </w:rPr>
                    <w:t>G1印刷有机废气</w:t>
                  </w:r>
                </w:p>
              </w:tc>
              <w:tc>
                <w:tcPr>
                  <w:tcW w:w="1080" w:type="pct"/>
                  <w:tcBorders>
                    <w:left w:val="single" w:color="000000" w:sz="4" w:space="0"/>
                    <w:right w:val="single" w:color="000000" w:sz="4" w:space="0"/>
                  </w:tcBorders>
                  <w:noWrap w:val="0"/>
                  <w:vAlign w:val="center"/>
                </w:tcPr>
                <w:p w14:paraId="5B52F6A7">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bCs/>
                      <w:color w:val="000000"/>
                      <w:sz w:val="21"/>
                      <w:szCs w:val="21"/>
                    </w:rPr>
                    <w:t>非甲烷总烃</w:t>
                  </w:r>
                </w:p>
              </w:tc>
              <w:tc>
                <w:tcPr>
                  <w:tcW w:w="2167" w:type="pct"/>
                  <w:tcBorders>
                    <w:left w:val="single" w:color="000000" w:sz="4" w:space="0"/>
                  </w:tcBorders>
                  <w:noWrap w:val="0"/>
                  <w:vAlign w:val="center"/>
                </w:tcPr>
                <w:p w14:paraId="52E1CBCD">
                  <w:pPr>
                    <w:keepNext w:val="0"/>
                    <w:keepLines w:val="0"/>
                    <w:pageBreakBefore w:val="0"/>
                    <w:widowControl/>
                    <w:kinsoku/>
                    <w:wordWrap/>
                    <w:overflowPunct/>
                    <w:topLinePunct w:val="0"/>
                    <w:bidi w:val="0"/>
                    <w:adjustRightInd/>
                    <w:snapToGrid/>
                    <w:spacing w:line="240" w:lineRule="auto"/>
                    <w:jc w:val="center"/>
                    <w:rPr>
                      <w:rFonts w:hint="default" w:eastAsia="宋体"/>
                      <w:color w:val="000000"/>
                      <w:sz w:val="21"/>
                      <w:szCs w:val="21"/>
                      <w:lang w:val="en-US" w:eastAsia="zh-CN"/>
                    </w:rPr>
                  </w:pPr>
                  <w:r>
                    <w:rPr>
                      <w:color w:val="000000"/>
                      <w:sz w:val="21"/>
                      <w:szCs w:val="21"/>
                    </w:rPr>
                    <w:t>有机废气经收集后通过活性炭吸附装置净化后引至1根15m高排气筒</w:t>
                  </w:r>
                </w:p>
              </w:tc>
            </w:tr>
            <w:tr w14:paraId="2DAF4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387" w:type="pct"/>
                  <w:vMerge w:val="restart"/>
                  <w:noWrap w:val="0"/>
                  <w:vAlign w:val="center"/>
                </w:tcPr>
                <w:p w14:paraId="51133B0B">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color w:val="000000"/>
                      <w:kern w:val="0"/>
                      <w:sz w:val="21"/>
                      <w:szCs w:val="21"/>
                    </w:rPr>
                    <w:t>3</w:t>
                  </w:r>
                </w:p>
              </w:tc>
              <w:tc>
                <w:tcPr>
                  <w:tcW w:w="511" w:type="pct"/>
                  <w:vMerge w:val="restart"/>
                  <w:noWrap w:val="0"/>
                  <w:vAlign w:val="center"/>
                </w:tcPr>
                <w:p w14:paraId="463EAFCF">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color w:val="000000"/>
                      <w:kern w:val="0"/>
                      <w:sz w:val="21"/>
                      <w:szCs w:val="21"/>
                    </w:rPr>
                    <w:t>固废</w:t>
                  </w:r>
                </w:p>
              </w:tc>
              <w:tc>
                <w:tcPr>
                  <w:tcW w:w="853" w:type="pct"/>
                  <w:tcBorders>
                    <w:left w:val="single" w:color="000000" w:sz="4" w:space="0"/>
                    <w:right w:val="single" w:color="000000" w:sz="4" w:space="0"/>
                  </w:tcBorders>
                  <w:noWrap w:val="0"/>
                  <w:vAlign w:val="center"/>
                </w:tcPr>
                <w:p w14:paraId="246C74F6">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rFonts w:hint="eastAsia"/>
                      <w:color w:val="000000"/>
                      <w:kern w:val="0"/>
                      <w:sz w:val="21"/>
                      <w:szCs w:val="21"/>
                      <w:lang w:bidi="ar"/>
                    </w:rPr>
                    <w:t>S1边角料及残次品</w:t>
                  </w:r>
                </w:p>
              </w:tc>
              <w:tc>
                <w:tcPr>
                  <w:tcW w:w="1080" w:type="pct"/>
                  <w:tcBorders>
                    <w:left w:val="single" w:color="000000" w:sz="4" w:space="0"/>
                    <w:right w:val="single" w:color="000000" w:sz="4" w:space="0"/>
                  </w:tcBorders>
                  <w:noWrap w:val="0"/>
                  <w:vAlign w:val="center"/>
                </w:tcPr>
                <w:p w14:paraId="58A8F79E">
                  <w:pPr>
                    <w:pStyle w:val="75"/>
                    <w:keepNext w:val="0"/>
                    <w:keepLines w:val="0"/>
                    <w:pageBreakBefore w:val="0"/>
                    <w:widowControl w:val="0"/>
                    <w:kinsoku/>
                    <w:wordWrap/>
                    <w:overflowPunct/>
                    <w:topLinePunct w:val="0"/>
                    <w:bidi w:val="0"/>
                    <w:adjustRightInd/>
                    <w:snapToGrid/>
                    <w:spacing w:line="240" w:lineRule="auto"/>
                    <w:jc w:val="center"/>
                    <w:rPr>
                      <w:rFonts w:hint="eastAsia" w:ascii="Times New Roman" w:hAnsi="Times New Roman"/>
                      <w:bCs/>
                      <w:color w:val="000000"/>
                      <w:sz w:val="21"/>
                      <w:szCs w:val="21"/>
                    </w:rPr>
                  </w:pPr>
                  <w:r>
                    <w:rPr>
                      <w:rFonts w:hint="eastAsia" w:ascii="Times New Roman" w:hAnsi="Times New Roman"/>
                      <w:bCs/>
                      <w:color w:val="000000"/>
                      <w:sz w:val="21"/>
                      <w:szCs w:val="21"/>
                    </w:rPr>
                    <w:t>不合格产品</w:t>
                  </w:r>
                </w:p>
              </w:tc>
              <w:tc>
                <w:tcPr>
                  <w:tcW w:w="2167" w:type="pct"/>
                  <w:vMerge w:val="restart"/>
                  <w:tcBorders>
                    <w:left w:val="single" w:color="000000" w:sz="4" w:space="0"/>
                  </w:tcBorders>
                  <w:noWrap w:val="0"/>
                  <w:vAlign w:val="center"/>
                </w:tcPr>
                <w:p w14:paraId="45B540AA">
                  <w:pPr>
                    <w:pStyle w:val="75"/>
                    <w:keepNext w:val="0"/>
                    <w:keepLines w:val="0"/>
                    <w:pageBreakBefore w:val="0"/>
                    <w:widowControl w:val="0"/>
                    <w:kinsoku/>
                    <w:wordWrap/>
                    <w:overflowPunct/>
                    <w:topLinePunct w:val="0"/>
                    <w:bidi w:val="0"/>
                    <w:adjustRightInd/>
                    <w:snapToGrid/>
                    <w:spacing w:line="240" w:lineRule="auto"/>
                    <w:jc w:val="center"/>
                    <w:rPr>
                      <w:rFonts w:ascii="Times New Roman" w:hAnsi="Times New Roman"/>
                      <w:bCs/>
                      <w:color w:val="000000"/>
                      <w:sz w:val="21"/>
                      <w:szCs w:val="21"/>
                    </w:rPr>
                  </w:pPr>
                  <w:r>
                    <w:rPr>
                      <w:rFonts w:ascii="Times New Roman" w:hAnsi="Times New Roman"/>
                      <w:bCs/>
                      <w:color w:val="000000"/>
                      <w:sz w:val="21"/>
                      <w:szCs w:val="21"/>
                    </w:rPr>
                    <w:t>属于一般工业固废，外售给企业综合利用</w:t>
                  </w:r>
                </w:p>
              </w:tc>
            </w:tr>
            <w:tr w14:paraId="3B4F6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387" w:type="pct"/>
                  <w:vMerge w:val="continue"/>
                  <w:noWrap w:val="0"/>
                  <w:vAlign w:val="center"/>
                </w:tcPr>
                <w:p w14:paraId="31C37365">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p>
              </w:tc>
              <w:tc>
                <w:tcPr>
                  <w:tcW w:w="511" w:type="pct"/>
                  <w:vMerge w:val="continue"/>
                  <w:noWrap w:val="0"/>
                  <w:vAlign w:val="center"/>
                </w:tcPr>
                <w:p w14:paraId="614DB36D">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p>
              </w:tc>
              <w:tc>
                <w:tcPr>
                  <w:tcW w:w="853" w:type="pct"/>
                  <w:tcBorders>
                    <w:left w:val="single" w:color="000000" w:sz="4" w:space="0"/>
                    <w:right w:val="single" w:color="000000" w:sz="4" w:space="0"/>
                  </w:tcBorders>
                  <w:noWrap w:val="0"/>
                  <w:vAlign w:val="center"/>
                </w:tcPr>
                <w:p w14:paraId="3DBB7F20">
                  <w:pPr>
                    <w:keepNext w:val="0"/>
                    <w:keepLines w:val="0"/>
                    <w:pageBreakBefore w:val="0"/>
                    <w:widowControl/>
                    <w:kinsoku/>
                    <w:wordWrap/>
                    <w:overflowPunct/>
                    <w:topLinePunct w:val="0"/>
                    <w:bidi w:val="0"/>
                    <w:adjustRightInd/>
                    <w:snapToGrid/>
                    <w:spacing w:line="240" w:lineRule="auto"/>
                    <w:jc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S8</w:t>
                  </w:r>
                  <w:r>
                    <w:rPr>
                      <w:rFonts w:hint="eastAsia" w:ascii="Times New Roman" w:hAnsi="Times New Roman"/>
                      <w:bCs/>
                      <w:color w:val="000000"/>
                      <w:sz w:val="21"/>
                      <w:szCs w:val="21"/>
                      <w:lang w:val="en-US" w:eastAsia="zh-CN"/>
                    </w:rPr>
                    <w:t>废滤芯</w:t>
                  </w:r>
                </w:p>
              </w:tc>
              <w:tc>
                <w:tcPr>
                  <w:tcW w:w="1080" w:type="pct"/>
                  <w:tcBorders>
                    <w:left w:val="single" w:color="000000" w:sz="4" w:space="0"/>
                    <w:right w:val="single" w:color="000000" w:sz="4" w:space="0"/>
                  </w:tcBorders>
                  <w:noWrap w:val="0"/>
                  <w:vAlign w:val="center"/>
                </w:tcPr>
                <w:p w14:paraId="590F445C">
                  <w:pPr>
                    <w:pStyle w:val="75"/>
                    <w:keepNext w:val="0"/>
                    <w:keepLines w:val="0"/>
                    <w:pageBreakBefore w:val="0"/>
                    <w:widowControl w:val="0"/>
                    <w:kinsoku/>
                    <w:wordWrap/>
                    <w:overflowPunct/>
                    <w:topLinePunct w:val="0"/>
                    <w:bidi w:val="0"/>
                    <w:adjustRightInd/>
                    <w:snapToGrid/>
                    <w:spacing w:line="240" w:lineRule="auto"/>
                    <w:jc w:val="center"/>
                    <w:rPr>
                      <w:rFonts w:hint="default" w:ascii="Times New Roman" w:hAnsi="Times New Roman" w:eastAsia="宋体"/>
                      <w:bCs/>
                      <w:color w:val="000000"/>
                      <w:sz w:val="21"/>
                      <w:szCs w:val="21"/>
                      <w:lang w:val="en-US" w:eastAsia="zh-CN"/>
                    </w:rPr>
                  </w:pPr>
                  <w:r>
                    <w:rPr>
                      <w:rFonts w:hint="eastAsia" w:ascii="Times New Roman" w:hAnsi="Times New Roman"/>
                      <w:bCs/>
                      <w:color w:val="000000"/>
                      <w:sz w:val="21"/>
                      <w:szCs w:val="21"/>
                      <w:lang w:val="en-US" w:eastAsia="zh-CN"/>
                    </w:rPr>
                    <w:t>废滤芯</w:t>
                  </w:r>
                </w:p>
              </w:tc>
              <w:tc>
                <w:tcPr>
                  <w:tcW w:w="2167" w:type="pct"/>
                  <w:vMerge w:val="continue"/>
                  <w:tcBorders>
                    <w:left w:val="single" w:color="000000" w:sz="4" w:space="0"/>
                  </w:tcBorders>
                  <w:noWrap w:val="0"/>
                  <w:vAlign w:val="center"/>
                </w:tcPr>
                <w:p w14:paraId="09E49DAE">
                  <w:pPr>
                    <w:pStyle w:val="75"/>
                    <w:keepNext w:val="0"/>
                    <w:keepLines w:val="0"/>
                    <w:pageBreakBefore w:val="0"/>
                    <w:widowControl w:val="0"/>
                    <w:kinsoku/>
                    <w:wordWrap/>
                    <w:overflowPunct/>
                    <w:topLinePunct w:val="0"/>
                    <w:bidi w:val="0"/>
                    <w:adjustRightInd/>
                    <w:snapToGrid/>
                    <w:spacing w:line="240" w:lineRule="auto"/>
                    <w:jc w:val="center"/>
                    <w:rPr>
                      <w:rFonts w:ascii="Times New Roman" w:hAnsi="Times New Roman"/>
                      <w:bCs/>
                      <w:color w:val="000000"/>
                      <w:sz w:val="21"/>
                      <w:szCs w:val="21"/>
                    </w:rPr>
                  </w:pPr>
                </w:p>
              </w:tc>
            </w:tr>
            <w:tr w14:paraId="455DF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763B77C8">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p>
              </w:tc>
              <w:tc>
                <w:tcPr>
                  <w:tcW w:w="511" w:type="pct"/>
                  <w:vMerge w:val="continue"/>
                  <w:noWrap w:val="0"/>
                  <w:vAlign w:val="center"/>
                </w:tcPr>
                <w:p w14:paraId="20861F4E">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p>
              </w:tc>
              <w:tc>
                <w:tcPr>
                  <w:tcW w:w="853" w:type="pct"/>
                  <w:tcBorders>
                    <w:left w:val="single" w:color="000000" w:sz="4" w:space="0"/>
                    <w:right w:val="single" w:color="000000" w:sz="4" w:space="0"/>
                  </w:tcBorders>
                  <w:noWrap w:val="0"/>
                  <w:vAlign w:val="center"/>
                </w:tcPr>
                <w:p w14:paraId="54BD7702">
                  <w:pPr>
                    <w:keepNext w:val="0"/>
                    <w:keepLines w:val="0"/>
                    <w:pageBreakBefore w:val="0"/>
                    <w:kinsoku/>
                    <w:wordWrap/>
                    <w:overflowPunct/>
                    <w:topLinePunct w:val="0"/>
                    <w:autoSpaceDE w:val="0"/>
                    <w:autoSpaceDN w:val="0"/>
                    <w:bidi w:val="0"/>
                    <w:adjustRightInd/>
                    <w:snapToGrid/>
                    <w:spacing w:line="240" w:lineRule="auto"/>
                    <w:jc w:val="center"/>
                    <w:textAlignment w:val="bottom"/>
                    <w:rPr>
                      <w:color w:val="000000"/>
                      <w:kern w:val="0"/>
                      <w:sz w:val="21"/>
                      <w:szCs w:val="21"/>
                      <w:lang w:bidi="ar"/>
                    </w:rPr>
                  </w:pPr>
                  <w:r>
                    <w:rPr>
                      <w:color w:val="000000"/>
                      <w:kern w:val="0"/>
                      <w:sz w:val="21"/>
                      <w:szCs w:val="21"/>
                      <w:lang w:bidi="ar"/>
                    </w:rPr>
                    <w:t>职工生活垃圾</w:t>
                  </w:r>
                </w:p>
              </w:tc>
              <w:tc>
                <w:tcPr>
                  <w:tcW w:w="1080" w:type="pct"/>
                  <w:tcBorders>
                    <w:left w:val="single" w:color="000000" w:sz="4" w:space="0"/>
                    <w:right w:val="single" w:color="000000" w:sz="4" w:space="0"/>
                  </w:tcBorders>
                  <w:noWrap w:val="0"/>
                  <w:vAlign w:val="center"/>
                </w:tcPr>
                <w:p w14:paraId="17A18581">
                  <w:pPr>
                    <w:keepNext w:val="0"/>
                    <w:keepLines w:val="0"/>
                    <w:pageBreakBefore w:val="0"/>
                    <w:kinsoku/>
                    <w:wordWrap/>
                    <w:overflowPunct/>
                    <w:topLinePunct w:val="0"/>
                    <w:autoSpaceDE w:val="0"/>
                    <w:autoSpaceDN w:val="0"/>
                    <w:bidi w:val="0"/>
                    <w:adjustRightInd/>
                    <w:snapToGrid/>
                    <w:spacing w:line="240" w:lineRule="auto"/>
                    <w:jc w:val="center"/>
                    <w:textAlignment w:val="bottom"/>
                    <w:rPr>
                      <w:color w:val="000000"/>
                      <w:kern w:val="0"/>
                      <w:sz w:val="21"/>
                      <w:szCs w:val="21"/>
                    </w:rPr>
                  </w:pPr>
                  <w:r>
                    <w:rPr>
                      <w:color w:val="000000"/>
                      <w:kern w:val="0"/>
                      <w:sz w:val="21"/>
                      <w:szCs w:val="21"/>
                    </w:rPr>
                    <w:t>/</w:t>
                  </w:r>
                </w:p>
              </w:tc>
              <w:tc>
                <w:tcPr>
                  <w:tcW w:w="2167" w:type="pct"/>
                  <w:tcBorders>
                    <w:left w:val="single" w:color="000000" w:sz="4" w:space="0"/>
                  </w:tcBorders>
                  <w:noWrap w:val="0"/>
                  <w:vAlign w:val="center"/>
                </w:tcPr>
                <w:p w14:paraId="23FE09EB">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color w:val="000000"/>
                      <w:kern w:val="0"/>
                      <w:sz w:val="21"/>
                      <w:szCs w:val="21"/>
                    </w:rPr>
                    <w:t>由环卫部门定期清运</w:t>
                  </w:r>
                </w:p>
              </w:tc>
            </w:tr>
            <w:tr w14:paraId="2BE42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387" w:type="pct"/>
                  <w:vMerge w:val="continue"/>
                  <w:noWrap w:val="0"/>
                  <w:vAlign w:val="center"/>
                </w:tcPr>
                <w:p w14:paraId="51F12947">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p>
              </w:tc>
              <w:tc>
                <w:tcPr>
                  <w:tcW w:w="511" w:type="pct"/>
                  <w:noWrap w:val="0"/>
                  <w:vAlign w:val="center"/>
                </w:tcPr>
                <w:p w14:paraId="706F036A">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color w:val="000000"/>
                      <w:kern w:val="0"/>
                      <w:sz w:val="21"/>
                      <w:szCs w:val="21"/>
                    </w:rPr>
                    <w:t>危险废物</w:t>
                  </w:r>
                </w:p>
              </w:tc>
              <w:tc>
                <w:tcPr>
                  <w:tcW w:w="853" w:type="pct"/>
                  <w:tcBorders>
                    <w:left w:val="single" w:color="000000" w:sz="4" w:space="0"/>
                    <w:right w:val="single" w:color="000000" w:sz="4" w:space="0"/>
                  </w:tcBorders>
                  <w:noWrap w:val="0"/>
                  <w:vAlign w:val="center"/>
                </w:tcPr>
                <w:p w14:paraId="12B84E63">
                  <w:pPr>
                    <w:keepNext w:val="0"/>
                    <w:keepLines w:val="0"/>
                    <w:pageBreakBefore w:val="0"/>
                    <w:kinsoku/>
                    <w:wordWrap/>
                    <w:overflowPunct/>
                    <w:topLinePunct w:val="0"/>
                    <w:autoSpaceDE w:val="0"/>
                    <w:autoSpaceDN w:val="0"/>
                    <w:bidi w:val="0"/>
                    <w:adjustRightInd/>
                    <w:snapToGrid/>
                    <w:spacing w:line="240" w:lineRule="auto"/>
                    <w:jc w:val="center"/>
                    <w:textAlignment w:val="bottom"/>
                    <w:rPr>
                      <w:rFonts w:hint="default" w:eastAsia="宋体"/>
                      <w:color w:val="000000"/>
                      <w:kern w:val="0"/>
                      <w:sz w:val="21"/>
                      <w:szCs w:val="21"/>
                      <w:lang w:val="en-US" w:eastAsia="zh-CN" w:bidi="ar"/>
                    </w:rPr>
                  </w:pPr>
                  <w:r>
                    <w:rPr>
                      <w:rFonts w:hint="eastAsia"/>
                      <w:color w:val="000000"/>
                      <w:sz w:val="21"/>
                      <w:szCs w:val="21"/>
                      <w:lang w:val="en-US" w:eastAsia="zh-CN"/>
                    </w:rPr>
                    <w:t>废活性炭</w:t>
                  </w:r>
                  <w:r>
                    <w:rPr>
                      <w:rFonts w:hint="eastAsia"/>
                      <w:color w:val="000000"/>
                      <w:sz w:val="21"/>
                      <w:szCs w:val="21"/>
                      <w:lang w:eastAsia="zh-CN"/>
                    </w:rPr>
                    <w:t>、</w:t>
                  </w:r>
                  <w:r>
                    <w:rPr>
                      <w:rFonts w:hint="eastAsia"/>
                      <w:color w:val="000000"/>
                      <w:sz w:val="21"/>
                      <w:szCs w:val="21"/>
                      <w:lang w:val="en-US" w:eastAsia="zh-CN"/>
                    </w:rPr>
                    <w:t>废切削液、废包装</w:t>
                  </w:r>
                </w:p>
              </w:tc>
              <w:tc>
                <w:tcPr>
                  <w:tcW w:w="1080" w:type="pct"/>
                  <w:tcBorders>
                    <w:left w:val="single" w:color="000000" w:sz="4" w:space="0"/>
                    <w:right w:val="single" w:color="000000" w:sz="4" w:space="0"/>
                  </w:tcBorders>
                  <w:noWrap w:val="0"/>
                  <w:vAlign w:val="center"/>
                </w:tcPr>
                <w:p w14:paraId="6866A750">
                  <w:pPr>
                    <w:keepNext w:val="0"/>
                    <w:keepLines w:val="0"/>
                    <w:pageBreakBefore w:val="0"/>
                    <w:kinsoku/>
                    <w:wordWrap/>
                    <w:overflowPunct/>
                    <w:topLinePunct w:val="0"/>
                    <w:autoSpaceDE w:val="0"/>
                    <w:autoSpaceDN w:val="0"/>
                    <w:bidi w:val="0"/>
                    <w:adjustRightInd/>
                    <w:snapToGrid/>
                    <w:spacing w:line="240" w:lineRule="auto"/>
                    <w:jc w:val="center"/>
                    <w:textAlignment w:val="bottom"/>
                    <w:rPr>
                      <w:color w:val="000000"/>
                      <w:kern w:val="0"/>
                      <w:sz w:val="21"/>
                      <w:szCs w:val="21"/>
                    </w:rPr>
                  </w:pPr>
                  <w:r>
                    <w:rPr>
                      <w:rFonts w:hint="eastAsia"/>
                      <w:color w:val="000000"/>
                      <w:sz w:val="21"/>
                      <w:szCs w:val="21"/>
                      <w:lang w:val="en-US" w:eastAsia="zh-CN"/>
                    </w:rPr>
                    <w:t>废活性炭</w:t>
                  </w:r>
                  <w:r>
                    <w:rPr>
                      <w:rFonts w:hint="eastAsia"/>
                      <w:color w:val="000000"/>
                      <w:sz w:val="21"/>
                      <w:szCs w:val="21"/>
                      <w:lang w:eastAsia="zh-CN"/>
                    </w:rPr>
                    <w:t>、</w:t>
                  </w:r>
                  <w:r>
                    <w:rPr>
                      <w:rFonts w:hint="eastAsia"/>
                      <w:color w:val="000000"/>
                      <w:sz w:val="21"/>
                      <w:szCs w:val="21"/>
                      <w:lang w:val="en-US" w:eastAsia="zh-CN"/>
                    </w:rPr>
                    <w:t>废切削液、废包装</w:t>
                  </w:r>
                </w:p>
              </w:tc>
              <w:tc>
                <w:tcPr>
                  <w:tcW w:w="2167" w:type="pct"/>
                  <w:tcBorders>
                    <w:left w:val="single" w:color="000000" w:sz="4" w:space="0"/>
                  </w:tcBorders>
                  <w:noWrap w:val="0"/>
                  <w:vAlign w:val="center"/>
                </w:tcPr>
                <w:p w14:paraId="265117AC">
                  <w:pPr>
                    <w:pStyle w:val="75"/>
                    <w:keepNext w:val="0"/>
                    <w:keepLines w:val="0"/>
                    <w:pageBreakBefore w:val="0"/>
                    <w:widowControl w:val="0"/>
                    <w:kinsoku/>
                    <w:wordWrap/>
                    <w:overflowPunct/>
                    <w:topLinePunct w:val="0"/>
                    <w:bidi w:val="0"/>
                    <w:adjustRightInd/>
                    <w:snapToGrid/>
                    <w:spacing w:line="240" w:lineRule="auto"/>
                    <w:jc w:val="center"/>
                    <w:rPr>
                      <w:color w:val="000000"/>
                      <w:kern w:val="0"/>
                      <w:sz w:val="21"/>
                      <w:szCs w:val="21"/>
                    </w:rPr>
                  </w:pPr>
                  <w:r>
                    <w:rPr>
                      <w:rFonts w:ascii="Times New Roman" w:hAnsi="Times New Roman"/>
                      <w:bCs/>
                      <w:color w:val="000000"/>
                      <w:sz w:val="21"/>
                      <w:szCs w:val="21"/>
                    </w:rPr>
                    <w:t>属于危险废物，委托</w:t>
                  </w:r>
                  <w:r>
                    <w:rPr>
                      <w:rFonts w:hint="eastAsia" w:ascii="Times New Roman" w:hAnsi="Times New Roman"/>
                      <w:bCs/>
                      <w:color w:val="000000"/>
                      <w:sz w:val="21"/>
                      <w:szCs w:val="21"/>
                      <w:lang w:eastAsia="zh-CN"/>
                    </w:rPr>
                    <w:t>福建省固体废物处置有限公司</w:t>
                  </w:r>
                  <w:r>
                    <w:rPr>
                      <w:bCs/>
                      <w:color w:val="000000"/>
                      <w:sz w:val="21"/>
                      <w:szCs w:val="21"/>
                    </w:rPr>
                    <w:t>单位统一处理</w:t>
                  </w:r>
                </w:p>
              </w:tc>
            </w:tr>
            <w:tr w14:paraId="14DAF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 w:type="pct"/>
                  <w:noWrap w:val="0"/>
                  <w:vAlign w:val="center"/>
                </w:tcPr>
                <w:p w14:paraId="311F76CC">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color w:val="000000"/>
                      <w:kern w:val="0"/>
                      <w:sz w:val="21"/>
                      <w:szCs w:val="21"/>
                    </w:rPr>
                    <w:t>4</w:t>
                  </w:r>
                </w:p>
              </w:tc>
              <w:tc>
                <w:tcPr>
                  <w:tcW w:w="511" w:type="pct"/>
                  <w:noWrap w:val="0"/>
                  <w:vAlign w:val="center"/>
                </w:tcPr>
                <w:p w14:paraId="32966AD0">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color w:val="000000"/>
                      <w:kern w:val="0"/>
                      <w:sz w:val="21"/>
                      <w:szCs w:val="21"/>
                    </w:rPr>
                    <w:t>噪声</w:t>
                  </w:r>
                </w:p>
              </w:tc>
              <w:tc>
                <w:tcPr>
                  <w:tcW w:w="853" w:type="pct"/>
                  <w:tcBorders>
                    <w:left w:val="single" w:color="000000" w:sz="4" w:space="0"/>
                    <w:right w:val="single" w:color="000000" w:sz="4" w:space="0"/>
                  </w:tcBorders>
                  <w:noWrap w:val="0"/>
                  <w:vAlign w:val="center"/>
                </w:tcPr>
                <w:p w14:paraId="6765E915">
                  <w:pPr>
                    <w:keepNext w:val="0"/>
                    <w:keepLines w:val="0"/>
                    <w:pageBreakBefore w:val="0"/>
                    <w:widowControl/>
                    <w:kinsoku/>
                    <w:wordWrap/>
                    <w:overflowPunct/>
                    <w:topLinePunct w:val="0"/>
                    <w:bidi w:val="0"/>
                    <w:adjustRightInd/>
                    <w:snapToGrid/>
                    <w:spacing w:line="240" w:lineRule="auto"/>
                    <w:jc w:val="center"/>
                    <w:rPr>
                      <w:color w:val="000000"/>
                      <w:kern w:val="0"/>
                      <w:sz w:val="21"/>
                      <w:szCs w:val="21"/>
                      <w:highlight w:val="yellow"/>
                      <w:lang w:bidi="ar"/>
                    </w:rPr>
                  </w:pPr>
                  <w:r>
                    <w:rPr>
                      <w:color w:val="000000"/>
                      <w:kern w:val="0"/>
                      <w:sz w:val="21"/>
                      <w:szCs w:val="21"/>
                    </w:rPr>
                    <w:t>生产设备</w:t>
                  </w:r>
                </w:p>
              </w:tc>
              <w:tc>
                <w:tcPr>
                  <w:tcW w:w="1080" w:type="pct"/>
                  <w:tcBorders>
                    <w:left w:val="single" w:color="000000" w:sz="4" w:space="0"/>
                    <w:right w:val="single" w:color="000000" w:sz="4" w:space="0"/>
                  </w:tcBorders>
                  <w:noWrap w:val="0"/>
                  <w:vAlign w:val="center"/>
                </w:tcPr>
                <w:p w14:paraId="0DA87BB3">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color w:val="000000"/>
                      <w:kern w:val="0"/>
                      <w:sz w:val="21"/>
                      <w:szCs w:val="21"/>
                    </w:rPr>
                    <w:t>/</w:t>
                  </w:r>
                </w:p>
              </w:tc>
              <w:tc>
                <w:tcPr>
                  <w:tcW w:w="2167" w:type="pct"/>
                  <w:tcBorders>
                    <w:left w:val="single" w:color="000000" w:sz="4" w:space="0"/>
                  </w:tcBorders>
                  <w:noWrap w:val="0"/>
                  <w:vAlign w:val="center"/>
                </w:tcPr>
                <w:p w14:paraId="2D014967">
                  <w:pPr>
                    <w:keepNext w:val="0"/>
                    <w:keepLines w:val="0"/>
                    <w:pageBreakBefore w:val="0"/>
                    <w:widowControl/>
                    <w:kinsoku/>
                    <w:wordWrap/>
                    <w:overflowPunct/>
                    <w:topLinePunct w:val="0"/>
                    <w:bidi w:val="0"/>
                    <w:adjustRightInd/>
                    <w:snapToGrid/>
                    <w:spacing w:line="240" w:lineRule="auto"/>
                    <w:jc w:val="center"/>
                    <w:rPr>
                      <w:color w:val="000000"/>
                      <w:kern w:val="0"/>
                      <w:sz w:val="21"/>
                      <w:szCs w:val="21"/>
                    </w:rPr>
                  </w:pPr>
                  <w:r>
                    <w:rPr>
                      <w:bCs/>
                      <w:color w:val="000000"/>
                      <w:sz w:val="21"/>
                      <w:szCs w:val="21"/>
                    </w:rPr>
                    <w:t>厂房隔声、设备基础减振等综合降噪措施</w:t>
                  </w:r>
                </w:p>
              </w:tc>
            </w:tr>
          </w:tbl>
          <w:p w14:paraId="0ACB4874">
            <w:pPr>
              <w:rPr>
                <w:kern w:val="0"/>
              </w:rPr>
            </w:pPr>
          </w:p>
        </w:tc>
      </w:tr>
      <w:tr w14:paraId="67CBB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26" w:hRule="atLeast"/>
          <w:jc w:val="center"/>
        </w:trPr>
        <w:tc>
          <w:tcPr>
            <w:tcW w:w="9242" w:type="dxa"/>
          </w:tcPr>
          <w:p w14:paraId="04D59032">
            <w:pPr>
              <w:keepNext w:val="0"/>
              <w:keepLines w:val="0"/>
              <w:pageBreakBefore w:val="0"/>
              <w:widowControl w:val="0"/>
              <w:kinsoku/>
              <w:wordWrap/>
              <w:overflowPunct/>
              <w:topLinePunct w:val="0"/>
              <w:autoSpaceDE/>
              <w:autoSpaceDN/>
              <w:bidi w:val="0"/>
              <w:adjustRightInd/>
              <w:snapToGrid/>
              <w:textAlignment w:val="auto"/>
              <w:rPr>
                <w:b/>
                <w:bCs/>
              </w:rPr>
            </w:pPr>
            <w:r>
              <w:rPr>
                <w:b/>
                <w:bCs/>
              </w:rPr>
              <w:t>主要生产设备：</w:t>
            </w:r>
          </w:p>
          <w:p w14:paraId="74884480">
            <w:pPr>
              <w:keepNext w:val="0"/>
              <w:keepLines w:val="0"/>
              <w:pageBreakBefore w:val="0"/>
              <w:widowControl w:val="0"/>
              <w:kinsoku/>
              <w:wordWrap/>
              <w:overflowPunct/>
              <w:topLinePunct w:val="0"/>
              <w:autoSpaceDE/>
              <w:autoSpaceDN/>
              <w:bidi w:val="0"/>
              <w:adjustRightInd/>
              <w:snapToGrid/>
              <w:textAlignment w:val="auto"/>
              <w:rPr>
                <w:b/>
                <w:bCs/>
              </w:rPr>
            </w:pPr>
            <w:r>
              <w:t>项目主要生产设备见表2-3。</w:t>
            </w:r>
          </w:p>
          <w:p w14:paraId="15005677">
            <w:pPr>
              <w:keepNext w:val="0"/>
              <w:keepLines w:val="0"/>
              <w:pageBreakBefore w:val="0"/>
              <w:widowControl w:val="0"/>
              <w:kinsoku/>
              <w:wordWrap/>
              <w:overflowPunct/>
              <w:topLinePunct w:val="0"/>
              <w:autoSpaceDE/>
              <w:autoSpaceDN/>
              <w:bidi w:val="0"/>
              <w:adjustRightInd/>
              <w:snapToGrid/>
              <w:ind w:firstLine="490"/>
              <w:jc w:val="center"/>
              <w:textAlignment w:val="auto"/>
              <w:rPr>
                <w:b/>
                <w:bCs/>
                <w:snapToGrid w:val="0"/>
                <w:lang w:bidi="en-US"/>
              </w:rPr>
            </w:pPr>
            <w:r>
              <w:rPr>
                <w:b/>
                <w:bCs/>
                <w:snapToGrid w:val="0"/>
                <w:lang w:bidi="en-US"/>
              </w:rPr>
              <w:t>表2-3项目主要生产设备</w:t>
            </w:r>
            <w:r>
              <w:rPr>
                <w:rFonts w:hint="eastAsia"/>
                <w:lang w:val="en-US" w:eastAsia="zh-CN"/>
              </w:rPr>
              <w:t>（全厂设备）</w:t>
            </w:r>
          </w:p>
          <w:tbl>
            <w:tblPr>
              <w:tblStyle w:val="20"/>
              <w:tblW w:w="902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89"/>
              <w:gridCol w:w="2013"/>
              <w:gridCol w:w="1176"/>
              <w:gridCol w:w="1536"/>
              <w:gridCol w:w="1652"/>
              <w:gridCol w:w="2060"/>
            </w:tblGrid>
            <w:tr w14:paraId="3A2B25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9" w:type="dxa"/>
                  <w:vMerge w:val="restart"/>
                  <w:vAlign w:val="center"/>
                </w:tcPr>
                <w:p w14:paraId="6E8480C0">
                  <w:pPr>
                    <w:pStyle w:val="50"/>
                    <w:keepNext w:val="0"/>
                    <w:keepLines w:val="0"/>
                    <w:pageBreakBefore w:val="0"/>
                    <w:kinsoku/>
                    <w:wordWrap/>
                    <w:overflowPunct/>
                    <w:topLinePunct w:val="0"/>
                    <w:autoSpaceDE/>
                    <w:autoSpaceDN/>
                    <w:bidi w:val="0"/>
                    <w:spacing w:line="240" w:lineRule="auto"/>
                    <w:textAlignment w:val="auto"/>
                    <w:rPr>
                      <w:sz w:val="21"/>
                      <w:szCs w:val="21"/>
                    </w:rPr>
                  </w:pPr>
                  <w:r>
                    <w:rPr>
                      <w:sz w:val="21"/>
                      <w:szCs w:val="21"/>
                    </w:rPr>
                    <w:t>序号</w:t>
                  </w:r>
                </w:p>
              </w:tc>
              <w:tc>
                <w:tcPr>
                  <w:tcW w:w="2013" w:type="dxa"/>
                  <w:vMerge w:val="restart"/>
                  <w:vAlign w:val="center"/>
                </w:tcPr>
                <w:p w14:paraId="636E9F85">
                  <w:pPr>
                    <w:pStyle w:val="50"/>
                    <w:keepNext w:val="0"/>
                    <w:keepLines w:val="0"/>
                    <w:pageBreakBefore w:val="0"/>
                    <w:kinsoku/>
                    <w:wordWrap/>
                    <w:overflowPunct/>
                    <w:topLinePunct w:val="0"/>
                    <w:autoSpaceDE/>
                    <w:autoSpaceDN/>
                    <w:bidi w:val="0"/>
                    <w:spacing w:line="240" w:lineRule="auto"/>
                    <w:textAlignment w:val="auto"/>
                    <w:rPr>
                      <w:sz w:val="21"/>
                      <w:szCs w:val="21"/>
                    </w:rPr>
                  </w:pPr>
                  <w:r>
                    <w:rPr>
                      <w:sz w:val="21"/>
                      <w:szCs w:val="21"/>
                    </w:rPr>
                    <w:t>设备名称</w:t>
                  </w:r>
                </w:p>
              </w:tc>
              <w:tc>
                <w:tcPr>
                  <w:tcW w:w="2712" w:type="dxa"/>
                  <w:gridSpan w:val="2"/>
                  <w:tcBorders>
                    <w:bottom w:val="single" w:color="auto" w:sz="4" w:space="0"/>
                  </w:tcBorders>
                  <w:vAlign w:val="center"/>
                </w:tcPr>
                <w:p w14:paraId="3B51545D">
                  <w:pPr>
                    <w:pStyle w:val="50"/>
                    <w:keepNext w:val="0"/>
                    <w:keepLines w:val="0"/>
                    <w:pageBreakBefore w:val="0"/>
                    <w:kinsoku/>
                    <w:wordWrap/>
                    <w:overflowPunct/>
                    <w:topLinePunct w:val="0"/>
                    <w:autoSpaceDE/>
                    <w:autoSpaceDN/>
                    <w:bidi w:val="0"/>
                    <w:spacing w:line="240" w:lineRule="auto"/>
                    <w:textAlignment w:val="auto"/>
                    <w:rPr>
                      <w:sz w:val="21"/>
                      <w:szCs w:val="21"/>
                    </w:rPr>
                  </w:pPr>
                  <w:r>
                    <w:rPr>
                      <w:sz w:val="21"/>
                      <w:szCs w:val="21"/>
                    </w:rPr>
                    <w:t>环评工程主要生产设备</w:t>
                  </w:r>
                </w:p>
              </w:tc>
              <w:tc>
                <w:tcPr>
                  <w:tcW w:w="1652" w:type="dxa"/>
                  <w:vMerge w:val="restart"/>
                  <w:vAlign w:val="center"/>
                </w:tcPr>
                <w:p w14:paraId="7495574A">
                  <w:pPr>
                    <w:pStyle w:val="50"/>
                    <w:keepNext w:val="0"/>
                    <w:keepLines w:val="0"/>
                    <w:pageBreakBefore w:val="0"/>
                    <w:kinsoku/>
                    <w:wordWrap/>
                    <w:overflowPunct/>
                    <w:topLinePunct w:val="0"/>
                    <w:autoSpaceDE/>
                    <w:autoSpaceDN/>
                    <w:bidi w:val="0"/>
                    <w:spacing w:line="240" w:lineRule="auto"/>
                    <w:textAlignment w:val="auto"/>
                    <w:rPr>
                      <w:sz w:val="21"/>
                      <w:szCs w:val="21"/>
                    </w:rPr>
                  </w:pPr>
                  <w:r>
                    <w:rPr>
                      <w:rFonts w:hint="eastAsia"/>
                      <w:sz w:val="21"/>
                      <w:szCs w:val="21"/>
                    </w:rPr>
                    <w:t>实际设备数量</w:t>
                  </w:r>
                </w:p>
              </w:tc>
              <w:tc>
                <w:tcPr>
                  <w:tcW w:w="2060" w:type="dxa"/>
                  <w:vMerge w:val="restart"/>
                  <w:vAlign w:val="center"/>
                </w:tcPr>
                <w:p w14:paraId="56AB9F2B">
                  <w:pPr>
                    <w:pStyle w:val="50"/>
                    <w:keepNext w:val="0"/>
                    <w:keepLines w:val="0"/>
                    <w:pageBreakBefore w:val="0"/>
                    <w:kinsoku/>
                    <w:wordWrap/>
                    <w:overflowPunct/>
                    <w:topLinePunct w:val="0"/>
                    <w:autoSpaceDE/>
                    <w:autoSpaceDN/>
                    <w:bidi w:val="0"/>
                    <w:spacing w:line="240" w:lineRule="auto"/>
                    <w:textAlignment w:val="auto"/>
                    <w:rPr>
                      <w:sz w:val="21"/>
                      <w:szCs w:val="21"/>
                    </w:rPr>
                  </w:pPr>
                  <w:r>
                    <w:rPr>
                      <w:sz w:val="21"/>
                      <w:szCs w:val="21"/>
                    </w:rPr>
                    <w:t>验收工程生产设备</w:t>
                  </w:r>
                </w:p>
              </w:tc>
            </w:tr>
            <w:tr w14:paraId="1858F5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9" w:type="dxa"/>
                  <w:vMerge w:val="continue"/>
                  <w:vAlign w:val="center"/>
                </w:tcPr>
                <w:p w14:paraId="511FD4FB">
                  <w:pPr>
                    <w:pStyle w:val="50"/>
                    <w:keepNext w:val="0"/>
                    <w:keepLines w:val="0"/>
                    <w:pageBreakBefore w:val="0"/>
                    <w:kinsoku/>
                    <w:wordWrap/>
                    <w:overflowPunct/>
                    <w:topLinePunct w:val="0"/>
                    <w:autoSpaceDE/>
                    <w:autoSpaceDN/>
                    <w:bidi w:val="0"/>
                    <w:spacing w:line="240" w:lineRule="auto"/>
                    <w:textAlignment w:val="auto"/>
                    <w:rPr>
                      <w:sz w:val="21"/>
                      <w:szCs w:val="21"/>
                    </w:rPr>
                  </w:pPr>
                </w:p>
              </w:tc>
              <w:tc>
                <w:tcPr>
                  <w:tcW w:w="2013" w:type="dxa"/>
                  <w:vMerge w:val="continue"/>
                  <w:vAlign w:val="center"/>
                </w:tcPr>
                <w:p w14:paraId="4CF6B996">
                  <w:pPr>
                    <w:pStyle w:val="50"/>
                    <w:keepNext w:val="0"/>
                    <w:keepLines w:val="0"/>
                    <w:pageBreakBefore w:val="0"/>
                    <w:kinsoku/>
                    <w:wordWrap/>
                    <w:overflowPunct/>
                    <w:topLinePunct w:val="0"/>
                    <w:autoSpaceDE/>
                    <w:autoSpaceDN/>
                    <w:bidi w:val="0"/>
                    <w:spacing w:line="240" w:lineRule="auto"/>
                    <w:textAlignment w:val="auto"/>
                    <w:rPr>
                      <w:sz w:val="21"/>
                      <w:szCs w:val="21"/>
                    </w:rPr>
                  </w:pPr>
                </w:p>
              </w:tc>
              <w:tc>
                <w:tcPr>
                  <w:tcW w:w="1176" w:type="dxa"/>
                  <w:tcBorders>
                    <w:top w:val="single" w:color="auto" w:sz="4" w:space="0"/>
                  </w:tcBorders>
                  <w:vAlign w:val="center"/>
                </w:tcPr>
                <w:p w14:paraId="4724E7E4">
                  <w:pPr>
                    <w:pStyle w:val="50"/>
                    <w:keepNext w:val="0"/>
                    <w:keepLines w:val="0"/>
                    <w:pageBreakBefore w:val="0"/>
                    <w:kinsoku/>
                    <w:wordWrap/>
                    <w:overflowPunct/>
                    <w:topLinePunct w:val="0"/>
                    <w:autoSpaceDE/>
                    <w:autoSpaceDN/>
                    <w:bidi w:val="0"/>
                    <w:spacing w:line="240" w:lineRule="auto"/>
                    <w:textAlignment w:val="auto"/>
                    <w:rPr>
                      <w:sz w:val="21"/>
                      <w:szCs w:val="21"/>
                    </w:rPr>
                  </w:pPr>
                  <w:r>
                    <w:rPr>
                      <w:sz w:val="21"/>
                      <w:szCs w:val="21"/>
                    </w:rPr>
                    <w:t>单位</w:t>
                  </w:r>
                </w:p>
              </w:tc>
              <w:tc>
                <w:tcPr>
                  <w:tcW w:w="1536" w:type="dxa"/>
                  <w:tcBorders>
                    <w:top w:val="single" w:color="auto" w:sz="4" w:space="0"/>
                  </w:tcBorders>
                  <w:vAlign w:val="center"/>
                </w:tcPr>
                <w:p w14:paraId="7AC45966">
                  <w:pPr>
                    <w:pStyle w:val="50"/>
                    <w:keepNext w:val="0"/>
                    <w:keepLines w:val="0"/>
                    <w:pageBreakBefore w:val="0"/>
                    <w:kinsoku/>
                    <w:wordWrap/>
                    <w:overflowPunct/>
                    <w:topLinePunct w:val="0"/>
                    <w:autoSpaceDE/>
                    <w:autoSpaceDN/>
                    <w:bidi w:val="0"/>
                    <w:spacing w:line="240" w:lineRule="auto"/>
                    <w:textAlignment w:val="auto"/>
                    <w:rPr>
                      <w:sz w:val="21"/>
                      <w:szCs w:val="21"/>
                    </w:rPr>
                  </w:pPr>
                  <w:r>
                    <w:rPr>
                      <w:sz w:val="21"/>
                      <w:szCs w:val="21"/>
                    </w:rPr>
                    <w:t>数量</w:t>
                  </w:r>
                </w:p>
              </w:tc>
              <w:tc>
                <w:tcPr>
                  <w:tcW w:w="1652" w:type="dxa"/>
                  <w:vMerge w:val="continue"/>
                  <w:vAlign w:val="center"/>
                </w:tcPr>
                <w:p w14:paraId="5F4EA2ED">
                  <w:pPr>
                    <w:pStyle w:val="50"/>
                    <w:keepNext w:val="0"/>
                    <w:keepLines w:val="0"/>
                    <w:pageBreakBefore w:val="0"/>
                    <w:kinsoku/>
                    <w:wordWrap/>
                    <w:overflowPunct/>
                    <w:topLinePunct w:val="0"/>
                    <w:autoSpaceDE/>
                    <w:autoSpaceDN/>
                    <w:bidi w:val="0"/>
                    <w:spacing w:line="240" w:lineRule="auto"/>
                    <w:textAlignment w:val="auto"/>
                    <w:rPr>
                      <w:sz w:val="21"/>
                      <w:szCs w:val="21"/>
                    </w:rPr>
                  </w:pPr>
                </w:p>
              </w:tc>
              <w:tc>
                <w:tcPr>
                  <w:tcW w:w="2060" w:type="dxa"/>
                  <w:vMerge w:val="continue"/>
                  <w:vAlign w:val="center"/>
                </w:tcPr>
                <w:p w14:paraId="39CD40C3">
                  <w:pPr>
                    <w:pStyle w:val="50"/>
                    <w:keepNext w:val="0"/>
                    <w:keepLines w:val="0"/>
                    <w:pageBreakBefore w:val="0"/>
                    <w:kinsoku/>
                    <w:wordWrap/>
                    <w:overflowPunct/>
                    <w:topLinePunct w:val="0"/>
                    <w:autoSpaceDE/>
                    <w:autoSpaceDN/>
                    <w:bidi w:val="0"/>
                    <w:spacing w:line="240" w:lineRule="auto"/>
                    <w:textAlignment w:val="auto"/>
                    <w:rPr>
                      <w:sz w:val="21"/>
                      <w:szCs w:val="21"/>
                    </w:rPr>
                  </w:pPr>
                </w:p>
              </w:tc>
            </w:tr>
            <w:tr w14:paraId="6EB6206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9" w:type="dxa"/>
                  <w:vAlign w:val="center"/>
                </w:tcPr>
                <w:p w14:paraId="125ECFDA">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2013" w:type="dxa"/>
                  <w:vAlign w:val="center"/>
                </w:tcPr>
                <w:p w14:paraId="6A25D001">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开料机</w:t>
                  </w:r>
                </w:p>
              </w:tc>
              <w:tc>
                <w:tcPr>
                  <w:tcW w:w="1176" w:type="dxa"/>
                  <w:vAlign w:val="center"/>
                </w:tcPr>
                <w:p w14:paraId="1541E8B5">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536" w:type="dxa"/>
                  <w:vAlign w:val="center"/>
                </w:tcPr>
                <w:p w14:paraId="22EE83D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3</w:t>
                  </w:r>
                </w:p>
              </w:tc>
              <w:tc>
                <w:tcPr>
                  <w:tcW w:w="1652" w:type="dxa"/>
                  <w:vAlign w:val="center"/>
                </w:tcPr>
                <w:p w14:paraId="76E1A792">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3</w:t>
                  </w:r>
                </w:p>
              </w:tc>
              <w:tc>
                <w:tcPr>
                  <w:tcW w:w="2060" w:type="dxa"/>
                  <w:vAlign w:val="center"/>
                </w:tcPr>
                <w:p w14:paraId="7531C91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与环评一致</w:t>
                  </w:r>
                </w:p>
              </w:tc>
            </w:tr>
            <w:tr w14:paraId="57EB34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9" w:type="dxa"/>
                  <w:vAlign w:val="center"/>
                </w:tcPr>
                <w:p w14:paraId="206C6FC3">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2013" w:type="dxa"/>
                  <w:vAlign w:val="center"/>
                </w:tcPr>
                <w:p w14:paraId="1BDA15F0">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钢化炉</w:t>
                  </w:r>
                </w:p>
              </w:tc>
              <w:tc>
                <w:tcPr>
                  <w:tcW w:w="1176" w:type="dxa"/>
                  <w:vAlign w:val="center"/>
                </w:tcPr>
                <w:p w14:paraId="356875EC">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536" w:type="dxa"/>
                  <w:vAlign w:val="center"/>
                </w:tcPr>
                <w:p w14:paraId="28DB5CF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w:t>
                  </w:r>
                </w:p>
              </w:tc>
              <w:tc>
                <w:tcPr>
                  <w:tcW w:w="1652" w:type="dxa"/>
                  <w:vAlign w:val="center"/>
                </w:tcPr>
                <w:p w14:paraId="641A0468">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4</w:t>
                  </w:r>
                </w:p>
              </w:tc>
              <w:tc>
                <w:tcPr>
                  <w:tcW w:w="2060" w:type="dxa"/>
                  <w:vAlign w:val="center"/>
                </w:tcPr>
                <w:p w14:paraId="3FDF632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与环评一致</w:t>
                  </w:r>
                </w:p>
              </w:tc>
            </w:tr>
            <w:tr w14:paraId="4A4AD4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9" w:type="dxa"/>
                  <w:vAlign w:val="center"/>
                </w:tcPr>
                <w:p w14:paraId="762A0F37">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2013" w:type="dxa"/>
                  <w:vAlign w:val="center"/>
                </w:tcPr>
                <w:p w14:paraId="49817E4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精雕机</w:t>
                  </w:r>
                </w:p>
              </w:tc>
              <w:tc>
                <w:tcPr>
                  <w:tcW w:w="1176" w:type="dxa"/>
                  <w:vAlign w:val="center"/>
                </w:tcPr>
                <w:p w14:paraId="441EA56B">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536" w:type="dxa"/>
                  <w:vAlign w:val="center"/>
                </w:tcPr>
                <w:p w14:paraId="7CBB829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30</w:t>
                  </w:r>
                </w:p>
              </w:tc>
              <w:tc>
                <w:tcPr>
                  <w:tcW w:w="1652" w:type="dxa"/>
                  <w:vAlign w:val="center"/>
                </w:tcPr>
                <w:p w14:paraId="62293F32">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30</w:t>
                  </w:r>
                </w:p>
              </w:tc>
              <w:tc>
                <w:tcPr>
                  <w:tcW w:w="2060" w:type="dxa"/>
                  <w:vAlign w:val="center"/>
                </w:tcPr>
                <w:p w14:paraId="4D35F47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与环评一致</w:t>
                  </w:r>
                </w:p>
              </w:tc>
            </w:tr>
            <w:tr w14:paraId="7D34500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9" w:type="dxa"/>
                  <w:vAlign w:val="center"/>
                </w:tcPr>
                <w:p w14:paraId="198AEB69">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2013" w:type="dxa"/>
                  <w:vAlign w:val="center"/>
                </w:tcPr>
                <w:p w14:paraId="150FE2A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超声波</w:t>
                  </w:r>
                </w:p>
              </w:tc>
              <w:tc>
                <w:tcPr>
                  <w:tcW w:w="1176" w:type="dxa"/>
                  <w:vAlign w:val="center"/>
                </w:tcPr>
                <w:p w14:paraId="43FCB309">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536" w:type="dxa"/>
                  <w:vAlign w:val="center"/>
                </w:tcPr>
                <w:p w14:paraId="59C1ED5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1652" w:type="dxa"/>
                  <w:vAlign w:val="center"/>
                </w:tcPr>
                <w:p w14:paraId="4361D48B">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2060" w:type="dxa"/>
                  <w:vAlign w:val="center"/>
                </w:tcPr>
                <w:p w14:paraId="3A2D1FAE">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与环评一致</w:t>
                  </w:r>
                </w:p>
              </w:tc>
            </w:tr>
            <w:tr w14:paraId="0532D6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9" w:type="dxa"/>
                  <w:vAlign w:val="center"/>
                </w:tcPr>
                <w:p w14:paraId="46956F48">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2013" w:type="dxa"/>
                  <w:vAlign w:val="center"/>
                </w:tcPr>
                <w:p w14:paraId="6D8B3488">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抛光机</w:t>
                  </w:r>
                </w:p>
              </w:tc>
              <w:tc>
                <w:tcPr>
                  <w:tcW w:w="1176" w:type="dxa"/>
                  <w:vAlign w:val="center"/>
                </w:tcPr>
                <w:p w14:paraId="3CADCC22">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536" w:type="dxa"/>
                  <w:vAlign w:val="center"/>
                </w:tcPr>
                <w:p w14:paraId="2B9924E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w:t>
                  </w:r>
                </w:p>
              </w:tc>
              <w:tc>
                <w:tcPr>
                  <w:tcW w:w="1652" w:type="dxa"/>
                  <w:vAlign w:val="center"/>
                </w:tcPr>
                <w:p w14:paraId="7F4897AA">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10</w:t>
                  </w:r>
                </w:p>
              </w:tc>
              <w:tc>
                <w:tcPr>
                  <w:tcW w:w="2060" w:type="dxa"/>
                  <w:vAlign w:val="center"/>
                </w:tcPr>
                <w:p w14:paraId="70246AA1">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与环评一致</w:t>
                  </w:r>
                </w:p>
              </w:tc>
            </w:tr>
            <w:tr w14:paraId="3F117E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94" w:hRule="atLeast"/>
                <w:jc w:val="center"/>
              </w:trPr>
              <w:tc>
                <w:tcPr>
                  <w:tcW w:w="589" w:type="dxa"/>
                  <w:vAlign w:val="center"/>
                </w:tcPr>
                <w:p w14:paraId="5E92A0C2">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2013" w:type="dxa"/>
                  <w:vAlign w:val="center"/>
                </w:tcPr>
                <w:p w14:paraId="07AB46C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丝印机</w:t>
                  </w:r>
                </w:p>
              </w:tc>
              <w:tc>
                <w:tcPr>
                  <w:tcW w:w="1176" w:type="dxa"/>
                  <w:vAlign w:val="center"/>
                </w:tcPr>
                <w:p w14:paraId="6DBFE9F7">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536" w:type="dxa"/>
                  <w:vAlign w:val="center"/>
                </w:tcPr>
                <w:p w14:paraId="5B75FC2E">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w:t>
                  </w:r>
                </w:p>
              </w:tc>
              <w:tc>
                <w:tcPr>
                  <w:tcW w:w="1652" w:type="dxa"/>
                  <w:vAlign w:val="center"/>
                </w:tcPr>
                <w:p w14:paraId="2DEE85A9">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20</w:t>
                  </w:r>
                </w:p>
              </w:tc>
              <w:tc>
                <w:tcPr>
                  <w:tcW w:w="2060" w:type="dxa"/>
                  <w:vAlign w:val="center"/>
                </w:tcPr>
                <w:p w14:paraId="11D5705D">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与环评一致</w:t>
                  </w:r>
                </w:p>
              </w:tc>
            </w:tr>
            <w:tr w14:paraId="0260BB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94" w:hRule="atLeast"/>
                <w:jc w:val="center"/>
              </w:trPr>
              <w:tc>
                <w:tcPr>
                  <w:tcW w:w="589" w:type="dxa"/>
                  <w:vAlign w:val="center"/>
                </w:tcPr>
                <w:p w14:paraId="2F4D9E58">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7</w:t>
                  </w:r>
                </w:p>
              </w:tc>
              <w:tc>
                <w:tcPr>
                  <w:tcW w:w="2013" w:type="dxa"/>
                  <w:vAlign w:val="center"/>
                </w:tcPr>
                <w:p w14:paraId="0A1A476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隧道炉</w:t>
                  </w:r>
                </w:p>
              </w:tc>
              <w:tc>
                <w:tcPr>
                  <w:tcW w:w="1176" w:type="dxa"/>
                  <w:vAlign w:val="center"/>
                </w:tcPr>
                <w:p w14:paraId="641A0216">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536" w:type="dxa"/>
                  <w:vAlign w:val="center"/>
                </w:tcPr>
                <w:p w14:paraId="6D8E80E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w:t>
                  </w:r>
                </w:p>
              </w:tc>
              <w:tc>
                <w:tcPr>
                  <w:tcW w:w="1652" w:type="dxa"/>
                  <w:vAlign w:val="center"/>
                </w:tcPr>
                <w:p w14:paraId="596B7A0A">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20</w:t>
                  </w:r>
                </w:p>
              </w:tc>
              <w:tc>
                <w:tcPr>
                  <w:tcW w:w="2060" w:type="dxa"/>
                  <w:vAlign w:val="center"/>
                </w:tcPr>
                <w:p w14:paraId="3701E4A1">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与环评一致</w:t>
                  </w:r>
                </w:p>
              </w:tc>
            </w:tr>
            <w:tr w14:paraId="76DD02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94" w:hRule="atLeast"/>
                <w:jc w:val="center"/>
              </w:trPr>
              <w:tc>
                <w:tcPr>
                  <w:tcW w:w="589" w:type="dxa"/>
                  <w:vAlign w:val="center"/>
                </w:tcPr>
                <w:p w14:paraId="7EB5C4FD">
                  <w:pPr>
                    <w:keepNext w:val="0"/>
                    <w:keepLines w:val="0"/>
                    <w:pageBreakBefore w:val="0"/>
                    <w:kinsoku/>
                    <w:wordWrap/>
                    <w:overflowPunct/>
                    <w:topLinePunct w:val="0"/>
                    <w:autoSpaceDE/>
                    <w:autoSpaceDN/>
                    <w:bidi w:val="0"/>
                    <w:spacing w:line="240" w:lineRule="auto"/>
                    <w:jc w:val="center"/>
                    <w:textAlignment w:val="auto"/>
                    <w:rPr>
                      <w:rFonts w:hint="default" w:cs="Times New Roman"/>
                      <w:sz w:val="21"/>
                      <w:szCs w:val="21"/>
                      <w:lang w:val="en-US" w:eastAsia="zh-CN"/>
                    </w:rPr>
                  </w:pPr>
                  <w:r>
                    <w:rPr>
                      <w:rFonts w:hint="eastAsia" w:cs="Times New Roman"/>
                      <w:sz w:val="21"/>
                      <w:szCs w:val="21"/>
                      <w:lang w:val="en-US" w:eastAsia="zh-CN"/>
                    </w:rPr>
                    <w:t>8</w:t>
                  </w:r>
                </w:p>
              </w:tc>
              <w:tc>
                <w:tcPr>
                  <w:tcW w:w="2013" w:type="dxa"/>
                  <w:vAlign w:val="center"/>
                </w:tcPr>
                <w:p w14:paraId="6611E7AF">
                  <w:pPr>
                    <w:keepNext w:val="0"/>
                    <w:keepLines w:val="0"/>
                    <w:pageBreakBefore w:val="0"/>
                    <w:kinsoku/>
                    <w:wordWrap/>
                    <w:overflowPunct/>
                    <w:topLinePunct w:val="0"/>
                    <w:autoSpaceDE/>
                    <w:autoSpaceDN/>
                    <w:bidi w:val="0"/>
                    <w:spacing w:line="240" w:lineRule="auto"/>
                    <w:jc w:val="center"/>
                    <w:textAlignment w:val="auto"/>
                    <w:rPr>
                      <w:rFonts w:hint="default" w:cs="Times New Roman"/>
                      <w:sz w:val="21"/>
                      <w:szCs w:val="21"/>
                      <w:lang w:val="en-US" w:eastAsia="zh-CN"/>
                    </w:rPr>
                  </w:pPr>
                  <w:r>
                    <w:rPr>
                      <w:rFonts w:hint="eastAsia" w:cs="Times New Roman"/>
                      <w:sz w:val="21"/>
                      <w:szCs w:val="21"/>
                      <w:lang w:val="en-US" w:eastAsia="zh-CN"/>
                    </w:rPr>
                    <w:t>平板清洗机</w:t>
                  </w:r>
                </w:p>
              </w:tc>
              <w:tc>
                <w:tcPr>
                  <w:tcW w:w="1176" w:type="dxa"/>
                  <w:vAlign w:val="center"/>
                </w:tcPr>
                <w:p w14:paraId="1D867453">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1536" w:type="dxa"/>
                  <w:vAlign w:val="center"/>
                </w:tcPr>
                <w:p w14:paraId="5C3130F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w:t>
                  </w:r>
                </w:p>
              </w:tc>
              <w:tc>
                <w:tcPr>
                  <w:tcW w:w="1652" w:type="dxa"/>
                  <w:vAlign w:val="center"/>
                </w:tcPr>
                <w:p w14:paraId="5B157475">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4</w:t>
                  </w:r>
                </w:p>
              </w:tc>
              <w:tc>
                <w:tcPr>
                  <w:tcW w:w="2060" w:type="dxa"/>
                  <w:vAlign w:val="center"/>
                </w:tcPr>
                <w:p w14:paraId="0E8FBF6B">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与环评一致</w:t>
                  </w:r>
                </w:p>
              </w:tc>
            </w:tr>
          </w:tbl>
          <w:p w14:paraId="34B87A69">
            <w:pPr>
              <w:ind w:firstLine="480" w:firstLineChars="200"/>
            </w:pPr>
            <w:r>
              <w:t>从表2-3可知，项目主要生产设备未发生</w:t>
            </w:r>
            <w:r>
              <w:rPr>
                <w:rFonts w:hint="eastAsia"/>
              </w:rPr>
              <w:t>变动</w:t>
            </w:r>
            <w:r>
              <w:t>。</w:t>
            </w:r>
          </w:p>
          <w:p w14:paraId="6CBFCBE4">
            <w:pPr>
              <w:jc w:val="center"/>
              <w:rPr>
                <w:b/>
              </w:rPr>
            </w:pPr>
            <w:r>
              <w:rPr>
                <w:rFonts w:hint="eastAsia"/>
                <w:b/>
              </w:rPr>
              <w:t>表2-4项目主要环境保护目标一览表</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86"/>
              <w:gridCol w:w="1601"/>
              <w:gridCol w:w="2070"/>
              <w:gridCol w:w="1660"/>
              <w:gridCol w:w="2804"/>
            </w:tblGrid>
            <w:tr w14:paraId="445FEE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491" w:type="pct"/>
                  <w:noWrap w:val="0"/>
                  <w:vAlign w:val="center"/>
                </w:tcPr>
                <w:p w14:paraId="085885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1"/>
                      <w:szCs w:val="21"/>
                    </w:rPr>
                  </w:pPr>
                  <w:r>
                    <w:rPr>
                      <w:b/>
                      <w:bCs/>
                      <w:color w:val="000000"/>
                      <w:sz w:val="21"/>
                      <w:szCs w:val="21"/>
                    </w:rPr>
                    <w:t>环境</w:t>
                  </w:r>
                </w:p>
                <w:p w14:paraId="19A64B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1"/>
                      <w:szCs w:val="21"/>
                    </w:rPr>
                  </w:pPr>
                  <w:r>
                    <w:rPr>
                      <w:b/>
                      <w:bCs/>
                      <w:color w:val="000000"/>
                      <w:sz w:val="21"/>
                      <w:szCs w:val="21"/>
                    </w:rPr>
                    <w:t>要素</w:t>
                  </w:r>
                </w:p>
              </w:tc>
              <w:tc>
                <w:tcPr>
                  <w:tcW w:w="887" w:type="pct"/>
                  <w:noWrap w:val="0"/>
                  <w:vAlign w:val="center"/>
                </w:tcPr>
                <w:p w14:paraId="6C0F19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1"/>
                      <w:szCs w:val="21"/>
                    </w:rPr>
                  </w:pPr>
                  <w:r>
                    <w:rPr>
                      <w:b/>
                      <w:bCs/>
                      <w:color w:val="000000"/>
                      <w:sz w:val="21"/>
                      <w:szCs w:val="21"/>
                    </w:rPr>
                    <w:t>环境保护</w:t>
                  </w:r>
                </w:p>
                <w:p w14:paraId="0581B5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1"/>
                      <w:szCs w:val="21"/>
                    </w:rPr>
                  </w:pPr>
                  <w:r>
                    <w:rPr>
                      <w:b/>
                      <w:bCs/>
                      <w:color w:val="000000"/>
                      <w:sz w:val="21"/>
                      <w:szCs w:val="21"/>
                    </w:rPr>
                    <w:t>对象名称</w:t>
                  </w:r>
                </w:p>
              </w:tc>
              <w:tc>
                <w:tcPr>
                  <w:tcW w:w="1147" w:type="pct"/>
                  <w:noWrap w:val="0"/>
                  <w:vAlign w:val="center"/>
                </w:tcPr>
                <w:p w14:paraId="6AFB27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1"/>
                      <w:szCs w:val="21"/>
                    </w:rPr>
                  </w:pPr>
                  <w:r>
                    <w:rPr>
                      <w:b/>
                      <w:bCs/>
                      <w:color w:val="000000"/>
                      <w:sz w:val="21"/>
                      <w:szCs w:val="21"/>
                    </w:rPr>
                    <w:t>相对项目厂界的方位和最近距离</w:t>
                  </w:r>
                </w:p>
              </w:tc>
              <w:tc>
                <w:tcPr>
                  <w:tcW w:w="920" w:type="pct"/>
                  <w:noWrap w:val="0"/>
                  <w:vAlign w:val="center"/>
                </w:tcPr>
                <w:p w14:paraId="20A2AF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1"/>
                      <w:szCs w:val="21"/>
                    </w:rPr>
                  </w:pPr>
                  <w:r>
                    <w:rPr>
                      <w:b/>
                      <w:bCs/>
                      <w:color w:val="000000"/>
                      <w:sz w:val="21"/>
                      <w:szCs w:val="21"/>
                    </w:rPr>
                    <w:t>目标规模</w:t>
                  </w:r>
                </w:p>
              </w:tc>
              <w:tc>
                <w:tcPr>
                  <w:tcW w:w="1553" w:type="pct"/>
                  <w:noWrap w:val="0"/>
                  <w:vAlign w:val="center"/>
                </w:tcPr>
                <w:p w14:paraId="46CFD4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1"/>
                      <w:szCs w:val="21"/>
                    </w:rPr>
                  </w:pPr>
                  <w:r>
                    <w:rPr>
                      <w:b/>
                      <w:bCs/>
                      <w:color w:val="000000"/>
                      <w:sz w:val="21"/>
                      <w:szCs w:val="21"/>
                    </w:rPr>
                    <w:t>环境功能</w:t>
                  </w:r>
                </w:p>
              </w:tc>
            </w:tr>
            <w:tr w14:paraId="7CB0B8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91" w:type="pct"/>
                  <w:vMerge w:val="restart"/>
                  <w:noWrap w:val="0"/>
                  <w:vAlign w:val="center"/>
                </w:tcPr>
                <w:p w14:paraId="2A0F49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color w:val="000000"/>
                      <w:sz w:val="21"/>
                      <w:szCs w:val="21"/>
                    </w:rPr>
                    <w:t>环境</w:t>
                  </w:r>
                </w:p>
                <w:p w14:paraId="68865D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color w:val="000000"/>
                      <w:sz w:val="21"/>
                      <w:szCs w:val="21"/>
                    </w:rPr>
                    <w:t>空气</w:t>
                  </w:r>
                </w:p>
              </w:tc>
              <w:tc>
                <w:tcPr>
                  <w:tcW w:w="887" w:type="pct"/>
                  <w:noWrap w:val="0"/>
                  <w:vAlign w:val="center"/>
                </w:tcPr>
                <w:p w14:paraId="680213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上黄厝</w:t>
                  </w:r>
                </w:p>
              </w:tc>
              <w:tc>
                <w:tcPr>
                  <w:tcW w:w="1147" w:type="pct"/>
                  <w:noWrap w:val="0"/>
                  <w:vAlign w:val="center"/>
                </w:tcPr>
                <w:p w14:paraId="6180A2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rPr>
                  </w:pPr>
                  <w:r>
                    <w:rPr>
                      <w:rFonts w:hint="eastAsia"/>
                      <w:color w:val="000000"/>
                      <w:sz w:val="21"/>
                      <w:szCs w:val="21"/>
                      <w:lang w:val="en-US" w:eastAsia="zh-CN"/>
                    </w:rPr>
                    <w:t>东</w:t>
                  </w:r>
                  <w:r>
                    <w:rPr>
                      <w:rFonts w:hint="eastAsia"/>
                      <w:color w:val="000000"/>
                      <w:sz w:val="21"/>
                      <w:szCs w:val="21"/>
                    </w:rPr>
                    <w:t>侧</w:t>
                  </w:r>
                  <w:r>
                    <w:rPr>
                      <w:rFonts w:hint="eastAsia"/>
                      <w:color w:val="000000"/>
                      <w:sz w:val="21"/>
                      <w:szCs w:val="21"/>
                      <w:lang w:val="en-US" w:eastAsia="zh-CN"/>
                    </w:rPr>
                    <w:t>70</w:t>
                  </w:r>
                  <w:r>
                    <w:rPr>
                      <w:rFonts w:hint="eastAsia"/>
                      <w:color w:val="000000"/>
                      <w:sz w:val="21"/>
                      <w:szCs w:val="21"/>
                    </w:rPr>
                    <w:t>m</w:t>
                  </w:r>
                </w:p>
              </w:tc>
              <w:tc>
                <w:tcPr>
                  <w:tcW w:w="920" w:type="pct"/>
                  <w:noWrap w:val="0"/>
                  <w:vAlign w:val="center"/>
                </w:tcPr>
                <w:p w14:paraId="4C9499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30</w:t>
                  </w:r>
                  <w:r>
                    <w:rPr>
                      <w:color w:val="000000"/>
                      <w:sz w:val="21"/>
                      <w:szCs w:val="21"/>
                    </w:rPr>
                    <w:t>户</w:t>
                  </w:r>
                  <w:r>
                    <w:rPr>
                      <w:color w:val="000000"/>
                      <w:sz w:val="21"/>
                      <w:szCs w:val="21"/>
                      <w:lang w:eastAsia="en-US" w:bidi="en-US"/>
                    </w:rPr>
                    <w:t>/</w:t>
                  </w:r>
                  <w:r>
                    <w:rPr>
                      <w:rFonts w:hint="eastAsia"/>
                      <w:color w:val="000000"/>
                      <w:sz w:val="21"/>
                      <w:szCs w:val="21"/>
                      <w:lang w:bidi="en-US"/>
                    </w:rPr>
                    <w:t>150</w:t>
                  </w:r>
                  <w:r>
                    <w:rPr>
                      <w:color w:val="000000"/>
                      <w:sz w:val="21"/>
                      <w:szCs w:val="21"/>
                    </w:rPr>
                    <w:t>人</w:t>
                  </w:r>
                </w:p>
              </w:tc>
              <w:tc>
                <w:tcPr>
                  <w:tcW w:w="1553" w:type="pct"/>
                  <w:vMerge w:val="restart"/>
                  <w:noWrap w:val="0"/>
                  <w:vAlign w:val="center"/>
                </w:tcPr>
                <w:p w14:paraId="789FCD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color w:val="000000"/>
                      <w:sz w:val="21"/>
                      <w:szCs w:val="21"/>
                    </w:rPr>
                    <w:t>《环境空气质量标准》(GB3095-2012)及其修改单中的二级标准</w:t>
                  </w:r>
                </w:p>
              </w:tc>
            </w:tr>
            <w:tr w14:paraId="35C93D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491" w:type="pct"/>
                  <w:vMerge w:val="continue"/>
                  <w:noWrap w:val="0"/>
                  <w:vAlign w:val="center"/>
                </w:tcPr>
                <w:p w14:paraId="1DF105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p>
              </w:tc>
              <w:tc>
                <w:tcPr>
                  <w:tcW w:w="887" w:type="pct"/>
                  <w:noWrap w:val="0"/>
                  <w:vAlign w:val="center"/>
                </w:tcPr>
                <w:p w14:paraId="10601E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rPr>
                  </w:pPr>
                  <w:r>
                    <w:rPr>
                      <w:rFonts w:hint="eastAsia"/>
                      <w:color w:val="000000"/>
                      <w:sz w:val="21"/>
                      <w:szCs w:val="21"/>
                    </w:rPr>
                    <w:t>山边厝</w:t>
                  </w:r>
                </w:p>
              </w:tc>
              <w:tc>
                <w:tcPr>
                  <w:tcW w:w="1147" w:type="pct"/>
                  <w:noWrap w:val="0"/>
                  <w:vAlign w:val="center"/>
                </w:tcPr>
                <w:p w14:paraId="0EE71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rPr>
                  </w:pPr>
                  <w:r>
                    <w:rPr>
                      <w:rFonts w:hint="eastAsia"/>
                      <w:color w:val="000000"/>
                      <w:sz w:val="21"/>
                      <w:szCs w:val="21"/>
                      <w:lang w:val="en-US" w:eastAsia="zh-CN"/>
                    </w:rPr>
                    <w:t>西</w:t>
                  </w:r>
                  <w:r>
                    <w:rPr>
                      <w:rFonts w:hint="eastAsia"/>
                      <w:color w:val="000000"/>
                      <w:sz w:val="21"/>
                      <w:szCs w:val="21"/>
                    </w:rPr>
                    <w:t>侧</w:t>
                  </w:r>
                  <w:r>
                    <w:rPr>
                      <w:rFonts w:hint="eastAsia"/>
                      <w:color w:val="000000"/>
                      <w:sz w:val="21"/>
                      <w:szCs w:val="21"/>
                      <w:lang w:val="en-US" w:eastAsia="zh-CN"/>
                    </w:rPr>
                    <w:t>170</w:t>
                  </w:r>
                  <w:r>
                    <w:rPr>
                      <w:rFonts w:hint="eastAsia"/>
                      <w:color w:val="000000"/>
                      <w:sz w:val="21"/>
                      <w:szCs w:val="21"/>
                    </w:rPr>
                    <w:t>米</w:t>
                  </w:r>
                </w:p>
              </w:tc>
              <w:tc>
                <w:tcPr>
                  <w:tcW w:w="920" w:type="pct"/>
                  <w:noWrap w:val="0"/>
                  <w:vAlign w:val="center"/>
                </w:tcPr>
                <w:p w14:paraId="06A53D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50</w:t>
                  </w:r>
                  <w:r>
                    <w:rPr>
                      <w:color w:val="000000"/>
                      <w:sz w:val="21"/>
                      <w:szCs w:val="21"/>
                    </w:rPr>
                    <w:t>户</w:t>
                  </w:r>
                  <w:r>
                    <w:rPr>
                      <w:color w:val="000000"/>
                      <w:sz w:val="21"/>
                      <w:szCs w:val="21"/>
                      <w:lang w:eastAsia="en-US" w:bidi="en-US"/>
                    </w:rPr>
                    <w:t>/</w:t>
                  </w:r>
                  <w:r>
                    <w:rPr>
                      <w:rFonts w:hint="eastAsia"/>
                      <w:color w:val="000000"/>
                      <w:sz w:val="21"/>
                      <w:szCs w:val="21"/>
                      <w:lang w:bidi="en-US"/>
                    </w:rPr>
                    <w:t>237</w:t>
                  </w:r>
                  <w:r>
                    <w:rPr>
                      <w:color w:val="000000"/>
                      <w:sz w:val="21"/>
                      <w:szCs w:val="21"/>
                    </w:rPr>
                    <w:t>人</w:t>
                  </w:r>
                </w:p>
              </w:tc>
              <w:tc>
                <w:tcPr>
                  <w:tcW w:w="1553" w:type="pct"/>
                  <w:vMerge w:val="continue"/>
                  <w:noWrap w:val="0"/>
                  <w:vAlign w:val="center"/>
                </w:tcPr>
                <w:p w14:paraId="107571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p>
              </w:tc>
            </w:tr>
            <w:tr w14:paraId="4E69DF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491" w:type="pct"/>
                  <w:vMerge w:val="continue"/>
                  <w:noWrap w:val="0"/>
                  <w:vAlign w:val="center"/>
                </w:tcPr>
                <w:p w14:paraId="6746B5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p>
              </w:tc>
              <w:tc>
                <w:tcPr>
                  <w:tcW w:w="887" w:type="pct"/>
                  <w:noWrap w:val="0"/>
                  <w:vAlign w:val="center"/>
                </w:tcPr>
                <w:p w14:paraId="177EF6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rPr>
                  </w:pPr>
                  <w:r>
                    <w:rPr>
                      <w:rFonts w:hint="eastAsia"/>
                      <w:color w:val="000000"/>
                      <w:sz w:val="21"/>
                      <w:szCs w:val="21"/>
                    </w:rPr>
                    <w:t>上敏营</w:t>
                  </w:r>
                </w:p>
              </w:tc>
              <w:tc>
                <w:tcPr>
                  <w:tcW w:w="1147" w:type="pct"/>
                  <w:noWrap w:val="0"/>
                  <w:vAlign w:val="center"/>
                </w:tcPr>
                <w:p w14:paraId="5F97AB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rPr>
                  </w:pPr>
                  <w:r>
                    <w:rPr>
                      <w:rFonts w:hint="eastAsia"/>
                      <w:color w:val="000000"/>
                      <w:sz w:val="21"/>
                      <w:szCs w:val="21"/>
                      <w:lang w:val="en-US" w:eastAsia="zh-CN"/>
                    </w:rPr>
                    <w:t>南</w:t>
                  </w:r>
                  <w:r>
                    <w:rPr>
                      <w:rFonts w:hint="eastAsia"/>
                      <w:color w:val="000000"/>
                      <w:sz w:val="21"/>
                      <w:szCs w:val="21"/>
                    </w:rPr>
                    <w:t>侧</w:t>
                  </w:r>
                  <w:r>
                    <w:rPr>
                      <w:rFonts w:hint="eastAsia"/>
                      <w:color w:val="000000"/>
                      <w:sz w:val="21"/>
                      <w:szCs w:val="21"/>
                      <w:lang w:val="en-US" w:eastAsia="zh-CN"/>
                    </w:rPr>
                    <w:t>140</w:t>
                  </w:r>
                  <w:r>
                    <w:rPr>
                      <w:rFonts w:hint="eastAsia"/>
                      <w:color w:val="000000"/>
                      <w:sz w:val="21"/>
                      <w:szCs w:val="21"/>
                    </w:rPr>
                    <w:t>米</w:t>
                  </w:r>
                </w:p>
              </w:tc>
              <w:tc>
                <w:tcPr>
                  <w:tcW w:w="920" w:type="pct"/>
                  <w:noWrap w:val="0"/>
                  <w:vAlign w:val="center"/>
                </w:tcPr>
                <w:p w14:paraId="051C65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321</w:t>
                  </w:r>
                  <w:r>
                    <w:rPr>
                      <w:color w:val="000000"/>
                      <w:sz w:val="21"/>
                      <w:szCs w:val="21"/>
                    </w:rPr>
                    <w:t>户/</w:t>
                  </w:r>
                  <w:r>
                    <w:rPr>
                      <w:rFonts w:hint="eastAsia"/>
                      <w:color w:val="000000"/>
                      <w:sz w:val="21"/>
                      <w:szCs w:val="21"/>
                    </w:rPr>
                    <w:t>1674</w:t>
                  </w:r>
                  <w:r>
                    <w:rPr>
                      <w:color w:val="000000"/>
                      <w:sz w:val="21"/>
                      <w:szCs w:val="21"/>
                    </w:rPr>
                    <w:t>人</w:t>
                  </w:r>
                </w:p>
              </w:tc>
              <w:tc>
                <w:tcPr>
                  <w:tcW w:w="1553" w:type="pct"/>
                  <w:vMerge w:val="continue"/>
                  <w:noWrap w:val="0"/>
                  <w:vAlign w:val="center"/>
                </w:tcPr>
                <w:p w14:paraId="58B36F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p>
              </w:tc>
            </w:tr>
            <w:tr w14:paraId="421C9F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491" w:type="pct"/>
                  <w:vMerge w:val="continue"/>
                  <w:noWrap w:val="0"/>
                  <w:vAlign w:val="center"/>
                </w:tcPr>
                <w:p w14:paraId="0A230F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p>
              </w:tc>
              <w:tc>
                <w:tcPr>
                  <w:tcW w:w="887" w:type="pct"/>
                  <w:noWrap w:val="0"/>
                  <w:vAlign w:val="center"/>
                </w:tcPr>
                <w:p w14:paraId="49BC47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rPr>
                  </w:pPr>
                  <w:r>
                    <w:rPr>
                      <w:rFonts w:hint="eastAsia"/>
                      <w:color w:val="000000"/>
                      <w:sz w:val="21"/>
                      <w:szCs w:val="21"/>
                    </w:rPr>
                    <w:t>下敏营</w:t>
                  </w:r>
                </w:p>
              </w:tc>
              <w:tc>
                <w:tcPr>
                  <w:tcW w:w="1147" w:type="pct"/>
                  <w:noWrap w:val="0"/>
                  <w:vAlign w:val="center"/>
                </w:tcPr>
                <w:p w14:paraId="401DFF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南侧约560m</w:t>
                  </w:r>
                </w:p>
              </w:tc>
              <w:tc>
                <w:tcPr>
                  <w:tcW w:w="920" w:type="pct"/>
                  <w:noWrap w:val="0"/>
                  <w:vAlign w:val="center"/>
                </w:tcPr>
                <w:p w14:paraId="5E22AC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rPr>
                  </w:pPr>
                  <w:r>
                    <w:rPr>
                      <w:rFonts w:hint="eastAsia"/>
                      <w:color w:val="000000"/>
                      <w:sz w:val="21"/>
                      <w:szCs w:val="21"/>
                    </w:rPr>
                    <w:t>30</w:t>
                  </w:r>
                  <w:r>
                    <w:rPr>
                      <w:color w:val="000000"/>
                      <w:sz w:val="21"/>
                      <w:szCs w:val="21"/>
                    </w:rPr>
                    <w:t>户</w:t>
                  </w:r>
                  <w:r>
                    <w:rPr>
                      <w:color w:val="000000"/>
                      <w:sz w:val="21"/>
                      <w:szCs w:val="21"/>
                      <w:lang w:eastAsia="en-US" w:bidi="en-US"/>
                    </w:rPr>
                    <w:t>/</w:t>
                  </w:r>
                  <w:r>
                    <w:rPr>
                      <w:rFonts w:hint="eastAsia"/>
                      <w:color w:val="000000"/>
                      <w:sz w:val="21"/>
                      <w:szCs w:val="21"/>
                      <w:lang w:bidi="en-US"/>
                    </w:rPr>
                    <w:t>1</w:t>
                  </w:r>
                  <w:r>
                    <w:rPr>
                      <w:rFonts w:hint="eastAsia"/>
                      <w:color w:val="000000"/>
                      <w:sz w:val="21"/>
                      <w:szCs w:val="21"/>
                      <w:lang w:val="en-US" w:eastAsia="zh-CN" w:bidi="en-US"/>
                    </w:rPr>
                    <w:t>55</w:t>
                  </w:r>
                  <w:r>
                    <w:rPr>
                      <w:color w:val="000000"/>
                      <w:sz w:val="21"/>
                      <w:szCs w:val="21"/>
                    </w:rPr>
                    <w:t>人</w:t>
                  </w:r>
                </w:p>
              </w:tc>
              <w:tc>
                <w:tcPr>
                  <w:tcW w:w="1553" w:type="pct"/>
                  <w:vMerge w:val="continue"/>
                  <w:noWrap w:val="0"/>
                  <w:vAlign w:val="center"/>
                </w:tcPr>
                <w:p w14:paraId="53BDA9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p>
              </w:tc>
            </w:tr>
            <w:tr w14:paraId="3614A4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491" w:type="pct"/>
                  <w:vMerge w:val="continue"/>
                  <w:noWrap w:val="0"/>
                  <w:vAlign w:val="center"/>
                </w:tcPr>
                <w:p w14:paraId="1F0E34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p>
              </w:tc>
              <w:tc>
                <w:tcPr>
                  <w:tcW w:w="887" w:type="pct"/>
                  <w:noWrap w:val="0"/>
                  <w:vAlign w:val="center"/>
                </w:tcPr>
                <w:p w14:paraId="005BC3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rPr>
                  </w:pPr>
                  <w:r>
                    <w:rPr>
                      <w:rFonts w:hint="eastAsia"/>
                      <w:color w:val="000000"/>
                      <w:sz w:val="21"/>
                      <w:szCs w:val="21"/>
                    </w:rPr>
                    <w:t>埔头村</w:t>
                  </w:r>
                </w:p>
              </w:tc>
              <w:tc>
                <w:tcPr>
                  <w:tcW w:w="1147" w:type="pct"/>
                  <w:noWrap w:val="0"/>
                  <w:vAlign w:val="center"/>
                </w:tcPr>
                <w:p w14:paraId="486DC5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西南侧约760m</w:t>
                  </w:r>
                </w:p>
              </w:tc>
              <w:tc>
                <w:tcPr>
                  <w:tcW w:w="920" w:type="pct"/>
                  <w:noWrap w:val="0"/>
                  <w:vAlign w:val="center"/>
                </w:tcPr>
                <w:p w14:paraId="2D939B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rPr>
                  </w:pPr>
                  <w:r>
                    <w:rPr>
                      <w:rFonts w:hint="eastAsia"/>
                      <w:color w:val="000000"/>
                      <w:sz w:val="21"/>
                      <w:szCs w:val="21"/>
                    </w:rPr>
                    <w:t>30</w:t>
                  </w:r>
                  <w:r>
                    <w:rPr>
                      <w:color w:val="000000"/>
                      <w:sz w:val="21"/>
                      <w:szCs w:val="21"/>
                    </w:rPr>
                    <w:t>户</w:t>
                  </w:r>
                  <w:r>
                    <w:rPr>
                      <w:color w:val="000000"/>
                      <w:sz w:val="21"/>
                      <w:szCs w:val="21"/>
                      <w:lang w:eastAsia="en-US" w:bidi="en-US"/>
                    </w:rPr>
                    <w:t>/</w:t>
                  </w:r>
                  <w:r>
                    <w:rPr>
                      <w:rFonts w:hint="eastAsia"/>
                      <w:color w:val="000000"/>
                      <w:sz w:val="21"/>
                      <w:szCs w:val="21"/>
                      <w:lang w:bidi="en-US"/>
                    </w:rPr>
                    <w:t>1</w:t>
                  </w:r>
                  <w:r>
                    <w:rPr>
                      <w:rFonts w:hint="eastAsia"/>
                      <w:color w:val="000000"/>
                      <w:sz w:val="21"/>
                      <w:szCs w:val="21"/>
                      <w:lang w:val="en-US" w:eastAsia="zh-CN" w:bidi="en-US"/>
                    </w:rPr>
                    <w:t>3</w:t>
                  </w:r>
                  <w:r>
                    <w:rPr>
                      <w:rFonts w:hint="eastAsia"/>
                      <w:color w:val="000000"/>
                      <w:sz w:val="21"/>
                      <w:szCs w:val="21"/>
                      <w:lang w:bidi="en-US"/>
                    </w:rPr>
                    <w:t>0</w:t>
                  </w:r>
                  <w:r>
                    <w:rPr>
                      <w:color w:val="000000"/>
                      <w:sz w:val="21"/>
                      <w:szCs w:val="21"/>
                    </w:rPr>
                    <w:t>人</w:t>
                  </w:r>
                </w:p>
              </w:tc>
              <w:tc>
                <w:tcPr>
                  <w:tcW w:w="1553" w:type="pct"/>
                  <w:vMerge w:val="continue"/>
                  <w:noWrap w:val="0"/>
                  <w:vAlign w:val="center"/>
                </w:tcPr>
                <w:p w14:paraId="2BC79E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p>
              </w:tc>
            </w:tr>
            <w:tr w14:paraId="151E55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491" w:type="pct"/>
                  <w:noWrap w:val="0"/>
                  <w:vAlign w:val="center"/>
                </w:tcPr>
                <w:p w14:paraId="1263BB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color w:val="000000"/>
                      <w:sz w:val="21"/>
                      <w:szCs w:val="21"/>
                    </w:rPr>
                    <w:t>水环境</w:t>
                  </w:r>
                </w:p>
              </w:tc>
              <w:tc>
                <w:tcPr>
                  <w:tcW w:w="4508" w:type="pct"/>
                  <w:gridSpan w:val="4"/>
                  <w:noWrap w:val="0"/>
                  <w:vAlign w:val="center"/>
                </w:tcPr>
                <w:p w14:paraId="25AFA2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color w:val="000000"/>
                      <w:sz w:val="21"/>
                      <w:szCs w:val="21"/>
                    </w:rPr>
                    <w:t>项目厂区</w:t>
                  </w:r>
                  <w:r>
                    <w:rPr>
                      <w:rFonts w:hint="eastAsia"/>
                      <w:color w:val="000000"/>
                      <w:sz w:val="21"/>
                      <w:szCs w:val="21"/>
                    </w:rPr>
                    <w:t>5</w:t>
                  </w:r>
                  <w:r>
                    <w:rPr>
                      <w:color w:val="000000"/>
                      <w:sz w:val="21"/>
                      <w:szCs w:val="21"/>
                    </w:rPr>
                    <w:t>00m范围内不涉及</w:t>
                  </w:r>
                  <w:r>
                    <w:rPr>
                      <w:rFonts w:hint="eastAsia" w:ascii="宋体" w:hAnsi="宋体"/>
                      <w:color w:val="000000"/>
                      <w:sz w:val="21"/>
                      <w:szCs w:val="21"/>
                    </w:rPr>
                    <w:t>地表水环境敏感目标</w:t>
                  </w:r>
                </w:p>
              </w:tc>
            </w:tr>
            <w:tr w14:paraId="2D3FED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491" w:type="pct"/>
                  <w:noWrap w:val="0"/>
                  <w:vAlign w:val="center"/>
                </w:tcPr>
                <w:p w14:paraId="30E689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color w:val="000000"/>
                      <w:sz w:val="21"/>
                      <w:szCs w:val="21"/>
                    </w:rPr>
                    <w:t>声环境</w:t>
                  </w:r>
                </w:p>
              </w:tc>
              <w:tc>
                <w:tcPr>
                  <w:tcW w:w="4508" w:type="pct"/>
                  <w:gridSpan w:val="4"/>
                  <w:noWrap w:val="0"/>
                  <w:vAlign w:val="center"/>
                </w:tcPr>
                <w:p w14:paraId="50EEF0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项目厂界50m范围内无声环境保护目标</w:t>
                  </w:r>
                </w:p>
              </w:tc>
            </w:tr>
            <w:tr w14:paraId="42BC72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491" w:type="pct"/>
                  <w:noWrap w:val="0"/>
                  <w:vAlign w:val="center"/>
                </w:tcPr>
                <w:p w14:paraId="356891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地下水</w:t>
                  </w:r>
                </w:p>
              </w:tc>
              <w:tc>
                <w:tcPr>
                  <w:tcW w:w="4508" w:type="pct"/>
                  <w:gridSpan w:val="4"/>
                  <w:noWrap w:val="0"/>
                  <w:vAlign w:val="center"/>
                </w:tcPr>
                <w:p w14:paraId="181143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color w:val="000000"/>
                      <w:sz w:val="21"/>
                      <w:szCs w:val="21"/>
                    </w:rPr>
                    <w:t>项目厂区</w:t>
                  </w:r>
                  <w:r>
                    <w:rPr>
                      <w:rFonts w:hint="eastAsia"/>
                      <w:color w:val="000000"/>
                      <w:sz w:val="21"/>
                      <w:szCs w:val="21"/>
                    </w:rPr>
                    <w:t>5</w:t>
                  </w:r>
                  <w:r>
                    <w:rPr>
                      <w:color w:val="000000"/>
                      <w:sz w:val="21"/>
                      <w:szCs w:val="21"/>
                    </w:rPr>
                    <w:t>00m范围内不涉及</w:t>
                  </w:r>
                  <w:r>
                    <w:rPr>
                      <w:rFonts w:hint="eastAsia" w:ascii="宋体" w:hAnsi="宋体"/>
                      <w:color w:val="000000"/>
                      <w:sz w:val="21"/>
                      <w:szCs w:val="21"/>
                    </w:rPr>
                    <w:t>地下水环境敏感目标</w:t>
                  </w:r>
                </w:p>
              </w:tc>
            </w:tr>
          </w:tbl>
          <w:p w14:paraId="38EF7A64">
            <w:pPr>
              <w:ind w:firstLine="360" w:firstLineChars="150"/>
              <w:rPr>
                <w:b/>
              </w:rPr>
            </w:pPr>
            <w:r>
              <w:t>从表2-</w:t>
            </w:r>
            <w:r>
              <w:rPr>
                <w:rFonts w:hint="eastAsia"/>
              </w:rPr>
              <w:t>4</w:t>
            </w:r>
            <w:r>
              <w:t>可知，项目主要</w:t>
            </w:r>
            <w:r>
              <w:rPr>
                <w:rFonts w:hint="eastAsia"/>
              </w:rPr>
              <w:t>环境保护目标</w:t>
            </w:r>
            <w:r>
              <w:t>未发生</w:t>
            </w:r>
            <w:r>
              <w:rPr>
                <w:rFonts w:hint="eastAsia"/>
              </w:rPr>
              <w:t>变动</w:t>
            </w:r>
          </w:p>
        </w:tc>
      </w:tr>
      <w:tr w14:paraId="56DD5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96" w:hRule="atLeast"/>
          <w:jc w:val="center"/>
        </w:trPr>
        <w:tc>
          <w:tcPr>
            <w:tcW w:w="9242" w:type="dxa"/>
          </w:tcPr>
          <w:p w14:paraId="4048B622">
            <w:pPr>
              <w:rPr>
                <w:b/>
                <w:bCs/>
              </w:rPr>
            </w:pPr>
            <w:r>
              <w:rPr>
                <w:b/>
                <w:bCs/>
              </w:rPr>
              <w:t>工程</w:t>
            </w:r>
            <w:r>
              <w:rPr>
                <w:rFonts w:hint="eastAsia"/>
                <w:b/>
                <w:bCs/>
              </w:rPr>
              <w:t>变动</w:t>
            </w:r>
            <w:r>
              <w:rPr>
                <w:b/>
                <w:bCs/>
              </w:rPr>
              <w:t>情况：</w:t>
            </w:r>
          </w:p>
          <w:p w14:paraId="4DA2852D">
            <w:pPr>
              <w:ind w:firstLine="480" w:firstLineChars="200"/>
            </w:pPr>
            <w:r>
              <w:rPr>
                <w:rFonts w:hint="eastAsia"/>
              </w:rPr>
              <w:t>项目工程建设内容、原辅料用量、生产工艺及主要生产设备基本与环评内容基本一致，生产规模及生产工艺未发生改变，采取的各污染防治措施基本按照环评及批复阶段提出的要求进行。对照环评及批复，本项目性质、规模、地点、采用的生产工艺以及防治污染措施未发生重大变动</w:t>
            </w:r>
            <w:r>
              <w:t>。</w:t>
            </w:r>
          </w:p>
          <w:p w14:paraId="1632CDEB">
            <w:pPr>
              <w:ind w:firstLine="480"/>
            </w:pPr>
            <w:r>
              <w:t>根据环保部</w:t>
            </w:r>
            <w:r>
              <w:rPr>
                <w:rFonts w:hint="eastAsia"/>
              </w:rPr>
              <w:t>《关于印发污染影响类建设项目重大变动清单（试行）的通知》（环办环评函[2020]668号）、</w:t>
            </w:r>
            <w:r>
              <w:t>《关于印发环评管理中部分行业建设项目重大变动清单的通知》（环办[2015]52号）的规定，未发生重大变动的项目可纳入竣工环境保护验收管理。因此，项目可正常纳入竣工环境保护验收管理。</w:t>
            </w:r>
          </w:p>
          <w:p w14:paraId="28E0F496">
            <w:pPr>
              <w:ind w:firstLine="480"/>
            </w:pPr>
          </w:p>
          <w:p w14:paraId="0439DDB1">
            <w:pPr>
              <w:ind w:firstLine="480"/>
            </w:pPr>
          </w:p>
          <w:p w14:paraId="4C9B16F4">
            <w:pPr>
              <w:ind w:firstLine="480"/>
            </w:pPr>
          </w:p>
          <w:p w14:paraId="7C7F4212">
            <w:pPr>
              <w:ind w:firstLine="480"/>
            </w:pPr>
          </w:p>
          <w:p w14:paraId="6C659F95">
            <w:pPr>
              <w:ind w:firstLine="480"/>
            </w:pPr>
          </w:p>
          <w:p w14:paraId="2551AE2B">
            <w:pPr>
              <w:ind w:firstLine="480"/>
            </w:pPr>
          </w:p>
          <w:p w14:paraId="16FE8960">
            <w:pPr>
              <w:ind w:firstLine="480"/>
            </w:pPr>
          </w:p>
          <w:p w14:paraId="2AAD3F75">
            <w:pPr>
              <w:ind w:firstLine="480"/>
            </w:pPr>
          </w:p>
          <w:p w14:paraId="668A3D13">
            <w:pPr>
              <w:ind w:firstLine="480"/>
            </w:pPr>
          </w:p>
          <w:p w14:paraId="3C8632E1">
            <w:pPr>
              <w:ind w:firstLine="480"/>
            </w:pPr>
          </w:p>
          <w:p w14:paraId="63B57818">
            <w:pPr>
              <w:ind w:firstLine="480"/>
            </w:pPr>
          </w:p>
          <w:p w14:paraId="064FDF29">
            <w:pPr>
              <w:ind w:firstLine="480"/>
            </w:pPr>
          </w:p>
          <w:p w14:paraId="6A29E536">
            <w:pPr>
              <w:ind w:firstLine="480"/>
            </w:pPr>
          </w:p>
        </w:tc>
      </w:tr>
    </w:tbl>
    <w:p w14:paraId="0B3902EC">
      <w:pPr>
        <w:rPr>
          <w:rFonts w:eastAsia="仿宋_GB2312"/>
          <w:sz w:val="21"/>
          <w:szCs w:val="21"/>
        </w:rPr>
        <w:sectPr>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pPr>
    </w:p>
    <w:p w14:paraId="44EC2355">
      <w:pPr>
        <w:jc w:val="center"/>
        <w:rPr>
          <w:rFonts w:hint="eastAsia"/>
          <w:b/>
          <w:bCs/>
          <w:color w:val="auto"/>
          <w:sz w:val="24"/>
        </w:rPr>
      </w:pPr>
      <w:r>
        <w:rPr>
          <w:rFonts w:hint="eastAsia"/>
          <w:b/>
          <w:bCs/>
          <w:color w:val="auto"/>
          <w:sz w:val="24"/>
        </w:rPr>
        <w:t>表</w:t>
      </w:r>
      <w:r>
        <w:rPr>
          <w:rFonts w:hint="eastAsia"/>
          <w:b/>
          <w:bCs/>
          <w:color w:val="auto"/>
          <w:sz w:val="24"/>
          <w:lang w:val="en-US" w:eastAsia="zh-CN"/>
        </w:rPr>
        <w:t>2</w:t>
      </w:r>
      <w:r>
        <w:rPr>
          <w:rFonts w:hint="eastAsia"/>
          <w:b/>
          <w:bCs/>
          <w:color w:val="auto"/>
          <w:sz w:val="24"/>
        </w:rPr>
        <w:t>-</w:t>
      </w:r>
      <w:r>
        <w:rPr>
          <w:rFonts w:hint="eastAsia"/>
          <w:b/>
          <w:bCs/>
          <w:color w:val="auto"/>
          <w:sz w:val="24"/>
          <w:lang w:val="en-US" w:eastAsia="zh-CN"/>
        </w:rPr>
        <w:t>5</w:t>
      </w:r>
      <w:r>
        <w:rPr>
          <w:rFonts w:hint="eastAsia"/>
          <w:b/>
          <w:bCs/>
          <w:color w:val="auto"/>
          <w:sz w:val="24"/>
        </w:rPr>
        <w:t>《污染影响类建设项目重大变动清单（试行）》对比分析一览表</w:t>
      </w:r>
    </w:p>
    <w:tbl>
      <w:tblPr>
        <w:tblStyle w:val="20"/>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5556"/>
        <w:gridCol w:w="3401"/>
        <w:gridCol w:w="3127"/>
        <w:gridCol w:w="1320"/>
      </w:tblGrid>
      <w:tr w14:paraId="107A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noWrap w:val="0"/>
            <w:vAlign w:val="center"/>
          </w:tcPr>
          <w:p w14:paraId="039DE0B1">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类别</w:t>
            </w:r>
          </w:p>
        </w:tc>
        <w:tc>
          <w:tcPr>
            <w:tcW w:w="1962" w:type="pct"/>
            <w:noWrap w:val="0"/>
            <w:vAlign w:val="center"/>
          </w:tcPr>
          <w:p w14:paraId="6EDB7FFE">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color w:val="auto"/>
                <w:sz w:val="21"/>
                <w:szCs w:val="21"/>
                <w:lang w:eastAsia="zh-CN"/>
              </w:rPr>
            </w:pPr>
            <w:r>
              <w:rPr>
                <w:rFonts w:hint="eastAsia" w:ascii="Times New Roman" w:hAnsi="Times New Roman" w:eastAsia="宋体" w:cs="Times New Roman"/>
                <w:color w:val="auto"/>
                <w:sz w:val="21"/>
                <w:szCs w:val="21"/>
              </w:rPr>
              <w:t>《污染影响类建设项目重大变动清单（试行）》</w:t>
            </w:r>
            <w:r>
              <w:rPr>
                <w:rFonts w:hint="eastAsia" w:ascii="Times New Roman" w:hAnsi="Times New Roman" w:eastAsia="宋体" w:cs="Times New Roman"/>
                <w:color w:val="auto"/>
                <w:sz w:val="21"/>
                <w:szCs w:val="21"/>
                <w:lang w:eastAsia="zh-CN"/>
              </w:rPr>
              <w:t>内容</w:t>
            </w:r>
          </w:p>
        </w:tc>
        <w:tc>
          <w:tcPr>
            <w:tcW w:w="1201" w:type="pct"/>
            <w:noWrap w:val="0"/>
            <w:vAlign w:val="center"/>
          </w:tcPr>
          <w:p w14:paraId="20D4B587">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环评</w:t>
            </w:r>
          </w:p>
        </w:tc>
        <w:tc>
          <w:tcPr>
            <w:tcW w:w="1104" w:type="pct"/>
            <w:noWrap w:val="0"/>
            <w:vAlign w:val="center"/>
          </w:tcPr>
          <w:p w14:paraId="1C19B922">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实际建设</w:t>
            </w:r>
          </w:p>
        </w:tc>
        <w:tc>
          <w:tcPr>
            <w:tcW w:w="466" w:type="pct"/>
            <w:noWrap w:val="0"/>
            <w:vAlign w:val="center"/>
          </w:tcPr>
          <w:p w14:paraId="6CCE1B16">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是否属于重大变更</w:t>
            </w:r>
          </w:p>
        </w:tc>
      </w:tr>
      <w:tr w14:paraId="560E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noWrap w:val="0"/>
            <w:vAlign w:val="center"/>
          </w:tcPr>
          <w:p w14:paraId="3C48F0FF">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项目性质</w:t>
            </w:r>
          </w:p>
        </w:tc>
        <w:tc>
          <w:tcPr>
            <w:tcW w:w="1962" w:type="pct"/>
            <w:noWrap w:val="0"/>
            <w:vAlign w:val="center"/>
          </w:tcPr>
          <w:p w14:paraId="3D974F62">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rPr>
              <w:t>建设项目开发、使用功能发生变化的</w:t>
            </w:r>
          </w:p>
        </w:tc>
        <w:tc>
          <w:tcPr>
            <w:tcW w:w="1201" w:type="pct"/>
            <w:noWrap w:val="0"/>
            <w:vAlign w:val="center"/>
          </w:tcPr>
          <w:p w14:paraId="3A2A1498">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项目从事车载盖板玻璃</w:t>
            </w:r>
            <w:r>
              <w:rPr>
                <w:rFonts w:hint="eastAsia" w:ascii="Times New Roman" w:hAnsi="Times New Roman" w:eastAsia="宋体" w:cs="Times New Roman"/>
                <w:color w:val="auto"/>
                <w:sz w:val="21"/>
                <w:szCs w:val="21"/>
                <w:lang w:val="en-US" w:eastAsia="zh-CN"/>
              </w:rPr>
              <w:t>生产</w:t>
            </w:r>
            <w:r>
              <w:rPr>
                <w:rFonts w:hint="eastAsia" w:ascii="Times New Roman" w:hAnsi="Times New Roman" w:eastAsia="宋体" w:cs="Times New Roman"/>
                <w:color w:val="auto"/>
                <w:sz w:val="21"/>
                <w:szCs w:val="21"/>
              </w:rPr>
              <w:t>。</w:t>
            </w:r>
          </w:p>
        </w:tc>
        <w:tc>
          <w:tcPr>
            <w:tcW w:w="1104" w:type="pct"/>
            <w:noWrap w:val="0"/>
            <w:vAlign w:val="center"/>
          </w:tcPr>
          <w:p w14:paraId="5630269D">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项目从事车载盖板玻璃</w:t>
            </w:r>
            <w:r>
              <w:rPr>
                <w:rFonts w:hint="eastAsia" w:ascii="Times New Roman" w:hAnsi="Times New Roman" w:eastAsia="宋体" w:cs="Times New Roman"/>
                <w:color w:val="auto"/>
                <w:sz w:val="21"/>
                <w:szCs w:val="21"/>
                <w:lang w:val="en-US" w:eastAsia="zh-CN"/>
              </w:rPr>
              <w:t>生产</w:t>
            </w:r>
            <w:r>
              <w:rPr>
                <w:rFonts w:hint="eastAsia" w:ascii="Times New Roman" w:hAnsi="Times New Roman" w:eastAsia="宋体" w:cs="Times New Roman"/>
                <w:color w:val="auto"/>
                <w:sz w:val="21"/>
                <w:szCs w:val="21"/>
              </w:rPr>
              <w:t>。</w:t>
            </w:r>
          </w:p>
        </w:tc>
        <w:tc>
          <w:tcPr>
            <w:tcW w:w="466" w:type="pct"/>
            <w:noWrap w:val="0"/>
            <w:vAlign w:val="center"/>
          </w:tcPr>
          <w:p w14:paraId="34A06BA3">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否</w:t>
            </w:r>
          </w:p>
        </w:tc>
      </w:tr>
      <w:tr w14:paraId="11C0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noWrap w:val="0"/>
            <w:vAlign w:val="center"/>
          </w:tcPr>
          <w:p w14:paraId="429EC261">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项目规模</w:t>
            </w:r>
          </w:p>
        </w:tc>
        <w:tc>
          <w:tcPr>
            <w:tcW w:w="1962" w:type="pct"/>
            <w:noWrap w:val="0"/>
            <w:vAlign w:val="center"/>
          </w:tcPr>
          <w:p w14:paraId="115B575A">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2.生产、处置或储存能力增大30%及以上的。</w:t>
            </w:r>
          </w:p>
          <w:p w14:paraId="1D92AD13">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3.生产、处置或储存能力增大，导致废水第一类污染物排放量增加的。</w:t>
            </w:r>
          </w:p>
          <w:p w14:paraId="0278722F">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201" w:type="pct"/>
            <w:noWrap w:val="0"/>
            <w:vAlign w:val="center"/>
          </w:tcPr>
          <w:p w14:paraId="1A4DF8A5">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年产车载盖板玻璃80万片</w:t>
            </w:r>
          </w:p>
        </w:tc>
        <w:tc>
          <w:tcPr>
            <w:tcW w:w="1104" w:type="pct"/>
            <w:noWrap w:val="0"/>
            <w:vAlign w:val="center"/>
          </w:tcPr>
          <w:p w14:paraId="1C7021FA">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年产车载盖板玻璃80万片</w:t>
            </w:r>
          </w:p>
        </w:tc>
        <w:tc>
          <w:tcPr>
            <w:tcW w:w="466" w:type="pct"/>
            <w:noWrap w:val="0"/>
            <w:vAlign w:val="center"/>
          </w:tcPr>
          <w:p w14:paraId="76655585">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否</w:t>
            </w:r>
          </w:p>
        </w:tc>
      </w:tr>
      <w:tr w14:paraId="4FAB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noWrap w:val="0"/>
            <w:vAlign w:val="center"/>
          </w:tcPr>
          <w:p w14:paraId="7721A435">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项目建设地点</w:t>
            </w:r>
          </w:p>
        </w:tc>
        <w:tc>
          <w:tcPr>
            <w:tcW w:w="1962" w:type="pct"/>
            <w:noWrap w:val="0"/>
            <w:vAlign w:val="center"/>
          </w:tcPr>
          <w:p w14:paraId="0D854F1A">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5.重新选址；在原厂址附近调整（包括总平面布置变化）导致环境防护距离范围变化且新增敏感点的。</w:t>
            </w:r>
          </w:p>
        </w:tc>
        <w:tc>
          <w:tcPr>
            <w:tcW w:w="1201" w:type="pct"/>
            <w:noWrap w:val="0"/>
            <w:vAlign w:val="center"/>
          </w:tcPr>
          <w:p w14:paraId="645B3C98">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ËÎÌå" w:cs="Times New Roman"/>
                <w:color w:val="auto"/>
                <w:spacing w:val="-4"/>
                <w:sz w:val="21"/>
                <w:szCs w:val="21"/>
                <w:lang w:eastAsia="zh-CN"/>
              </w:rPr>
            </w:pPr>
            <w:r>
              <w:rPr>
                <w:rFonts w:hint="eastAsia" w:ascii="Times New Roman" w:hAnsi="Times New Roman" w:eastAsia="ËÎÌå" w:cs="Times New Roman"/>
                <w:color w:val="auto"/>
                <w:spacing w:val="-4"/>
                <w:sz w:val="21"/>
                <w:szCs w:val="21"/>
                <w:lang w:eastAsia="zh-CN"/>
              </w:rPr>
              <w:t>建设地点位于福建省福州市福清市音西清繁大道399号2号楼、福清融侨经济技术开发区</w:t>
            </w:r>
          </w:p>
        </w:tc>
        <w:tc>
          <w:tcPr>
            <w:tcW w:w="1104" w:type="pct"/>
            <w:noWrap w:val="0"/>
            <w:vAlign w:val="center"/>
          </w:tcPr>
          <w:p w14:paraId="40EA0B48">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ËÎÌå" w:cs="Times New Roman"/>
                <w:color w:val="auto"/>
                <w:spacing w:val="-4"/>
                <w:sz w:val="21"/>
                <w:szCs w:val="21"/>
                <w:lang w:eastAsia="zh-CN"/>
              </w:rPr>
            </w:pPr>
            <w:r>
              <w:rPr>
                <w:rFonts w:hint="eastAsia" w:ascii="Times New Roman" w:hAnsi="Times New Roman" w:eastAsia="ËÎÌå" w:cs="Times New Roman"/>
                <w:color w:val="auto"/>
                <w:spacing w:val="-4"/>
                <w:sz w:val="21"/>
                <w:szCs w:val="21"/>
                <w:lang w:eastAsia="zh-CN"/>
              </w:rPr>
              <w:t>建设地点位于福建省福州市福清市音西清繁大道399号2号楼、福清融侨经济技术开发区</w:t>
            </w:r>
          </w:p>
        </w:tc>
        <w:tc>
          <w:tcPr>
            <w:tcW w:w="466" w:type="pct"/>
            <w:noWrap w:val="0"/>
            <w:vAlign w:val="center"/>
          </w:tcPr>
          <w:p w14:paraId="6C9DAE62">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否</w:t>
            </w:r>
          </w:p>
        </w:tc>
      </w:tr>
      <w:tr w14:paraId="298E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noWrap w:val="0"/>
            <w:vAlign w:val="center"/>
          </w:tcPr>
          <w:p w14:paraId="36104023">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项目生产工艺</w:t>
            </w:r>
          </w:p>
        </w:tc>
        <w:tc>
          <w:tcPr>
            <w:tcW w:w="1962" w:type="pct"/>
            <w:noWrap w:val="0"/>
            <w:vAlign w:val="center"/>
          </w:tcPr>
          <w:p w14:paraId="2841C144">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6.新增产品品种或生产工艺（含主要生产装置、设备及配套设施）、主要原辅材料、燃料变化，导致以下情形之一：</w:t>
            </w:r>
          </w:p>
          <w:p w14:paraId="63D41342">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（1）新增排放污染物种类的（毒性、挥发性降低的除外）；</w:t>
            </w:r>
          </w:p>
          <w:p w14:paraId="68975239">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（2）位于环境质量不达标区的建设项目相应污染物排放量增加的；</w:t>
            </w:r>
          </w:p>
          <w:p w14:paraId="76E79641">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（3）废水第一类污染物排放量增加的；</w:t>
            </w:r>
          </w:p>
          <w:p w14:paraId="17220E28">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（4）其他污染物排放量增加10%及以上的。</w:t>
            </w:r>
          </w:p>
          <w:p w14:paraId="3CF25D2D">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7.物料运输、装卸、贮存方式变化，导致大气污染物无组织排放量增加10%及以上的。</w:t>
            </w:r>
          </w:p>
        </w:tc>
        <w:tc>
          <w:tcPr>
            <w:tcW w:w="1201" w:type="pct"/>
            <w:noWrap w:val="0"/>
            <w:vAlign w:val="center"/>
          </w:tcPr>
          <w:p w14:paraId="686C4605">
            <w:pPr>
              <w:keepNext w:val="0"/>
              <w:keepLines w:val="0"/>
              <w:pageBreakBefore w:val="0"/>
              <w:widowControl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主要工艺流程为</w:t>
            </w:r>
            <w:r>
              <w:rPr>
                <w:rFonts w:hint="eastAsia"/>
                <w:color w:val="auto"/>
                <w:sz w:val="21"/>
                <w:szCs w:val="21"/>
                <w:lang w:val="en-US" w:eastAsia="zh-CN"/>
              </w:rPr>
              <w:t>玻璃加工、印刷等</w:t>
            </w:r>
            <w:r>
              <w:rPr>
                <w:rFonts w:hint="eastAsia"/>
                <w:color w:val="auto"/>
                <w:sz w:val="21"/>
                <w:szCs w:val="21"/>
              </w:rPr>
              <w:t>。</w:t>
            </w:r>
          </w:p>
        </w:tc>
        <w:tc>
          <w:tcPr>
            <w:tcW w:w="1104" w:type="pct"/>
            <w:noWrap w:val="0"/>
            <w:vAlign w:val="center"/>
          </w:tcPr>
          <w:p w14:paraId="225C6E52">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ËÎÌå"/>
                <w:color w:val="auto"/>
                <w:sz w:val="21"/>
                <w:szCs w:val="21"/>
                <w:lang w:eastAsia="zh-CN"/>
              </w:rPr>
            </w:pPr>
            <w:r>
              <w:rPr>
                <w:rFonts w:hint="eastAsia"/>
                <w:color w:val="auto"/>
                <w:sz w:val="21"/>
                <w:szCs w:val="21"/>
                <w:lang w:val="en-US" w:eastAsia="zh-CN"/>
              </w:rPr>
              <w:t>项目实际生产工艺与环评一致</w:t>
            </w:r>
            <w:r>
              <w:rPr>
                <w:rFonts w:hint="eastAsia"/>
                <w:color w:val="auto"/>
                <w:sz w:val="21"/>
                <w:szCs w:val="21"/>
              </w:rPr>
              <w:t>。不改变主体生产工艺。</w:t>
            </w:r>
            <w:r>
              <w:rPr>
                <w:rFonts w:hint="eastAsia" w:eastAsia="ËÎÌå"/>
                <w:color w:val="auto"/>
                <w:spacing w:val="-4"/>
                <w:sz w:val="21"/>
                <w:szCs w:val="21"/>
              </w:rPr>
              <w:t>未新增排放污染物种类；本项目位于环境质量达标区；未增加废水第一类污染物排放量；未导致其他污染物排放量增加10%及以上</w:t>
            </w:r>
            <w:r>
              <w:rPr>
                <w:rFonts w:hint="eastAsia" w:eastAsia="ËÎÌå"/>
                <w:color w:val="auto"/>
                <w:spacing w:val="-4"/>
                <w:sz w:val="21"/>
                <w:szCs w:val="21"/>
                <w:lang w:eastAsia="zh-CN"/>
              </w:rPr>
              <w:t>。</w:t>
            </w:r>
          </w:p>
        </w:tc>
        <w:tc>
          <w:tcPr>
            <w:tcW w:w="466" w:type="pct"/>
            <w:noWrap w:val="0"/>
            <w:vAlign w:val="center"/>
          </w:tcPr>
          <w:p w14:paraId="1E99E074">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否</w:t>
            </w:r>
          </w:p>
        </w:tc>
      </w:tr>
      <w:tr w14:paraId="2D21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noWrap w:val="0"/>
            <w:vAlign w:val="center"/>
          </w:tcPr>
          <w:p w14:paraId="2C7AEBB9">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环境保护措施</w:t>
            </w:r>
          </w:p>
        </w:tc>
        <w:tc>
          <w:tcPr>
            <w:tcW w:w="1962" w:type="pct"/>
            <w:noWrap w:val="0"/>
            <w:vAlign w:val="center"/>
          </w:tcPr>
          <w:p w14:paraId="67404262">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环境保护措施:</w:t>
            </w:r>
          </w:p>
          <w:p w14:paraId="751EB48B">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8.废气、废水污染防治措施变化，导致第6条中所列情形之一（废气无组织排放改为有组织排放、污染防治措施强化或改进的除外）或大气污染物无组织排放量增加10%及以上的。</w:t>
            </w:r>
          </w:p>
          <w:p w14:paraId="7D909097">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9.新增废水直接排放口；废水由间接排放改为直接排放；废水直接排放口位置变化，导致不利环境影响加重的。</w:t>
            </w:r>
          </w:p>
          <w:p w14:paraId="355439D7">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10.新增废气主要排放口（废气无组织排放改为有组织排放的除外）；主要排放口排气筒高度降低10%及以上的。</w:t>
            </w:r>
          </w:p>
          <w:p w14:paraId="0E5E8272">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11.噪声、土壤或地下水污染防治措施变化，导致不利环境影响加重的。</w:t>
            </w:r>
          </w:p>
          <w:p w14:paraId="258F8494">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12.固体废物利用处置方式由委托外单位利用处置改为自行利用处置的（自行利用处置设施单独开展环境影响评价的除外）；固体废物自行处置方式变化，导致不利环境影响加重的。</w:t>
            </w:r>
          </w:p>
          <w:p w14:paraId="20A92E95">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13.事故废水暂存能力或拦截设施变化，导致环境风险防范能力弱化或降低的。</w:t>
            </w:r>
          </w:p>
        </w:tc>
        <w:tc>
          <w:tcPr>
            <w:tcW w:w="1201" w:type="pct"/>
            <w:noWrap w:val="0"/>
            <w:vAlign w:val="center"/>
          </w:tcPr>
          <w:p w14:paraId="03A2CF8B">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 w:val="21"/>
                <w:szCs w:val="21"/>
                <w:lang w:val="en-US" w:eastAsia="zh-CN"/>
              </w:rPr>
            </w:pPr>
            <w:r>
              <w:rPr>
                <w:rFonts w:hint="eastAsia"/>
                <w:color w:val="auto"/>
                <w:sz w:val="21"/>
                <w:szCs w:val="21"/>
                <w:lang w:val="en-US" w:eastAsia="zh-CN"/>
              </w:rPr>
              <w:t>生产废水处理达标后经市政管网排入污水处理厂。</w:t>
            </w:r>
            <w:r>
              <w:rPr>
                <w:rFonts w:hint="eastAsia"/>
                <w:color w:val="auto"/>
                <w:sz w:val="21"/>
                <w:szCs w:val="21"/>
              </w:rPr>
              <w:t>生活污水经化粪池处理达到《污水综合排放标准》(GB8978-1996)表4中的三级标准后（其中氨氮参照执行《污水排入城镇下水道水质标准》(GB/T31962-2015)表1中B级标准限值），排入市政污水管网，送往福清市</w:t>
            </w:r>
            <w:r>
              <w:rPr>
                <w:rFonts w:hint="eastAsia"/>
                <w:color w:val="auto"/>
                <w:sz w:val="21"/>
                <w:szCs w:val="21"/>
                <w:lang w:val="en-US" w:eastAsia="zh-CN"/>
              </w:rPr>
              <w:t>融元</w:t>
            </w:r>
            <w:r>
              <w:rPr>
                <w:rFonts w:hint="eastAsia"/>
                <w:color w:val="auto"/>
                <w:sz w:val="21"/>
                <w:szCs w:val="21"/>
              </w:rPr>
              <w:t>污水处理厂统一处理</w:t>
            </w:r>
            <w:r>
              <w:rPr>
                <w:rFonts w:hint="eastAsia"/>
                <w:color w:val="auto"/>
                <w:sz w:val="21"/>
                <w:szCs w:val="21"/>
                <w:lang w:eastAsia="zh-CN"/>
              </w:rPr>
              <w:t>。</w:t>
            </w:r>
            <w:r>
              <w:rPr>
                <w:rFonts w:hint="eastAsia"/>
                <w:color w:val="auto"/>
                <w:sz w:val="21"/>
                <w:szCs w:val="21"/>
                <w:lang w:val="en-US" w:eastAsia="zh-CN"/>
              </w:rPr>
              <w:t>废气经处理设施处理后达标排放。可选管理，选用低噪声设备。一般固废委托利用，危险废物委托有资质单位处理。</w:t>
            </w:r>
          </w:p>
        </w:tc>
        <w:tc>
          <w:tcPr>
            <w:tcW w:w="1104" w:type="pct"/>
            <w:noWrap w:val="0"/>
            <w:vAlign w:val="center"/>
          </w:tcPr>
          <w:p w14:paraId="193005A5">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lang w:val="en-US" w:eastAsia="zh-CN"/>
              </w:rPr>
              <w:t>生产废水处理达标后经市政管网排入污水处理厂。</w:t>
            </w:r>
            <w:r>
              <w:rPr>
                <w:rFonts w:hint="eastAsia"/>
                <w:color w:val="auto"/>
                <w:sz w:val="21"/>
                <w:szCs w:val="21"/>
              </w:rPr>
              <w:t>生活污水经化粪池处理达到《污水综合排放标准》(GB8978-1996)表4中的三级标准后（其中氨氮参照执行《污水排入城镇下水道水质标准》(GB/T31962-2015)表1中B级标准限值），排入市政污水管网，送往福清市</w:t>
            </w:r>
            <w:r>
              <w:rPr>
                <w:rFonts w:hint="eastAsia"/>
                <w:color w:val="auto"/>
                <w:sz w:val="21"/>
                <w:szCs w:val="21"/>
                <w:lang w:val="en-US" w:eastAsia="zh-CN"/>
              </w:rPr>
              <w:t>融元</w:t>
            </w:r>
            <w:r>
              <w:rPr>
                <w:rFonts w:hint="eastAsia"/>
                <w:color w:val="auto"/>
                <w:sz w:val="21"/>
                <w:szCs w:val="21"/>
              </w:rPr>
              <w:t>污水处理厂统一处理</w:t>
            </w:r>
            <w:r>
              <w:rPr>
                <w:rFonts w:hint="eastAsia"/>
                <w:color w:val="auto"/>
                <w:sz w:val="21"/>
                <w:szCs w:val="21"/>
                <w:lang w:eastAsia="zh-CN"/>
              </w:rPr>
              <w:t>。</w:t>
            </w:r>
            <w:r>
              <w:rPr>
                <w:rFonts w:hint="eastAsia"/>
                <w:color w:val="auto"/>
                <w:sz w:val="21"/>
                <w:szCs w:val="21"/>
                <w:lang w:val="en-US" w:eastAsia="zh-CN"/>
              </w:rPr>
              <w:t>废气经处理设施处理后达标排放。可选管理，选用低噪声设备。一般固废委托利用，危险废物委托有资质单位处理。</w:t>
            </w:r>
          </w:p>
        </w:tc>
        <w:tc>
          <w:tcPr>
            <w:tcW w:w="466" w:type="pct"/>
            <w:noWrap w:val="0"/>
            <w:vAlign w:val="center"/>
          </w:tcPr>
          <w:p w14:paraId="286613EE">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 w:val="21"/>
                <w:szCs w:val="21"/>
              </w:rPr>
            </w:pPr>
            <w:r>
              <w:rPr>
                <w:rFonts w:hint="eastAsia"/>
                <w:color w:val="auto"/>
                <w:sz w:val="21"/>
                <w:szCs w:val="21"/>
              </w:rPr>
              <w:t>否</w:t>
            </w:r>
          </w:p>
        </w:tc>
      </w:tr>
    </w:tbl>
    <w:p w14:paraId="2831AE5C">
      <w:pPr>
        <w:pStyle w:val="9"/>
        <w:sectPr>
          <w:pgSz w:w="16838" w:h="11906" w:orient="landscape"/>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pPr>
    </w:p>
    <w:p w14:paraId="65C7D6FC">
      <w:pPr>
        <w:outlineLvl w:val="0"/>
        <w:rPr>
          <w:b/>
          <w:bCs/>
          <w:sz w:val="32"/>
          <w:szCs w:val="32"/>
        </w:rPr>
      </w:pPr>
      <w:r>
        <w:rPr>
          <w:b/>
          <w:bCs/>
          <w:sz w:val="32"/>
          <w:szCs w:val="32"/>
        </w:rPr>
        <w:t>表三</w:t>
      </w:r>
    </w:p>
    <w:tbl>
      <w:tblPr>
        <w:tblStyle w:val="20"/>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14:paraId="6CE0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4" w:hRule="atLeast"/>
          <w:jc w:val="center"/>
        </w:trPr>
        <w:tc>
          <w:tcPr>
            <w:tcW w:w="9242" w:type="dxa"/>
          </w:tcPr>
          <w:p w14:paraId="2DBD027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rPr>
            </w:pPr>
            <w:r>
              <w:rPr>
                <w:rFonts w:hint="default" w:ascii="Times New Roman" w:hAnsi="Times New Roman" w:cs="Times New Roman"/>
                <w:b/>
                <w:bCs/>
              </w:rPr>
              <w:t>主要污染源、污染物处理和排放</w:t>
            </w:r>
          </w:p>
          <w:p w14:paraId="58C7E746">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rPr>
            </w:pPr>
            <w:r>
              <w:rPr>
                <w:rFonts w:hint="default" w:ascii="Times New Roman" w:hAnsi="Times New Roman" w:cs="Times New Roman"/>
                <w:b/>
                <w:bCs/>
              </w:rPr>
              <w:t>废水污染物治理设施</w:t>
            </w:r>
          </w:p>
          <w:p w14:paraId="17D726F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rPr>
            </w:pPr>
            <w:r>
              <w:rPr>
                <w:rFonts w:hint="default" w:ascii="Times New Roman" w:hAnsi="Times New Roman" w:cs="Times New Roman"/>
                <w:b/>
                <w:bCs/>
                <w:lang w:val="en-US" w:eastAsia="zh-CN"/>
              </w:rPr>
              <w:t>①</w:t>
            </w:r>
            <w:r>
              <w:rPr>
                <w:rFonts w:hint="default" w:ascii="Times New Roman" w:hAnsi="Times New Roman" w:cs="Times New Roman"/>
                <w:b/>
                <w:bCs/>
              </w:rPr>
              <w:t>生活污水</w:t>
            </w:r>
          </w:p>
          <w:p w14:paraId="650BBF1B">
            <w:pPr>
              <w:ind w:firstLine="480" w:firstLineChars="200"/>
              <w:rPr>
                <w:rFonts w:hint="default" w:ascii="Times New Roman" w:hAnsi="Times New Roman" w:cs="Times New Roman"/>
              </w:rPr>
            </w:pPr>
            <w:r>
              <w:rPr>
                <w:rFonts w:hint="default" w:ascii="Times New Roman" w:hAnsi="Times New Roman" w:cs="Times New Roman"/>
                <w:sz w:val="24"/>
                <w:lang w:val="en-US" w:eastAsia="zh-CN"/>
              </w:rPr>
              <w:t>根据查阅水费等相关资料，全厂生活污水排放量为</w:t>
            </w:r>
            <w:r>
              <w:rPr>
                <w:rFonts w:hint="eastAsia" w:cs="Times New Roman"/>
                <w:sz w:val="24"/>
                <w:lang w:val="en-US" w:eastAsia="zh-CN"/>
              </w:rPr>
              <w:t>633.6</w:t>
            </w:r>
            <w:r>
              <w:rPr>
                <w:rFonts w:hint="default" w:ascii="Times New Roman" w:hAnsi="Times New Roman" w:cs="Times New Roman"/>
                <w:sz w:val="24"/>
                <w:lang w:val="en-US" w:eastAsia="zh-CN"/>
              </w:rPr>
              <w:t>t/a。</w:t>
            </w:r>
            <w:r>
              <w:rPr>
                <w:rFonts w:hint="default" w:ascii="Times New Roman" w:hAnsi="Times New Roman" w:cs="Times New Roman"/>
                <w:sz w:val="24"/>
              </w:rPr>
              <w:t>生活污水经化粪池处理达到《污水综合排放标准》(GB8978-1996)表4中的三级标准后</w:t>
            </w:r>
            <w:r>
              <w:rPr>
                <w:rFonts w:hint="default" w:ascii="Times New Roman" w:hAnsi="Times New Roman" w:cs="Times New Roman"/>
                <w:sz w:val="24"/>
                <w:lang w:eastAsia="zh-CN"/>
              </w:rPr>
              <w:t>（</w:t>
            </w:r>
            <w:r>
              <w:rPr>
                <w:rFonts w:hint="default" w:ascii="Times New Roman" w:hAnsi="Times New Roman" w:cs="Times New Roman"/>
                <w:sz w:val="24"/>
              </w:rPr>
              <w:t>其中氨氮参照执行《污水排入城镇下水道水质标准》(GB/T31962-2015)表1中B级标准限值</w:t>
            </w:r>
            <w:r>
              <w:rPr>
                <w:rFonts w:hint="default" w:ascii="Times New Roman" w:hAnsi="Times New Roman" w:cs="Times New Roman"/>
                <w:sz w:val="24"/>
                <w:lang w:eastAsia="zh-CN"/>
              </w:rPr>
              <w:t>）</w:t>
            </w:r>
            <w:r>
              <w:rPr>
                <w:rFonts w:hint="default" w:ascii="Times New Roman" w:hAnsi="Times New Roman" w:cs="Times New Roman"/>
                <w:sz w:val="24"/>
              </w:rPr>
              <w:t>，排入市政污水管网，送往</w:t>
            </w:r>
            <w:r>
              <w:rPr>
                <w:rFonts w:hint="default" w:ascii="Times New Roman" w:hAnsi="Times New Roman" w:cs="Times New Roman"/>
                <w:sz w:val="24"/>
                <w:lang w:val="en-US" w:eastAsia="zh-CN"/>
              </w:rPr>
              <w:t>福清市融元污水处理厂</w:t>
            </w:r>
            <w:r>
              <w:rPr>
                <w:rFonts w:hint="default" w:ascii="Times New Roman" w:hAnsi="Times New Roman" w:cs="Times New Roman"/>
              </w:rPr>
              <w:t>。</w:t>
            </w:r>
          </w:p>
          <w:p w14:paraId="58DDDA8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lang w:val="en-US" w:eastAsia="zh-CN"/>
              </w:rPr>
            </w:pPr>
            <w:r>
              <w:rPr>
                <w:rFonts w:hint="eastAsia" w:cs="Times New Roman"/>
                <w:b/>
                <w:bCs/>
                <w:lang w:val="en-US" w:eastAsia="zh-CN"/>
              </w:rPr>
              <w:t>②磨边废水</w:t>
            </w:r>
          </w:p>
          <w:p w14:paraId="47784FFC">
            <w:pPr>
              <w:ind w:firstLine="480" w:firstLineChars="200"/>
              <w:rPr>
                <w:rFonts w:hint="eastAsia" w:cs="Times New Roman"/>
                <w:lang w:eastAsia="zh-CN"/>
              </w:rPr>
            </w:pPr>
            <w:r>
              <w:rPr>
                <w:rFonts w:hint="default" w:ascii="Times New Roman" w:hAnsi="Times New Roman" w:cs="Times New Roman"/>
              </w:rPr>
              <w:t>项目磨边用水量为80t/a，磨边废水产生量为64t/a，磨边废水经福建省嘉鑫科技实业有限公司厂内污水处理设施处理后接入福清市融元污水处理厂</w:t>
            </w:r>
            <w:r>
              <w:rPr>
                <w:rFonts w:hint="eastAsia" w:cs="Times New Roman"/>
                <w:lang w:eastAsia="zh-CN"/>
              </w:rPr>
              <w:t>。</w:t>
            </w:r>
          </w:p>
          <w:p w14:paraId="78133C0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lang w:val="en-US" w:eastAsia="zh-CN"/>
              </w:rPr>
            </w:pPr>
            <w:r>
              <w:rPr>
                <w:rFonts w:hint="eastAsia" w:cs="Times New Roman"/>
                <w:b/>
                <w:bCs/>
                <w:lang w:val="en-US" w:eastAsia="zh-CN"/>
              </w:rPr>
              <w:t>③清洗废水</w:t>
            </w:r>
          </w:p>
          <w:p w14:paraId="7A73E2A3">
            <w:pPr>
              <w:ind w:firstLine="480" w:firstLineChars="200"/>
              <w:rPr>
                <w:rFonts w:hint="eastAsia" w:cs="Times New Roman"/>
                <w:lang w:eastAsia="zh-CN"/>
              </w:rPr>
            </w:pPr>
            <w:r>
              <w:rPr>
                <w:rFonts w:hint="eastAsia" w:cs="Times New Roman"/>
                <w:lang w:eastAsia="zh-CN"/>
              </w:rPr>
              <w:t>项目清洗用水量为0.38t/d(100.3t/a)，清洗废水产生量为0.3t/d(79.2t/a)，清洗废水经嘉鑫厂内污水处理设施处理后接入福清市融元污水处理厂。</w:t>
            </w:r>
          </w:p>
          <w:p w14:paraId="4C876AC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lang w:val="en-US" w:eastAsia="zh-CN"/>
              </w:rPr>
            </w:pPr>
            <w:r>
              <w:rPr>
                <w:rFonts w:hint="eastAsia" w:cs="Times New Roman"/>
                <w:b/>
                <w:bCs/>
                <w:lang w:val="en-US" w:eastAsia="zh-CN"/>
              </w:rPr>
              <w:t>④切削液配置废水</w:t>
            </w:r>
          </w:p>
          <w:p w14:paraId="363BF522">
            <w:pPr>
              <w:ind w:firstLine="480" w:firstLineChars="200"/>
              <w:rPr>
                <w:rFonts w:hint="default" w:cs="Times New Roman"/>
                <w:lang w:val="en-US" w:eastAsia="zh-CN"/>
              </w:rPr>
            </w:pPr>
            <w:r>
              <w:rPr>
                <w:rFonts w:hint="eastAsia" w:cs="Times New Roman"/>
                <w:lang w:eastAsia="zh-CN"/>
              </w:rPr>
              <w:t>项目在进行CNC加工时会使用切削液，切削液需加水稀释后使用，使用时平均由原液和水按1:30的比例浓度配置，配置的切削液循环使用，定期更换，产生的废切削液作为危废处置。项目切削液年使用量1t/a，则切削液配置用水为30t/a，此部分水在使用过程中大部分蒸发损耗，部分进入工件中，部分进入废边角料中，只有极少量进入废切削液中。</w:t>
            </w:r>
          </w:p>
          <w:tbl>
            <w:tblPr>
              <w:tblStyle w:val="20"/>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0"/>
              <w:gridCol w:w="4390"/>
            </w:tblGrid>
            <w:tr w14:paraId="0D1A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9" w:hRule="atLeast"/>
                <w:jc w:val="center"/>
              </w:trPr>
              <w:tc>
                <w:tcPr>
                  <w:tcW w:w="4390" w:type="dxa"/>
                  <w:shd w:val="clear" w:color="auto" w:fill="auto"/>
                </w:tcPr>
                <w:p w14:paraId="34E1B91F">
                  <w:pP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drawing>
                      <wp:inline distT="0" distB="0" distL="114300" distR="114300">
                        <wp:extent cx="2648585" cy="2300605"/>
                        <wp:effectExtent l="0" t="0" r="3175" b="635"/>
                        <wp:docPr id="1" name="图片 1" descr="微信图片_2024061220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612205114"/>
                                <pic:cNvPicPr>
                                  <a:picLocks noChangeAspect="1"/>
                                </pic:cNvPicPr>
                              </pic:nvPicPr>
                              <pic:blipFill>
                                <a:blip r:embed="rId16"/>
                                <a:stretch>
                                  <a:fillRect/>
                                </a:stretch>
                              </pic:blipFill>
                              <pic:spPr>
                                <a:xfrm>
                                  <a:off x="0" y="0"/>
                                  <a:ext cx="2648585" cy="2300605"/>
                                </a:xfrm>
                                <a:prstGeom prst="rect">
                                  <a:avLst/>
                                </a:prstGeom>
                              </pic:spPr>
                            </pic:pic>
                          </a:graphicData>
                        </a:graphic>
                      </wp:inline>
                    </w:drawing>
                  </w:r>
                </w:p>
              </w:tc>
              <w:tc>
                <w:tcPr>
                  <w:tcW w:w="4390" w:type="dxa"/>
                  <w:shd w:val="clear" w:color="auto" w:fill="auto"/>
                </w:tcPr>
                <w:p w14:paraId="2A92F820">
                  <w:pP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drawing>
                      <wp:inline distT="0" distB="0" distL="114300" distR="114300">
                        <wp:extent cx="2648585" cy="2326640"/>
                        <wp:effectExtent l="0" t="0" r="3175" b="5080"/>
                        <wp:docPr id="2" name="图片 2" descr="微信图片_2024061220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612205111"/>
                                <pic:cNvPicPr>
                                  <a:picLocks noChangeAspect="1"/>
                                </pic:cNvPicPr>
                              </pic:nvPicPr>
                              <pic:blipFill>
                                <a:blip r:embed="rId17"/>
                                <a:stretch>
                                  <a:fillRect/>
                                </a:stretch>
                              </pic:blipFill>
                              <pic:spPr>
                                <a:xfrm>
                                  <a:off x="0" y="0"/>
                                  <a:ext cx="2648585" cy="2326640"/>
                                </a:xfrm>
                                <a:prstGeom prst="rect">
                                  <a:avLst/>
                                </a:prstGeom>
                              </pic:spPr>
                            </pic:pic>
                          </a:graphicData>
                        </a:graphic>
                      </wp:inline>
                    </w:drawing>
                  </w:r>
                </w:p>
              </w:tc>
            </w:tr>
            <w:tr w14:paraId="6C65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shd w:val="clear" w:color="auto" w:fill="auto"/>
                  <w:vAlign w:val="center"/>
                </w:tcPr>
                <w:p w14:paraId="5B04DC74">
                  <w:pPr>
                    <w:spacing w:line="240" w:lineRule="auto"/>
                    <w:jc w:val="center"/>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化粪池</w:t>
                  </w:r>
                </w:p>
              </w:tc>
              <w:tc>
                <w:tcPr>
                  <w:tcW w:w="4390" w:type="dxa"/>
                  <w:shd w:val="clear" w:color="auto" w:fill="auto"/>
                  <w:vAlign w:val="center"/>
                </w:tcPr>
                <w:p w14:paraId="17972DE8">
                  <w:pPr>
                    <w:spacing w:line="240" w:lineRule="auto"/>
                    <w:jc w:val="cente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化粪池</w:t>
                  </w:r>
                </w:p>
              </w:tc>
            </w:tr>
          </w:tbl>
          <w:p w14:paraId="4DD645A8">
            <w:pPr>
              <w:spacing w:line="240" w:lineRule="auto"/>
              <w:jc w:val="both"/>
              <w:rPr>
                <w:rFonts w:hint="default" w:ascii="Times New Roman" w:hAnsi="Times New Roman" w:cs="Times New Roman"/>
                <w:sz w:val="21"/>
                <w:szCs w:val="21"/>
              </w:rPr>
            </w:pPr>
          </w:p>
        </w:tc>
      </w:tr>
      <w:tr w14:paraId="2183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4" w:hRule="atLeast"/>
          <w:jc w:val="center"/>
        </w:trPr>
        <w:tc>
          <w:tcPr>
            <w:tcW w:w="9242" w:type="dxa"/>
          </w:tcPr>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508"/>
            </w:tblGrid>
            <w:tr w14:paraId="426C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9" w:hRule="atLeast"/>
                <w:jc w:val="center"/>
              </w:trPr>
              <w:tc>
                <w:tcPr>
                  <w:tcW w:w="2500" w:type="pct"/>
                  <w:shd w:val="clear" w:color="auto" w:fill="auto"/>
                </w:tcPr>
                <w:p w14:paraId="689C2479">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2719070" cy="2497455"/>
                        <wp:effectExtent l="0" t="0" r="8890" b="1905"/>
                        <wp:docPr id="22" name="图片 22" descr="f6883df155d57510342f40a56fa4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6883df155d57510342f40a56fa45f7"/>
                                <pic:cNvPicPr>
                                  <a:picLocks noChangeAspect="1"/>
                                </pic:cNvPicPr>
                              </pic:nvPicPr>
                              <pic:blipFill>
                                <a:blip r:embed="rId18"/>
                                <a:stretch>
                                  <a:fillRect/>
                                </a:stretch>
                              </pic:blipFill>
                              <pic:spPr>
                                <a:xfrm>
                                  <a:off x="0" y="0"/>
                                  <a:ext cx="2719070" cy="2497455"/>
                                </a:xfrm>
                                <a:prstGeom prst="rect">
                                  <a:avLst/>
                                </a:prstGeom>
                              </pic:spPr>
                            </pic:pic>
                          </a:graphicData>
                        </a:graphic>
                      </wp:inline>
                    </w:drawing>
                  </w:r>
                </w:p>
              </w:tc>
              <w:tc>
                <w:tcPr>
                  <w:tcW w:w="2500" w:type="pct"/>
                  <w:shd w:val="clear" w:color="auto" w:fill="auto"/>
                </w:tcPr>
                <w:p w14:paraId="5879BD28">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2724150" cy="2468245"/>
                        <wp:effectExtent l="0" t="0" r="3810" b="635"/>
                        <wp:docPr id="23" name="图片 23" descr="b4d7db8e9fe88f83086e78d4123b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4d7db8e9fe88f83086e78d4123b3c2"/>
                                <pic:cNvPicPr>
                                  <a:picLocks noChangeAspect="1"/>
                                </pic:cNvPicPr>
                              </pic:nvPicPr>
                              <pic:blipFill>
                                <a:blip r:embed="rId19"/>
                                <a:stretch>
                                  <a:fillRect/>
                                </a:stretch>
                              </pic:blipFill>
                              <pic:spPr>
                                <a:xfrm>
                                  <a:off x="0" y="0"/>
                                  <a:ext cx="2724150" cy="2468245"/>
                                </a:xfrm>
                                <a:prstGeom prst="rect">
                                  <a:avLst/>
                                </a:prstGeom>
                              </pic:spPr>
                            </pic:pic>
                          </a:graphicData>
                        </a:graphic>
                      </wp:inline>
                    </w:drawing>
                  </w:r>
                </w:p>
              </w:tc>
            </w:tr>
            <w:tr w14:paraId="23E7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shd w:val="clear" w:color="auto" w:fill="auto"/>
                  <w:vAlign w:val="center"/>
                </w:tcPr>
                <w:p w14:paraId="0E8EF274">
                  <w:pPr>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污水处理站</w:t>
                  </w:r>
                </w:p>
              </w:tc>
              <w:tc>
                <w:tcPr>
                  <w:tcW w:w="2500" w:type="pct"/>
                  <w:shd w:val="clear" w:color="auto" w:fill="auto"/>
                  <w:vAlign w:val="center"/>
                </w:tcPr>
                <w:p w14:paraId="10EA4858">
                  <w:pPr>
                    <w:spacing w:line="240" w:lineRule="auto"/>
                    <w:jc w:val="center"/>
                    <w:rPr>
                      <w:rFonts w:hint="default" w:ascii="Times New Roman" w:hAnsi="Times New Roman" w:cs="Times New Roman"/>
                      <w:b/>
                      <w:bCs/>
                      <w:color w:val="auto"/>
                      <w:lang w:val="en-US" w:eastAsia="zh-CN"/>
                    </w:rPr>
                  </w:pPr>
                  <w:r>
                    <w:rPr>
                      <w:rFonts w:hint="eastAsia" w:cs="Times New Roman"/>
                      <w:color w:val="auto"/>
                      <w:lang w:val="en-US" w:eastAsia="zh-CN"/>
                    </w:rPr>
                    <w:t>污水处理站</w:t>
                  </w:r>
                </w:p>
              </w:tc>
            </w:tr>
          </w:tbl>
          <w:p w14:paraId="7B3DC740">
            <w:pPr>
              <w:spacing w:line="240" w:lineRule="auto"/>
              <w:jc w:val="both"/>
              <w:rPr>
                <w:position w:val="-78"/>
              </w:rPr>
            </w:pPr>
          </w:p>
          <w:p w14:paraId="646C710C">
            <w:pPr>
              <w:spacing w:line="240" w:lineRule="auto"/>
              <w:jc w:val="center"/>
              <w:rPr>
                <w:position w:val="-78"/>
              </w:rPr>
            </w:pPr>
            <w:r>
              <w:rPr>
                <w:position w:val="-78"/>
              </w:rPr>
              <w:drawing>
                <wp:inline distT="0" distB="0" distL="0" distR="0">
                  <wp:extent cx="4735830" cy="2479675"/>
                  <wp:effectExtent l="0" t="0" r="3810" b="444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0"/>
                          <a:stretch>
                            <a:fillRect/>
                          </a:stretch>
                        </pic:blipFill>
                        <pic:spPr>
                          <a:xfrm>
                            <a:off x="0" y="0"/>
                            <a:ext cx="4736400" cy="2479781"/>
                          </a:xfrm>
                          <a:prstGeom prst="rect">
                            <a:avLst/>
                          </a:prstGeom>
                        </pic:spPr>
                      </pic:pic>
                    </a:graphicData>
                  </a:graphic>
                </wp:inline>
              </w:drawing>
            </w:r>
          </w:p>
          <w:p w14:paraId="65887917">
            <w:pPr>
              <w:jc w:val="center"/>
              <w:rPr>
                <w:rFonts w:hint="default"/>
                <w:position w:val="-78"/>
              </w:rPr>
            </w:pPr>
            <w:r>
              <w:rPr>
                <w:rFonts w:hint="default" w:ascii="Times New Roman" w:hAnsi="Times New Roman" w:cs="Times New Roman"/>
                <w:b/>
                <w:bCs/>
                <w:lang w:val="en-US" w:eastAsia="zh-CN"/>
              </w:rPr>
              <w:t>图3-1</w:t>
            </w:r>
            <w:r>
              <w:rPr>
                <w:rFonts w:hint="default" w:ascii="Times New Roman" w:hAnsi="Times New Roman" w:eastAsia="宋体" w:cs="Times New Roman"/>
                <w:b/>
                <w:bCs/>
              </w:rPr>
              <w:t>全厂水平衡图</w:t>
            </w:r>
          </w:p>
        </w:tc>
      </w:tr>
      <w:tr w14:paraId="01E6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4" w:hRule="atLeast"/>
          <w:jc w:val="center"/>
        </w:trPr>
        <w:tc>
          <w:tcPr>
            <w:tcW w:w="9242" w:type="dxa"/>
          </w:tcPr>
          <w:p w14:paraId="2DB585FE">
            <w:pPr>
              <w:numPr>
                <w:ilvl w:val="0"/>
                <w:numId w:val="2"/>
              </w:numPr>
              <w:rPr>
                <w:rFonts w:hint="default" w:ascii="Times New Roman" w:hAnsi="Times New Roman" w:cs="Times New Roman"/>
                <w:b/>
                <w:bCs/>
              </w:rPr>
            </w:pPr>
            <w:r>
              <w:rPr>
                <w:rFonts w:hint="default" w:ascii="Times New Roman" w:hAnsi="Times New Roman" w:cs="Times New Roman"/>
                <w:b/>
                <w:bCs/>
              </w:rPr>
              <w:t>废气污染物治理设施</w:t>
            </w:r>
          </w:p>
          <w:p w14:paraId="2795377A">
            <w:pPr>
              <w:adjustRightInd w:val="0"/>
              <w:snapToGrid w:val="0"/>
              <w:ind w:firstLine="490"/>
              <w:rPr>
                <w:rFonts w:hint="default" w:cs="Times New Roman"/>
                <w:color w:val="auto"/>
                <w:lang w:val="en-US" w:eastAsia="zh-CN"/>
              </w:rPr>
            </w:pPr>
            <w:r>
              <w:rPr>
                <w:rFonts w:hint="default" w:ascii="Times New Roman" w:hAnsi="Times New Roman" w:cs="Times New Roman"/>
                <w:lang w:val="en-US" w:eastAsia="zh-CN"/>
              </w:rPr>
              <w:t>油墨丝印烘干有</w:t>
            </w:r>
            <w:r>
              <w:rPr>
                <w:rFonts w:hint="default" w:ascii="Times New Roman" w:hAnsi="Times New Roman" w:cs="Times New Roman"/>
                <w:color w:val="auto"/>
                <w:lang w:val="en-US" w:eastAsia="zh-CN"/>
              </w:rPr>
              <w:t>机废气经集气罩收集引至活性炭吸附装置处理后，由15m高排气筒(DA001)排放</w:t>
            </w:r>
            <w:r>
              <w:rPr>
                <w:rFonts w:hint="eastAsia" w:cs="Times New Roman"/>
                <w:color w:val="auto"/>
                <w:lang w:val="en-US" w:eastAsia="zh-CN"/>
              </w:rPr>
              <w:t>。</w:t>
            </w:r>
          </w:p>
          <w:p w14:paraId="518BD403">
            <w:pPr>
              <w:adjustRightInd w:val="0"/>
              <w:snapToGrid w:val="0"/>
              <w:ind w:firstLine="490"/>
              <w:rPr>
                <w:rFonts w:hint="default" w:ascii="Times New Roman" w:hAnsi="Times New Roman" w:cs="Times New Roman"/>
                <w:color w:val="auto"/>
                <w:spacing w:val="-2"/>
              </w:rPr>
            </w:pPr>
            <w:r>
              <w:rPr>
                <w:rFonts w:hint="default" w:ascii="Times New Roman" w:hAnsi="Times New Roman" w:cs="Times New Roman"/>
                <w:color w:val="auto"/>
                <w:spacing w:val="-2"/>
              </w:rPr>
              <w:t>废气处理设施照片见下图。</w:t>
            </w:r>
          </w:p>
          <w:p w14:paraId="4188BBEA">
            <w:pPr>
              <w:ind w:firstLine="480" w:firstLineChars="200"/>
              <w:rPr>
                <w:rFonts w:hint="default" w:ascii="Times New Roman" w:hAnsi="Times New Roman" w:cs="Times New Roman"/>
              </w:rPr>
            </w:pPr>
            <w:r>
              <w:rPr>
                <w:rFonts w:hint="default" w:ascii="Times New Roman" w:hAnsi="Times New Roman" w:cs="Times New Roman"/>
              </w:rPr>
              <w:t>为了解项目生产废气排放情况，本次验收共布设有组织监测点位</w:t>
            </w:r>
            <w:r>
              <w:rPr>
                <w:rFonts w:hint="eastAsia" w:cs="Times New Roman"/>
                <w:lang w:val="en-US" w:eastAsia="zh-CN"/>
              </w:rPr>
              <w:t>1</w:t>
            </w:r>
            <w:r>
              <w:rPr>
                <w:rFonts w:hint="default" w:ascii="Times New Roman" w:hAnsi="Times New Roman" w:cs="Times New Roman"/>
              </w:rPr>
              <w:t>个（</w:t>
            </w:r>
            <w:r>
              <w:rPr>
                <w:rFonts w:hint="eastAsia" w:ascii="Times New Roman" w:hAnsi="Times New Roman" w:cs="Times New Roman"/>
                <w:lang w:val="en-US" w:eastAsia="zh-CN"/>
              </w:rPr>
              <w:t>15m</w:t>
            </w:r>
            <w:r>
              <w:rPr>
                <w:rFonts w:hint="default" w:ascii="Times New Roman" w:hAnsi="Times New Roman" w:cs="Times New Roman"/>
              </w:rPr>
              <w:t>排气筒），详见附图4，采样照片见下图。</w:t>
            </w:r>
          </w:p>
          <w:tbl>
            <w:tblPr>
              <w:tblStyle w:val="21"/>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3"/>
              <w:gridCol w:w="4513"/>
            </w:tblGrid>
            <w:tr w14:paraId="4A20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3" w:type="dxa"/>
                  <w:vAlign w:val="center"/>
                </w:tcPr>
                <w:p w14:paraId="599673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sz w:val="24"/>
                      <w:szCs w:val="24"/>
                      <w:lang w:val="en-US" w:eastAsia="zh-CN"/>
                    </w:rPr>
                  </w:pPr>
                  <w:r>
                    <w:rPr>
                      <w:rFonts w:hint="default"/>
                      <w:b w:val="0"/>
                      <w:bCs/>
                      <w:sz w:val="24"/>
                      <w:szCs w:val="24"/>
                      <w:lang w:val="en-US" w:eastAsia="zh-CN"/>
                    </w:rPr>
                    <w:drawing>
                      <wp:inline distT="0" distB="0" distL="114300" distR="114300">
                        <wp:extent cx="2719070" cy="2186305"/>
                        <wp:effectExtent l="0" t="0" r="8890" b="8255"/>
                        <wp:docPr id="5" name="图片 5" descr="微信图片_2024061220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612205102"/>
                                <pic:cNvPicPr>
                                  <a:picLocks noChangeAspect="1"/>
                                </pic:cNvPicPr>
                              </pic:nvPicPr>
                              <pic:blipFill>
                                <a:blip r:embed="rId21"/>
                                <a:stretch>
                                  <a:fillRect/>
                                </a:stretch>
                              </pic:blipFill>
                              <pic:spPr>
                                <a:xfrm>
                                  <a:off x="0" y="0"/>
                                  <a:ext cx="2719070" cy="2186305"/>
                                </a:xfrm>
                                <a:prstGeom prst="rect">
                                  <a:avLst/>
                                </a:prstGeom>
                              </pic:spPr>
                            </pic:pic>
                          </a:graphicData>
                        </a:graphic>
                      </wp:inline>
                    </w:drawing>
                  </w:r>
                </w:p>
                <w:p w14:paraId="2A3C82DD">
                  <w:pPr>
                    <w:pStyle w:val="2"/>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b w:val="0"/>
                      <w:bCs/>
                      <w:sz w:val="24"/>
                      <w:szCs w:val="24"/>
                      <w:lang w:val="en-US" w:eastAsia="zh-CN"/>
                    </w:rPr>
                    <w:t>排气筒</w:t>
                  </w:r>
                </w:p>
              </w:tc>
              <w:tc>
                <w:tcPr>
                  <w:tcW w:w="4513" w:type="dxa"/>
                  <w:vAlign w:val="center"/>
                </w:tcPr>
                <w:p w14:paraId="1E37A3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sz w:val="24"/>
                      <w:szCs w:val="24"/>
                      <w:lang w:val="en-US" w:eastAsia="zh-CN"/>
                    </w:rPr>
                  </w:pPr>
                  <w:r>
                    <w:rPr>
                      <w:rFonts w:hint="default"/>
                      <w:b w:val="0"/>
                      <w:bCs/>
                      <w:sz w:val="24"/>
                      <w:szCs w:val="24"/>
                      <w:lang w:val="en-US" w:eastAsia="zh-CN"/>
                    </w:rPr>
                    <w:drawing>
                      <wp:inline distT="0" distB="0" distL="114300" distR="114300">
                        <wp:extent cx="2717165" cy="2156460"/>
                        <wp:effectExtent l="0" t="0" r="10795" b="7620"/>
                        <wp:docPr id="6" name="图片 6" descr="微信图片_2024061220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612205059"/>
                                <pic:cNvPicPr>
                                  <a:picLocks noChangeAspect="1"/>
                                </pic:cNvPicPr>
                              </pic:nvPicPr>
                              <pic:blipFill>
                                <a:blip r:embed="rId22"/>
                                <a:stretch>
                                  <a:fillRect/>
                                </a:stretch>
                              </pic:blipFill>
                              <pic:spPr>
                                <a:xfrm>
                                  <a:off x="0" y="0"/>
                                  <a:ext cx="2717165" cy="2156460"/>
                                </a:xfrm>
                                <a:prstGeom prst="rect">
                                  <a:avLst/>
                                </a:prstGeom>
                              </pic:spPr>
                            </pic:pic>
                          </a:graphicData>
                        </a:graphic>
                      </wp:inline>
                    </w:drawing>
                  </w:r>
                </w:p>
                <w:p w14:paraId="06960C2B">
                  <w:pPr>
                    <w:pStyle w:val="2"/>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b w:val="0"/>
                      <w:bCs/>
                      <w:sz w:val="24"/>
                      <w:szCs w:val="24"/>
                      <w:lang w:val="en-US" w:eastAsia="zh-CN"/>
                    </w:rPr>
                    <w:t>风机铭牌</w:t>
                  </w:r>
                </w:p>
              </w:tc>
            </w:tr>
            <w:tr w14:paraId="6A1F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3" w:type="dxa"/>
                  <w:vAlign w:val="center"/>
                </w:tcPr>
                <w:p w14:paraId="0FCD07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sz w:val="24"/>
                      <w:szCs w:val="24"/>
                      <w:lang w:val="en-US" w:eastAsia="zh-CN"/>
                    </w:rPr>
                  </w:pPr>
                  <w:r>
                    <w:rPr>
                      <w:rFonts w:hint="default"/>
                      <w:b w:val="0"/>
                      <w:bCs/>
                      <w:sz w:val="24"/>
                      <w:szCs w:val="24"/>
                      <w:lang w:val="en-US" w:eastAsia="zh-CN"/>
                    </w:rPr>
                    <w:drawing>
                      <wp:inline distT="0" distB="0" distL="114300" distR="114300">
                        <wp:extent cx="2719070" cy="2693670"/>
                        <wp:effectExtent l="0" t="0" r="8890" b="3810"/>
                        <wp:docPr id="7" name="图片 7" descr="微信图片_2024061220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612205034"/>
                                <pic:cNvPicPr>
                                  <a:picLocks noChangeAspect="1"/>
                                </pic:cNvPicPr>
                              </pic:nvPicPr>
                              <pic:blipFill>
                                <a:blip r:embed="rId23"/>
                                <a:stretch>
                                  <a:fillRect/>
                                </a:stretch>
                              </pic:blipFill>
                              <pic:spPr>
                                <a:xfrm>
                                  <a:off x="0" y="0"/>
                                  <a:ext cx="2719070" cy="2693670"/>
                                </a:xfrm>
                                <a:prstGeom prst="rect">
                                  <a:avLst/>
                                </a:prstGeom>
                              </pic:spPr>
                            </pic:pic>
                          </a:graphicData>
                        </a:graphic>
                      </wp:inline>
                    </w:drawing>
                  </w:r>
                </w:p>
                <w:p w14:paraId="64FC287B">
                  <w:pPr>
                    <w:pStyle w:val="2"/>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b w:val="0"/>
                      <w:bCs/>
                      <w:sz w:val="24"/>
                      <w:szCs w:val="24"/>
                      <w:lang w:val="en-US" w:eastAsia="zh-CN"/>
                    </w:rPr>
                    <w:t>集气设施</w:t>
                  </w:r>
                </w:p>
              </w:tc>
              <w:tc>
                <w:tcPr>
                  <w:tcW w:w="4513" w:type="dxa"/>
                  <w:vAlign w:val="center"/>
                </w:tcPr>
                <w:p w14:paraId="0286B7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sz w:val="24"/>
                      <w:szCs w:val="24"/>
                      <w:lang w:val="en-US" w:eastAsia="zh-CN"/>
                    </w:rPr>
                  </w:pPr>
                  <w:r>
                    <w:rPr>
                      <w:rFonts w:hint="default"/>
                      <w:b w:val="0"/>
                      <w:bCs/>
                      <w:sz w:val="24"/>
                      <w:szCs w:val="24"/>
                      <w:lang w:val="en-US" w:eastAsia="zh-CN"/>
                    </w:rPr>
                    <w:drawing>
                      <wp:inline distT="0" distB="0" distL="114300" distR="114300">
                        <wp:extent cx="2719070" cy="2681605"/>
                        <wp:effectExtent l="0" t="0" r="8890" b="635"/>
                        <wp:docPr id="8" name="图片 8" descr="微信图片_2024061220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612205056"/>
                                <pic:cNvPicPr>
                                  <a:picLocks noChangeAspect="1"/>
                                </pic:cNvPicPr>
                              </pic:nvPicPr>
                              <pic:blipFill>
                                <a:blip r:embed="rId24"/>
                                <a:stretch>
                                  <a:fillRect/>
                                </a:stretch>
                              </pic:blipFill>
                              <pic:spPr>
                                <a:xfrm>
                                  <a:off x="0" y="0"/>
                                  <a:ext cx="2719070" cy="2681605"/>
                                </a:xfrm>
                                <a:prstGeom prst="rect">
                                  <a:avLst/>
                                </a:prstGeom>
                              </pic:spPr>
                            </pic:pic>
                          </a:graphicData>
                        </a:graphic>
                      </wp:inline>
                    </w:drawing>
                  </w:r>
                </w:p>
                <w:p w14:paraId="0B6D05C1">
                  <w:pPr>
                    <w:pStyle w:val="2"/>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b w:val="0"/>
                      <w:bCs/>
                      <w:sz w:val="24"/>
                      <w:szCs w:val="24"/>
                      <w:lang w:val="en-US" w:eastAsia="zh-CN"/>
                    </w:rPr>
                    <w:t>风机</w:t>
                  </w:r>
                </w:p>
              </w:tc>
            </w:tr>
          </w:tbl>
          <w:p w14:paraId="65428A64">
            <w:pPr>
              <w:spacing w:line="360" w:lineRule="exact"/>
              <w:rPr>
                <w:rFonts w:hint="default" w:ascii="Times New Roman" w:hAnsi="Times New Roman" w:cs="Times New Roman"/>
                <w:b/>
                <w:bCs/>
              </w:rPr>
            </w:pPr>
          </w:p>
        </w:tc>
      </w:tr>
      <w:tr w14:paraId="1CF6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18" w:hRule="atLeast"/>
          <w:jc w:val="center"/>
        </w:trPr>
        <w:tc>
          <w:tcPr>
            <w:tcW w:w="9242" w:type="dxa"/>
          </w:tcPr>
          <w:tbl>
            <w:tblPr>
              <w:tblStyle w:val="21"/>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3"/>
              <w:gridCol w:w="4513"/>
            </w:tblGrid>
            <w:tr w14:paraId="4E10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3" w:type="dxa"/>
                  <w:vAlign w:val="center"/>
                </w:tcPr>
                <w:p w14:paraId="3D1545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sz w:val="21"/>
                      <w:szCs w:val="21"/>
                      <w:lang w:val="en-US" w:eastAsia="zh-CN"/>
                    </w:rPr>
                  </w:pPr>
                  <w:r>
                    <w:rPr>
                      <w:rFonts w:hint="default"/>
                      <w:b w:val="0"/>
                      <w:bCs/>
                      <w:sz w:val="21"/>
                      <w:szCs w:val="21"/>
                      <w:lang w:val="en-US" w:eastAsia="zh-CN"/>
                    </w:rPr>
                    <w:drawing>
                      <wp:inline distT="0" distB="0" distL="114300" distR="114300">
                        <wp:extent cx="2719070" cy="2230755"/>
                        <wp:effectExtent l="0" t="0" r="8890" b="9525"/>
                        <wp:docPr id="14" name="图片 14" descr="微信图片_2024061220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0612205054"/>
                                <pic:cNvPicPr>
                                  <a:picLocks noChangeAspect="1"/>
                                </pic:cNvPicPr>
                              </pic:nvPicPr>
                              <pic:blipFill>
                                <a:blip r:embed="rId25"/>
                                <a:stretch>
                                  <a:fillRect/>
                                </a:stretch>
                              </pic:blipFill>
                              <pic:spPr>
                                <a:xfrm>
                                  <a:off x="0" y="0"/>
                                  <a:ext cx="2719070" cy="2230755"/>
                                </a:xfrm>
                                <a:prstGeom prst="rect">
                                  <a:avLst/>
                                </a:prstGeom>
                              </pic:spPr>
                            </pic:pic>
                          </a:graphicData>
                        </a:graphic>
                      </wp:inline>
                    </w:drawing>
                  </w:r>
                </w:p>
                <w:p w14:paraId="1ED7A93A">
                  <w:pPr>
                    <w:pStyle w:val="2"/>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b w:val="0"/>
                      <w:bCs/>
                      <w:sz w:val="21"/>
                      <w:szCs w:val="21"/>
                      <w:lang w:val="en-US" w:eastAsia="zh-CN"/>
                    </w:rPr>
                    <w:t>活性炭吸附</w:t>
                  </w:r>
                </w:p>
              </w:tc>
              <w:tc>
                <w:tcPr>
                  <w:tcW w:w="4513" w:type="dxa"/>
                  <w:vAlign w:val="center"/>
                </w:tcPr>
                <w:p w14:paraId="5AB8D5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sz w:val="21"/>
                      <w:szCs w:val="21"/>
                      <w:lang w:val="en-US" w:eastAsia="zh-CN"/>
                    </w:rPr>
                  </w:pPr>
                  <w:r>
                    <w:rPr>
                      <w:rFonts w:hint="default"/>
                      <w:b w:val="0"/>
                      <w:bCs/>
                      <w:sz w:val="21"/>
                      <w:szCs w:val="21"/>
                      <w:lang w:val="en-US" w:eastAsia="zh-CN"/>
                    </w:rPr>
                    <w:drawing>
                      <wp:inline distT="0" distB="0" distL="114300" distR="114300">
                        <wp:extent cx="2717165" cy="2201545"/>
                        <wp:effectExtent l="0" t="0" r="10795" b="8255"/>
                        <wp:docPr id="15" name="图片 15" descr="微信图片_2024061220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0612205051"/>
                                <pic:cNvPicPr>
                                  <a:picLocks noChangeAspect="1"/>
                                </pic:cNvPicPr>
                              </pic:nvPicPr>
                              <pic:blipFill>
                                <a:blip r:embed="rId26"/>
                                <a:stretch>
                                  <a:fillRect/>
                                </a:stretch>
                              </pic:blipFill>
                              <pic:spPr>
                                <a:xfrm>
                                  <a:off x="0" y="0"/>
                                  <a:ext cx="2717165" cy="2201545"/>
                                </a:xfrm>
                                <a:prstGeom prst="rect">
                                  <a:avLst/>
                                </a:prstGeom>
                              </pic:spPr>
                            </pic:pic>
                          </a:graphicData>
                        </a:graphic>
                      </wp:inline>
                    </w:drawing>
                  </w:r>
                </w:p>
                <w:p w14:paraId="70F8C8D7">
                  <w:pPr>
                    <w:pStyle w:val="2"/>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b w:val="0"/>
                      <w:bCs/>
                      <w:sz w:val="21"/>
                      <w:szCs w:val="21"/>
                      <w:lang w:val="en-US" w:eastAsia="zh-CN"/>
                    </w:rPr>
                    <w:t>活性炭吸附+风机+排气筒</w:t>
                  </w:r>
                </w:p>
              </w:tc>
            </w:tr>
            <w:tr w14:paraId="2FD8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9" w:hRule="atLeast"/>
              </w:trPr>
              <w:tc>
                <w:tcPr>
                  <w:tcW w:w="4513" w:type="dxa"/>
                  <w:vAlign w:val="center"/>
                </w:tcPr>
                <w:p w14:paraId="332070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sz w:val="21"/>
                      <w:szCs w:val="21"/>
                      <w:lang w:val="en-US" w:eastAsia="zh-CN"/>
                    </w:rPr>
                  </w:pPr>
                  <w:r>
                    <w:rPr>
                      <w:rFonts w:hint="default"/>
                      <w:b w:val="0"/>
                      <w:bCs/>
                      <w:sz w:val="21"/>
                      <w:szCs w:val="21"/>
                      <w:lang w:val="en-US" w:eastAsia="zh-CN"/>
                    </w:rPr>
                    <w:drawing>
                      <wp:inline distT="0" distB="0" distL="114300" distR="114300">
                        <wp:extent cx="2719070" cy="2693670"/>
                        <wp:effectExtent l="0" t="0" r="8890" b="3810"/>
                        <wp:docPr id="12" name="图片 12" descr="微信图片_2024061220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612205034"/>
                                <pic:cNvPicPr>
                                  <a:picLocks noChangeAspect="1"/>
                                </pic:cNvPicPr>
                              </pic:nvPicPr>
                              <pic:blipFill>
                                <a:blip r:embed="rId23"/>
                                <a:stretch>
                                  <a:fillRect/>
                                </a:stretch>
                              </pic:blipFill>
                              <pic:spPr>
                                <a:xfrm>
                                  <a:off x="0" y="0"/>
                                  <a:ext cx="2719070" cy="2693670"/>
                                </a:xfrm>
                                <a:prstGeom prst="rect">
                                  <a:avLst/>
                                </a:prstGeom>
                              </pic:spPr>
                            </pic:pic>
                          </a:graphicData>
                        </a:graphic>
                      </wp:inline>
                    </w:drawing>
                  </w:r>
                </w:p>
                <w:p w14:paraId="37A765D6">
                  <w:pPr>
                    <w:pStyle w:val="2"/>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b w:val="0"/>
                      <w:bCs/>
                      <w:sz w:val="21"/>
                      <w:szCs w:val="21"/>
                      <w:lang w:val="en-US" w:eastAsia="zh-CN"/>
                    </w:rPr>
                    <w:t>集气设施</w:t>
                  </w:r>
                </w:p>
              </w:tc>
              <w:tc>
                <w:tcPr>
                  <w:tcW w:w="4513" w:type="dxa"/>
                  <w:vAlign w:val="center"/>
                </w:tcPr>
                <w:p w14:paraId="024F0B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sz w:val="21"/>
                      <w:szCs w:val="21"/>
                      <w:lang w:val="en-US" w:eastAsia="zh-CN"/>
                    </w:rPr>
                  </w:pPr>
                  <w:r>
                    <w:rPr>
                      <w:rFonts w:hint="default"/>
                      <w:b w:val="0"/>
                      <w:bCs/>
                      <w:sz w:val="21"/>
                      <w:szCs w:val="21"/>
                      <w:lang w:val="en-US" w:eastAsia="zh-CN"/>
                    </w:rPr>
                    <w:drawing>
                      <wp:inline distT="0" distB="0" distL="114300" distR="114300">
                        <wp:extent cx="2719070" cy="2681605"/>
                        <wp:effectExtent l="0" t="0" r="8890" b="635"/>
                        <wp:docPr id="13" name="图片 13" descr="微信图片_2024061220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0612205056"/>
                                <pic:cNvPicPr>
                                  <a:picLocks noChangeAspect="1"/>
                                </pic:cNvPicPr>
                              </pic:nvPicPr>
                              <pic:blipFill>
                                <a:blip r:embed="rId24"/>
                                <a:stretch>
                                  <a:fillRect/>
                                </a:stretch>
                              </pic:blipFill>
                              <pic:spPr>
                                <a:xfrm>
                                  <a:off x="0" y="0"/>
                                  <a:ext cx="2719070" cy="2681605"/>
                                </a:xfrm>
                                <a:prstGeom prst="rect">
                                  <a:avLst/>
                                </a:prstGeom>
                              </pic:spPr>
                            </pic:pic>
                          </a:graphicData>
                        </a:graphic>
                      </wp:inline>
                    </w:drawing>
                  </w:r>
                </w:p>
                <w:p w14:paraId="04A47781">
                  <w:pPr>
                    <w:pStyle w:val="2"/>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b w:val="0"/>
                      <w:bCs/>
                      <w:sz w:val="21"/>
                      <w:szCs w:val="21"/>
                      <w:lang w:val="en-US" w:eastAsia="zh-CN"/>
                    </w:rPr>
                    <w:t>风机</w:t>
                  </w:r>
                </w:p>
              </w:tc>
            </w:tr>
            <w:tr w14:paraId="4963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9" w:hRule="atLeast"/>
              </w:trPr>
              <w:tc>
                <w:tcPr>
                  <w:tcW w:w="4513" w:type="dxa"/>
                  <w:vAlign w:val="center"/>
                </w:tcPr>
                <w:p w14:paraId="74D6F6FD">
                  <w:pPr>
                    <w:pStyle w:val="2"/>
                    <w:pageBreakBefore w:val="0"/>
                    <w:widowControl w:val="0"/>
                    <w:kinsoku/>
                    <w:wordWrap/>
                    <w:overflowPunct/>
                    <w:topLinePunct w:val="0"/>
                    <w:autoSpaceDE/>
                    <w:autoSpaceDN/>
                    <w:bidi w:val="0"/>
                    <w:adjustRightInd/>
                    <w:snapToGrid/>
                    <w:spacing w:line="240" w:lineRule="auto"/>
                    <w:jc w:val="center"/>
                    <w:textAlignment w:val="auto"/>
                    <w:rPr>
                      <w:rFonts w:hint="eastAsia"/>
                      <w:b w:val="0"/>
                      <w:bCs/>
                      <w:sz w:val="21"/>
                      <w:szCs w:val="21"/>
                      <w:lang w:val="en-US" w:eastAsia="zh-CN"/>
                    </w:rPr>
                  </w:pPr>
                  <w:r>
                    <w:rPr>
                      <w:rFonts w:hint="eastAsia"/>
                      <w:b w:val="0"/>
                      <w:bCs/>
                      <w:sz w:val="21"/>
                      <w:szCs w:val="21"/>
                      <w:lang w:val="en-US" w:eastAsia="zh-CN"/>
                    </w:rPr>
                    <w:drawing>
                      <wp:inline distT="0" distB="0" distL="114300" distR="114300">
                        <wp:extent cx="2717165" cy="2037080"/>
                        <wp:effectExtent l="0" t="0" r="10795" b="5080"/>
                        <wp:docPr id="16" name="图片 16" descr="微信图片_2024061220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0612205045"/>
                                <pic:cNvPicPr>
                                  <a:picLocks noChangeAspect="1"/>
                                </pic:cNvPicPr>
                              </pic:nvPicPr>
                              <pic:blipFill>
                                <a:blip r:embed="rId27"/>
                                <a:stretch>
                                  <a:fillRect/>
                                </a:stretch>
                              </pic:blipFill>
                              <pic:spPr>
                                <a:xfrm>
                                  <a:off x="0" y="0"/>
                                  <a:ext cx="2717165" cy="2037080"/>
                                </a:xfrm>
                                <a:prstGeom prst="rect">
                                  <a:avLst/>
                                </a:prstGeom>
                              </pic:spPr>
                            </pic:pic>
                          </a:graphicData>
                        </a:graphic>
                      </wp:inline>
                    </w:drawing>
                  </w:r>
                </w:p>
                <w:p w14:paraId="420714F3">
                  <w:pPr>
                    <w:jc w:val="center"/>
                    <w:rPr>
                      <w:rFonts w:hint="default"/>
                      <w:sz w:val="21"/>
                      <w:szCs w:val="21"/>
                      <w:lang w:val="en-US" w:eastAsia="zh-CN"/>
                    </w:rPr>
                  </w:pPr>
                  <w:r>
                    <w:rPr>
                      <w:rFonts w:hint="eastAsia"/>
                      <w:b w:val="0"/>
                      <w:bCs/>
                      <w:sz w:val="21"/>
                      <w:szCs w:val="21"/>
                      <w:lang w:val="en-US" w:eastAsia="zh-CN"/>
                    </w:rPr>
                    <w:t>集气设施</w:t>
                  </w:r>
                </w:p>
              </w:tc>
              <w:tc>
                <w:tcPr>
                  <w:tcW w:w="4513" w:type="dxa"/>
                  <w:vAlign w:val="center"/>
                </w:tcPr>
                <w:p w14:paraId="743423EC">
                  <w:pPr>
                    <w:pStyle w:val="2"/>
                    <w:pageBreakBefore w:val="0"/>
                    <w:widowControl w:val="0"/>
                    <w:kinsoku/>
                    <w:wordWrap/>
                    <w:overflowPunct/>
                    <w:topLinePunct w:val="0"/>
                    <w:autoSpaceDE/>
                    <w:autoSpaceDN/>
                    <w:bidi w:val="0"/>
                    <w:adjustRightInd/>
                    <w:snapToGrid/>
                    <w:spacing w:line="240" w:lineRule="auto"/>
                    <w:jc w:val="center"/>
                    <w:textAlignment w:val="auto"/>
                    <w:rPr>
                      <w:rFonts w:hint="eastAsia"/>
                      <w:b w:val="0"/>
                      <w:bCs/>
                      <w:sz w:val="21"/>
                      <w:szCs w:val="21"/>
                      <w:lang w:val="en-US" w:eastAsia="zh-CN"/>
                    </w:rPr>
                  </w:pPr>
                  <w:r>
                    <w:rPr>
                      <w:rFonts w:hint="eastAsia"/>
                      <w:b w:val="0"/>
                      <w:bCs/>
                      <w:sz w:val="21"/>
                      <w:szCs w:val="21"/>
                      <w:lang w:val="en-US" w:eastAsia="zh-CN"/>
                    </w:rPr>
                    <w:drawing>
                      <wp:inline distT="0" distB="0" distL="114300" distR="114300">
                        <wp:extent cx="2724150" cy="2037715"/>
                        <wp:effectExtent l="0" t="0" r="3810" b="4445"/>
                        <wp:docPr id="17" name="图片 17" descr="微信图片_2024061220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0612205048"/>
                                <pic:cNvPicPr>
                                  <a:picLocks noChangeAspect="1"/>
                                </pic:cNvPicPr>
                              </pic:nvPicPr>
                              <pic:blipFill>
                                <a:blip r:embed="rId28"/>
                                <a:stretch>
                                  <a:fillRect/>
                                </a:stretch>
                              </pic:blipFill>
                              <pic:spPr>
                                <a:xfrm>
                                  <a:off x="0" y="0"/>
                                  <a:ext cx="2724150" cy="2037715"/>
                                </a:xfrm>
                                <a:prstGeom prst="rect">
                                  <a:avLst/>
                                </a:prstGeom>
                              </pic:spPr>
                            </pic:pic>
                          </a:graphicData>
                        </a:graphic>
                      </wp:inline>
                    </w:drawing>
                  </w:r>
                </w:p>
                <w:p w14:paraId="62132EE2">
                  <w:pPr>
                    <w:jc w:val="center"/>
                    <w:rPr>
                      <w:rFonts w:hint="default"/>
                      <w:sz w:val="21"/>
                      <w:szCs w:val="21"/>
                      <w:lang w:val="en-US" w:eastAsia="zh-CN"/>
                    </w:rPr>
                  </w:pPr>
                  <w:r>
                    <w:rPr>
                      <w:rFonts w:hint="eastAsia"/>
                      <w:sz w:val="21"/>
                      <w:szCs w:val="21"/>
                      <w:lang w:val="en-US" w:eastAsia="zh-CN"/>
                    </w:rPr>
                    <w:t>排气主管</w:t>
                  </w:r>
                </w:p>
              </w:tc>
            </w:tr>
          </w:tbl>
          <w:p w14:paraId="1290DFB2">
            <w:pPr>
              <w:spacing w:line="360" w:lineRule="exact"/>
              <w:rPr>
                <w:rFonts w:hint="default" w:ascii="Times New Roman" w:hAnsi="Times New Roman" w:cs="Times New Roman"/>
                <w:b/>
                <w:bCs/>
              </w:rPr>
            </w:pPr>
          </w:p>
        </w:tc>
      </w:tr>
    </w:tbl>
    <w:p w14:paraId="3F6CF83C">
      <w:pPr>
        <w:pStyle w:val="31"/>
        <w:sectPr>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pPr>
    </w:p>
    <w:tbl>
      <w:tblPr>
        <w:tblStyle w:val="20"/>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14:paraId="5BFA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165" w:hRule="atLeast"/>
          <w:jc w:val="center"/>
        </w:trPr>
        <w:tc>
          <w:tcPr>
            <w:tcW w:w="9242" w:type="dxa"/>
          </w:tcPr>
          <w:p w14:paraId="525A514A">
            <w:pPr>
              <w:pStyle w:val="31"/>
              <w:rPr>
                <w:rFonts w:eastAsia="黑体"/>
                <w:b/>
              </w:rPr>
            </w:pPr>
          </w:p>
          <w:p w14:paraId="20D6011D">
            <w:pPr>
              <w:ind w:firstLine="482" w:firstLineChars="200"/>
              <w:rPr>
                <w:b/>
                <w:bCs/>
              </w:rPr>
            </w:pPr>
            <w:r>
              <w:rPr>
                <w:b/>
                <w:bCs/>
              </w:rPr>
              <w:t>（3）噪声污染物治理设施</w:t>
            </w:r>
          </w:p>
          <w:p w14:paraId="12BE1CED">
            <w:pPr>
              <w:ind w:firstLine="480"/>
              <w:rPr>
                <w:kern w:val="0"/>
              </w:rPr>
            </w:pPr>
            <w:r>
              <w:t>本项目主要噪声为：</w:t>
            </w:r>
            <w:r>
              <w:rPr>
                <w:rFonts w:hint="eastAsia"/>
                <w:kern w:val="0"/>
              </w:rPr>
              <w:t>开料机</w:t>
            </w:r>
            <w:r>
              <w:rPr>
                <w:rFonts w:hint="eastAsia"/>
                <w:kern w:val="0"/>
                <w:lang w:eastAsia="zh-CN"/>
              </w:rPr>
              <w:t>、</w:t>
            </w:r>
            <w:r>
              <w:rPr>
                <w:rFonts w:hint="eastAsia"/>
                <w:kern w:val="0"/>
              </w:rPr>
              <w:t>钢化炉</w:t>
            </w:r>
            <w:r>
              <w:rPr>
                <w:rFonts w:hint="eastAsia"/>
                <w:kern w:val="0"/>
                <w:lang w:eastAsia="zh-CN"/>
              </w:rPr>
              <w:t>、</w:t>
            </w:r>
            <w:r>
              <w:rPr>
                <w:rFonts w:hint="eastAsia"/>
                <w:kern w:val="0"/>
              </w:rPr>
              <w:t>精雕机</w:t>
            </w:r>
            <w:r>
              <w:rPr>
                <w:rFonts w:hint="eastAsia"/>
                <w:kern w:val="0"/>
                <w:lang w:eastAsia="zh-CN"/>
              </w:rPr>
              <w:t>、</w:t>
            </w:r>
            <w:r>
              <w:rPr>
                <w:rFonts w:hint="eastAsia"/>
                <w:kern w:val="0"/>
              </w:rPr>
              <w:t>超声波</w:t>
            </w:r>
            <w:r>
              <w:rPr>
                <w:rFonts w:hint="eastAsia"/>
                <w:kern w:val="0"/>
                <w:lang w:eastAsia="zh-CN"/>
              </w:rPr>
              <w:t>、</w:t>
            </w:r>
            <w:r>
              <w:rPr>
                <w:rFonts w:hint="eastAsia"/>
                <w:kern w:val="0"/>
              </w:rPr>
              <w:t>抛光机</w:t>
            </w:r>
            <w:r>
              <w:rPr>
                <w:rFonts w:hint="eastAsia"/>
                <w:kern w:val="0"/>
                <w:lang w:eastAsia="zh-CN"/>
              </w:rPr>
              <w:t>、</w:t>
            </w:r>
            <w:r>
              <w:rPr>
                <w:rFonts w:hint="eastAsia"/>
                <w:kern w:val="0"/>
              </w:rPr>
              <w:t>丝印机</w:t>
            </w:r>
            <w:r>
              <w:rPr>
                <w:rFonts w:hint="eastAsia"/>
                <w:kern w:val="0"/>
                <w:lang w:eastAsia="zh-CN"/>
              </w:rPr>
              <w:t>、</w:t>
            </w:r>
            <w:r>
              <w:rPr>
                <w:rFonts w:hint="eastAsia"/>
                <w:kern w:val="0"/>
              </w:rPr>
              <w:t>隧道炉</w:t>
            </w:r>
            <w:r>
              <w:rPr>
                <w:rFonts w:hint="eastAsia"/>
                <w:kern w:val="0"/>
                <w:lang w:eastAsia="zh-CN"/>
              </w:rPr>
              <w:t>、</w:t>
            </w:r>
            <w:r>
              <w:rPr>
                <w:rFonts w:hint="eastAsia"/>
                <w:kern w:val="0"/>
              </w:rPr>
              <w:t>平板清洗机</w:t>
            </w:r>
            <w:r>
              <w:rPr>
                <w:kern w:val="0"/>
              </w:rPr>
              <w:t>运行</w:t>
            </w:r>
            <w:r>
              <w:t>时产生的噪声。通过选用低噪声设备，合理布局生产车间内生产设备，加强设备的使用和日常维护管理，维持设备处于良好的运转状态，避免因设备运转不正常时噪声的增高，将噪声声级较高的声源设置在墙较厚的厂房内，利用墙和厂内建筑物的阻隔作用使噪声得到衰减。</w:t>
            </w:r>
          </w:p>
          <w:p w14:paraId="62242F7C">
            <w:pPr>
              <w:ind w:firstLine="480" w:firstLineChars="200"/>
            </w:pPr>
            <w:r>
              <w:t>为了解项目生产噪声对周边环境的影响，本次验收共布设4个厂界噪声监测点位，详见附图</w:t>
            </w:r>
            <w:r>
              <w:rPr>
                <w:rFonts w:hint="eastAsia"/>
              </w:rPr>
              <w:t>4</w:t>
            </w:r>
            <w:r>
              <w:t>。</w:t>
            </w:r>
          </w:p>
        </w:tc>
      </w:tr>
      <w:tr w14:paraId="249E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65" w:hRule="atLeast"/>
          <w:jc w:val="center"/>
        </w:trPr>
        <w:tc>
          <w:tcPr>
            <w:tcW w:w="9242" w:type="dxa"/>
          </w:tcPr>
          <w:p w14:paraId="1046078E">
            <w:pPr>
              <w:ind w:firstLine="482" w:firstLineChars="200"/>
              <w:rPr>
                <w:b/>
                <w:bCs/>
              </w:rPr>
            </w:pPr>
            <w:r>
              <w:rPr>
                <w:b/>
                <w:bCs/>
              </w:rPr>
              <w:t>（4）固废处置措施</w:t>
            </w:r>
          </w:p>
          <w:p w14:paraId="75A69F9E">
            <w:pPr>
              <w:ind w:firstLine="480"/>
            </w:pPr>
            <w:r>
              <w:t>本项目主要产生固废为生活垃圾和生产固废。</w:t>
            </w:r>
          </w:p>
          <w:p w14:paraId="69BE4CC1">
            <w:pPr>
              <w:ind w:firstLine="480"/>
            </w:pPr>
            <w:r>
              <w:rPr>
                <w:rFonts w:hint="eastAsia"/>
                <w:lang w:val="en-US" w:eastAsia="zh-CN"/>
              </w:rPr>
              <w:t>①</w:t>
            </w:r>
            <w:r>
              <w:t>生活垃圾</w:t>
            </w:r>
          </w:p>
          <w:p w14:paraId="3C79EB69">
            <w:pPr>
              <w:ind w:firstLine="480"/>
            </w:pPr>
            <w:r>
              <w:t>项目职工日常生活垃圾指定地点存放，委托环卫部门每日及时清运、处置。</w:t>
            </w:r>
          </w:p>
          <w:p w14:paraId="4B003692">
            <w:pPr>
              <w:ind w:firstLine="480"/>
            </w:pPr>
            <w:r>
              <w:rPr>
                <w:rFonts w:hint="eastAsia"/>
                <w:lang w:val="en-US" w:eastAsia="zh-CN"/>
              </w:rPr>
              <w:t>②</w:t>
            </w:r>
            <w:r>
              <w:t>生产固废</w:t>
            </w:r>
          </w:p>
          <w:p w14:paraId="1E04BCBF">
            <w:pPr>
              <w:pStyle w:val="38"/>
              <w:spacing w:line="360" w:lineRule="auto"/>
              <w:ind w:firstLine="480" w:firstLineChars="200"/>
              <w:rPr>
                <w:rFonts w:hint="default" w:eastAsia="宋体"/>
                <w:color w:val="auto"/>
                <w:sz w:val="24"/>
                <w:lang w:val="en-US" w:eastAsia="zh-CN"/>
              </w:rPr>
            </w:pPr>
            <w:r>
              <w:rPr>
                <w:rFonts w:hint="eastAsia"/>
                <w:color w:val="auto"/>
                <w:sz w:val="24"/>
              </w:rPr>
              <w:t>边角料及次品</w:t>
            </w:r>
            <w:r>
              <w:rPr>
                <w:rFonts w:hint="eastAsia"/>
                <w:color w:val="auto"/>
                <w:sz w:val="24"/>
                <w:lang w:val="en-US" w:eastAsia="zh-CN"/>
              </w:rPr>
              <w:t>产生量为1.8t/a，外售物资回收企业综合利用。</w:t>
            </w:r>
            <w:r>
              <w:rPr>
                <w:rFonts w:hint="eastAsia"/>
                <w:color w:val="auto"/>
                <w:sz w:val="24"/>
              </w:rPr>
              <w:t>废包装材料</w:t>
            </w:r>
            <w:r>
              <w:rPr>
                <w:rFonts w:hint="eastAsia"/>
                <w:color w:val="auto"/>
                <w:sz w:val="24"/>
                <w:lang w:val="en-US" w:eastAsia="zh-CN"/>
              </w:rPr>
              <w:t>产生量为0.3t/a，外售物资回收企业综合利用</w:t>
            </w:r>
            <w:r>
              <w:rPr>
                <w:rFonts w:hint="eastAsia"/>
                <w:color w:val="auto"/>
                <w:sz w:val="24"/>
              </w:rPr>
              <w:t>。</w:t>
            </w:r>
            <w:r>
              <w:rPr>
                <w:rFonts w:hint="eastAsia"/>
                <w:color w:val="auto"/>
                <w:sz w:val="24"/>
                <w:lang w:val="en-US" w:eastAsia="zh-CN"/>
              </w:rPr>
              <w:t>本项目纯水制备过程产生的废滤芯需定期更换，产生量为600个/a，外售物资回收企业综合利用。</w:t>
            </w:r>
          </w:p>
          <w:p w14:paraId="77685512">
            <w:pPr>
              <w:ind w:firstLine="480"/>
              <w:rPr>
                <w:color w:val="auto"/>
              </w:rPr>
            </w:pPr>
            <w:r>
              <w:t>项目建设有危险废物储存间</w:t>
            </w:r>
            <w:r>
              <w:rPr>
                <w:rFonts w:hint="eastAsia"/>
                <w:lang w:val="en-US" w:eastAsia="zh-CN"/>
              </w:rPr>
              <w:t>25</w:t>
            </w:r>
            <w:r>
              <w:t>m</w:t>
            </w:r>
            <w:r>
              <w:rPr>
                <w:vertAlign w:val="superscript"/>
              </w:rPr>
              <w:t>2</w:t>
            </w:r>
            <w:r>
              <w:t>，砖混结构单层建筑，具有防风防雨防晒功能，危险废物实施分类管理，</w:t>
            </w:r>
            <w:r>
              <w:rPr>
                <w:rFonts w:hint="eastAsia"/>
                <w:lang w:val="en-US" w:eastAsia="zh-CN"/>
              </w:rPr>
              <w:t>废活性炭、</w:t>
            </w:r>
            <w:r>
              <w:rPr>
                <w:spacing w:val="-2"/>
              </w:rPr>
              <w:t>废切削液</w:t>
            </w:r>
            <w:r>
              <w:rPr>
                <w:rFonts w:hint="eastAsia"/>
                <w:spacing w:val="-2"/>
                <w:lang w:eastAsia="zh-CN"/>
              </w:rPr>
              <w:t>、</w:t>
            </w:r>
            <w:r>
              <w:rPr>
                <w:spacing w:val="-2"/>
              </w:rPr>
              <w:t>废硝酸钾</w:t>
            </w:r>
            <w:r>
              <w:rPr>
                <w:rFonts w:hint="eastAsia"/>
                <w:spacing w:val="-2"/>
                <w:lang w:eastAsia="zh-CN"/>
              </w:rPr>
              <w:t>、</w:t>
            </w:r>
            <w:r>
              <w:t>原料桶</w:t>
            </w:r>
            <w:r>
              <w:rPr>
                <w:rFonts w:hint="eastAsia"/>
                <w:lang w:eastAsia="zh-CN"/>
              </w:rPr>
              <w:t>、</w:t>
            </w:r>
            <w:r>
              <w:rPr>
                <w:rFonts w:hint="eastAsia"/>
                <w:lang w:val="en-US" w:eastAsia="zh-CN"/>
              </w:rPr>
              <w:t>废机油</w:t>
            </w:r>
            <w:r>
              <w:rPr>
                <w:color w:val="auto"/>
              </w:rPr>
              <w:t>采用铁桶容器盛装，明确各类废弃物标识，分类包装，分类堆放，危废间设有专人管理，</w:t>
            </w:r>
            <w:r>
              <w:rPr>
                <w:rFonts w:hint="eastAsia"/>
                <w:color w:val="auto"/>
              </w:rPr>
              <w:t>并做好危险废物转运台账，</w:t>
            </w:r>
            <w:r>
              <w:rPr>
                <w:color w:val="auto"/>
              </w:rPr>
              <w:t>禁止陌生人进入</w:t>
            </w:r>
            <w:r>
              <w:rPr>
                <w:rFonts w:hint="eastAsia"/>
                <w:color w:val="auto"/>
              </w:rPr>
              <w:t>；</w:t>
            </w:r>
            <w:r>
              <w:rPr>
                <w:rFonts w:hint="eastAsia"/>
                <w:lang w:val="en-US" w:eastAsia="zh-CN"/>
              </w:rPr>
              <w:t>废活性炭、</w:t>
            </w:r>
            <w:r>
              <w:rPr>
                <w:spacing w:val="-2"/>
              </w:rPr>
              <w:t>废切削液</w:t>
            </w:r>
            <w:r>
              <w:rPr>
                <w:rFonts w:hint="eastAsia"/>
                <w:spacing w:val="-2"/>
                <w:lang w:eastAsia="zh-CN"/>
              </w:rPr>
              <w:t>、</w:t>
            </w:r>
            <w:r>
              <w:rPr>
                <w:spacing w:val="-2"/>
              </w:rPr>
              <w:t>废硝酸钾</w:t>
            </w:r>
            <w:r>
              <w:rPr>
                <w:rFonts w:hint="eastAsia"/>
                <w:spacing w:val="-2"/>
                <w:lang w:eastAsia="zh-CN"/>
              </w:rPr>
              <w:t>、</w:t>
            </w:r>
            <w:r>
              <w:t>原料桶</w:t>
            </w:r>
            <w:r>
              <w:rPr>
                <w:rFonts w:hint="eastAsia"/>
                <w:lang w:eastAsia="zh-CN"/>
              </w:rPr>
              <w:t>、</w:t>
            </w:r>
            <w:r>
              <w:rPr>
                <w:rFonts w:hint="eastAsia"/>
                <w:lang w:val="en-US" w:eastAsia="zh-CN"/>
              </w:rPr>
              <w:t>废机油</w:t>
            </w:r>
            <w:r>
              <w:rPr>
                <w:rFonts w:hint="eastAsia"/>
                <w:color w:val="auto"/>
              </w:rPr>
              <w:t>定期委托</w:t>
            </w:r>
            <w:r>
              <w:rPr>
                <w:rFonts w:hint="eastAsia"/>
                <w:color w:val="auto"/>
                <w:lang w:eastAsia="zh-CN"/>
              </w:rPr>
              <w:t>福建省固体废物处置有限公司处理。</w:t>
            </w:r>
            <w:r>
              <w:rPr>
                <w:rFonts w:hint="eastAsia"/>
                <w:color w:val="auto"/>
                <w:lang w:val="en-US" w:eastAsia="zh-CN"/>
              </w:rPr>
              <w:t>废活性炭产生量为2.0t/a，</w:t>
            </w:r>
            <w:r>
              <w:rPr>
                <w:spacing w:val="-2"/>
              </w:rPr>
              <w:t>废切削液</w:t>
            </w:r>
            <w:r>
              <w:rPr>
                <w:rFonts w:hint="eastAsia"/>
                <w:color w:val="auto"/>
                <w:lang w:val="en-US" w:eastAsia="zh-CN"/>
              </w:rPr>
              <w:t>产生量为3.0t/a</w:t>
            </w:r>
            <w:r>
              <w:rPr>
                <w:rFonts w:hint="eastAsia"/>
                <w:spacing w:val="-2"/>
                <w:lang w:eastAsia="zh-CN"/>
              </w:rPr>
              <w:t>、</w:t>
            </w:r>
            <w:r>
              <w:rPr>
                <w:spacing w:val="-2"/>
              </w:rPr>
              <w:t>废硝酸钾</w:t>
            </w:r>
            <w:r>
              <w:rPr>
                <w:rFonts w:hint="eastAsia"/>
                <w:color w:val="auto"/>
                <w:lang w:val="en-US" w:eastAsia="zh-CN"/>
              </w:rPr>
              <w:t>产生量为1.0t/a</w:t>
            </w:r>
            <w:r>
              <w:rPr>
                <w:rFonts w:hint="eastAsia"/>
                <w:spacing w:val="-2"/>
                <w:lang w:eastAsia="zh-CN"/>
              </w:rPr>
              <w:t>、</w:t>
            </w:r>
            <w:r>
              <w:t>原料桶</w:t>
            </w:r>
            <w:r>
              <w:rPr>
                <w:rFonts w:hint="eastAsia"/>
                <w:color w:val="auto"/>
                <w:lang w:val="en-US" w:eastAsia="zh-CN"/>
              </w:rPr>
              <w:t>产生量为0.2t/a</w:t>
            </w:r>
            <w:r>
              <w:rPr>
                <w:rFonts w:hint="eastAsia"/>
                <w:lang w:eastAsia="zh-CN"/>
              </w:rPr>
              <w:t>、</w:t>
            </w:r>
            <w:r>
              <w:rPr>
                <w:rFonts w:hint="eastAsia"/>
                <w:lang w:val="en-US" w:eastAsia="zh-CN"/>
              </w:rPr>
              <w:t>废机油</w:t>
            </w:r>
            <w:r>
              <w:rPr>
                <w:rFonts w:hint="eastAsia"/>
                <w:color w:val="auto"/>
                <w:lang w:val="en-US" w:eastAsia="zh-CN"/>
              </w:rPr>
              <w:t>产生量为0.1t/a</w:t>
            </w:r>
            <w:r>
              <w:rPr>
                <w:rFonts w:hint="eastAsia"/>
                <w:color w:val="auto"/>
              </w:rPr>
              <w:t>，建设单位</w:t>
            </w:r>
            <w:r>
              <w:rPr>
                <w:rFonts w:hint="eastAsia"/>
                <w:color w:val="auto"/>
                <w:lang w:eastAsia="zh-CN"/>
              </w:rPr>
              <w:t>已经与福建省固体废物处置有限公司签订合同</w:t>
            </w:r>
            <w:r>
              <w:rPr>
                <w:rFonts w:hint="eastAsia"/>
                <w:color w:val="auto"/>
              </w:rPr>
              <w:t>。</w:t>
            </w:r>
          </w:p>
          <w:tbl>
            <w:tblPr>
              <w:tblStyle w:val="20"/>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3"/>
              <w:gridCol w:w="4513"/>
            </w:tblGrid>
            <w:tr w14:paraId="38BA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2" w:hRule="atLeast"/>
                <w:jc w:val="center"/>
              </w:trPr>
              <w:tc>
                <w:tcPr>
                  <w:tcW w:w="4513" w:type="dxa"/>
                  <w:shd w:val="clear" w:color="auto" w:fill="auto"/>
                </w:tcPr>
                <w:p w14:paraId="34775B2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lang w:val="en-US" w:eastAsia="zh-CN"/>
                    </w:rPr>
                    <w:drawing>
                      <wp:inline distT="0" distB="0" distL="114300" distR="114300">
                        <wp:extent cx="2719070" cy="2306320"/>
                        <wp:effectExtent l="0" t="0" r="8890" b="10160"/>
                        <wp:docPr id="3" name="图片 3" descr="微信图片_2024061220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612205108"/>
                                <pic:cNvPicPr>
                                  <a:picLocks noChangeAspect="1"/>
                                </pic:cNvPicPr>
                              </pic:nvPicPr>
                              <pic:blipFill>
                                <a:blip r:embed="rId29"/>
                                <a:stretch>
                                  <a:fillRect/>
                                </a:stretch>
                              </pic:blipFill>
                              <pic:spPr>
                                <a:xfrm>
                                  <a:off x="0" y="0"/>
                                  <a:ext cx="2719070" cy="2306320"/>
                                </a:xfrm>
                                <a:prstGeom prst="rect">
                                  <a:avLst/>
                                </a:prstGeom>
                              </pic:spPr>
                            </pic:pic>
                          </a:graphicData>
                        </a:graphic>
                      </wp:inline>
                    </w:drawing>
                  </w:r>
                </w:p>
                <w:p w14:paraId="7398F10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危险废物贮存间</w:t>
                  </w:r>
                </w:p>
              </w:tc>
              <w:tc>
                <w:tcPr>
                  <w:tcW w:w="4513" w:type="dxa"/>
                  <w:shd w:val="clear" w:color="auto" w:fill="auto"/>
                </w:tcPr>
                <w:p w14:paraId="3E61DC7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lang w:val="en-US" w:eastAsia="zh-CN"/>
                    </w:rPr>
                    <w:drawing>
                      <wp:inline distT="0" distB="0" distL="114300" distR="114300">
                        <wp:extent cx="2720975" cy="2298700"/>
                        <wp:effectExtent l="0" t="0" r="6985" b="2540"/>
                        <wp:docPr id="4" name="图片 4" descr="微信图片_2024061220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612205106"/>
                                <pic:cNvPicPr>
                                  <a:picLocks noChangeAspect="1"/>
                                </pic:cNvPicPr>
                              </pic:nvPicPr>
                              <pic:blipFill>
                                <a:blip r:embed="rId30"/>
                                <a:stretch>
                                  <a:fillRect/>
                                </a:stretch>
                              </pic:blipFill>
                              <pic:spPr>
                                <a:xfrm>
                                  <a:off x="0" y="0"/>
                                  <a:ext cx="2720975" cy="2298700"/>
                                </a:xfrm>
                                <a:prstGeom prst="rect">
                                  <a:avLst/>
                                </a:prstGeom>
                              </pic:spPr>
                            </pic:pic>
                          </a:graphicData>
                        </a:graphic>
                      </wp:inline>
                    </w:drawing>
                  </w:r>
                </w:p>
                <w:p w14:paraId="0761E62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危废间防渗</w:t>
                  </w:r>
                </w:p>
              </w:tc>
            </w:tr>
          </w:tbl>
          <w:p w14:paraId="3F432BBA">
            <w:pPr>
              <w:jc w:val="center"/>
              <w:rPr>
                <w:rFonts w:hint="default" w:eastAsia="宋体"/>
                <w:lang w:val="en-US" w:eastAsia="zh-CN"/>
              </w:rPr>
            </w:pPr>
            <w:r>
              <w:rPr>
                <w:b/>
                <w:bCs/>
              </w:rPr>
              <w:t>图3-4危废暂存间</w:t>
            </w:r>
          </w:p>
        </w:tc>
      </w:tr>
    </w:tbl>
    <w:p w14:paraId="63EC8470">
      <w:pPr>
        <w:pStyle w:val="2"/>
      </w:pPr>
      <w:r>
        <w:rPr>
          <w:rFonts w:hint="eastAsia"/>
        </w:rPr>
        <w:t>表四</w:t>
      </w:r>
    </w:p>
    <w:tbl>
      <w:tblPr>
        <w:tblStyle w:val="20"/>
        <w:tblW w:w="9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6"/>
      </w:tblGrid>
      <w:tr w14:paraId="6224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8" w:hRule="atLeast"/>
          <w:jc w:val="center"/>
        </w:trPr>
        <w:tc>
          <w:tcPr>
            <w:tcW w:w="9226" w:type="dxa"/>
            <w:tcBorders>
              <w:top w:val="single" w:color="auto" w:sz="12" w:space="0"/>
            </w:tcBorders>
          </w:tcPr>
          <w:tbl>
            <w:tblPr>
              <w:tblStyle w:val="20"/>
              <w:tblW w:w="9242" w:type="dxa"/>
              <w:jc w:val="center"/>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14:paraId="3FAC337F">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79" w:hRule="atLeast"/>
                <w:jc w:val="center"/>
              </w:trPr>
              <w:tc>
                <w:tcPr>
                  <w:tcW w:w="9242" w:type="dxa"/>
                  <w:tcBorders>
                    <w:bottom w:val="single" w:color="auto" w:sz="12" w:space="0"/>
                  </w:tcBorders>
                </w:tcPr>
                <w:p w14:paraId="758F95FD">
                  <w:pPr>
                    <w:spacing w:before="48" w:beforeLines="20"/>
                    <w:outlineLvl w:val="5"/>
                    <w:rPr>
                      <w:b/>
                      <w:bCs/>
                    </w:rPr>
                  </w:pPr>
                  <w:r>
                    <w:rPr>
                      <w:b/>
                      <w:bCs/>
                    </w:rPr>
                    <w:t>建设项目环境影响报告表主要结论及审批部门审批决定：</w:t>
                  </w:r>
                </w:p>
                <w:p w14:paraId="09AC71EF">
                  <w:pPr>
                    <w:ind w:firstLine="490"/>
                    <w:jc w:val="center"/>
                    <w:rPr>
                      <w:b/>
                      <w:bCs/>
                      <w:snapToGrid w:val="0"/>
                      <w:lang w:bidi="en-US"/>
                    </w:rPr>
                  </w:pPr>
                  <w:r>
                    <w:rPr>
                      <w:b/>
                      <w:bCs/>
                      <w:snapToGrid w:val="0"/>
                      <w:lang w:bidi="en-US"/>
                    </w:rPr>
                    <w:t>表4-1环保措施及竣工验收一览表</w:t>
                  </w:r>
                </w:p>
                <w:tbl>
                  <w:tblPr>
                    <w:tblStyle w:val="20"/>
                    <w:tblW w:w="90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105"/>
                    <w:gridCol w:w="2142"/>
                    <w:gridCol w:w="2530"/>
                    <w:gridCol w:w="2794"/>
                  </w:tblGrid>
                  <w:tr w14:paraId="7FF75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2" w:hRule="atLeast"/>
                      <w:tblHeader/>
                      <w:jc w:val="center"/>
                    </w:trPr>
                    <w:tc>
                      <w:tcPr>
                        <w:tcW w:w="455" w:type="dxa"/>
                        <w:vMerge w:val="restart"/>
                        <w:vAlign w:val="center"/>
                      </w:tcPr>
                      <w:p w14:paraId="4B9FF5F4">
                        <w:pPr>
                          <w:pStyle w:val="44"/>
                          <w:rPr>
                            <w:b/>
                            <w:bCs w:val="0"/>
                            <w:color w:val="auto"/>
                          </w:rPr>
                        </w:pPr>
                        <w:r>
                          <w:rPr>
                            <w:b/>
                            <w:bCs w:val="0"/>
                            <w:color w:val="auto"/>
                          </w:rPr>
                          <w:t>编号</w:t>
                        </w:r>
                      </w:p>
                    </w:tc>
                    <w:tc>
                      <w:tcPr>
                        <w:tcW w:w="1105" w:type="dxa"/>
                        <w:vMerge w:val="restart"/>
                        <w:vAlign w:val="center"/>
                      </w:tcPr>
                      <w:p w14:paraId="0593C690">
                        <w:pPr>
                          <w:pStyle w:val="44"/>
                          <w:rPr>
                            <w:b/>
                            <w:bCs w:val="0"/>
                            <w:color w:val="auto"/>
                          </w:rPr>
                        </w:pPr>
                        <w:r>
                          <w:rPr>
                            <w:b/>
                            <w:bCs w:val="0"/>
                            <w:color w:val="auto"/>
                          </w:rPr>
                          <w:t>污染源</w:t>
                        </w:r>
                      </w:p>
                    </w:tc>
                    <w:tc>
                      <w:tcPr>
                        <w:tcW w:w="4672" w:type="dxa"/>
                        <w:gridSpan w:val="2"/>
                        <w:vAlign w:val="center"/>
                      </w:tcPr>
                      <w:p w14:paraId="669DCA2B">
                        <w:pPr>
                          <w:pStyle w:val="44"/>
                          <w:rPr>
                            <w:b/>
                            <w:bCs w:val="0"/>
                            <w:color w:val="auto"/>
                          </w:rPr>
                        </w:pPr>
                        <w:r>
                          <w:rPr>
                            <w:b/>
                            <w:bCs w:val="0"/>
                            <w:color w:val="auto"/>
                          </w:rPr>
                          <w:t>环境影响报告表竣工验收要求</w:t>
                        </w:r>
                      </w:p>
                    </w:tc>
                    <w:tc>
                      <w:tcPr>
                        <w:tcW w:w="2794" w:type="dxa"/>
                        <w:vMerge w:val="restart"/>
                        <w:vAlign w:val="center"/>
                      </w:tcPr>
                      <w:p w14:paraId="398B8543">
                        <w:pPr>
                          <w:pStyle w:val="44"/>
                          <w:rPr>
                            <w:color w:val="auto"/>
                          </w:rPr>
                        </w:pPr>
                        <w:r>
                          <w:rPr>
                            <w:b/>
                            <w:color w:val="auto"/>
                          </w:rPr>
                          <w:t>验收工程实际落实情况</w:t>
                        </w:r>
                      </w:p>
                    </w:tc>
                  </w:tr>
                  <w:tr w14:paraId="6AC28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55" w:type="dxa"/>
                        <w:vMerge w:val="continue"/>
                        <w:vAlign w:val="center"/>
                      </w:tcPr>
                      <w:p w14:paraId="564A120F">
                        <w:pPr>
                          <w:pStyle w:val="44"/>
                          <w:rPr>
                            <w:b/>
                            <w:bCs w:val="0"/>
                            <w:color w:val="auto"/>
                          </w:rPr>
                        </w:pPr>
                      </w:p>
                    </w:tc>
                    <w:tc>
                      <w:tcPr>
                        <w:tcW w:w="1105" w:type="dxa"/>
                        <w:vMerge w:val="continue"/>
                        <w:vAlign w:val="center"/>
                      </w:tcPr>
                      <w:p w14:paraId="052549C6">
                        <w:pPr>
                          <w:pStyle w:val="44"/>
                          <w:rPr>
                            <w:b/>
                            <w:bCs w:val="0"/>
                            <w:color w:val="auto"/>
                          </w:rPr>
                        </w:pPr>
                      </w:p>
                    </w:tc>
                    <w:tc>
                      <w:tcPr>
                        <w:tcW w:w="2142" w:type="dxa"/>
                        <w:vAlign w:val="center"/>
                      </w:tcPr>
                      <w:p w14:paraId="5400F48E">
                        <w:pPr>
                          <w:pStyle w:val="44"/>
                          <w:rPr>
                            <w:b/>
                            <w:bCs w:val="0"/>
                            <w:color w:val="auto"/>
                          </w:rPr>
                        </w:pPr>
                        <w:r>
                          <w:rPr>
                            <w:b/>
                            <w:bCs w:val="0"/>
                            <w:color w:val="auto"/>
                          </w:rPr>
                          <w:t>措施内容</w:t>
                        </w:r>
                      </w:p>
                    </w:tc>
                    <w:tc>
                      <w:tcPr>
                        <w:tcW w:w="2530" w:type="dxa"/>
                        <w:vAlign w:val="center"/>
                      </w:tcPr>
                      <w:p w14:paraId="01B14CD5">
                        <w:pPr>
                          <w:pStyle w:val="44"/>
                          <w:rPr>
                            <w:b/>
                            <w:bCs w:val="0"/>
                            <w:color w:val="auto"/>
                          </w:rPr>
                        </w:pPr>
                        <w:r>
                          <w:rPr>
                            <w:b/>
                            <w:bCs w:val="0"/>
                            <w:color w:val="auto"/>
                          </w:rPr>
                          <w:t>竣工验收要求</w:t>
                        </w:r>
                      </w:p>
                    </w:tc>
                    <w:tc>
                      <w:tcPr>
                        <w:tcW w:w="2794" w:type="dxa"/>
                        <w:vMerge w:val="continue"/>
                        <w:vAlign w:val="center"/>
                      </w:tcPr>
                      <w:p w14:paraId="4AEAEAB7">
                        <w:pPr>
                          <w:pStyle w:val="44"/>
                          <w:rPr>
                            <w:color w:val="auto"/>
                          </w:rPr>
                        </w:pPr>
                      </w:p>
                    </w:tc>
                  </w:tr>
                  <w:tr w14:paraId="21438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455" w:type="dxa"/>
                        <w:vMerge w:val="restart"/>
                        <w:vAlign w:val="center"/>
                      </w:tcPr>
                      <w:p w14:paraId="02BA909F">
                        <w:pPr>
                          <w:pStyle w:val="44"/>
                          <w:rPr>
                            <w:color w:val="auto"/>
                          </w:rPr>
                        </w:pPr>
                        <w:r>
                          <w:rPr>
                            <w:color w:val="auto"/>
                          </w:rPr>
                          <w:t>1</w:t>
                        </w:r>
                      </w:p>
                    </w:tc>
                    <w:tc>
                      <w:tcPr>
                        <w:tcW w:w="1105" w:type="dxa"/>
                        <w:vAlign w:val="center"/>
                      </w:tcPr>
                      <w:p w14:paraId="539B5BBE">
                        <w:pPr>
                          <w:spacing w:line="240" w:lineRule="auto"/>
                          <w:jc w:val="center"/>
                          <w:rPr>
                            <w:snapToGrid w:val="0"/>
                            <w:kern w:val="18"/>
                            <w:sz w:val="21"/>
                            <w:szCs w:val="21"/>
                          </w:rPr>
                        </w:pPr>
                        <w:r>
                          <w:rPr>
                            <w:rFonts w:hint="eastAsia"/>
                            <w:snapToGrid w:val="0"/>
                            <w:kern w:val="18"/>
                            <w:sz w:val="21"/>
                            <w:szCs w:val="21"/>
                          </w:rPr>
                          <w:t>生活污水</w:t>
                        </w:r>
                      </w:p>
                    </w:tc>
                    <w:tc>
                      <w:tcPr>
                        <w:tcW w:w="2142" w:type="dxa"/>
                        <w:vAlign w:val="center"/>
                      </w:tcPr>
                      <w:p w14:paraId="6861B95B">
                        <w:pPr>
                          <w:pStyle w:val="44"/>
                          <w:rPr>
                            <w:rFonts w:hint="default" w:ascii="Times New Roman" w:hAnsi="Times New Roman" w:eastAsia="宋体" w:cs="Times New Roman"/>
                            <w:bCs/>
                            <w:szCs w:val="21"/>
                            <w:lang w:val="en-US" w:eastAsia="zh-CN"/>
                          </w:rPr>
                        </w:pPr>
                        <w:r>
                          <w:rPr>
                            <w:rFonts w:hint="eastAsia"/>
                            <w:color w:val="000000"/>
                            <w:lang w:val="en-US" w:eastAsia="zh-CN"/>
                          </w:rPr>
                          <w:t>生活污水经化粪池处理后通过市政管网纳入福清融元污水处理厂处理</w:t>
                        </w:r>
                      </w:p>
                    </w:tc>
                    <w:tc>
                      <w:tcPr>
                        <w:tcW w:w="2530" w:type="dxa"/>
                        <w:vMerge w:val="restart"/>
                        <w:vAlign w:val="center"/>
                      </w:tcPr>
                      <w:p w14:paraId="62A6B708">
                        <w:pPr>
                          <w:pStyle w:val="44"/>
                          <w:rPr>
                            <w:rFonts w:hint="default" w:ascii="Times New Roman" w:hAnsi="Times New Roman" w:eastAsia="宋体" w:cs="Times New Roman"/>
                            <w:bCs/>
                            <w:szCs w:val="21"/>
                          </w:rPr>
                        </w:pPr>
                        <w:r>
                          <w:rPr>
                            <w:rFonts w:hint="eastAsia" w:ascii="Times New Roman" w:hAnsi="Times New Roman" w:eastAsia="宋体" w:cs="Times New Roman"/>
                            <w:bCs/>
                            <w:szCs w:val="21"/>
                            <w:lang w:val="en-US" w:eastAsia="zh-CN"/>
                          </w:rPr>
                          <w:t>满足《污水综合排放标准》(GB8978-1996)表4中三级排放标准及《污水排入城镇下水道水质标准》(GB/T31962-2015)表1中B级标准限值(即pH6~9(无量纲)、COD≤500mg/L、BOD</w:t>
                        </w:r>
                        <w:r>
                          <w:rPr>
                            <w:rFonts w:hint="eastAsia" w:ascii="Times New Roman" w:hAnsi="Times New Roman" w:eastAsia="宋体" w:cs="Times New Roman"/>
                            <w:bCs/>
                            <w:szCs w:val="21"/>
                            <w:vertAlign w:val="subscript"/>
                            <w:lang w:val="en-US" w:eastAsia="zh-CN"/>
                          </w:rPr>
                          <w:t>5</w:t>
                        </w:r>
                        <w:r>
                          <w:rPr>
                            <w:rFonts w:hint="eastAsia" w:ascii="Times New Roman" w:hAnsi="Times New Roman" w:eastAsia="宋体" w:cs="Times New Roman"/>
                            <w:bCs/>
                            <w:szCs w:val="21"/>
                            <w:lang w:val="en-US" w:eastAsia="zh-CN"/>
                          </w:rPr>
                          <w:t>≤300mg/L、SS≤400mg/L、NH</w:t>
                        </w:r>
                        <w:r>
                          <w:rPr>
                            <w:rFonts w:hint="eastAsia" w:ascii="Times New Roman" w:hAnsi="Times New Roman" w:eastAsia="宋体" w:cs="Times New Roman"/>
                            <w:bCs/>
                            <w:szCs w:val="21"/>
                            <w:vertAlign w:val="subscript"/>
                            <w:lang w:val="en-US" w:eastAsia="zh-CN"/>
                          </w:rPr>
                          <w:t>3</w:t>
                        </w:r>
                        <w:r>
                          <w:rPr>
                            <w:rFonts w:hint="eastAsia" w:ascii="Times New Roman" w:hAnsi="Times New Roman" w:eastAsia="宋体" w:cs="Times New Roman"/>
                            <w:bCs/>
                            <w:szCs w:val="21"/>
                            <w:lang w:val="en-US" w:eastAsia="zh-CN"/>
                          </w:rPr>
                          <w:t>-N≤45mg/L)</w:t>
                        </w:r>
                        <w:r>
                          <w:rPr>
                            <w:rFonts w:hint="eastAsia" w:ascii="Times New Roman" w:hAnsi="Times New Roman" w:eastAsia="宋体" w:cs="Times New Roman"/>
                            <w:bCs/>
                            <w:szCs w:val="21"/>
                          </w:rPr>
                          <w:t>；</w:t>
                        </w:r>
                      </w:p>
                    </w:tc>
                    <w:tc>
                      <w:tcPr>
                        <w:tcW w:w="2794" w:type="dxa"/>
                        <w:vAlign w:val="center"/>
                      </w:tcPr>
                      <w:p w14:paraId="7B28D581">
                        <w:pPr>
                          <w:pStyle w:val="44"/>
                          <w:rPr>
                            <w:rFonts w:hint="eastAsia"/>
                            <w:color w:val="000000"/>
                            <w:lang w:val="en-US" w:eastAsia="zh-CN"/>
                          </w:rPr>
                        </w:pPr>
                        <w:r>
                          <w:rPr>
                            <w:b/>
                            <w:color w:val="auto"/>
                          </w:rPr>
                          <w:t>已落实。</w:t>
                        </w:r>
                        <w:r>
                          <w:rPr>
                            <w:rFonts w:hint="eastAsia"/>
                            <w:color w:val="000000"/>
                            <w:lang w:val="en-US" w:eastAsia="zh-CN"/>
                          </w:rPr>
                          <w:t>生活污水经化粪池处理后通过市政管网纳入福清融元污水处理厂处理。</w:t>
                        </w:r>
                      </w:p>
                    </w:tc>
                  </w:tr>
                  <w:tr w14:paraId="0AFCC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55" w:type="dxa"/>
                        <w:vMerge w:val="continue"/>
                        <w:vAlign w:val="center"/>
                      </w:tcPr>
                      <w:p w14:paraId="36E45441">
                        <w:pPr>
                          <w:pStyle w:val="44"/>
                          <w:rPr>
                            <w:color w:val="auto"/>
                          </w:rPr>
                        </w:pPr>
                      </w:p>
                    </w:tc>
                    <w:tc>
                      <w:tcPr>
                        <w:tcW w:w="1105" w:type="dxa"/>
                        <w:vAlign w:val="center"/>
                      </w:tcPr>
                      <w:p w14:paraId="652D1B2A">
                        <w:pPr>
                          <w:spacing w:line="240" w:lineRule="auto"/>
                          <w:jc w:val="center"/>
                          <w:rPr>
                            <w:rFonts w:hint="eastAsia"/>
                            <w:snapToGrid w:val="0"/>
                            <w:kern w:val="18"/>
                            <w:sz w:val="21"/>
                            <w:szCs w:val="21"/>
                          </w:rPr>
                        </w:pPr>
                        <w:r>
                          <w:rPr>
                            <w:rFonts w:hint="eastAsia"/>
                            <w:snapToGrid w:val="0"/>
                            <w:kern w:val="18"/>
                            <w:sz w:val="21"/>
                            <w:szCs w:val="21"/>
                          </w:rPr>
                          <w:t>清洗、磨边废水</w:t>
                        </w:r>
                      </w:p>
                    </w:tc>
                    <w:tc>
                      <w:tcPr>
                        <w:tcW w:w="2142" w:type="dxa"/>
                        <w:vAlign w:val="center"/>
                      </w:tcPr>
                      <w:p w14:paraId="01268995">
                        <w:pPr>
                          <w:pStyle w:val="44"/>
                          <w:rPr>
                            <w:rFonts w:hint="eastAsia"/>
                            <w:color w:val="000000"/>
                            <w:lang w:val="en-US" w:eastAsia="zh-CN"/>
                          </w:rPr>
                        </w:pPr>
                        <w:r>
                          <w:rPr>
                            <w:rFonts w:hint="eastAsia"/>
                            <w:color w:val="000000"/>
                            <w:lang w:val="en-US" w:eastAsia="zh-CN"/>
                          </w:rPr>
                          <w:t>通过福建省嘉鑫科技实业有限公司厂内污水处理设施（隔油、调节池+一体化气浮）处理后通过市政管网纳入福清融元污水处理厂处理</w:t>
                        </w:r>
                      </w:p>
                    </w:tc>
                    <w:tc>
                      <w:tcPr>
                        <w:tcW w:w="2530" w:type="dxa"/>
                        <w:vMerge w:val="continue"/>
                        <w:vAlign w:val="center"/>
                      </w:tcPr>
                      <w:p w14:paraId="38F5440A">
                        <w:pPr>
                          <w:pStyle w:val="44"/>
                          <w:rPr>
                            <w:rFonts w:hint="eastAsia" w:ascii="Times New Roman" w:hAnsi="Times New Roman" w:eastAsia="宋体" w:cs="Times New Roman"/>
                            <w:bCs/>
                            <w:szCs w:val="21"/>
                            <w:lang w:val="en-US" w:eastAsia="zh-CN"/>
                          </w:rPr>
                        </w:pPr>
                      </w:p>
                    </w:tc>
                    <w:tc>
                      <w:tcPr>
                        <w:tcW w:w="2794" w:type="dxa"/>
                        <w:vAlign w:val="center"/>
                      </w:tcPr>
                      <w:p w14:paraId="62318E73">
                        <w:pPr>
                          <w:pStyle w:val="44"/>
                          <w:rPr>
                            <w:b/>
                            <w:color w:val="auto"/>
                          </w:rPr>
                        </w:pPr>
                        <w:r>
                          <w:rPr>
                            <w:b/>
                            <w:color w:val="auto"/>
                          </w:rPr>
                          <w:t>已落实。</w:t>
                        </w:r>
                        <w:r>
                          <w:rPr>
                            <w:rFonts w:hint="eastAsia"/>
                            <w:b w:val="0"/>
                            <w:bCs w:val="0"/>
                            <w:color w:val="auto"/>
                            <w:lang w:val="en-US" w:eastAsia="zh-CN"/>
                          </w:rPr>
                          <w:t>生产废水</w:t>
                        </w:r>
                        <w:r>
                          <w:rPr>
                            <w:rFonts w:hint="eastAsia"/>
                            <w:color w:val="000000"/>
                            <w:lang w:val="en-US" w:eastAsia="zh-CN"/>
                          </w:rPr>
                          <w:t>通过福建省嘉鑫科技实业有限公司厂内污水处理设施（隔油、调节池+一体化气浮）处理后通过市政管网纳入福清融元污水处理厂处理</w:t>
                        </w:r>
                      </w:p>
                    </w:tc>
                  </w:tr>
                  <w:tr w14:paraId="56096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55" w:type="dxa"/>
                        <w:vMerge w:val="continue"/>
                        <w:vAlign w:val="center"/>
                      </w:tcPr>
                      <w:p w14:paraId="791F8A40">
                        <w:pPr>
                          <w:pStyle w:val="44"/>
                          <w:rPr>
                            <w:color w:val="auto"/>
                          </w:rPr>
                        </w:pPr>
                      </w:p>
                    </w:tc>
                    <w:tc>
                      <w:tcPr>
                        <w:tcW w:w="1105" w:type="dxa"/>
                        <w:vAlign w:val="center"/>
                      </w:tcPr>
                      <w:p w14:paraId="29F173FC">
                        <w:pPr>
                          <w:spacing w:line="240" w:lineRule="auto"/>
                          <w:jc w:val="center"/>
                          <w:rPr>
                            <w:rFonts w:hint="eastAsia"/>
                            <w:snapToGrid w:val="0"/>
                            <w:kern w:val="18"/>
                            <w:sz w:val="21"/>
                            <w:szCs w:val="21"/>
                          </w:rPr>
                        </w:pPr>
                        <w:r>
                          <w:rPr>
                            <w:rFonts w:hint="eastAsia"/>
                            <w:snapToGrid w:val="0"/>
                            <w:kern w:val="18"/>
                            <w:sz w:val="21"/>
                            <w:szCs w:val="21"/>
                          </w:rPr>
                          <w:t>纯水制备浓水</w:t>
                        </w:r>
                      </w:p>
                    </w:tc>
                    <w:tc>
                      <w:tcPr>
                        <w:tcW w:w="2142" w:type="dxa"/>
                        <w:vAlign w:val="center"/>
                      </w:tcPr>
                      <w:p w14:paraId="77A93AEF">
                        <w:pPr>
                          <w:pStyle w:val="44"/>
                          <w:rPr>
                            <w:rFonts w:hint="eastAsia"/>
                            <w:color w:val="000000"/>
                            <w:lang w:val="en-US" w:eastAsia="zh-CN"/>
                          </w:rPr>
                        </w:pPr>
                        <w:r>
                          <w:rPr>
                            <w:rFonts w:hint="eastAsia"/>
                            <w:color w:val="000000"/>
                            <w:lang w:val="en-US" w:eastAsia="zh-CN"/>
                          </w:rPr>
                          <w:t>通过市政管网纳入福清融元污水处理厂处理</w:t>
                        </w:r>
                      </w:p>
                    </w:tc>
                    <w:tc>
                      <w:tcPr>
                        <w:tcW w:w="2530" w:type="dxa"/>
                        <w:vMerge w:val="continue"/>
                        <w:vAlign w:val="center"/>
                      </w:tcPr>
                      <w:p w14:paraId="5A13A2A5">
                        <w:pPr>
                          <w:pStyle w:val="44"/>
                          <w:rPr>
                            <w:rFonts w:hint="eastAsia" w:ascii="Times New Roman" w:hAnsi="Times New Roman" w:eastAsia="宋体" w:cs="Times New Roman"/>
                            <w:bCs/>
                            <w:szCs w:val="21"/>
                            <w:lang w:val="en-US" w:eastAsia="zh-CN"/>
                          </w:rPr>
                        </w:pPr>
                      </w:p>
                    </w:tc>
                    <w:tc>
                      <w:tcPr>
                        <w:tcW w:w="2794" w:type="dxa"/>
                        <w:vAlign w:val="center"/>
                      </w:tcPr>
                      <w:p w14:paraId="49FEA75B">
                        <w:pPr>
                          <w:pStyle w:val="44"/>
                          <w:rPr>
                            <w:rFonts w:hint="eastAsia" w:eastAsia="宋体"/>
                            <w:b/>
                            <w:color w:val="auto"/>
                            <w:lang w:val="en-US" w:eastAsia="zh-CN"/>
                          </w:rPr>
                        </w:pPr>
                        <w:r>
                          <w:rPr>
                            <w:b/>
                            <w:color w:val="auto"/>
                          </w:rPr>
                          <w:t>已落实</w:t>
                        </w:r>
                        <w:r>
                          <w:rPr>
                            <w:rFonts w:hint="eastAsia"/>
                            <w:b/>
                            <w:color w:val="auto"/>
                            <w:lang w:eastAsia="zh-CN"/>
                          </w:rPr>
                          <w:t>。</w:t>
                        </w:r>
                        <w:r>
                          <w:rPr>
                            <w:rFonts w:hint="eastAsia"/>
                            <w:snapToGrid w:val="0"/>
                            <w:kern w:val="18"/>
                            <w:sz w:val="21"/>
                            <w:szCs w:val="21"/>
                          </w:rPr>
                          <w:t>纯水制备</w:t>
                        </w:r>
                        <w:r>
                          <w:rPr>
                            <w:rFonts w:hint="eastAsia"/>
                            <w:snapToGrid w:val="0"/>
                            <w:kern w:val="18"/>
                            <w:sz w:val="21"/>
                            <w:szCs w:val="21"/>
                            <w:lang w:val="en-US" w:eastAsia="zh-CN"/>
                          </w:rPr>
                          <w:t>浓水</w:t>
                        </w:r>
                        <w:r>
                          <w:rPr>
                            <w:rFonts w:hint="eastAsia"/>
                            <w:color w:val="000000"/>
                            <w:lang w:val="en-US" w:eastAsia="zh-CN"/>
                          </w:rPr>
                          <w:t>通过市政管网纳入福清融元污水处理厂处理。</w:t>
                        </w:r>
                      </w:p>
                    </w:tc>
                  </w:tr>
                  <w:tr w14:paraId="657A4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455" w:type="dxa"/>
                        <w:vAlign w:val="center"/>
                      </w:tcPr>
                      <w:p w14:paraId="23B48281">
                        <w:pPr>
                          <w:pStyle w:val="44"/>
                          <w:rPr>
                            <w:color w:val="auto"/>
                          </w:rPr>
                        </w:pPr>
                        <w:r>
                          <w:rPr>
                            <w:rFonts w:hint="eastAsia"/>
                            <w:color w:val="auto"/>
                          </w:rPr>
                          <w:t>2</w:t>
                        </w:r>
                      </w:p>
                    </w:tc>
                    <w:tc>
                      <w:tcPr>
                        <w:tcW w:w="1105" w:type="dxa"/>
                        <w:vAlign w:val="center"/>
                      </w:tcPr>
                      <w:p w14:paraId="7FC14EBC">
                        <w:pPr>
                          <w:pStyle w:val="44"/>
                          <w:rPr>
                            <w:color w:val="auto"/>
                          </w:rPr>
                        </w:pPr>
                        <w:r>
                          <w:rPr>
                            <w:color w:val="auto"/>
                          </w:rPr>
                          <w:t>噪声</w:t>
                        </w:r>
                      </w:p>
                    </w:tc>
                    <w:tc>
                      <w:tcPr>
                        <w:tcW w:w="2142" w:type="dxa"/>
                        <w:vAlign w:val="center"/>
                      </w:tcPr>
                      <w:p w14:paraId="55AC6594">
                        <w:pPr>
                          <w:spacing w:line="240" w:lineRule="auto"/>
                          <w:jc w:val="center"/>
                        </w:pPr>
                        <w:r>
                          <w:rPr>
                            <w:bCs/>
                            <w:sz w:val="21"/>
                            <w:szCs w:val="21"/>
                          </w:rPr>
                          <w:t>加强设备的维护，跟踪监测</w:t>
                        </w:r>
                      </w:p>
                    </w:tc>
                    <w:tc>
                      <w:tcPr>
                        <w:tcW w:w="2530" w:type="dxa"/>
                        <w:vAlign w:val="center"/>
                      </w:tcPr>
                      <w:p w14:paraId="15CAF61F">
                        <w:pPr>
                          <w:spacing w:line="240" w:lineRule="auto"/>
                          <w:jc w:val="center"/>
                        </w:pPr>
                        <w:r>
                          <w:rPr>
                            <w:sz w:val="21"/>
                            <w:szCs w:val="21"/>
                          </w:rPr>
                          <w:t>厂界达到《工业企业厂界环境噪声排放标准》（GB12348-2008）中的</w:t>
                        </w:r>
                        <w:r>
                          <w:rPr>
                            <w:rFonts w:hint="eastAsia"/>
                            <w:sz w:val="21"/>
                            <w:szCs w:val="21"/>
                            <w:lang w:val="en-US" w:eastAsia="zh-CN"/>
                          </w:rPr>
                          <w:t>3</w:t>
                        </w:r>
                        <w:r>
                          <w:rPr>
                            <w:sz w:val="21"/>
                            <w:szCs w:val="21"/>
                          </w:rPr>
                          <w:t>类标准</w:t>
                        </w:r>
                      </w:p>
                    </w:tc>
                    <w:tc>
                      <w:tcPr>
                        <w:tcW w:w="2794" w:type="dxa"/>
                        <w:vAlign w:val="center"/>
                      </w:tcPr>
                      <w:p w14:paraId="41483FF4">
                        <w:pPr>
                          <w:pStyle w:val="44"/>
                          <w:rPr>
                            <w:color w:val="auto"/>
                          </w:rPr>
                        </w:pPr>
                        <w:r>
                          <w:rPr>
                            <w:b/>
                            <w:color w:val="auto"/>
                          </w:rPr>
                          <w:t>已落实。</w:t>
                        </w:r>
                        <w:r>
                          <w:rPr>
                            <w:bCs w:val="0"/>
                            <w:color w:val="auto"/>
                          </w:rPr>
                          <w:t>根据噪声监测结果，项目</w:t>
                        </w:r>
                        <w:r>
                          <w:rPr>
                            <w:color w:val="auto"/>
                          </w:rPr>
                          <w:t>厂界可达到《工业企业厂界环境噪声排放标准》（GB12348-2008）</w:t>
                        </w:r>
                        <w:r>
                          <w:rPr>
                            <w:rFonts w:hint="eastAsia"/>
                            <w:color w:val="auto"/>
                            <w:lang w:val="en-US" w:eastAsia="zh-CN"/>
                          </w:rPr>
                          <w:t>3</w:t>
                        </w:r>
                        <w:r>
                          <w:rPr>
                            <w:color w:val="auto"/>
                          </w:rPr>
                          <w:t>类标准限值。</w:t>
                        </w:r>
                      </w:p>
                    </w:tc>
                  </w:tr>
                  <w:tr w14:paraId="29088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55" w:type="dxa"/>
                        <w:vMerge w:val="restart"/>
                        <w:vAlign w:val="center"/>
                      </w:tcPr>
                      <w:p w14:paraId="25AF8757">
                        <w:pPr>
                          <w:pStyle w:val="44"/>
                          <w:rPr>
                            <w:color w:val="auto"/>
                          </w:rPr>
                        </w:pPr>
                        <w:r>
                          <w:rPr>
                            <w:rFonts w:hint="eastAsia"/>
                            <w:color w:val="auto"/>
                          </w:rPr>
                          <w:t>3</w:t>
                        </w:r>
                      </w:p>
                    </w:tc>
                    <w:tc>
                      <w:tcPr>
                        <w:tcW w:w="1105" w:type="dxa"/>
                        <w:vAlign w:val="center"/>
                      </w:tcPr>
                      <w:p w14:paraId="69066B91">
                        <w:pPr>
                          <w:pStyle w:val="44"/>
                          <w:rPr>
                            <w:color w:val="auto"/>
                          </w:rPr>
                        </w:pPr>
                        <w:r>
                          <w:rPr>
                            <w:color w:val="auto"/>
                          </w:rPr>
                          <w:t>生活垃圾</w:t>
                        </w:r>
                      </w:p>
                    </w:tc>
                    <w:tc>
                      <w:tcPr>
                        <w:tcW w:w="2142" w:type="dxa"/>
                        <w:vAlign w:val="center"/>
                      </w:tcPr>
                      <w:p w14:paraId="0D2E7E1D">
                        <w:pPr>
                          <w:spacing w:line="240" w:lineRule="auto"/>
                          <w:jc w:val="center"/>
                          <w:rPr>
                            <w:snapToGrid w:val="0"/>
                            <w:kern w:val="18"/>
                            <w:sz w:val="21"/>
                            <w:szCs w:val="21"/>
                          </w:rPr>
                        </w:pPr>
                        <w:r>
                          <w:rPr>
                            <w:snapToGrid w:val="0"/>
                            <w:kern w:val="18"/>
                            <w:sz w:val="21"/>
                            <w:szCs w:val="21"/>
                          </w:rPr>
                          <w:t>垃圾收集</w:t>
                        </w:r>
                        <w:r>
                          <w:rPr>
                            <w:rFonts w:hint="eastAsia"/>
                            <w:snapToGrid w:val="0"/>
                            <w:kern w:val="18"/>
                            <w:sz w:val="21"/>
                            <w:szCs w:val="21"/>
                          </w:rPr>
                          <w:t>桶</w:t>
                        </w:r>
                        <w:r>
                          <w:rPr>
                            <w:snapToGrid w:val="0"/>
                            <w:kern w:val="18"/>
                            <w:sz w:val="21"/>
                            <w:szCs w:val="21"/>
                          </w:rPr>
                          <w:t>收集清运等</w:t>
                        </w:r>
                      </w:p>
                    </w:tc>
                    <w:tc>
                      <w:tcPr>
                        <w:tcW w:w="2530" w:type="dxa"/>
                        <w:vMerge w:val="restart"/>
                        <w:vAlign w:val="center"/>
                      </w:tcPr>
                      <w:p w14:paraId="1F5FD779">
                        <w:pPr>
                          <w:pStyle w:val="44"/>
                          <w:rPr>
                            <w:color w:val="auto"/>
                          </w:rPr>
                        </w:pPr>
                        <w:r>
                          <w:rPr>
                            <w:color w:val="auto"/>
                          </w:rPr>
                          <w:t>验收落实情况，达到国家环保法规要求</w:t>
                        </w:r>
                      </w:p>
                    </w:tc>
                    <w:tc>
                      <w:tcPr>
                        <w:tcW w:w="2794" w:type="dxa"/>
                        <w:vAlign w:val="center"/>
                      </w:tcPr>
                      <w:p w14:paraId="0BB89145">
                        <w:pPr>
                          <w:pStyle w:val="44"/>
                          <w:rPr>
                            <w:color w:val="auto"/>
                          </w:rPr>
                        </w:pPr>
                        <w:r>
                          <w:rPr>
                            <w:b/>
                            <w:color w:val="auto"/>
                          </w:rPr>
                          <w:t>已落实。</w:t>
                        </w:r>
                        <w:r>
                          <w:rPr>
                            <w:color w:val="auto"/>
                          </w:rPr>
                          <w:t>项目生活垃圾采用垃圾桶收集后委托环卫部门清运处理。</w:t>
                        </w:r>
                      </w:p>
                    </w:tc>
                  </w:tr>
                  <w:tr w14:paraId="7EB78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455" w:type="dxa"/>
                        <w:vMerge w:val="continue"/>
                        <w:vAlign w:val="center"/>
                      </w:tcPr>
                      <w:p w14:paraId="3C385213">
                        <w:pPr>
                          <w:pStyle w:val="44"/>
                          <w:rPr>
                            <w:color w:val="auto"/>
                          </w:rPr>
                        </w:pPr>
                      </w:p>
                    </w:tc>
                    <w:tc>
                      <w:tcPr>
                        <w:tcW w:w="1105" w:type="dxa"/>
                        <w:vAlign w:val="center"/>
                      </w:tcPr>
                      <w:p w14:paraId="2FFD1BF4">
                        <w:pPr>
                          <w:pStyle w:val="44"/>
                          <w:rPr>
                            <w:color w:val="auto"/>
                          </w:rPr>
                        </w:pPr>
                        <w:r>
                          <w:rPr>
                            <w:color w:val="auto"/>
                          </w:rPr>
                          <w:t>一般工业固体固废</w:t>
                        </w:r>
                      </w:p>
                    </w:tc>
                    <w:tc>
                      <w:tcPr>
                        <w:tcW w:w="2142" w:type="dxa"/>
                        <w:vAlign w:val="center"/>
                      </w:tcPr>
                      <w:p w14:paraId="0B742269">
                        <w:pPr>
                          <w:spacing w:line="240" w:lineRule="auto"/>
                          <w:jc w:val="center"/>
                          <w:rPr>
                            <w:snapToGrid w:val="0"/>
                            <w:kern w:val="18"/>
                            <w:sz w:val="21"/>
                            <w:szCs w:val="21"/>
                          </w:rPr>
                        </w:pPr>
                        <w:r>
                          <w:rPr>
                            <w:rFonts w:hint="eastAsia"/>
                            <w:snapToGrid w:val="0"/>
                            <w:kern w:val="18"/>
                            <w:sz w:val="21"/>
                            <w:szCs w:val="21"/>
                          </w:rPr>
                          <w:t>一般固废贮存场所（边角料及残次品</w:t>
                        </w:r>
                        <w:r>
                          <w:rPr>
                            <w:rFonts w:hint="eastAsia"/>
                            <w:snapToGrid w:val="0"/>
                            <w:kern w:val="18"/>
                            <w:sz w:val="21"/>
                            <w:szCs w:val="21"/>
                            <w:lang w:eastAsia="zh-CN"/>
                          </w:rPr>
                          <w:t>、</w:t>
                        </w:r>
                        <w:r>
                          <w:rPr>
                            <w:rFonts w:hint="eastAsia"/>
                            <w:snapToGrid w:val="0"/>
                            <w:kern w:val="18"/>
                            <w:sz w:val="21"/>
                            <w:szCs w:val="21"/>
                          </w:rPr>
                          <w:t>废滤芯</w:t>
                        </w:r>
                        <w:r>
                          <w:rPr>
                            <w:rFonts w:hint="eastAsia"/>
                            <w:snapToGrid w:val="0"/>
                            <w:kern w:val="18"/>
                            <w:sz w:val="21"/>
                            <w:szCs w:val="21"/>
                            <w:lang w:eastAsia="zh-CN"/>
                          </w:rPr>
                          <w:t>、</w:t>
                        </w:r>
                        <w:r>
                          <w:rPr>
                            <w:rFonts w:hint="eastAsia"/>
                            <w:snapToGrid w:val="0"/>
                            <w:kern w:val="18"/>
                            <w:sz w:val="21"/>
                            <w:szCs w:val="21"/>
                          </w:rPr>
                          <w:t>废包装材料等）</w:t>
                        </w:r>
                      </w:p>
                    </w:tc>
                    <w:tc>
                      <w:tcPr>
                        <w:tcW w:w="2530" w:type="dxa"/>
                        <w:vMerge w:val="continue"/>
                        <w:vAlign w:val="center"/>
                      </w:tcPr>
                      <w:p w14:paraId="13C75104">
                        <w:pPr>
                          <w:pStyle w:val="44"/>
                          <w:rPr>
                            <w:color w:val="auto"/>
                          </w:rPr>
                        </w:pPr>
                      </w:p>
                    </w:tc>
                    <w:tc>
                      <w:tcPr>
                        <w:tcW w:w="2794" w:type="dxa"/>
                        <w:vAlign w:val="center"/>
                      </w:tcPr>
                      <w:p w14:paraId="6EC50693">
                        <w:pPr>
                          <w:pStyle w:val="44"/>
                          <w:rPr>
                            <w:color w:val="auto"/>
                          </w:rPr>
                        </w:pPr>
                        <w:r>
                          <w:rPr>
                            <w:b/>
                            <w:color w:val="auto"/>
                          </w:rPr>
                          <w:t>已落实。</w:t>
                        </w:r>
                        <w:r>
                          <w:rPr>
                            <w:rFonts w:hint="eastAsia"/>
                            <w:color w:val="auto"/>
                          </w:rPr>
                          <w:t>项目</w:t>
                        </w:r>
                        <w:r>
                          <w:rPr>
                            <w:rFonts w:hint="eastAsia"/>
                            <w:snapToGrid w:val="0"/>
                            <w:kern w:val="18"/>
                            <w:sz w:val="21"/>
                            <w:szCs w:val="21"/>
                          </w:rPr>
                          <w:t>边角料及残次品</w:t>
                        </w:r>
                        <w:r>
                          <w:rPr>
                            <w:rFonts w:hint="eastAsia"/>
                            <w:snapToGrid w:val="0"/>
                            <w:kern w:val="18"/>
                            <w:sz w:val="21"/>
                            <w:szCs w:val="21"/>
                            <w:lang w:eastAsia="zh-CN"/>
                          </w:rPr>
                          <w:t>、</w:t>
                        </w:r>
                        <w:r>
                          <w:rPr>
                            <w:rFonts w:hint="eastAsia"/>
                            <w:snapToGrid w:val="0"/>
                            <w:kern w:val="18"/>
                            <w:sz w:val="21"/>
                            <w:szCs w:val="21"/>
                          </w:rPr>
                          <w:t>废滤芯</w:t>
                        </w:r>
                        <w:r>
                          <w:rPr>
                            <w:rFonts w:hint="eastAsia"/>
                            <w:snapToGrid w:val="0"/>
                            <w:kern w:val="18"/>
                            <w:sz w:val="21"/>
                            <w:szCs w:val="21"/>
                            <w:lang w:eastAsia="zh-CN"/>
                          </w:rPr>
                          <w:t>、</w:t>
                        </w:r>
                        <w:r>
                          <w:rPr>
                            <w:rFonts w:hint="eastAsia"/>
                            <w:snapToGrid w:val="0"/>
                            <w:kern w:val="18"/>
                            <w:sz w:val="21"/>
                            <w:szCs w:val="21"/>
                          </w:rPr>
                          <w:t>废包装材料</w:t>
                        </w:r>
                        <w:r>
                          <w:rPr>
                            <w:color w:val="auto"/>
                          </w:rPr>
                          <w:t>出售给</w:t>
                        </w:r>
                        <w:r>
                          <w:rPr>
                            <w:rFonts w:hint="eastAsia"/>
                            <w:color w:val="auto"/>
                            <w:lang w:val="en-US" w:eastAsia="zh-CN"/>
                          </w:rPr>
                          <w:t>物资</w:t>
                        </w:r>
                        <w:r>
                          <w:rPr>
                            <w:color w:val="auto"/>
                          </w:rPr>
                          <w:t>回收企业</w:t>
                        </w:r>
                      </w:p>
                    </w:tc>
                  </w:tr>
                  <w:tr w14:paraId="3BD71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455" w:type="dxa"/>
                        <w:vMerge w:val="continue"/>
                        <w:vAlign w:val="center"/>
                      </w:tcPr>
                      <w:p w14:paraId="34944244">
                        <w:pPr>
                          <w:pStyle w:val="44"/>
                          <w:rPr>
                            <w:color w:val="auto"/>
                          </w:rPr>
                        </w:pPr>
                      </w:p>
                    </w:tc>
                    <w:tc>
                      <w:tcPr>
                        <w:tcW w:w="1105" w:type="dxa"/>
                        <w:vAlign w:val="center"/>
                      </w:tcPr>
                      <w:p w14:paraId="72E6E2C4">
                        <w:pPr>
                          <w:pStyle w:val="44"/>
                          <w:rPr>
                            <w:color w:val="auto"/>
                          </w:rPr>
                        </w:pPr>
                        <w:r>
                          <w:rPr>
                            <w:rFonts w:hint="eastAsia"/>
                            <w:color w:val="auto"/>
                          </w:rPr>
                          <w:t>危险废物</w:t>
                        </w:r>
                      </w:p>
                    </w:tc>
                    <w:tc>
                      <w:tcPr>
                        <w:tcW w:w="2142" w:type="dxa"/>
                        <w:vAlign w:val="center"/>
                      </w:tcPr>
                      <w:p w14:paraId="59B1D7D4">
                        <w:pPr>
                          <w:spacing w:line="240" w:lineRule="auto"/>
                          <w:jc w:val="center"/>
                          <w:rPr>
                            <w:snapToGrid w:val="0"/>
                            <w:kern w:val="18"/>
                            <w:sz w:val="21"/>
                            <w:szCs w:val="21"/>
                          </w:rPr>
                        </w:pPr>
                        <w:r>
                          <w:rPr>
                            <w:rFonts w:hint="eastAsia"/>
                            <w:snapToGrid w:val="0"/>
                            <w:kern w:val="18"/>
                            <w:sz w:val="21"/>
                            <w:szCs w:val="21"/>
                          </w:rPr>
                          <w:t>危险废物专用容器、危险废物专用收集间及危险标志牌等（</w:t>
                        </w:r>
                        <w:r>
                          <w:rPr>
                            <w:rFonts w:hint="eastAsia"/>
                            <w:snapToGrid w:val="0"/>
                            <w:color w:val="auto"/>
                            <w:kern w:val="18"/>
                            <w:sz w:val="21"/>
                            <w:szCs w:val="21"/>
                          </w:rPr>
                          <w:t>废机油</w:t>
                        </w:r>
                        <w:r>
                          <w:rPr>
                            <w:rFonts w:hint="eastAsia"/>
                            <w:snapToGrid w:val="0"/>
                            <w:color w:val="auto"/>
                            <w:kern w:val="18"/>
                            <w:sz w:val="21"/>
                            <w:szCs w:val="21"/>
                            <w:lang w:eastAsia="zh-CN"/>
                          </w:rPr>
                          <w:t>、</w:t>
                        </w:r>
                        <w:r>
                          <w:rPr>
                            <w:rFonts w:hint="eastAsia"/>
                            <w:snapToGrid w:val="0"/>
                            <w:color w:val="auto"/>
                            <w:kern w:val="18"/>
                            <w:sz w:val="21"/>
                            <w:szCs w:val="21"/>
                          </w:rPr>
                          <w:t>废活性炭</w:t>
                        </w:r>
                        <w:r>
                          <w:rPr>
                            <w:rFonts w:hint="eastAsia"/>
                            <w:snapToGrid w:val="0"/>
                            <w:color w:val="auto"/>
                            <w:kern w:val="18"/>
                            <w:sz w:val="21"/>
                            <w:szCs w:val="21"/>
                            <w:lang w:eastAsia="zh-CN"/>
                          </w:rPr>
                          <w:t>、</w:t>
                        </w:r>
                        <w:r>
                          <w:rPr>
                            <w:rFonts w:hint="eastAsia"/>
                            <w:snapToGrid w:val="0"/>
                            <w:color w:val="auto"/>
                            <w:kern w:val="18"/>
                            <w:sz w:val="21"/>
                            <w:szCs w:val="21"/>
                          </w:rPr>
                          <w:t>废切削液</w:t>
                        </w:r>
                        <w:r>
                          <w:rPr>
                            <w:rFonts w:hint="eastAsia"/>
                            <w:snapToGrid w:val="0"/>
                            <w:color w:val="auto"/>
                            <w:kern w:val="18"/>
                            <w:sz w:val="21"/>
                            <w:szCs w:val="21"/>
                            <w:lang w:eastAsia="zh-CN"/>
                          </w:rPr>
                          <w:t>、</w:t>
                        </w:r>
                        <w:r>
                          <w:rPr>
                            <w:rFonts w:hint="eastAsia"/>
                            <w:snapToGrid w:val="0"/>
                            <w:color w:val="auto"/>
                            <w:kern w:val="18"/>
                            <w:sz w:val="21"/>
                            <w:szCs w:val="21"/>
                          </w:rPr>
                          <w:t>废硝酸钾</w:t>
                        </w:r>
                        <w:r>
                          <w:rPr>
                            <w:rFonts w:hint="eastAsia"/>
                            <w:snapToGrid w:val="0"/>
                            <w:color w:val="auto"/>
                            <w:kern w:val="18"/>
                            <w:sz w:val="21"/>
                            <w:szCs w:val="21"/>
                            <w:lang w:eastAsia="zh-CN"/>
                          </w:rPr>
                          <w:t>、</w:t>
                        </w:r>
                        <w:r>
                          <w:rPr>
                            <w:rFonts w:hint="eastAsia"/>
                            <w:snapToGrid w:val="0"/>
                            <w:color w:val="auto"/>
                            <w:kern w:val="18"/>
                            <w:sz w:val="21"/>
                            <w:szCs w:val="21"/>
                          </w:rPr>
                          <w:t>原料桶）</w:t>
                        </w:r>
                      </w:p>
                    </w:tc>
                    <w:tc>
                      <w:tcPr>
                        <w:tcW w:w="2530" w:type="dxa"/>
                        <w:vMerge w:val="continue"/>
                        <w:vAlign w:val="center"/>
                      </w:tcPr>
                      <w:p w14:paraId="013E352E">
                        <w:pPr>
                          <w:pStyle w:val="44"/>
                          <w:rPr>
                            <w:color w:val="auto"/>
                          </w:rPr>
                        </w:pPr>
                      </w:p>
                    </w:tc>
                    <w:tc>
                      <w:tcPr>
                        <w:tcW w:w="2794" w:type="dxa"/>
                        <w:vAlign w:val="center"/>
                      </w:tcPr>
                      <w:p w14:paraId="5A5652E0">
                        <w:pPr>
                          <w:pStyle w:val="44"/>
                          <w:rPr>
                            <w:b/>
                            <w:color w:val="auto"/>
                          </w:rPr>
                        </w:pPr>
                        <w:r>
                          <w:rPr>
                            <w:b/>
                            <w:color w:val="auto"/>
                          </w:rPr>
                          <w:t>已落实。</w:t>
                        </w:r>
                        <w:r>
                          <w:rPr>
                            <w:color w:val="auto"/>
                          </w:rPr>
                          <w:t>项目建设有危险废物储存间</w:t>
                        </w:r>
                        <w:r>
                          <w:rPr>
                            <w:rFonts w:hint="eastAsia"/>
                            <w:color w:val="auto"/>
                            <w:lang w:val="en-US" w:eastAsia="zh-CN"/>
                          </w:rPr>
                          <w:t>25</w:t>
                        </w:r>
                        <w:r>
                          <w:rPr>
                            <w:color w:val="auto"/>
                          </w:rPr>
                          <w:t>m</w:t>
                        </w:r>
                        <w:r>
                          <w:rPr>
                            <w:color w:val="auto"/>
                            <w:vertAlign w:val="superscript"/>
                          </w:rPr>
                          <w:t>2</w:t>
                        </w:r>
                        <w:r>
                          <w:rPr>
                            <w:color w:val="auto"/>
                          </w:rPr>
                          <w:t>，用来暂存</w:t>
                        </w:r>
                        <w:r>
                          <w:rPr>
                            <w:rFonts w:hint="eastAsia"/>
                            <w:snapToGrid w:val="0"/>
                            <w:color w:val="auto"/>
                            <w:kern w:val="18"/>
                            <w:sz w:val="21"/>
                            <w:szCs w:val="21"/>
                          </w:rPr>
                          <w:t>废机油</w:t>
                        </w:r>
                        <w:r>
                          <w:rPr>
                            <w:rFonts w:hint="eastAsia"/>
                            <w:snapToGrid w:val="0"/>
                            <w:color w:val="auto"/>
                            <w:kern w:val="18"/>
                            <w:sz w:val="21"/>
                            <w:szCs w:val="21"/>
                            <w:lang w:eastAsia="zh-CN"/>
                          </w:rPr>
                          <w:t>、</w:t>
                        </w:r>
                        <w:r>
                          <w:rPr>
                            <w:rFonts w:hint="eastAsia"/>
                            <w:snapToGrid w:val="0"/>
                            <w:color w:val="auto"/>
                            <w:kern w:val="18"/>
                            <w:sz w:val="21"/>
                            <w:szCs w:val="21"/>
                          </w:rPr>
                          <w:t>废活性炭</w:t>
                        </w:r>
                        <w:r>
                          <w:rPr>
                            <w:rFonts w:hint="eastAsia"/>
                            <w:snapToGrid w:val="0"/>
                            <w:color w:val="auto"/>
                            <w:kern w:val="18"/>
                            <w:sz w:val="21"/>
                            <w:szCs w:val="21"/>
                            <w:lang w:eastAsia="zh-CN"/>
                          </w:rPr>
                          <w:t>、</w:t>
                        </w:r>
                        <w:r>
                          <w:rPr>
                            <w:rFonts w:hint="eastAsia"/>
                            <w:snapToGrid w:val="0"/>
                            <w:color w:val="auto"/>
                            <w:kern w:val="18"/>
                            <w:sz w:val="21"/>
                            <w:szCs w:val="21"/>
                          </w:rPr>
                          <w:t>废切削液</w:t>
                        </w:r>
                        <w:r>
                          <w:rPr>
                            <w:rFonts w:hint="eastAsia"/>
                            <w:snapToGrid w:val="0"/>
                            <w:color w:val="auto"/>
                            <w:kern w:val="18"/>
                            <w:sz w:val="21"/>
                            <w:szCs w:val="21"/>
                            <w:lang w:eastAsia="zh-CN"/>
                          </w:rPr>
                          <w:t>、</w:t>
                        </w:r>
                        <w:r>
                          <w:rPr>
                            <w:rFonts w:hint="eastAsia"/>
                            <w:snapToGrid w:val="0"/>
                            <w:color w:val="auto"/>
                            <w:kern w:val="18"/>
                            <w:sz w:val="21"/>
                            <w:szCs w:val="21"/>
                          </w:rPr>
                          <w:t>废硝酸钾</w:t>
                        </w:r>
                        <w:r>
                          <w:rPr>
                            <w:rFonts w:hint="eastAsia"/>
                            <w:snapToGrid w:val="0"/>
                            <w:color w:val="auto"/>
                            <w:kern w:val="18"/>
                            <w:sz w:val="21"/>
                            <w:szCs w:val="21"/>
                            <w:lang w:eastAsia="zh-CN"/>
                          </w:rPr>
                          <w:t>、</w:t>
                        </w:r>
                        <w:r>
                          <w:rPr>
                            <w:rFonts w:hint="eastAsia"/>
                            <w:snapToGrid w:val="0"/>
                            <w:color w:val="auto"/>
                            <w:kern w:val="18"/>
                            <w:sz w:val="21"/>
                            <w:szCs w:val="21"/>
                          </w:rPr>
                          <w:t>原料桶</w:t>
                        </w:r>
                        <w:r>
                          <w:rPr>
                            <w:color w:val="auto"/>
                          </w:rPr>
                          <w:t>。</w:t>
                        </w:r>
                        <w:r>
                          <w:rPr>
                            <w:rFonts w:hint="eastAsia"/>
                            <w:color w:val="auto"/>
                          </w:rPr>
                          <w:t>废</w:t>
                        </w:r>
                        <w:r>
                          <w:rPr>
                            <w:rFonts w:hint="eastAsia"/>
                            <w:snapToGrid w:val="0"/>
                            <w:color w:val="auto"/>
                            <w:kern w:val="18"/>
                            <w:sz w:val="21"/>
                            <w:szCs w:val="21"/>
                          </w:rPr>
                          <w:t>废机油</w:t>
                        </w:r>
                        <w:r>
                          <w:rPr>
                            <w:rFonts w:hint="eastAsia"/>
                            <w:snapToGrid w:val="0"/>
                            <w:color w:val="auto"/>
                            <w:kern w:val="18"/>
                            <w:sz w:val="21"/>
                            <w:szCs w:val="21"/>
                            <w:lang w:eastAsia="zh-CN"/>
                          </w:rPr>
                          <w:t>、</w:t>
                        </w:r>
                        <w:r>
                          <w:rPr>
                            <w:rFonts w:hint="eastAsia"/>
                            <w:snapToGrid w:val="0"/>
                            <w:color w:val="auto"/>
                            <w:kern w:val="18"/>
                            <w:sz w:val="21"/>
                            <w:szCs w:val="21"/>
                          </w:rPr>
                          <w:t>废活性炭</w:t>
                        </w:r>
                        <w:r>
                          <w:rPr>
                            <w:rFonts w:hint="eastAsia"/>
                            <w:snapToGrid w:val="0"/>
                            <w:color w:val="auto"/>
                            <w:kern w:val="18"/>
                            <w:sz w:val="21"/>
                            <w:szCs w:val="21"/>
                            <w:lang w:eastAsia="zh-CN"/>
                          </w:rPr>
                          <w:t>、</w:t>
                        </w:r>
                        <w:r>
                          <w:rPr>
                            <w:rFonts w:hint="eastAsia"/>
                            <w:snapToGrid w:val="0"/>
                            <w:color w:val="auto"/>
                            <w:kern w:val="18"/>
                            <w:sz w:val="21"/>
                            <w:szCs w:val="21"/>
                          </w:rPr>
                          <w:t>废切削液</w:t>
                        </w:r>
                        <w:r>
                          <w:rPr>
                            <w:rFonts w:hint="eastAsia"/>
                            <w:snapToGrid w:val="0"/>
                            <w:color w:val="auto"/>
                            <w:kern w:val="18"/>
                            <w:sz w:val="21"/>
                            <w:szCs w:val="21"/>
                            <w:lang w:eastAsia="zh-CN"/>
                          </w:rPr>
                          <w:t>、</w:t>
                        </w:r>
                        <w:r>
                          <w:rPr>
                            <w:rFonts w:hint="eastAsia"/>
                            <w:snapToGrid w:val="0"/>
                            <w:color w:val="auto"/>
                            <w:kern w:val="18"/>
                            <w:sz w:val="21"/>
                            <w:szCs w:val="21"/>
                          </w:rPr>
                          <w:t>废硝酸钾</w:t>
                        </w:r>
                        <w:r>
                          <w:rPr>
                            <w:rFonts w:hint="eastAsia"/>
                            <w:snapToGrid w:val="0"/>
                            <w:color w:val="auto"/>
                            <w:kern w:val="18"/>
                            <w:sz w:val="21"/>
                            <w:szCs w:val="21"/>
                            <w:lang w:eastAsia="zh-CN"/>
                          </w:rPr>
                          <w:t>、</w:t>
                        </w:r>
                        <w:r>
                          <w:rPr>
                            <w:rFonts w:hint="eastAsia"/>
                            <w:snapToGrid w:val="0"/>
                            <w:color w:val="auto"/>
                            <w:kern w:val="18"/>
                            <w:sz w:val="21"/>
                            <w:szCs w:val="21"/>
                          </w:rPr>
                          <w:t>原料桶</w:t>
                        </w:r>
                        <w:r>
                          <w:rPr>
                            <w:rFonts w:hint="eastAsia"/>
                            <w:color w:val="auto"/>
                          </w:rPr>
                          <w:t>定期委托</w:t>
                        </w:r>
                        <w:r>
                          <w:rPr>
                            <w:rFonts w:hint="eastAsia"/>
                            <w:color w:val="auto"/>
                            <w:lang w:eastAsia="zh-CN"/>
                          </w:rPr>
                          <w:t>福建省固体废物处置有限公司</w:t>
                        </w:r>
                        <w:r>
                          <w:rPr>
                            <w:rFonts w:hint="eastAsia"/>
                            <w:color w:val="auto"/>
                          </w:rPr>
                          <w:t>处理，建设单位</w:t>
                        </w:r>
                        <w:r>
                          <w:rPr>
                            <w:rFonts w:hint="eastAsia"/>
                            <w:color w:val="auto"/>
                            <w:lang w:eastAsia="zh-CN"/>
                          </w:rPr>
                          <w:t>已经与福建省固体废物处置有限公司</w:t>
                        </w:r>
                        <w:r>
                          <w:rPr>
                            <w:rFonts w:hint="eastAsia"/>
                            <w:color w:val="auto"/>
                          </w:rPr>
                          <w:t>签订合同。</w:t>
                        </w:r>
                      </w:p>
                    </w:tc>
                  </w:tr>
                </w:tbl>
                <w:p w14:paraId="6735D80C">
                  <w:pPr>
                    <w:tabs>
                      <w:tab w:val="left" w:pos="7003"/>
                    </w:tabs>
                    <w:jc w:val="left"/>
                  </w:pPr>
                </w:p>
              </w:tc>
            </w:tr>
          </w:tbl>
          <w:p w14:paraId="2B63037A">
            <w:pPr>
              <w:spacing w:before="48" w:beforeLines="20"/>
              <w:rPr>
                <w:rFonts w:eastAsia="仿宋_GB2312"/>
                <w:sz w:val="21"/>
                <w:szCs w:val="21"/>
              </w:rPr>
            </w:pPr>
          </w:p>
        </w:tc>
      </w:tr>
    </w:tbl>
    <w:p w14:paraId="13A8CC13"/>
    <w:p w14:paraId="2AAAD53D">
      <w:pPr>
        <w:sectPr>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pPr>
    </w:p>
    <w:tbl>
      <w:tblPr>
        <w:tblStyle w:val="20"/>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14:paraId="4172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8" w:hRule="atLeast"/>
          <w:jc w:val="center"/>
        </w:trPr>
        <w:tc>
          <w:tcPr>
            <w:tcW w:w="9242" w:type="dxa"/>
            <w:tcBorders>
              <w:top w:val="single" w:color="auto" w:sz="12" w:space="0"/>
            </w:tcBorders>
          </w:tcPr>
          <w:tbl>
            <w:tblPr>
              <w:tblStyle w:val="20"/>
              <w:tblW w:w="90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105"/>
              <w:gridCol w:w="1701"/>
              <w:gridCol w:w="2835"/>
              <w:gridCol w:w="2930"/>
            </w:tblGrid>
            <w:tr w14:paraId="4C0B1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blHeader/>
                <w:jc w:val="center"/>
              </w:trPr>
              <w:tc>
                <w:tcPr>
                  <w:tcW w:w="455" w:type="dxa"/>
                  <w:vMerge w:val="restart"/>
                  <w:vAlign w:val="center"/>
                </w:tcPr>
                <w:p w14:paraId="743B94BC">
                  <w:pPr>
                    <w:pStyle w:val="44"/>
                    <w:rPr>
                      <w:b/>
                      <w:bCs w:val="0"/>
                      <w:color w:val="auto"/>
                    </w:rPr>
                  </w:pPr>
                  <w:r>
                    <w:rPr>
                      <w:b/>
                      <w:bCs w:val="0"/>
                      <w:color w:val="auto"/>
                    </w:rPr>
                    <w:t>编号</w:t>
                  </w:r>
                </w:p>
              </w:tc>
              <w:tc>
                <w:tcPr>
                  <w:tcW w:w="1105" w:type="dxa"/>
                  <w:vMerge w:val="restart"/>
                  <w:vAlign w:val="center"/>
                </w:tcPr>
                <w:p w14:paraId="03D023CE">
                  <w:pPr>
                    <w:pStyle w:val="44"/>
                    <w:rPr>
                      <w:b/>
                      <w:bCs w:val="0"/>
                      <w:color w:val="auto"/>
                    </w:rPr>
                  </w:pPr>
                  <w:r>
                    <w:rPr>
                      <w:b/>
                      <w:bCs w:val="0"/>
                      <w:color w:val="auto"/>
                    </w:rPr>
                    <w:t>污染源</w:t>
                  </w:r>
                </w:p>
              </w:tc>
              <w:tc>
                <w:tcPr>
                  <w:tcW w:w="4536" w:type="dxa"/>
                  <w:gridSpan w:val="2"/>
                  <w:vAlign w:val="center"/>
                </w:tcPr>
                <w:p w14:paraId="346E254D">
                  <w:pPr>
                    <w:pStyle w:val="44"/>
                    <w:rPr>
                      <w:b/>
                      <w:bCs w:val="0"/>
                      <w:color w:val="auto"/>
                    </w:rPr>
                  </w:pPr>
                  <w:r>
                    <w:rPr>
                      <w:b/>
                      <w:bCs w:val="0"/>
                      <w:color w:val="auto"/>
                    </w:rPr>
                    <w:t>环境影响报告表竣工验收要求</w:t>
                  </w:r>
                </w:p>
              </w:tc>
              <w:tc>
                <w:tcPr>
                  <w:tcW w:w="2930" w:type="dxa"/>
                  <w:vMerge w:val="restart"/>
                  <w:vAlign w:val="center"/>
                </w:tcPr>
                <w:p w14:paraId="5F74C05D">
                  <w:pPr>
                    <w:pStyle w:val="44"/>
                    <w:rPr>
                      <w:color w:val="auto"/>
                    </w:rPr>
                  </w:pPr>
                  <w:r>
                    <w:rPr>
                      <w:b/>
                      <w:color w:val="auto"/>
                    </w:rPr>
                    <w:t>验收工程实际落实情况</w:t>
                  </w:r>
                </w:p>
              </w:tc>
            </w:tr>
            <w:tr w14:paraId="6F691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55" w:type="dxa"/>
                  <w:vMerge w:val="continue"/>
                  <w:vAlign w:val="center"/>
                </w:tcPr>
                <w:p w14:paraId="6803B759">
                  <w:pPr>
                    <w:pStyle w:val="44"/>
                    <w:rPr>
                      <w:b/>
                      <w:bCs w:val="0"/>
                      <w:color w:val="auto"/>
                    </w:rPr>
                  </w:pPr>
                </w:p>
              </w:tc>
              <w:tc>
                <w:tcPr>
                  <w:tcW w:w="1105" w:type="dxa"/>
                  <w:vMerge w:val="continue"/>
                  <w:vAlign w:val="center"/>
                </w:tcPr>
                <w:p w14:paraId="5E918AE3">
                  <w:pPr>
                    <w:pStyle w:val="44"/>
                    <w:rPr>
                      <w:b/>
                      <w:bCs w:val="0"/>
                      <w:color w:val="auto"/>
                    </w:rPr>
                  </w:pPr>
                </w:p>
              </w:tc>
              <w:tc>
                <w:tcPr>
                  <w:tcW w:w="1701" w:type="dxa"/>
                  <w:vAlign w:val="center"/>
                </w:tcPr>
                <w:p w14:paraId="2214CBCB">
                  <w:pPr>
                    <w:pStyle w:val="44"/>
                    <w:rPr>
                      <w:b/>
                      <w:bCs w:val="0"/>
                      <w:color w:val="auto"/>
                    </w:rPr>
                  </w:pPr>
                  <w:r>
                    <w:rPr>
                      <w:b/>
                      <w:bCs w:val="0"/>
                      <w:color w:val="auto"/>
                    </w:rPr>
                    <w:t>措施内容</w:t>
                  </w:r>
                </w:p>
              </w:tc>
              <w:tc>
                <w:tcPr>
                  <w:tcW w:w="2835" w:type="dxa"/>
                  <w:vAlign w:val="center"/>
                </w:tcPr>
                <w:p w14:paraId="281F011D">
                  <w:pPr>
                    <w:pStyle w:val="44"/>
                    <w:rPr>
                      <w:b/>
                      <w:bCs w:val="0"/>
                      <w:color w:val="auto"/>
                    </w:rPr>
                  </w:pPr>
                  <w:r>
                    <w:rPr>
                      <w:b/>
                      <w:bCs w:val="0"/>
                      <w:color w:val="auto"/>
                    </w:rPr>
                    <w:t>竣工验收要求</w:t>
                  </w:r>
                </w:p>
              </w:tc>
              <w:tc>
                <w:tcPr>
                  <w:tcW w:w="2930" w:type="dxa"/>
                  <w:vMerge w:val="continue"/>
                  <w:vAlign w:val="center"/>
                </w:tcPr>
                <w:p w14:paraId="17E37672">
                  <w:pPr>
                    <w:pStyle w:val="44"/>
                    <w:rPr>
                      <w:color w:val="auto"/>
                    </w:rPr>
                  </w:pPr>
                </w:p>
              </w:tc>
            </w:tr>
            <w:tr w14:paraId="7BC656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455" w:type="dxa"/>
                  <w:vMerge w:val="restart"/>
                  <w:vAlign w:val="center"/>
                </w:tcPr>
                <w:p w14:paraId="21A828B7">
                  <w:pPr>
                    <w:pStyle w:val="44"/>
                    <w:rPr>
                      <w:color w:val="auto"/>
                    </w:rPr>
                  </w:pPr>
                  <w:r>
                    <w:rPr>
                      <w:rFonts w:hint="eastAsia"/>
                      <w:color w:val="auto"/>
                    </w:rPr>
                    <w:t>4</w:t>
                  </w:r>
                </w:p>
              </w:tc>
              <w:tc>
                <w:tcPr>
                  <w:tcW w:w="1105" w:type="dxa"/>
                  <w:vMerge w:val="restart"/>
                  <w:vAlign w:val="center"/>
                </w:tcPr>
                <w:p w14:paraId="09A58FA2">
                  <w:pPr>
                    <w:pStyle w:val="44"/>
                    <w:ind w:firstLine="0" w:firstLineChars="0"/>
                    <w:rPr>
                      <w:rFonts w:hint="default" w:cs="Times New Roman"/>
                      <w:bCs/>
                      <w:snapToGrid w:val="0"/>
                      <w:color w:val="000000"/>
                      <w:kern w:val="18"/>
                      <w:sz w:val="21"/>
                      <w:szCs w:val="21"/>
                      <w:lang w:val="en-US" w:eastAsia="zh-CN" w:bidi="ar-SA"/>
                    </w:rPr>
                  </w:pPr>
                  <w:r>
                    <w:rPr>
                      <w:rFonts w:hint="eastAsia" w:cs="Times New Roman"/>
                      <w:bCs/>
                      <w:snapToGrid w:val="0"/>
                      <w:color w:val="000000"/>
                      <w:kern w:val="18"/>
                      <w:sz w:val="21"/>
                      <w:szCs w:val="21"/>
                      <w:lang w:val="en-US" w:eastAsia="zh-CN" w:bidi="ar-SA"/>
                    </w:rPr>
                    <w:t>印刷有机废气</w:t>
                  </w:r>
                </w:p>
              </w:tc>
              <w:tc>
                <w:tcPr>
                  <w:tcW w:w="1701" w:type="dxa"/>
                  <w:vAlign w:val="center"/>
                </w:tcPr>
                <w:p w14:paraId="7D9DC6E9">
                  <w:pPr>
                    <w:pStyle w:val="44"/>
                    <w:ind w:firstLine="0" w:firstLineChars="0"/>
                    <w:rPr>
                      <w:rFonts w:hint="eastAsia" w:cs="Times New Roman"/>
                      <w:bCs/>
                      <w:snapToGrid w:val="0"/>
                      <w:color w:val="000000"/>
                      <w:kern w:val="18"/>
                      <w:sz w:val="21"/>
                      <w:szCs w:val="21"/>
                      <w:lang w:val="en-US" w:eastAsia="zh-CN" w:bidi="ar-SA"/>
                    </w:rPr>
                  </w:pPr>
                  <w:r>
                    <w:rPr>
                      <w:rFonts w:hint="eastAsia" w:cs="Times New Roman"/>
                      <w:bCs/>
                      <w:snapToGrid w:val="0"/>
                      <w:color w:val="000000"/>
                      <w:kern w:val="18"/>
                      <w:sz w:val="21"/>
                      <w:szCs w:val="21"/>
                      <w:lang w:val="en-US" w:eastAsia="zh-CN" w:bidi="ar-SA"/>
                    </w:rPr>
                    <w:t>印刷废气：集气罩+活性炭吸附+排气筒（15m）</w:t>
                  </w:r>
                </w:p>
              </w:tc>
              <w:tc>
                <w:tcPr>
                  <w:tcW w:w="2835" w:type="dxa"/>
                  <w:vAlign w:val="center"/>
                </w:tcPr>
                <w:p w14:paraId="3233AF78">
                  <w:pPr>
                    <w:pStyle w:val="44"/>
                    <w:ind w:firstLine="0" w:firstLineChars="0"/>
                    <w:jc w:val="both"/>
                    <w:rPr>
                      <w:rFonts w:hint="eastAsia" w:cs="Times New Roman"/>
                      <w:bCs/>
                      <w:snapToGrid w:val="0"/>
                      <w:color w:val="000000"/>
                      <w:kern w:val="18"/>
                      <w:sz w:val="21"/>
                      <w:szCs w:val="21"/>
                      <w:lang w:val="en-US" w:eastAsia="zh-CN" w:bidi="ar-SA"/>
                    </w:rPr>
                  </w:pPr>
                  <w:r>
                    <w:rPr>
                      <w:rFonts w:hint="eastAsia" w:cs="Times New Roman"/>
                      <w:bCs/>
                      <w:snapToGrid w:val="0"/>
                      <w:color w:val="000000"/>
                      <w:kern w:val="18"/>
                      <w:sz w:val="21"/>
                      <w:szCs w:val="21"/>
                      <w:lang w:val="en-US" w:eastAsia="zh-CN" w:bidi="ar-SA"/>
                    </w:rPr>
                    <w:t>非甲烷总烃执行《印刷行业挥发性有机物排放标准》(DB35/1783-2018)表1标准（非甲烷总烃排放浓度50mg/m</w:t>
                  </w:r>
                  <w:r>
                    <w:rPr>
                      <w:rFonts w:hint="eastAsia" w:cs="Times New Roman"/>
                      <w:bCs/>
                      <w:snapToGrid w:val="0"/>
                      <w:color w:val="000000"/>
                      <w:kern w:val="18"/>
                      <w:sz w:val="21"/>
                      <w:szCs w:val="21"/>
                      <w:vertAlign w:val="superscript"/>
                      <w:lang w:val="en-US" w:eastAsia="zh-CN" w:bidi="ar-SA"/>
                    </w:rPr>
                    <w:t>3</w:t>
                  </w:r>
                  <w:r>
                    <w:rPr>
                      <w:rFonts w:hint="eastAsia" w:cs="Times New Roman"/>
                      <w:bCs/>
                      <w:snapToGrid w:val="0"/>
                      <w:color w:val="000000"/>
                      <w:kern w:val="18"/>
                      <w:sz w:val="21"/>
                      <w:szCs w:val="21"/>
                      <w:lang w:val="en-US" w:eastAsia="zh-CN" w:bidi="ar-SA"/>
                    </w:rPr>
                    <w:t>，排放速率≤1.5kg/h）</w:t>
                  </w:r>
                </w:p>
              </w:tc>
              <w:tc>
                <w:tcPr>
                  <w:tcW w:w="2930" w:type="dxa"/>
                  <w:vAlign w:val="center"/>
                </w:tcPr>
                <w:p w14:paraId="63774951">
                  <w:pPr>
                    <w:pStyle w:val="44"/>
                    <w:ind w:firstLine="0" w:firstLineChars="0"/>
                    <w:rPr>
                      <w:rFonts w:hint="default" w:ascii="Times New Roman" w:hAnsi="Times New Roman" w:eastAsia="宋体" w:cs="Times New Roman"/>
                      <w:bCs/>
                      <w:snapToGrid w:val="0"/>
                      <w:color w:val="000000"/>
                      <w:kern w:val="18"/>
                      <w:sz w:val="21"/>
                      <w:szCs w:val="21"/>
                      <w:lang w:val="en-US" w:eastAsia="zh-CN" w:bidi="ar-SA"/>
                    </w:rPr>
                  </w:pPr>
                  <w:r>
                    <w:rPr>
                      <w:rFonts w:hint="eastAsia" w:ascii="Times New Roman" w:hAnsi="Times New Roman" w:eastAsia="宋体" w:cs="Times New Roman"/>
                      <w:b/>
                      <w:bCs w:val="0"/>
                      <w:snapToGrid w:val="0"/>
                      <w:color w:val="000000"/>
                      <w:kern w:val="18"/>
                      <w:sz w:val="21"/>
                      <w:szCs w:val="21"/>
                      <w:lang w:val="en-US" w:eastAsia="zh-CN" w:bidi="ar-SA"/>
                    </w:rPr>
                    <w:t>已落实。</w:t>
                  </w:r>
                  <w:r>
                    <w:rPr>
                      <w:rFonts w:hint="eastAsia" w:cs="Times New Roman"/>
                      <w:bCs/>
                      <w:snapToGrid w:val="0"/>
                      <w:color w:val="000000"/>
                      <w:kern w:val="18"/>
                      <w:sz w:val="21"/>
                      <w:szCs w:val="21"/>
                      <w:lang w:val="en-US" w:eastAsia="zh-CN" w:bidi="ar-SA"/>
                    </w:rPr>
                    <w:t>印刷有机废气经集气装置收集后通过活性炭吸附装置处理后经15m排气筒高空排放</w:t>
                  </w:r>
                  <w:r>
                    <w:rPr>
                      <w:rFonts w:hint="eastAsia" w:ascii="Times New Roman" w:hAnsi="Times New Roman" w:eastAsia="宋体" w:cs="Times New Roman"/>
                      <w:bCs/>
                      <w:snapToGrid w:val="0"/>
                      <w:color w:val="000000"/>
                      <w:kern w:val="18"/>
                      <w:sz w:val="21"/>
                      <w:szCs w:val="21"/>
                      <w:lang w:val="en-US" w:eastAsia="zh-CN" w:bidi="ar-SA"/>
                    </w:rPr>
                    <w:t>。</w:t>
                  </w:r>
                </w:p>
              </w:tc>
            </w:tr>
            <w:tr w14:paraId="0CE41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455" w:type="dxa"/>
                  <w:vMerge w:val="continue"/>
                  <w:vAlign w:val="center"/>
                </w:tcPr>
                <w:p w14:paraId="03DF6AB8">
                  <w:pPr>
                    <w:pStyle w:val="44"/>
                    <w:rPr>
                      <w:rFonts w:hint="eastAsia"/>
                      <w:color w:val="auto"/>
                    </w:rPr>
                  </w:pPr>
                </w:p>
              </w:tc>
              <w:tc>
                <w:tcPr>
                  <w:tcW w:w="1105" w:type="dxa"/>
                  <w:vMerge w:val="continue"/>
                  <w:vAlign w:val="center"/>
                </w:tcPr>
                <w:p w14:paraId="787C9DCC">
                  <w:pPr>
                    <w:pStyle w:val="44"/>
                    <w:ind w:firstLine="0" w:firstLineChars="0"/>
                    <w:rPr>
                      <w:rFonts w:hint="default" w:cs="Times New Roman"/>
                      <w:bCs/>
                      <w:snapToGrid w:val="0"/>
                      <w:color w:val="000000"/>
                      <w:kern w:val="18"/>
                      <w:sz w:val="21"/>
                      <w:szCs w:val="21"/>
                      <w:lang w:val="en-US" w:eastAsia="zh-CN" w:bidi="ar-SA"/>
                    </w:rPr>
                  </w:pPr>
                </w:p>
              </w:tc>
              <w:tc>
                <w:tcPr>
                  <w:tcW w:w="1701" w:type="dxa"/>
                  <w:vAlign w:val="center"/>
                </w:tcPr>
                <w:p w14:paraId="1A4B66D5">
                  <w:pPr>
                    <w:pStyle w:val="44"/>
                    <w:ind w:firstLine="0" w:firstLineChars="0"/>
                    <w:rPr>
                      <w:rFonts w:hint="default" w:cs="Times New Roman"/>
                      <w:bCs/>
                      <w:snapToGrid w:val="0"/>
                      <w:color w:val="000000"/>
                      <w:kern w:val="18"/>
                      <w:sz w:val="21"/>
                      <w:szCs w:val="21"/>
                      <w:lang w:val="en-US" w:eastAsia="zh-CN" w:bidi="ar-SA"/>
                    </w:rPr>
                  </w:pPr>
                  <w:r>
                    <w:rPr>
                      <w:rFonts w:hint="eastAsia" w:cs="Times New Roman"/>
                      <w:bCs/>
                      <w:snapToGrid w:val="0"/>
                      <w:color w:val="000000"/>
                      <w:kern w:val="18"/>
                      <w:sz w:val="21"/>
                      <w:szCs w:val="21"/>
                      <w:lang w:val="en-US" w:eastAsia="zh-CN" w:bidi="ar-SA"/>
                    </w:rPr>
                    <w:t>加强车间密闭、加大收集效率等</w:t>
                  </w:r>
                </w:p>
              </w:tc>
              <w:tc>
                <w:tcPr>
                  <w:tcW w:w="2835" w:type="dxa"/>
                  <w:vAlign w:val="center"/>
                </w:tcPr>
                <w:p w14:paraId="3BCECDBC">
                  <w:pPr>
                    <w:pStyle w:val="44"/>
                    <w:ind w:firstLine="0" w:firstLineChars="0"/>
                    <w:rPr>
                      <w:rFonts w:hint="eastAsia" w:cs="Times New Roman"/>
                      <w:bCs/>
                      <w:snapToGrid w:val="0"/>
                      <w:color w:val="000000"/>
                      <w:kern w:val="18"/>
                      <w:sz w:val="21"/>
                      <w:szCs w:val="21"/>
                      <w:lang w:val="en-US" w:eastAsia="zh-CN" w:bidi="ar-SA"/>
                    </w:rPr>
                  </w:pPr>
                  <w:r>
                    <w:rPr>
                      <w:rFonts w:hint="eastAsia" w:cs="Times New Roman"/>
                      <w:bCs/>
                      <w:snapToGrid w:val="0"/>
                      <w:color w:val="000000"/>
                      <w:kern w:val="18"/>
                      <w:sz w:val="21"/>
                      <w:szCs w:val="21"/>
                      <w:lang w:val="en-US" w:eastAsia="zh-CN" w:bidi="ar-SA"/>
                    </w:rPr>
                    <w:t>企业边界监控点执行印刷行业挥发性有机物排放标准》</w:t>
                  </w:r>
                </w:p>
                <w:p w14:paraId="4AF37B71">
                  <w:pPr>
                    <w:pStyle w:val="44"/>
                    <w:ind w:firstLine="0" w:firstLineChars="0"/>
                    <w:rPr>
                      <w:rFonts w:hint="eastAsia" w:cs="Times New Roman"/>
                      <w:bCs/>
                      <w:snapToGrid w:val="0"/>
                      <w:color w:val="000000"/>
                      <w:kern w:val="18"/>
                      <w:sz w:val="21"/>
                      <w:szCs w:val="21"/>
                      <w:lang w:val="en-US" w:eastAsia="zh-CN" w:bidi="ar-SA"/>
                    </w:rPr>
                  </w:pPr>
                  <w:r>
                    <w:rPr>
                      <w:rFonts w:hint="eastAsia" w:cs="Times New Roman"/>
                      <w:bCs/>
                      <w:snapToGrid w:val="0"/>
                      <w:color w:val="000000"/>
                      <w:kern w:val="18"/>
                      <w:sz w:val="21"/>
                      <w:szCs w:val="21"/>
                      <w:lang w:val="en-US" w:eastAsia="zh-CN" w:bidi="ar-SA"/>
                    </w:rPr>
                    <w:t>(DB35/1784-2018)中表3企业</w:t>
                  </w:r>
                </w:p>
                <w:p w14:paraId="53DB0915">
                  <w:pPr>
                    <w:pStyle w:val="44"/>
                    <w:ind w:firstLine="0" w:firstLineChars="0"/>
                    <w:rPr>
                      <w:rFonts w:hint="eastAsia" w:cs="Times New Roman"/>
                      <w:bCs/>
                      <w:snapToGrid w:val="0"/>
                      <w:color w:val="000000"/>
                      <w:kern w:val="18"/>
                      <w:sz w:val="21"/>
                      <w:szCs w:val="21"/>
                      <w:lang w:val="en-US" w:eastAsia="zh-CN" w:bidi="ar-SA"/>
                    </w:rPr>
                  </w:pPr>
                  <w:r>
                    <w:rPr>
                      <w:rFonts w:hint="eastAsia" w:cs="Times New Roman"/>
                      <w:bCs/>
                      <w:snapToGrid w:val="0"/>
                      <w:color w:val="000000"/>
                      <w:kern w:val="18"/>
                      <w:sz w:val="21"/>
                      <w:szCs w:val="21"/>
                      <w:lang w:val="en-US" w:eastAsia="zh-CN" w:bidi="ar-SA"/>
                    </w:rPr>
                    <w:t>边界监控点(非甲烷总烃≤</w:t>
                  </w:r>
                </w:p>
                <w:p w14:paraId="1952C596">
                  <w:pPr>
                    <w:pStyle w:val="44"/>
                    <w:ind w:firstLine="0" w:firstLineChars="0"/>
                    <w:rPr>
                      <w:rFonts w:hint="eastAsia" w:cs="Times New Roman"/>
                      <w:bCs/>
                      <w:snapToGrid w:val="0"/>
                      <w:color w:val="000000"/>
                      <w:kern w:val="18"/>
                      <w:sz w:val="21"/>
                      <w:szCs w:val="21"/>
                      <w:lang w:val="en-US" w:eastAsia="zh-CN" w:bidi="ar-SA"/>
                    </w:rPr>
                  </w:pPr>
                  <w:r>
                    <w:rPr>
                      <w:rFonts w:hint="eastAsia" w:cs="Times New Roman"/>
                      <w:bCs/>
                      <w:snapToGrid w:val="0"/>
                      <w:color w:val="000000"/>
                      <w:kern w:val="18"/>
                      <w:sz w:val="21"/>
                      <w:szCs w:val="21"/>
                      <w:lang w:val="en-US" w:eastAsia="zh-CN" w:bidi="ar-SA"/>
                    </w:rPr>
                    <w:t>2.0mg/m</w:t>
                  </w:r>
                  <w:r>
                    <w:rPr>
                      <w:rFonts w:hint="eastAsia" w:cs="Times New Roman"/>
                      <w:bCs/>
                      <w:snapToGrid w:val="0"/>
                      <w:color w:val="000000"/>
                      <w:kern w:val="18"/>
                      <w:sz w:val="21"/>
                      <w:szCs w:val="21"/>
                      <w:vertAlign w:val="superscript"/>
                      <w:lang w:val="en-US" w:eastAsia="zh-CN" w:bidi="ar-SA"/>
                    </w:rPr>
                    <w:t>3</w:t>
                  </w:r>
                  <w:r>
                    <w:rPr>
                      <w:rFonts w:hint="eastAsia" w:cs="Times New Roman"/>
                      <w:bCs/>
                      <w:snapToGrid w:val="0"/>
                      <w:color w:val="000000"/>
                      <w:kern w:val="18"/>
                      <w:sz w:val="21"/>
                      <w:szCs w:val="21"/>
                      <w:lang w:val="en-US" w:eastAsia="zh-CN" w:bidi="ar-SA"/>
                    </w:rPr>
                    <w:t>)；厂内监控点执行《印刷行业挥发性有机物排放标准》(DB35/1784-2018)中表2厂区内监控点浓度限值(即非甲烷总烃≤8.0mg/m</w:t>
                  </w:r>
                  <w:r>
                    <w:rPr>
                      <w:rFonts w:hint="eastAsia" w:cs="Times New Roman"/>
                      <w:bCs/>
                      <w:snapToGrid w:val="0"/>
                      <w:color w:val="000000"/>
                      <w:kern w:val="18"/>
                      <w:sz w:val="21"/>
                      <w:szCs w:val="21"/>
                      <w:vertAlign w:val="superscript"/>
                      <w:lang w:val="en-US" w:eastAsia="zh-CN" w:bidi="ar-SA"/>
                    </w:rPr>
                    <w:t>3</w:t>
                  </w:r>
                  <w:r>
                    <w:rPr>
                      <w:rFonts w:hint="eastAsia" w:cs="Times New Roman"/>
                      <w:bCs/>
                      <w:snapToGrid w:val="0"/>
                      <w:color w:val="000000"/>
                      <w:kern w:val="18"/>
                      <w:sz w:val="21"/>
                      <w:szCs w:val="21"/>
                      <w:lang w:val="en-US" w:eastAsia="zh-CN" w:bidi="ar-SA"/>
                    </w:rPr>
                    <w:t>)；厂区内监控点任意一次浓度值执行《挥发性有机物无组织排放控制标准》(GB37822-2019)中附录A</w:t>
                  </w:r>
                </w:p>
                <w:p w14:paraId="62FB3EA8">
                  <w:pPr>
                    <w:pStyle w:val="44"/>
                    <w:ind w:firstLine="0" w:firstLineChars="0"/>
                    <w:rPr>
                      <w:rFonts w:hint="eastAsia" w:cs="Times New Roman"/>
                      <w:bCs/>
                      <w:snapToGrid w:val="0"/>
                      <w:color w:val="000000"/>
                      <w:kern w:val="18"/>
                      <w:sz w:val="21"/>
                      <w:szCs w:val="21"/>
                      <w:lang w:val="en-US" w:eastAsia="zh-CN" w:bidi="ar-SA"/>
                    </w:rPr>
                  </w:pPr>
                  <w:r>
                    <w:rPr>
                      <w:rFonts w:hint="eastAsia" w:cs="Times New Roman"/>
                      <w:bCs/>
                      <w:snapToGrid w:val="0"/>
                      <w:color w:val="000000"/>
                      <w:kern w:val="18"/>
                      <w:sz w:val="21"/>
                      <w:szCs w:val="21"/>
                      <w:lang w:val="en-US" w:eastAsia="zh-CN" w:bidi="ar-SA"/>
                    </w:rPr>
                    <w:t>表A.1特别标准限值(非甲烷总烃≤20.0mg/m</w:t>
                  </w:r>
                  <w:r>
                    <w:rPr>
                      <w:rFonts w:hint="eastAsia" w:cs="Times New Roman"/>
                      <w:bCs/>
                      <w:snapToGrid w:val="0"/>
                      <w:color w:val="000000"/>
                      <w:kern w:val="18"/>
                      <w:sz w:val="21"/>
                      <w:szCs w:val="21"/>
                      <w:vertAlign w:val="superscript"/>
                      <w:lang w:val="en-US" w:eastAsia="zh-CN" w:bidi="ar-SA"/>
                    </w:rPr>
                    <w:t>3</w:t>
                  </w:r>
                  <w:r>
                    <w:rPr>
                      <w:rFonts w:hint="eastAsia" w:cs="Times New Roman"/>
                      <w:bCs/>
                      <w:snapToGrid w:val="0"/>
                      <w:color w:val="000000"/>
                      <w:kern w:val="18"/>
                      <w:sz w:val="21"/>
                      <w:szCs w:val="21"/>
                      <w:lang w:val="en-US" w:eastAsia="zh-CN" w:bidi="ar-SA"/>
                    </w:rPr>
                    <w:t>)</w:t>
                  </w:r>
                </w:p>
              </w:tc>
              <w:tc>
                <w:tcPr>
                  <w:tcW w:w="2930" w:type="dxa"/>
                  <w:vAlign w:val="center"/>
                </w:tcPr>
                <w:p w14:paraId="5C989F34">
                  <w:pPr>
                    <w:pStyle w:val="44"/>
                    <w:ind w:firstLine="0" w:firstLineChars="0"/>
                    <w:rPr>
                      <w:rFonts w:hint="default" w:eastAsia="宋体"/>
                      <w:b/>
                      <w:color w:val="auto"/>
                      <w:lang w:val="en-US" w:eastAsia="zh-CN"/>
                    </w:rPr>
                  </w:pPr>
                  <w:r>
                    <w:rPr>
                      <w:rFonts w:hint="eastAsia"/>
                      <w:b/>
                      <w:color w:val="auto"/>
                      <w:lang w:val="en-US" w:eastAsia="zh-CN"/>
                    </w:rPr>
                    <w:t>已</w:t>
                  </w:r>
                  <w:r>
                    <w:rPr>
                      <w:b/>
                      <w:color w:val="auto"/>
                    </w:rPr>
                    <w:t>落实</w:t>
                  </w:r>
                  <w:r>
                    <w:rPr>
                      <w:rFonts w:hint="eastAsia" w:cs="Times New Roman"/>
                      <w:bCs/>
                      <w:snapToGrid w:val="0"/>
                      <w:color w:val="000000"/>
                      <w:kern w:val="18"/>
                      <w:sz w:val="21"/>
                      <w:szCs w:val="21"/>
                      <w:lang w:val="en-US" w:eastAsia="zh-CN" w:bidi="ar-SA"/>
                    </w:rPr>
                    <w:t>。印刷有机废气无组织排放控制措施已落实。根据监测结果，可达标排放。</w:t>
                  </w:r>
                </w:p>
              </w:tc>
            </w:tr>
          </w:tbl>
          <w:p w14:paraId="06D9F2CC">
            <w:pPr>
              <w:spacing w:before="48" w:beforeLines="20"/>
              <w:rPr>
                <w:b/>
                <w:bCs/>
                <w:sz w:val="32"/>
                <w:szCs w:val="32"/>
              </w:rPr>
            </w:pPr>
          </w:p>
        </w:tc>
      </w:tr>
      <w:tr w14:paraId="0271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39" w:hRule="atLeast"/>
          <w:jc w:val="center"/>
        </w:trPr>
        <w:tc>
          <w:tcPr>
            <w:tcW w:w="9242" w:type="dxa"/>
          </w:tcPr>
          <w:p w14:paraId="3275E3EF">
            <w:pPr>
              <w:rPr>
                <w:b/>
                <w:bCs/>
                <w:color w:val="auto"/>
              </w:rPr>
            </w:pPr>
            <w:r>
              <w:rPr>
                <w:b/>
                <w:bCs/>
                <w:color w:val="auto"/>
              </w:rPr>
              <w:t>审批部门审批决定：</w:t>
            </w:r>
          </w:p>
          <w:p w14:paraId="755BD15B">
            <w:pPr>
              <w:numPr>
                <w:ilvl w:val="0"/>
                <w:numId w:val="0"/>
              </w:numPr>
              <w:ind w:firstLine="480" w:firstLineChars="200"/>
              <w:rPr>
                <w:rFonts w:hint="eastAsia"/>
                <w:bCs/>
                <w:color w:val="auto"/>
              </w:rPr>
            </w:pPr>
            <w:r>
              <w:rPr>
                <w:rFonts w:hint="eastAsia"/>
                <w:bCs/>
                <w:color w:val="auto"/>
              </w:rPr>
              <w:t>你公司《年加工车载盖板玻璃80万片项目环境影响报告表》（以下简称《报告表》）收悉，我局经研究，现批复如下：</w:t>
            </w:r>
          </w:p>
          <w:p w14:paraId="49E5F254">
            <w:pPr>
              <w:numPr>
                <w:ilvl w:val="0"/>
                <w:numId w:val="0"/>
              </w:numPr>
              <w:ind w:firstLine="480" w:firstLineChars="200"/>
              <w:rPr>
                <w:rFonts w:hint="eastAsia"/>
                <w:bCs/>
                <w:color w:val="auto"/>
              </w:rPr>
            </w:pPr>
            <w:r>
              <w:rPr>
                <w:rFonts w:hint="eastAsia"/>
                <w:bCs/>
                <w:color w:val="auto"/>
              </w:rPr>
              <w:t>一、根据《报告表》评价结论，原则同意你公司年加工车载盖板玻璃80万片项目选址在福清融侨经济技术开发区（租赁福建省嘉鑫科技实业有限公司2号车间1层、4层），项目建设内容及生产规模：年加工车载盖板玻璃80万片。</w:t>
            </w:r>
          </w:p>
          <w:p w14:paraId="5BDB1283">
            <w:pPr>
              <w:numPr>
                <w:ilvl w:val="0"/>
                <w:numId w:val="0"/>
              </w:numPr>
              <w:ind w:firstLine="480" w:firstLineChars="200"/>
              <w:rPr>
                <w:rFonts w:hint="eastAsia"/>
                <w:bCs/>
                <w:color w:val="auto"/>
              </w:rPr>
            </w:pPr>
            <w:r>
              <w:rPr>
                <w:rFonts w:hint="eastAsia"/>
                <w:bCs/>
                <w:color w:val="auto"/>
              </w:rPr>
              <w:t>二、本项目建设过程应认真落实《报告表》中各项环保对策措施，并重点做好以下工作：</w:t>
            </w:r>
          </w:p>
          <w:p w14:paraId="4E50E53A">
            <w:pPr>
              <w:numPr>
                <w:ilvl w:val="0"/>
                <w:numId w:val="0"/>
              </w:numPr>
              <w:ind w:firstLine="480" w:firstLineChars="200"/>
              <w:rPr>
                <w:rFonts w:hint="eastAsia"/>
                <w:bCs/>
                <w:color w:val="auto"/>
              </w:rPr>
            </w:pPr>
            <w:r>
              <w:rPr>
                <w:rFonts w:hint="eastAsia"/>
                <w:bCs/>
                <w:color w:val="auto"/>
              </w:rPr>
              <w:t>1、雨、污水应实行分流。清洗、磨边废水经污水处理设施（处理工艺：隔油+调节池+一体化气浮）处理，生活污水经化粪池预处理，上述污水汇同纯水制备浓水通过市政污水管网排入福清黎阳水务有限公司所属融元污水处理厂处理；雨水排入市政雨水管网。</w:t>
            </w:r>
          </w:p>
          <w:p w14:paraId="7713C875">
            <w:pPr>
              <w:numPr>
                <w:ilvl w:val="0"/>
                <w:numId w:val="0"/>
              </w:numPr>
              <w:ind w:firstLine="480" w:firstLineChars="200"/>
              <w:rPr>
                <w:rFonts w:hint="eastAsia"/>
                <w:bCs/>
                <w:color w:val="auto"/>
              </w:rPr>
            </w:pPr>
            <w:r>
              <w:rPr>
                <w:rFonts w:hint="eastAsia"/>
                <w:bCs/>
                <w:color w:val="auto"/>
              </w:rPr>
              <w:t>2、本项目生产过程中产生的工艺废气应按照《报告表》提出的治理措施进行处理和排放。油墨丝印烘干废气经“集气罩+活性炭装置”处理达标后，通过15米高排气筒（DA001）排放；严格落实工艺废气无组织排放的防范措施，确保厂区内挥发性有机物无组织排放达到限值要求。</w:t>
            </w:r>
          </w:p>
          <w:p w14:paraId="04EF6217">
            <w:pPr>
              <w:numPr>
                <w:ilvl w:val="0"/>
                <w:numId w:val="0"/>
              </w:numPr>
              <w:ind w:firstLine="480" w:firstLineChars="200"/>
              <w:rPr>
                <w:rFonts w:hint="eastAsia"/>
                <w:bCs/>
                <w:color w:val="auto"/>
              </w:rPr>
            </w:pPr>
            <w:r>
              <w:rPr>
                <w:rFonts w:hint="eastAsia"/>
                <w:bCs/>
                <w:color w:val="auto"/>
              </w:rPr>
              <w:t>3、应选用低噪声型设备，并采取隔音、减震等处理，厂界噪声应达标。</w:t>
            </w:r>
          </w:p>
          <w:p w14:paraId="2C329E94">
            <w:pPr>
              <w:numPr>
                <w:ilvl w:val="0"/>
                <w:numId w:val="0"/>
              </w:numPr>
              <w:ind w:firstLine="480" w:firstLineChars="200"/>
              <w:rPr>
                <w:rFonts w:hint="eastAsia"/>
                <w:bCs/>
                <w:color w:val="auto"/>
              </w:rPr>
            </w:pPr>
            <w:r>
              <w:rPr>
                <w:rFonts w:hint="eastAsia"/>
                <w:bCs/>
                <w:color w:val="auto"/>
              </w:rPr>
              <w:t>4、固体废物应分类管理。边角料及残次品、废包装材料、废滤芯等一般工业固体废物应全部外售综合利用；废机油、废活性炭、废切削液、废硝酸钾、原料桶等危险废物应严格按照《危险废物贮存污染控制标准》（GB18597-2023）设置危险废物贮存场所并设立危险废物标识，委托有相应处置资质单位统一处置，跨省转移危险废物需经生态环境部门许可同意，省内转移危险废物应执行危险废物转移联单制度并向生态环境部门备案。生活垃圾委托环卫部门及时清理外运。</w:t>
            </w:r>
          </w:p>
          <w:p w14:paraId="527E82E5">
            <w:pPr>
              <w:numPr>
                <w:ilvl w:val="0"/>
                <w:numId w:val="0"/>
              </w:numPr>
              <w:ind w:firstLine="480" w:firstLineChars="200"/>
              <w:rPr>
                <w:rFonts w:hint="eastAsia"/>
                <w:bCs/>
                <w:color w:val="auto"/>
              </w:rPr>
            </w:pPr>
            <w:r>
              <w:rPr>
                <w:rFonts w:hint="eastAsia"/>
                <w:bCs/>
                <w:color w:val="auto"/>
              </w:rPr>
              <w:t>5、危险废物贮存场所等厂区重点区域应采用有效防渗等措施，切实防止因污水、废物扬散、流失和渗漏问题造成土壤污染，确保不对周边环境造成影响。</w:t>
            </w:r>
          </w:p>
          <w:p w14:paraId="30FFA0EF">
            <w:pPr>
              <w:numPr>
                <w:ilvl w:val="0"/>
                <w:numId w:val="0"/>
              </w:numPr>
              <w:ind w:firstLine="480" w:firstLineChars="200"/>
              <w:rPr>
                <w:rFonts w:hint="eastAsia"/>
                <w:color w:val="auto"/>
              </w:rPr>
            </w:pPr>
            <w:r>
              <w:rPr>
                <w:rFonts w:hint="eastAsia"/>
                <w:bCs/>
                <w:color w:val="auto"/>
              </w:rPr>
              <w:t>6、认真落实《报告表》提出的监测计划，发现问题，及时整改，确保环保措施落实到位，污染物经治理稳定达标，不对周边环境造成影响</w:t>
            </w:r>
            <w:r>
              <w:rPr>
                <w:rFonts w:hint="eastAsia"/>
                <w:color w:val="auto"/>
              </w:rPr>
              <w:t>。</w:t>
            </w:r>
          </w:p>
          <w:p w14:paraId="142CECA4">
            <w:pPr>
              <w:pStyle w:val="70"/>
            </w:pPr>
          </w:p>
        </w:tc>
      </w:tr>
      <w:tr w14:paraId="0AA1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39" w:hRule="atLeast"/>
          <w:jc w:val="center"/>
        </w:trPr>
        <w:tc>
          <w:tcPr>
            <w:tcW w:w="9242" w:type="dxa"/>
          </w:tcPr>
          <w:p w14:paraId="3D502780">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三、本项目应执行以下污染物排放标准和主要污染物排放总量控制：</w:t>
            </w:r>
          </w:p>
          <w:p w14:paraId="04F8B421">
            <w:pPr>
              <w:numPr>
                <w:ilvl w:val="0"/>
                <w:numId w:val="0"/>
              </w:numPr>
              <w:ind w:firstLine="480" w:firstLineChars="200"/>
              <w:rPr>
                <w:rFonts w:hint="eastAsia" w:ascii="Times New Roman" w:hAnsi="Times New Roman" w:eastAsia="宋体" w:cs="Times New Roman"/>
                <w:bCs/>
                <w:color w:val="auto"/>
                <w:lang w:eastAsia="zh-CN"/>
              </w:rPr>
            </w:pPr>
            <w:r>
              <w:rPr>
                <w:rFonts w:hint="eastAsia" w:ascii="Times New Roman" w:hAnsi="Times New Roman" w:eastAsia="宋体" w:cs="Times New Roman"/>
                <w:bCs/>
                <w:color w:val="auto"/>
              </w:rPr>
              <w:t>（一）污染物排放标准：</w:t>
            </w:r>
          </w:p>
          <w:p w14:paraId="3C63B727">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1、污水排放执行《污水综合排放标准》（GB8978-1996）表4中三级标准，其中，氨氮执行《污水排入城镇下水道水质标准》(GB/T31962-2015)表1中B级限值。</w:t>
            </w:r>
          </w:p>
          <w:p w14:paraId="28C18007">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2、工艺废气中非甲烷总烃有组织排放执行《印刷行业挥发性有机物排放标准》(DB35/1783-2018)表1标准限值；</w:t>
            </w:r>
          </w:p>
          <w:p w14:paraId="7C04FCA2">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项目厂界工艺废气中非甲烷总烃无组织排放执行《印刷行业挥发性有机物排放标准》（DB35/1784-2018）中表3企业边界监控点浓度限值；项目厂区内工艺废气中非甲烷总烃无组织排放限值执行《挥发性有机物无组织排放控制标准》（GB37822-2019）附录A的表A.1中特别排放限值的相应规定。</w:t>
            </w:r>
          </w:p>
          <w:p w14:paraId="50EA777C">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3、厂界噪声执行《工业企业厂界环境噪声排放标准》（GB12348-2008）3类限值。</w:t>
            </w:r>
          </w:p>
          <w:p w14:paraId="2F2341DA">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（二）主要污染物排放总量控制：</w:t>
            </w:r>
          </w:p>
          <w:p w14:paraId="33341D6D">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根据《报告表》关于本新建项目主要污染物排放总量计算结果为：</w:t>
            </w:r>
          </w:p>
          <w:p w14:paraId="7DDEDE3C">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化学需氧量≤0.171吨/年，氨氮≤0.017吨/年；</w:t>
            </w:r>
          </w:p>
          <w:p w14:paraId="4155CA8B">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VOCs≤0.348吨/年。</w:t>
            </w:r>
          </w:p>
          <w:p w14:paraId="126A4E11">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本项目投产前，上述排污权指标应通过总量确认并按规定要求取得。</w:t>
            </w:r>
          </w:p>
          <w:p w14:paraId="767FF122">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四、本项目应认真执行环境保护设施和主体工程同时设计、同时施工、同时投产使用制度，所配套建设的环境保护设施经验收合格，方可投入生产。</w:t>
            </w:r>
          </w:p>
          <w:p w14:paraId="20B4A155">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五、本项目环境影响评价文件批复之后如出现下述情况还应执行下列要求：</w:t>
            </w:r>
          </w:p>
          <w:p w14:paraId="33E881A4">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1、本项目的性质、规模、地点、采用的生产工艺或者防治污染、防止生态破坏的措施发生重大变动的，你公司应当重新报批环境影响评价文件。</w:t>
            </w:r>
          </w:p>
          <w:p w14:paraId="59656F56">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2、本项目环境影响评价文件自批准之日起满5年，项目方开工建设的，你公司应当报我局重新审核环境影响评价文件。</w:t>
            </w:r>
          </w:p>
          <w:p w14:paraId="61C210D5">
            <w:pPr>
              <w:numPr>
                <w:ilvl w:val="0"/>
                <w:numId w:val="0"/>
              </w:numPr>
              <w:ind w:firstLine="480" w:firstLineChars="200"/>
              <w:rPr>
                <w:rFonts w:hint="eastAsia" w:ascii="Times New Roman" w:hAnsi="Times New Roman" w:eastAsia="宋体" w:cs="Times New Roman"/>
                <w:bCs/>
                <w:color w:val="auto"/>
              </w:rPr>
            </w:pPr>
            <w:r>
              <w:rPr>
                <w:rFonts w:hint="eastAsia" w:ascii="Times New Roman" w:hAnsi="Times New Roman" w:eastAsia="宋体" w:cs="Times New Roman"/>
                <w:bCs/>
                <w:color w:val="auto"/>
              </w:rPr>
              <w:t>3、今后国家或地方出台涉及本迁建项目的新的污染物排放总量控制政策，或对现有的污染物排放总量控制政策进行调整，本迁建项目按相关新政策执行。</w:t>
            </w:r>
          </w:p>
          <w:p w14:paraId="121F0772">
            <w:pPr>
              <w:numPr>
                <w:ilvl w:val="0"/>
                <w:numId w:val="0"/>
              </w:numPr>
              <w:ind w:firstLine="480" w:firstLineChars="200"/>
              <w:rPr>
                <w:rFonts w:hint="eastAsia" w:eastAsia="宋体"/>
                <w:lang w:eastAsia="zh-CN"/>
              </w:rPr>
            </w:pPr>
            <w:r>
              <w:rPr>
                <w:rFonts w:hint="eastAsia" w:ascii="Times New Roman" w:hAnsi="Times New Roman" w:eastAsia="宋体" w:cs="Times New Roman"/>
                <w:bCs/>
                <w:color w:val="auto"/>
              </w:rPr>
              <w:t>4、今后国家或地方对涉及本迁建项目的污染物排放标准进行修订，该标准对已经批准的建设项目执行新规定有明确时限要求的，按照新规定执行</w:t>
            </w:r>
            <w:r>
              <w:rPr>
                <w:rFonts w:hint="eastAsia" w:ascii="Times New Roman" w:hAnsi="Times New Roman" w:eastAsia="宋体" w:cs="Times New Roman"/>
                <w:bCs/>
                <w:color w:val="auto"/>
                <w:lang w:eastAsia="zh-CN"/>
              </w:rPr>
              <w:t>。</w:t>
            </w:r>
          </w:p>
        </w:tc>
      </w:tr>
    </w:tbl>
    <w:p w14:paraId="7F9D2BD1">
      <w:pPr>
        <w:spacing w:before="48" w:beforeLines="20"/>
        <w:rPr>
          <w:b/>
          <w:bCs/>
        </w:rPr>
        <w:sectPr>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pPr>
    </w:p>
    <w:tbl>
      <w:tblPr>
        <w:tblStyle w:val="20"/>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0CA0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42" w:hRule="atLeast"/>
          <w:jc w:val="center"/>
        </w:trPr>
        <w:tc>
          <w:tcPr>
            <w:tcW w:w="14174" w:type="dxa"/>
          </w:tcPr>
          <w:p w14:paraId="42F203F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pPr>
            <w:r>
              <w:rPr>
                <w:rFonts w:hint="eastAsia"/>
                <w:lang w:val="en-US" w:eastAsia="zh-CN"/>
              </w:rPr>
              <w:t>对照本项目环评批复的要求</w:t>
            </w:r>
            <w:r>
              <w:t>，项目实际工程落实情况详见表4-2。</w:t>
            </w:r>
          </w:p>
          <w:p w14:paraId="719C1B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rPr>
            </w:pPr>
            <w:r>
              <w:rPr>
                <w:b/>
                <w:bCs/>
                <w:snapToGrid w:val="0"/>
                <w:lang w:bidi="en-US"/>
              </w:rPr>
              <w:t>表4-2</w:t>
            </w:r>
            <w:r>
              <w:rPr>
                <w:b/>
                <w:bCs/>
              </w:rPr>
              <w:t>环评批复落实情况</w:t>
            </w:r>
            <w:r>
              <w:rPr>
                <w:b/>
              </w:rPr>
              <w:t>一览表</w:t>
            </w:r>
          </w:p>
          <w:tbl>
            <w:tblPr>
              <w:tblStyle w:val="20"/>
              <w:tblW w:w="13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57"/>
              <w:gridCol w:w="5667"/>
              <w:gridCol w:w="1573"/>
              <w:gridCol w:w="4967"/>
              <w:gridCol w:w="277"/>
              <w:gridCol w:w="917"/>
            </w:tblGrid>
            <w:tr w14:paraId="091E6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6" w:hRule="atLeast"/>
                <w:jc w:val="center"/>
              </w:trPr>
              <w:tc>
                <w:tcPr>
                  <w:tcW w:w="557" w:type="dxa"/>
                  <w:vAlign w:val="center"/>
                </w:tcPr>
                <w:p w14:paraId="4A72D3FE">
                  <w:pPr>
                    <w:pStyle w:val="31"/>
                    <w:rPr>
                      <w:b/>
                      <w:bCs/>
                      <w:color w:val="auto"/>
                    </w:rPr>
                  </w:pPr>
                  <w:r>
                    <w:rPr>
                      <w:b/>
                      <w:bCs/>
                      <w:color w:val="auto"/>
                    </w:rPr>
                    <w:t>序号</w:t>
                  </w:r>
                </w:p>
              </w:tc>
              <w:tc>
                <w:tcPr>
                  <w:tcW w:w="5667" w:type="dxa"/>
                  <w:vAlign w:val="center"/>
                </w:tcPr>
                <w:p w14:paraId="05E91827">
                  <w:pPr>
                    <w:pStyle w:val="31"/>
                    <w:rPr>
                      <w:b/>
                      <w:bCs/>
                      <w:color w:val="auto"/>
                    </w:rPr>
                  </w:pPr>
                  <w:r>
                    <w:rPr>
                      <w:b/>
                      <w:bCs/>
                      <w:color w:val="auto"/>
                    </w:rPr>
                    <w:t>批复要求</w:t>
                  </w:r>
                </w:p>
              </w:tc>
              <w:tc>
                <w:tcPr>
                  <w:tcW w:w="6540" w:type="dxa"/>
                  <w:gridSpan w:val="2"/>
                  <w:vAlign w:val="center"/>
                </w:tcPr>
                <w:p w14:paraId="3ECD3E9D">
                  <w:pPr>
                    <w:pStyle w:val="31"/>
                    <w:rPr>
                      <w:b/>
                      <w:bCs/>
                      <w:color w:val="auto"/>
                    </w:rPr>
                  </w:pPr>
                  <w:r>
                    <w:rPr>
                      <w:b/>
                      <w:bCs/>
                      <w:color w:val="auto"/>
                    </w:rPr>
                    <w:t>验收落实情况</w:t>
                  </w:r>
                </w:p>
              </w:tc>
              <w:tc>
                <w:tcPr>
                  <w:tcW w:w="1194" w:type="dxa"/>
                  <w:gridSpan w:val="2"/>
                  <w:vAlign w:val="center"/>
                </w:tcPr>
                <w:p w14:paraId="621B194F">
                  <w:pPr>
                    <w:pStyle w:val="31"/>
                    <w:rPr>
                      <w:b/>
                      <w:bCs/>
                      <w:color w:val="auto"/>
                    </w:rPr>
                  </w:pPr>
                  <w:r>
                    <w:rPr>
                      <w:b/>
                      <w:bCs/>
                      <w:color w:val="auto"/>
                    </w:rPr>
                    <w:t>是否符合批复要求</w:t>
                  </w:r>
                </w:p>
              </w:tc>
            </w:tr>
            <w:tr w14:paraId="7A6B8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4" w:hRule="atLeast"/>
                <w:jc w:val="center"/>
              </w:trPr>
              <w:tc>
                <w:tcPr>
                  <w:tcW w:w="557" w:type="dxa"/>
                  <w:vAlign w:val="center"/>
                </w:tcPr>
                <w:p w14:paraId="0D0713AB">
                  <w:pPr>
                    <w:pStyle w:val="31"/>
                    <w:rPr>
                      <w:b/>
                      <w:bCs/>
                      <w:color w:val="auto"/>
                    </w:rPr>
                  </w:pPr>
                  <w:r>
                    <w:rPr>
                      <w:b/>
                      <w:bCs/>
                      <w:color w:val="auto"/>
                    </w:rPr>
                    <w:t>1</w:t>
                  </w:r>
                </w:p>
              </w:tc>
              <w:tc>
                <w:tcPr>
                  <w:tcW w:w="13401" w:type="dxa"/>
                  <w:gridSpan w:val="5"/>
                  <w:vAlign w:val="center"/>
                </w:tcPr>
                <w:p w14:paraId="2585C332">
                  <w:pPr>
                    <w:pStyle w:val="31"/>
                    <w:jc w:val="both"/>
                    <w:rPr>
                      <w:b/>
                      <w:bCs/>
                      <w:color w:val="auto"/>
                    </w:rPr>
                  </w:pPr>
                  <w:r>
                    <w:rPr>
                      <w:b/>
                      <w:bCs/>
                      <w:color w:val="auto"/>
                    </w:rPr>
                    <w:t>经营范围及生产规模</w:t>
                  </w:r>
                </w:p>
              </w:tc>
            </w:tr>
            <w:tr w14:paraId="29903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45" w:hRule="atLeast"/>
                <w:jc w:val="center"/>
              </w:trPr>
              <w:tc>
                <w:tcPr>
                  <w:tcW w:w="557" w:type="dxa"/>
                  <w:vAlign w:val="center"/>
                </w:tcPr>
                <w:p w14:paraId="57AE6987">
                  <w:pPr>
                    <w:pStyle w:val="31"/>
                    <w:rPr>
                      <w:color w:val="auto"/>
                    </w:rPr>
                  </w:pPr>
                  <w:r>
                    <w:rPr>
                      <w:color w:val="auto"/>
                    </w:rPr>
                    <w:t>1.1</w:t>
                  </w:r>
                </w:p>
              </w:tc>
              <w:tc>
                <w:tcPr>
                  <w:tcW w:w="5667" w:type="dxa"/>
                  <w:vAlign w:val="center"/>
                </w:tcPr>
                <w:p w14:paraId="6B562EB8">
                  <w:pPr>
                    <w:pStyle w:val="31"/>
                    <w:jc w:val="left"/>
                    <w:rPr>
                      <w:color w:val="auto"/>
                    </w:rPr>
                  </w:pPr>
                  <w:r>
                    <w:rPr>
                      <w:rFonts w:hint="eastAsia" w:ascii="Times New Roman" w:hAnsi="Times New Roman" w:eastAsia="宋体" w:cs="Times New Roman"/>
                      <w:bCs/>
                      <w:color w:val="auto"/>
                    </w:rPr>
                    <w:t>年加工车载盖板玻璃80万片</w:t>
                  </w:r>
                </w:p>
              </w:tc>
              <w:tc>
                <w:tcPr>
                  <w:tcW w:w="6540" w:type="dxa"/>
                  <w:gridSpan w:val="2"/>
                  <w:vAlign w:val="center"/>
                </w:tcPr>
                <w:p w14:paraId="564EBB39">
                  <w:pPr>
                    <w:pStyle w:val="31"/>
                    <w:jc w:val="left"/>
                    <w:rPr>
                      <w:color w:val="auto"/>
                    </w:rPr>
                  </w:pPr>
                  <w:r>
                    <w:rPr>
                      <w:b/>
                      <w:bCs/>
                      <w:color w:val="auto"/>
                    </w:rPr>
                    <w:t>已落实：</w:t>
                  </w:r>
                  <w:r>
                    <w:rPr>
                      <w:rFonts w:hint="eastAsia" w:ascii="Times New Roman" w:hAnsi="Times New Roman" w:eastAsia="宋体" w:cs="Times New Roman"/>
                      <w:bCs/>
                      <w:color w:val="auto"/>
                    </w:rPr>
                    <w:t>年加工车载盖板玻璃80万片</w:t>
                  </w:r>
                </w:p>
              </w:tc>
              <w:tc>
                <w:tcPr>
                  <w:tcW w:w="1194" w:type="dxa"/>
                  <w:gridSpan w:val="2"/>
                  <w:vAlign w:val="center"/>
                </w:tcPr>
                <w:p w14:paraId="30F3D63B">
                  <w:pPr>
                    <w:pStyle w:val="31"/>
                    <w:rPr>
                      <w:color w:val="auto"/>
                    </w:rPr>
                  </w:pPr>
                  <w:r>
                    <w:rPr>
                      <w:b/>
                      <w:bCs/>
                      <w:color w:val="auto"/>
                    </w:rPr>
                    <w:t>是</w:t>
                  </w:r>
                </w:p>
              </w:tc>
            </w:tr>
            <w:tr w14:paraId="2B97B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1" w:hRule="atLeast"/>
                <w:jc w:val="center"/>
              </w:trPr>
              <w:tc>
                <w:tcPr>
                  <w:tcW w:w="557" w:type="dxa"/>
                  <w:vAlign w:val="center"/>
                </w:tcPr>
                <w:p w14:paraId="2D74688A">
                  <w:pPr>
                    <w:pStyle w:val="31"/>
                    <w:rPr>
                      <w:color w:val="auto"/>
                    </w:rPr>
                  </w:pPr>
                  <w:r>
                    <w:rPr>
                      <w:rFonts w:hint="eastAsia"/>
                      <w:color w:val="auto"/>
                    </w:rPr>
                    <w:t>2</w:t>
                  </w:r>
                </w:p>
              </w:tc>
              <w:tc>
                <w:tcPr>
                  <w:tcW w:w="13401" w:type="dxa"/>
                  <w:gridSpan w:val="5"/>
                  <w:vAlign w:val="center"/>
                </w:tcPr>
                <w:p w14:paraId="3DD7F9B1">
                  <w:pPr>
                    <w:pStyle w:val="31"/>
                    <w:rPr>
                      <w:rFonts w:hint="default" w:eastAsia="宋体"/>
                      <w:b/>
                      <w:bCs/>
                      <w:color w:val="auto"/>
                      <w:lang w:val="en-US" w:eastAsia="zh-CN"/>
                    </w:rPr>
                  </w:pPr>
                  <w:r>
                    <w:rPr>
                      <w:rFonts w:hint="eastAsia"/>
                      <w:b/>
                      <w:bCs/>
                      <w:color w:val="auto"/>
                      <w:lang w:val="en-US" w:eastAsia="zh-CN"/>
                    </w:rPr>
                    <w:t>污染治理措施</w:t>
                  </w:r>
                </w:p>
              </w:tc>
            </w:tr>
            <w:tr w14:paraId="61980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46" w:hRule="atLeast"/>
                <w:jc w:val="center"/>
              </w:trPr>
              <w:tc>
                <w:tcPr>
                  <w:tcW w:w="557" w:type="dxa"/>
                  <w:vAlign w:val="center"/>
                </w:tcPr>
                <w:p w14:paraId="3781C31C">
                  <w:pPr>
                    <w:pStyle w:val="31"/>
                    <w:rPr>
                      <w:color w:val="auto"/>
                    </w:rPr>
                  </w:pPr>
                  <w:r>
                    <w:rPr>
                      <w:rFonts w:hint="eastAsia"/>
                      <w:color w:val="auto"/>
                    </w:rPr>
                    <w:t>2.1</w:t>
                  </w:r>
                </w:p>
              </w:tc>
              <w:tc>
                <w:tcPr>
                  <w:tcW w:w="7240" w:type="dxa"/>
                  <w:gridSpan w:val="2"/>
                  <w:vAlign w:val="center"/>
                </w:tcPr>
                <w:p w14:paraId="37F71AFA">
                  <w:pPr>
                    <w:pStyle w:val="31"/>
                    <w:jc w:val="left"/>
                    <w:rPr>
                      <w:color w:val="auto"/>
                    </w:rPr>
                  </w:pPr>
                  <w:r>
                    <w:rPr>
                      <w:rFonts w:hint="eastAsia"/>
                      <w:bCs/>
                      <w:color w:val="auto"/>
                    </w:rPr>
                    <w:t>雨、污水应实行分流。清洗、磨边废水经污水处理设施（处理工艺：隔油+调节池+一体化气浮）处理，生活污水经化粪池预处理，上述污水汇同纯水制备浓水通过市政污水管网排入福清黎阳水务有限公司所属融元污水处理厂处理；雨水排入市政雨水管网</w:t>
                  </w:r>
                </w:p>
              </w:tc>
              <w:tc>
                <w:tcPr>
                  <w:tcW w:w="5244" w:type="dxa"/>
                  <w:gridSpan w:val="2"/>
                  <w:vAlign w:val="center"/>
                </w:tcPr>
                <w:p w14:paraId="3C348FB0">
                  <w:pPr>
                    <w:pStyle w:val="31"/>
                    <w:jc w:val="both"/>
                    <w:rPr>
                      <w:b/>
                      <w:bCs/>
                      <w:color w:val="auto"/>
                    </w:rPr>
                  </w:pPr>
                  <w:r>
                    <w:rPr>
                      <w:b/>
                      <w:bCs/>
                      <w:color w:val="auto"/>
                    </w:rPr>
                    <w:t>已落实：</w:t>
                  </w:r>
                  <w:r>
                    <w:rPr>
                      <w:rFonts w:hint="eastAsia"/>
                      <w:bCs/>
                      <w:color w:val="auto"/>
                    </w:rPr>
                    <w:t>雨、污水应实行分流。清洗、磨边废水经污水处理设施（处理工艺：隔油+调节池+一体化气浮）处理，生活污水经化粪池预处理，上述污水汇同纯水制备浓水通过市政污水管网排入福清黎阳水务有限公司所属融元污水处理厂处理；雨水排入市政雨水管网</w:t>
                  </w:r>
                  <w:r>
                    <w:rPr>
                      <w:color w:val="auto"/>
                    </w:rPr>
                    <w:t>。</w:t>
                  </w:r>
                </w:p>
              </w:tc>
              <w:tc>
                <w:tcPr>
                  <w:tcW w:w="917" w:type="dxa"/>
                  <w:vAlign w:val="center"/>
                </w:tcPr>
                <w:p w14:paraId="20AE8AE4">
                  <w:pPr>
                    <w:jc w:val="center"/>
                    <w:rPr>
                      <w:b/>
                      <w:bCs/>
                      <w:color w:val="auto"/>
                      <w:sz w:val="21"/>
                      <w:szCs w:val="21"/>
                    </w:rPr>
                  </w:pPr>
                  <w:r>
                    <w:rPr>
                      <w:b/>
                      <w:bCs/>
                      <w:color w:val="auto"/>
                      <w:sz w:val="21"/>
                      <w:szCs w:val="21"/>
                    </w:rPr>
                    <w:t>是</w:t>
                  </w:r>
                </w:p>
              </w:tc>
            </w:tr>
            <w:tr w14:paraId="0301B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17" w:hRule="atLeast"/>
                <w:jc w:val="center"/>
              </w:trPr>
              <w:tc>
                <w:tcPr>
                  <w:tcW w:w="557" w:type="dxa"/>
                  <w:vAlign w:val="center"/>
                </w:tcPr>
                <w:p w14:paraId="0078016E">
                  <w:pPr>
                    <w:pStyle w:val="31"/>
                    <w:rPr>
                      <w:color w:val="auto"/>
                    </w:rPr>
                  </w:pPr>
                  <w:r>
                    <w:rPr>
                      <w:rFonts w:hint="eastAsia"/>
                      <w:color w:val="auto"/>
                    </w:rPr>
                    <w:t>2.2</w:t>
                  </w:r>
                </w:p>
              </w:tc>
              <w:tc>
                <w:tcPr>
                  <w:tcW w:w="7240" w:type="dxa"/>
                  <w:gridSpan w:val="2"/>
                  <w:vAlign w:val="center"/>
                </w:tcPr>
                <w:p w14:paraId="382853A4">
                  <w:pPr>
                    <w:pStyle w:val="31"/>
                    <w:jc w:val="left"/>
                    <w:rPr>
                      <w:color w:val="auto"/>
                    </w:rPr>
                  </w:pPr>
                  <w:r>
                    <w:rPr>
                      <w:rFonts w:hint="eastAsia"/>
                      <w:color w:val="auto"/>
                    </w:rPr>
                    <w:t>本项目生产过程中产生的工艺废气应按照《报告表》提出的治理措施进行处理和排放。油墨丝印烘干废气经“集气罩+活性炭装置”处理达标后，通过15米高排气筒（DA001）排放；严格落实工艺废气无组织排放的防范措施，确保厂区内挥发性有机物无组织排放达到限值要求</w:t>
                  </w:r>
                </w:p>
              </w:tc>
              <w:tc>
                <w:tcPr>
                  <w:tcW w:w="5244" w:type="dxa"/>
                  <w:gridSpan w:val="2"/>
                  <w:vAlign w:val="center"/>
                </w:tcPr>
                <w:p w14:paraId="60F060B6">
                  <w:pPr>
                    <w:pStyle w:val="31"/>
                    <w:jc w:val="both"/>
                    <w:rPr>
                      <w:rFonts w:hint="default" w:eastAsia="宋体"/>
                      <w:b/>
                      <w:bCs/>
                      <w:color w:val="auto"/>
                      <w:lang w:val="en-US" w:eastAsia="zh-CN"/>
                    </w:rPr>
                  </w:pPr>
                  <w:r>
                    <w:rPr>
                      <w:b/>
                      <w:bCs/>
                      <w:color w:val="auto"/>
                    </w:rPr>
                    <w:t>已落实：</w:t>
                  </w:r>
                  <w:r>
                    <w:rPr>
                      <w:rFonts w:hint="eastAsia"/>
                      <w:color w:val="auto"/>
                    </w:rPr>
                    <w:t>本项目生产过程中产生的工艺废气按照《报告表》提出的治理措施进行处理和排放。</w:t>
                  </w:r>
                  <w:r>
                    <w:rPr>
                      <w:rFonts w:hint="eastAsia"/>
                      <w:color w:val="auto"/>
                      <w:lang w:val="en-US" w:eastAsia="zh-CN"/>
                    </w:rPr>
                    <w:t>油墨丝印烘干</w:t>
                  </w:r>
                  <w:r>
                    <w:rPr>
                      <w:rFonts w:hint="eastAsia"/>
                      <w:color w:val="auto"/>
                    </w:rPr>
                    <w:t>废气经集气罩收集后，采用活性炭吸附处理达标后，通过15米高排气筒（</w:t>
                  </w:r>
                  <w:r>
                    <w:rPr>
                      <w:rFonts w:hint="eastAsia"/>
                      <w:color w:val="auto"/>
                      <w:lang w:val="en-US" w:eastAsia="zh-CN"/>
                    </w:rPr>
                    <w:t>DA001</w:t>
                  </w:r>
                  <w:r>
                    <w:rPr>
                      <w:rFonts w:hint="eastAsia"/>
                      <w:color w:val="auto"/>
                    </w:rPr>
                    <w:t>）排放；严格落实工艺废气无组织排放的防范措施，确保厂区内挥发性有机物无组织排放达到限值要求</w:t>
                  </w:r>
                  <w:r>
                    <w:rPr>
                      <w:rFonts w:hint="eastAsia"/>
                      <w:color w:val="auto"/>
                      <w:lang w:eastAsia="zh-CN"/>
                    </w:rPr>
                    <w:t>。</w:t>
                  </w:r>
                </w:p>
              </w:tc>
              <w:tc>
                <w:tcPr>
                  <w:tcW w:w="917" w:type="dxa"/>
                  <w:vAlign w:val="center"/>
                </w:tcPr>
                <w:p w14:paraId="01C49E72">
                  <w:pPr>
                    <w:jc w:val="center"/>
                    <w:rPr>
                      <w:b/>
                      <w:bCs/>
                      <w:color w:val="auto"/>
                      <w:sz w:val="21"/>
                      <w:szCs w:val="21"/>
                    </w:rPr>
                  </w:pPr>
                  <w:r>
                    <w:rPr>
                      <w:b/>
                      <w:bCs/>
                      <w:color w:val="auto"/>
                      <w:sz w:val="21"/>
                      <w:szCs w:val="21"/>
                    </w:rPr>
                    <w:t>是</w:t>
                  </w:r>
                </w:p>
              </w:tc>
            </w:tr>
            <w:tr w14:paraId="55E78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9" w:hRule="atLeast"/>
                <w:jc w:val="center"/>
              </w:trPr>
              <w:tc>
                <w:tcPr>
                  <w:tcW w:w="557" w:type="dxa"/>
                  <w:vAlign w:val="center"/>
                </w:tcPr>
                <w:p w14:paraId="0C1FA07D">
                  <w:pPr>
                    <w:pStyle w:val="31"/>
                    <w:rPr>
                      <w:color w:val="auto"/>
                    </w:rPr>
                  </w:pPr>
                  <w:r>
                    <w:rPr>
                      <w:rFonts w:hint="eastAsia"/>
                      <w:color w:val="auto"/>
                    </w:rPr>
                    <w:t>2.3</w:t>
                  </w:r>
                </w:p>
              </w:tc>
              <w:tc>
                <w:tcPr>
                  <w:tcW w:w="7240" w:type="dxa"/>
                  <w:gridSpan w:val="2"/>
                  <w:vAlign w:val="center"/>
                </w:tcPr>
                <w:p w14:paraId="7D48E804">
                  <w:pPr>
                    <w:pStyle w:val="31"/>
                    <w:jc w:val="both"/>
                    <w:rPr>
                      <w:color w:val="auto"/>
                    </w:rPr>
                  </w:pPr>
                  <w:r>
                    <w:rPr>
                      <w:rFonts w:hint="eastAsia"/>
                      <w:bCs/>
                      <w:color w:val="auto"/>
                    </w:rPr>
                    <w:t>应选用低噪声型设备，并采取隔音、减震等处理，厂界噪声应达标</w:t>
                  </w:r>
                </w:p>
              </w:tc>
              <w:tc>
                <w:tcPr>
                  <w:tcW w:w="5244" w:type="dxa"/>
                  <w:gridSpan w:val="2"/>
                  <w:vAlign w:val="center"/>
                </w:tcPr>
                <w:p w14:paraId="53DBB993">
                  <w:pPr>
                    <w:pStyle w:val="31"/>
                    <w:jc w:val="both"/>
                    <w:rPr>
                      <w:rFonts w:hint="default" w:eastAsia="宋体"/>
                      <w:b/>
                      <w:bCs/>
                      <w:color w:val="auto"/>
                      <w:lang w:val="en-US" w:eastAsia="zh-CN"/>
                    </w:rPr>
                  </w:pPr>
                  <w:r>
                    <w:rPr>
                      <w:b/>
                      <w:bCs/>
                      <w:color w:val="auto"/>
                    </w:rPr>
                    <w:t>已落实</w:t>
                  </w:r>
                  <w:r>
                    <w:rPr>
                      <w:rFonts w:hint="eastAsia"/>
                      <w:b/>
                      <w:bCs/>
                      <w:color w:val="auto"/>
                      <w:lang w:val="en-US" w:eastAsia="zh-CN"/>
                    </w:rPr>
                    <w:t>已</w:t>
                  </w:r>
                  <w:r>
                    <w:rPr>
                      <w:rFonts w:hint="eastAsia"/>
                      <w:bCs/>
                      <w:color w:val="auto"/>
                    </w:rPr>
                    <w:t>选用低噪声型设备，并采取隔音、减震等处理，厂界噪声应达标</w:t>
                  </w:r>
                </w:p>
              </w:tc>
              <w:tc>
                <w:tcPr>
                  <w:tcW w:w="917" w:type="dxa"/>
                  <w:vAlign w:val="center"/>
                </w:tcPr>
                <w:p w14:paraId="5C4CBDFE">
                  <w:pPr>
                    <w:jc w:val="center"/>
                    <w:rPr>
                      <w:b/>
                      <w:bCs/>
                      <w:color w:val="auto"/>
                      <w:sz w:val="21"/>
                      <w:szCs w:val="21"/>
                    </w:rPr>
                  </w:pPr>
                  <w:r>
                    <w:rPr>
                      <w:b/>
                      <w:bCs/>
                      <w:color w:val="auto"/>
                      <w:sz w:val="21"/>
                      <w:szCs w:val="21"/>
                    </w:rPr>
                    <w:t>是</w:t>
                  </w:r>
                </w:p>
              </w:tc>
            </w:tr>
            <w:tr w14:paraId="4DC71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9" w:hRule="atLeast"/>
                <w:jc w:val="center"/>
              </w:trPr>
              <w:tc>
                <w:tcPr>
                  <w:tcW w:w="557" w:type="dxa"/>
                  <w:vAlign w:val="center"/>
                </w:tcPr>
                <w:p w14:paraId="7FBC7D6C">
                  <w:pPr>
                    <w:pStyle w:val="31"/>
                    <w:rPr>
                      <w:color w:val="auto"/>
                    </w:rPr>
                  </w:pPr>
                  <w:r>
                    <w:rPr>
                      <w:rFonts w:hint="eastAsia"/>
                      <w:color w:val="auto"/>
                    </w:rPr>
                    <w:t>2.4</w:t>
                  </w:r>
                </w:p>
              </w:tc>
              <w:tc>
                <w:tcPr>
                  <w:tcW w:w="7240" w:type="dxa"/>
                  <w:gridSpan w:val="2"/>
                  <w:vAlign w:val="center"/>
                </w:tcPr>
                <w:p w14:paraId="1A355E91">
                  <w:pPr>
                    <w:pStyle w:val="31"/>
                    <w:jc w:val="both"/>
                    <w:rPr>
                      <w:color w:val="auto"/>
                    </w:rPr>
                  </w:pPr>
                  <w:r>
                    <w:rPr>
                      <w:rFonts w:hint="eastAsia"/>
                      <w:color w:val="auto"/>
                    </w:rPr>
                    <w:t>固体废物应分类管理。边角料及残次品、废包装材料、废滤芯等一般工业固体废物应全部外售综合利用；废机油、废活性炭、废切削液、废硝酸钾、原料桶等危险废物应严格按照《危险废物贮存污染控制标准》（GB18597-2023）设置危险废物贮存场所并设立危险废物标识，委托有相应处置资质单位统一处置，跨省转移危险废物需经生态环境部门许可同意，省内转移危险废物应执行危险废物转移联单制度并向生态环境部门备案。生活垃圾委托环卫部门及时清理外运</w:t>
                  </w:r>
                </w:p>
              </w:tc>
              <w:tc>
                <w:tcPr>
                  <w:tcW w:w="5244" w:type="dxa"/>
                  <w:gridSpan w:val="2"/>
                  <w:vAlign w:val="center"/>
                </w:tcPr>
                <w:p w14:paraId="7C9D76F1">
                  <w:pPr>
                    <w:pStyle w:val="31"/>
                    <w:jc w:val="both"/>
                    <w:rPr>
                      <w:rFonts w:hint="eastAsia" w:eastAsia="宋体"/>
                      <w:b/>
                      <w:bCs/>
                      <w:color w:val="auto"/>
                      <w:lang w:eastAsia="zh-CN"/>
                    </w:rPr>
                  </w:pPr>
                  <w:r>
                    <w:rPr>
                      <w:b/>
                      <w:bCs/>
                      <w:color w:val="auto"/>
                    </w:rPr>
                    <w:t>已落实：</w:t>
                  </w:r>
                  <w:r>
                    <w:rPr>
                      <w:rFonts w:hint="eastAsia"/>
                      <w:color w:val="auto"/>
                    </w:rPr>
                    <w:t>边角料及残次品、废包装材料、废滤芯等一般工业固体废物全部外售综合利用；废机油、废活性炭、废切削液、废硝酸钾、原料桶等危险废物严格按照《危险废物贮存污染控制标准》（GB18597-2023）设置危险废物贮存场所并设立危险废物标识，委托有相应处置资质单位统一处置</w:t>
                  </w:r>
                  <w:r>
                    <w:rPr>
                      <w:rFonts w:hint="eastAsia"/>
                      <w:color w:val="auto"/>
                      <w:lang w:eastAsia="zh-CN"/>
                    </w:rPr>
                    <w:t>。</w:t>
                  </w:r>
                </w:p>
              </w:tc>
              <w:tc>
                <w:tcPr>
                  <w:tcW w:w="917" w:type="dxa"/>
                  <w:vAlign w:val="center"/>
                </w:tcPr>
                <w:p w14:paraId="224F6E32">
                  <w:pPr>
                    <w:jc w:val="center"/>
                    <w:rPr>
                      <w:b/>
                      <w:bCs/>
                      <w:color w:val="auto"/>
                      <w:sz w:val="21"/>
                      <w:szCs w:val="21"/>
                    </w:rPr>
                  </w:pPr>
                  <w:r>
                    <w:rPr>
                      <w:b/>
                      <w:bCs/>
                      <w:color w:val="auto"/>
                      <w:sz w:val="21"/>
                      <w:szCs w:val="21"/>
                    </w:rPr>
                    <w:t>是</w:t>
                  </w:r>
                </w:p>
              </w:tc>
            </w:tr>
            <w:tr w14:paraId="035DC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6" w:hRule="atLeast"/>
                <w:jc w:val="center"/>
              </w:trPr>
              <w:tc>
                <w:tcPr>
                  <w:tcW w:w="557" w:type="dxa"/>
                  <w:vAlign w:val="center"/>
                </w:tcPr>
                <w:p w14:paraId="5081FB3A">
                  <w:pPr>
                    <w:pStyle w:val="31"/>
                    <w:rPr>
                      <w:rFonts w:hint="default" w:eastAsia="宋体"/>
                      <w:color w:val="auto"/>
                      <w:lang w:val="en-US" w:eastAsia="zh-CN"/>
                    </w:rPr>
                  </w:pPr>
                  <w:r>
                    <w:rPr>
                      <w:rFonts w:hint="eastAsia"/>
                      <w:color w:val="auto"/>
                      <w:lang w:val="en-US" w:eastAsia="zh-CN"/>
                    </w:rPr>
                    <w:t>2.5</w:t>
                  </w:r>
                </w:p>
              </w:tc>
              <w:tc>
                <w:tcPr>
                  <w:tcW w:w="7240" w:type="dxa"/>
                  <w:gridSpan w:val="2"/>
                  <w:vAlign w:val="center"/>
                </w:tcPr>
                <w:p w14:paraId="668C384C">
                  <w:pPr>
                    <w:pStyle w:val="31"/>
                    <w:jc w:val="both"/>
                    <w:rPr>
                      <w:rFonts w:hint="eastAsia" w:eastAsia="宋体"/>
                      <w:color w:val="auto"/>
                      <w:lang w:val="en-US" w:eastAsia="zh-CN"/>
                    </w:rPr>
                  </w:pPr>
                  <w:r>
                    <w:rPr>
                      <w:rFonts w:hint="eastAsia"/>
                      <w:color w:val="auto"/>
                    </w:rPr>
                    <w:t>危险废物贮存场所等厂区重点区域应采用有效防渗等措施，切实防止因污水、废物扬散、流失和渗漏问题造成土壤污染，确保不对周边环境造成影响</w:t>
                  </w:r>
                </w:p>
              </w:tc>
              <w:tc>
                <w:tcPr>
                  <w:tcW w:w="5244" w:type="dxa"/>
                  <w:gridSpan w:val="2"/>
                  <w:vAlign w:val="center"/>
                </w:tcPr>
                <w:p w14:paraId="67B923C1">
                  <w:pPr>
                    <w:pStyle w:val="31"/>
                    <w:jc w:val="both"/>
                    <w:rPr>
                      <w:rFonts w:hint="default" w:eastAsia="宋体"/>
                      <w:b/>
                      <w:bCs/>
                      <w:color w:val="auto"/>
                      <w:lang w:val="en-US" w:eastAsia="zh-CN"/>
                    </w:rPr>
                  </w:pPr>
                  <w:r>
                    <w:rPr>
                      <w:b/>
                      <w:bCs/>
                      <w:color w:val="auto"/>
                    </w:rPr>
                    <w:t>已落实：</w:t>
                  </w:r>
                  <w:r>
                    <w:rPr>
                      <w:rFonts w:hint="eastAsia"/>
                      <w:color w:val="auto"/>
                      <w:lang w:val="en-US" w:eastAsia="zh-CN"/>
                    </w:rPr>
                    <w:t>危险废物贮存间已采取防渗措施</w:t>
                  </w:r>
                  <w:r>
                    <w:rPr>
                      <w:rFonts w:hint="eastAsia"/>
                      <w:color w:val="auto"/>
                    </w:rPr>
                    <w:t>。</w:t>
                  </w:r>
                  <w:r>
                    <w:rPr>
                      <w:rFonts w:hint="eastAsia"/>
                      <w:color w:val="auto"/>
                      <w:lang w:val="en-US" w:eastAsia="zh-CN"/>
                    </w:rPr>
                    <w:t>已做好“三防”措施。</w:t>
                  </w:r>
                </w:p>
              </w:tc>
              <w:tc>
                <w:tcPr>
                  <w:tcW w:w="917" w:type="dxa"/>
                  <w:vAlign w:val="center"/>
                </w:tcPr>
                <w:p w14:paraId="5521202A">
                  <w:pPr>
                    <w:jc w:val="center"/>
                    <w:rPr>
                      <w:b/>
                      <w:bCs/>
                      <w:color w:val="auto"/>
                      <w:sz w:val="21"/>
                      <w:szCs w:val="21"/>
                    </w:rPr>
                  </w:pPr>
                </w:p>
              </w:tc>
            </w:tr>
          </w:tbl>
          <w:p w14:paraId="337ED691">
            <w:pPr>
              <w:ind w:left="480" w:leftChars="200"/>
              <w:jc w:val="left"/>
              <w:rPr>
                <w:b/>
                <w:sz w:val="21"/>
                <w:szCs w:val="21"/>
              </w:rPr>
            </w:pPr>
          </w:p>
        </w:tc>
      </w:tr>
      <w:tr w14:paraId="37D4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42" w:hRule="atLeast"/>
          <w:jc w:val="center"/>
        </w:trPr>
        <w:tc>
          <w:tcPr>
            <w:tcW w:w="14174" w:type="dxa"/>
          </w:tcPr>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55"/>
              <w:gridCol w:w="7237"/>
              <w:gridCol w:w="5242"/>
              <w:gridCol w:w="918"/>
            </w:tblGrid>
            <w:tr w14:paraId="7F01E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1" w:hRule="atLeast"/>
                <w:jc w:val="center"/>
              </w:trPr>
              <w:tc>
                <w:tcPr>
                  <w:tcW w:w="198" w:type="pct"/>
                  <w:vAlign w:val="center"/>
                </w:tcPr>
                <w:p w14:paraId="3C7B5D79">
                  <w:pPr>
                    <w:pStyle w:val="31"/>
                    <w:rPr>
                      <w:rFonts w:hint="eastAsia" w:eastAsia="宋体"/>
                      <w:color w:val="auto"/>
                      <w:lang w:eastAsia="zh-CN"/>
                    </w:rPr>
                  </w:pPr>
                  <w:r>
                    <w:rPr>
                      <w:rFonts w:hint="eastAsia"/>
                      <w:color w:val="auto"/>
                      <w:lang w:val="en-US" w:eastAsia="zh-CN"/>
                    </w:rPr>
                    <w:t>3</w:t>
                  </w:r>
                </w:p>
              </w:tc>
              <w:tc>
                <w:tcPr>
                  <w:tcW w:w="4801" w:type="pct"/>
                  <w:gridSpan w:val="3"/>
                  <w:vAlign w:val="center"/>
                </w:tcPr>
                <w:p w14:paraId="42639E7A">
                  <w:pPr>
                    <w:pStyle w:val="31"/>
                    <w:rPr>
                      <w:b/>
                      <w:bCs/>
                      <w:color w:val="auto"/>
                    </w:rPr>
                  </w:pPr>
                  <w:r>
                    <w:rPr>
                      <w:b/>
                      <w:bCs/>
                      <w:color w:val="auto"/>
                    </w:rPr>
                    <w:t>污染物排放标准</w:t>
                  </w:r>
                </w:p>
              </w:tc>
            </w:tr>
            <w:tr w14:paraId="23FB4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46" w:hRule="atLeast"/>
                <w:jc w:val="center"/>
              </w:trPr>
              <w:tc>
                <w:tcPr>
                  <w:tcW w:w="198" w:type="pct"/>
                  <w:vAlign w:val="center"/>
                </w:tcPr>
                <w:p w14:paraId="6107F5CE">
                  <w:pPr>
                    <w:pStyle w:val="31"/>
                    <w:rPr>
                      <w:color w:val="auto"/>
                    </w:rPr>
                  </w:pPr>
                  <w:r>
                    <w:rPr>
                      <w:rFonts w:hint="eastAsia"/>
                      <w:color w:val="auto"/>
                      <w:lang w:val="en-US" w:eastAsia="zh-CN"/>
                    </w:rPr>
                    <w:t>3</w:t>
                  </w:r>
                  <w:r>
                    <w:rPr>
                      <w:rFonts w:hint="eastAsia"/>
                      <w:color w:val="auto"/>
                    </w:rPr>
                    <w:t>.1</w:t>
                  </w:r>
                </w:p>
              </w:tc>
              <w:tc>
                <w:tcPr>
                  <w:tcW w:w="2593" w:type="pct"/>
                  <w:vAlign w:val="center"/>
                </w:tcPr>
                <w:p w14:paraId="23B7EF49">
                  <w:pPr>
                    <w:pStyle w:val="31"/>
                    <w:jc w:val="left"/>
                    <w:rPr>
                      <w:color w:val="auto"/>
                    </w:rPr>
                  </w:pPr>
                  <w:r>
                    <w:rPr>
                      <w:rFonts w:hint="eastAsia" w:ascii="Times New Roman" w:hAnsi="Times New Roman" w:eastAsia="宋体" w:cs="Times New Roman"/>
                      <w:bCs/>
                      <w:color w:val="auto"/>
                    </w:rPr>
                    <w:t>污水排放执行《污水综合排放标准》（GB8978-1996）表4中三级标准，其中，氨氮执行《污水排入城镇下水道水质标准》(GB/T31962-2015)表1中B级限值</w:t>
                  </w:r>
                </w:p>
              </w:tc>
              <w:tc>
                <w:tcPr>
                  <w:tcW w:w="1878" w:type="pct"/>
                  <w:vAlign w:val="center"/>
                </w:tcPr>
                <w:p w14:paraId="2E7EC57C">
                  <w:pPr>
                    <w:pStyle w:val="31"/>
                    <w:jc w:val="both"/>
                    <w:rPr>
                      <w:b/>
                      <w:bCs/>
                      <w:color w:val="auto"/>
                    </w:rPr>
                  </w:pPr>
                  <w:r>
                    <w:rPr>
                      <w:b/>
                      <w:bCs/>
                      <w:color w:val="auto"/>
                    </w:rPr>
                    <w:t>已落实：</w:t>
                  </w:r>
                  <w:r>
                    <w:rPr>
                      <w:rFonts w:hint="eastAsia"/>
                      <w:bCs/>
                      <w:color w:val="auto"/>
                      <w:lang w:val="en-US" w:eastAsia="zh-CN"/>
                    </w:rPr>
                    <w:t>根据监测结果，生活污水、生产废水排放可达到</w:t>
                  </w:r>
                  <w:r>
                    <w:rPr>
                      <w:rFonts w:hint="eastAsia" w:ascii="Times New Roman" w:hAnsi="Times New Roman" w:eastAsia="宋体" w:cs="Times New Roman"/>
                      <w:bCs/>
                      <w:color w:val="auto"/>
                    </w:rPr>
                    <w:t>《污水综合排放标准》（GB8978-1996）表4中三级标准，其中，氨氮执行《污水排入城镇下水道水质标准》(GB/T31962-2015)表1中B级限值</w:t>
                  </w:r>
                  <w:r>
                    <w:rPr>
                      <w:color w:val="auto"/>
                    </w:rPr>
                    <w:t>。</w:t>
                  </w:r>
                </w:p>
              </w:tc>
              <w:tc>
                <w:tcPr>
                  <w:tcW w:w="328" w:type="pct"/>
                  <w:vAlign w:val="center"/>
                </w:tcPr>
                <w:p w14:paraId="44825EE5">
                  <w:pPr>
                    <w:jc w:val="center"/>
                    <w:rPr>
                      <w:b/>
                      <w:bCs/>
                      <w:color w:val="auto"/>
                      <w:sz w:val="21"/>
                      <w:szCs w:val="21"/>
                    </w:rPr>
                  </w:pPr>
                  <w:r>
                    <w:rPr>
                      <w:b/>
                      <w:bCs/>
                      <w:color w:val="auto"/>
                      <w:sz w:val="21"/>
                      <w:szCs w:val="21"/>
                    </w:rPr>
                    <w:t>是</w:t>
                  </w:r>
                </w:p>
              </w:tc>
            </w:tr>
            <w:tr w14:paraId="78CDE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17" w:hRule="atLeast"/>
                <w:jc w:val="center"/>
              </w:trPr>
              <w:tc>
                <w:tcPr>
                  <w:tcW w:w="198" w:type="pct"/>
                  <w:vAlign w:val="center"/>
                </w:tcPr>
                <w:p w14:paraId="3652265D">
                  <w:pPr>
                    <w:pStyle w:val="31"/>
                    <w:rPr>
                      <w:color w:val="auto"/>
                    </w:rPr>
                  </w:pPr>
                  <w:r>
                    <w:rPr>
                      <w:rFonts w:hint="eastAsia"/>
                      <w:color w:val="auto"/>
                      <w:lang w:val="en-US" w:eastAsia="zh-CN"/>
                    </w:rPr>
                    <w:t>3</w:t>
                  </w:r>
                  <w:r>
                    <w:rPr>
                      <w:rFonts w:hint="eastAsia"/>
                      <w:color w:val="auto"/>
                    </w:rPr>
                    <w:t>.2</w:t>
                  </w:r>
                </w:p>
              </w:tc>
              <w:tc>
                <w:tcPr>
                  <w:tcW w:w="2593" w:type="pct"/>
                  <w:vAlign w:val="center"/>
                </w:tcPr>
                <w:p w14:paraId="10C059A4">
                  <w:pPr>
                    <w:pStyle w:val="31"/>
                    <w:jc w:val="left"/>
                    <w:rPr>
                      <w:rFonts w:hint="eastAsia" w:ascii="Times New Roman" w:hAnsi="Times New Roman" w:eastAsia="宋体" w:cs="Times New Roman"/>
                      <w:bCs/>
                      <w:color w:val="auto"/>
                    </w:rPr>
                  </w:pPr>
                  <w:r>
                    <w:rPr>
                      <w:rFonts w:hint="eastAsia" w:ascii="Times New Roman" w:hAnsi="Times New Roman" w:eastAsia="宋体" w:cs="Times New Roman"/>
                      <w:bCs/>
                      <w:color w:val="auto"/>
                    </w:rPr>
                    <w:t>工艺废气中非甲烷总烃有组织排放执行《印刷行业挥发性有机物排放标准》(DB35/1783-2018)表1标准限值；</w:t>
                  </w:r>
                </w:p>
                <w:p w14:paraId="4D8A5A34">
                  <w:pPr>
                    <w:pStyle w:val="31"/>
                    <w:jc w:val="left"/>
                    <w:rPr>
                      <w:color w:val="auto"/>
                    </w:rPr>
                  </w:pPr>
                  <w:r>
                    <w:rPr>
                      <w:rFonts w:hint="eastAsia" w:ascii="Times New Roman" w:hAnsi="Times New Roman" w:eastAsia="宋体" w:cs="Times New Roman"/>
                      <w:bCs/>
                      <w:color w:val="auto"/>
                    </w:rPr>
                    <w:t>项目厂界工艺废气中非甲烷总烃无组织排放执行《印刷行业挥发性有机物排放标准》（DB35/1784-2018）中表3企业边界监控点浓度限值；项目厂区内工艺废气中非甲烷总烃无组织排放限值执行《挥发性有机物无组织排放控制标准》（GB37822-2019）附录A的表A.1中特别排放限值的相应规定</w:t>
                  </w:r>
                </w:p>
              </w:tc>
              <w:tc>
                <w:tcPr>
                  <w:tcW w:w="1878" w:type="pct"/>
                  <w:vAlign w:val="center"/>
                </w:tcPr>
                <w:p w14:paraId="3AE6AE94">
                  <w:pPr>
                    <w:pStyle w:val="31"/>
                    <w:jc w:val="both"/>
                    <w:rPr>
                      <w:rFonts w:hint="eastAsia" w:eastAsia="宋体"/>
                      <w:b/>
                      <w:bCs/>
                      <w:color w:val="auto"/>
                      <w:lang w:val="en-US" w:eastAsia="zh-CN"/>
                    </w:rPr>
                  </w:pPr>
                  <w:r>
                    <w:rPr>
                      <w:b/>
                      <w:bCs/>
                      <w:color w:val="auto"/>
                    </w:rPr>
                    <w:t>已落实：</w:t>
                  </w:r>
                  <w:r>
                    <w:rPr>
                      <w:color w:val="auto"/>
                    </w:rPr>
                    <w:t>根据</w:t>
                  </w:r>
                  <w:r>
                    <w:rPr>
                      <w:rFonts w:hint="eastAsia"/>
                      <w:color w:val="auto"/>
                    </w:rPr>
                    <w:t>项目废气监测结果，</w:t>
                  </w:r>
                  <w:r>
                    <w:rPr>
                      <w:rFonts w:hint="eastAsia" w:cs="Times New Roman"/>
                      <w:bCs/>
                      <w:color w:val="auto"/>
                      <w:lang w:val="en-US" w:eastAsia="zh-CN"/>
                    </w:rPr>
                    <w:t>油墨丝印烘干</w:t>
                  </w:r>
                  <w:r>
                    <w:rPr>
                      <w:rFonts w:hint="eastAsia" w:ascii="Times New Roman" w:hAnsi="Times New Roman" w:eastAsia="宋体" w:cs="Times New Roman"/>
                      <w:bCs/>
                      <w:color w:val="auto"/>
                    </w:rPr>
                    <w:t>废气中非甲烷总烃有组织排放</w:t>
                  </w:r>
                  <w:r>
                    <w:rPr>
                      <w:rFonts w:hint="eastAsia" w:cs="Times New Roman"/>
                      <w:bCs/>
                      <w:color w:val="auto"/>
                      <w:lang w:val="en-US" w:eastAsia="zh-CN"/>
                    </w:rPr>
                    <w:t>可达到</w:t>
                  </w:r>
                  <w:r>
                    <w:rPr>
                      <w:rFonts w:hint="eastAsia" w:ascii="Times New Roman" w:hAnsi="Times New Roman" w:eastAsia="宋体" w:cs="Times New Roman"/>
                      <w:bCs/>
                      <w:color w:val="auto"/>
                    </w:rPr>
                    <w:t>《印刷行业挥发性有机物排放标准》(DB35/1783-2018)表1标准限值；项目厂界非甲烷总烃无组织排放</w:t>
                  </w:r>
                  <w:r>
                    <w:rPr>
                      <w:rFonts w:hint="eastAsia" w:cs="Times New Roman"/>
                      <w:bCs/>
                      <w:color w:val="auto"/>
                      <w:lang w:val="en-US" w:eastAsia="zh-CN"/>
                    </w:rPr>
                    <w:t>可达到</w:t>
                  </w:r>
                  <w:r>
                    <w:rPr>
                      <w:rFonts w:hint="eastAsia" w:ascii="Times New Roman" w:hAnsi="Times New Roman" w:eastAsia="宋体" w:cs="Times New Roman"/>
                      <w:bCs/>
                      <w:color w:val="auto"/>
                    </w:rPr>
                    <w:t>《《印刷行业挥发性有机物排放标准》（DB35/1784-2018）中表3企业边界监控点浓度限值；非甲烷总烃厂区内无组织排放从严</w:t>
                  </w:r>
                  <w:r>
                    <w:rPr>
                      <w:rFonts w:hint="eastAsia" w:cs="Times New Roman"/>
                      <w:bCs/>
                      <w:color w:val="auto"/>
                      <w:lang w:val="en-US" w:eastAsia="zh-CN"/>
                    </w:rPr>
                    <w:t>可达到</w:t>
                  </w:r>
                  <w:r>
                    <w:rPr>
                      <w:rFonts w:hint="eastAsia" w:ascii="Times New Roman" w:hAnsi="Times New Roman" w:eastAsia="宋体" w:cs="Times New Roman"/>
                      <w:bCs/>
                      <w:color w:val="auto"/>
                    </w:rPr>
                    <w:t>《挥发性有机物无组织排放控制标准》（GB37822-2019）附录A的表A.1中排放限值的相应规定</w:t>
                  </w:r>
                  <w:r>
                    <w:rPr>
                      <w:rFonts w:hint="eastAsia"/>
                      <w:color w:val="auto"/>
                      <w:lang w:val="en-US" w:eastAsia="zh-CN"/>
                    </w:rPr>
                    <w:t>。</w:t>
                  </w:r>
                </w:p>
              </w:tc>
              <w:tc>
                <w:tcPr>
                  <w:tcW w:w="328" w:type="pct"/>
                  <w:vAlign w:val="center"/>
                </w:tcPr>
                <w:p w14:paraId="21BA7941">
                  <w:pPr>
                    <w:jc w:val="center"/>
                    <w:rPr>
                      <w:b/>
                      <w:bCs/>
                      <w:color w:val="auto"/>
                      <w:sz w:val="21"/>
                      <w:szCs w:val="21"/>
                    </w:rPr>
                  </w:pPr>
                  <w:r>
                    <w:rPr>
                      <w:b/>
                      <w:bCs/>
                      <w:color w:val="auto"/>
                      <w:sz w:val="21"/>
                      <w:szCs w:val="21"/>
                    </w:rPr>
                    <w:t>是</w:t>
                  </w:r>
                </w:p>
              </w:tc>
            </w:tr>
            <w:tr w14:paraId="0F19F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9" w:hRule="atLeast"/>
                <w:jc w:val="center"/>
              </w:trPr>
              <w:tc>
                <w:tcPr>
                  <w:tcW w:w="198" w:type="pct"/>
                  <w:vAlign w:val="center"/>
                </w:tcPr>
                <w:p w14:paraId="59D8BDA3">
                  <w:pPr>
                    <w:pStyle w:val="31"/>
                    <w:rPr>
                      <w:color w:val="auto"/>
                    </w:rPr>
                  </w:pPr>
                  <w:r>
                    <w:rPr>
                      <w:rFonts w:hint="eastAsia"/>
                      <w:color w:val="auto"/>
                      <w:lang w:val="en-US" w:eastAsia="zh-CN"/>
                    </w:rPr>
                    <w:t>3</w:t>
                  </w:r>
                  <w:r>
                    <w:rPr>
                      <w:rFonts w:hint="eastAsia"/>
                      <w:color w:val="auto"/>
                    </w:rPr>
                    <w:t>.3</w:t>
                  </w:r>
                </w:p>
              </w:tc>
              <w:tc>
                <w:tcPr>
                  <w:tcW w:w="2593" w:type="pct"/>
                  <w:vAlign w:val="center"/>
                </w:tcPr>
                <w:p w14:paraId="54DF425D">
                  <w:pPr>
                    <w:pStyle w:val="31"/>
                    <w:jc w:val="both"/>
                    <w:rPr>
                      <w:color w:val="auto"/>
                    </w:rPr>
                  </w:pPr>
                  <w:r>
                    <w:rPr>
                      <w:rFonts w:hint="eastAsia" w:ascii="Times New Roman" w:hAnsi="Times New Roman" w:eastAsia="宋体" w:cs="Times New Roman"/>
                      <w:bCs/>
                      <w:color w:val="auto"/>
                    </w:rPr>
                    <w:t>厂界噪声执行《工业企业厂界环境噪声排放标准》（GB12348-2008）</w:t>
                  </w:r>
                  <w:r>
                    <w:rPr>
                      <w:rFonts w:hint="eastAsia" w:cs="Times New Roman"/>
                      <w:bCs/>
                      <w:color w:val="auto"/>
                      <w:lang w:val="en-US" w:eastAsia="zh-CN"/>
                    </w:rPr>
                    <w:t>3</w:t>
                  </w:r>
                  <w:r>
                    <w:rPr>
                      <w:rFonts w:hint="eastAsia" w:ascii="Times New Roman" w:hAnsi="Times New Roman" w:eastAsia="宋体" w:cs="Times New Roman"/>
                      <w:bCs/>
                      <w:color w:val="auto"/>
                    </w:rPr>
                    <w:t>类限值</w:t>
                  </w:r>
                </w:p>
              </w:tc>
              <w:tc>
                <w:tcPr>
                  <w:tcW w:w="1878" w:type="pct"/>
                  <w:vAlign w:val="center"/>
                </w:tcPr>
                <w:p w14:paraId="52F6A266">
                  <w:pPr>
                    <w:pStyle w:val="31"/>
                    <w:jc w:val="both"/>
                    <w:rPr>
                      <w:rFonts w:hint="default" w:eastAsia="宋体"/>
                      <w:b/>
                      <w:bCs/>
                      <w:color w:val="auto"/>
                      <w:lang w:val="en-US" w:eastAsia="zh-CN"/>
                    </w:rPr>
                  </w:pPr>
                  <w:r>
                    <w:rPr>
                      <w:b/>
                      <w:bCs/>
                      <w:color w:val="auto"/>
                    </w:rPr>
                    <w:t>已落实：</w:t>
                  </w:r>
                  <w:r>
                    <w:rPr>
                      <w:rFonts w:hint="eastAsia" w:ascii="Times New Roman" w:hAnsi="Times New Roman" w:eastAsia="宋体" w:cs="Times New Roman"/>
                      <w:bCs/>
                      <w:color w:val="auto"/>
                    </w:rPr>
                    <w:t>厂界噪声</w:t>
                  </w:r>
                  <w:r>
                    <w:rPr>
                      <w:rFonts w:hint="eastAsia" w:cs="Times New Roman"/>
                      <w:bCs/>
                      <w:color w:val="auto"/>
                      <w:lang w:val="en-US" w:eastAsia="zh-CN"/>
                    </w:rPr>
                    <w:t>可达到</w:t>
                  </w:r>
                  <w:r>
                    <w:rPr>
                      <w:rFonts w:hint="eastAsia" w:ascii="Times New Roman" w:hAnsi="Times New Roman" w:eastAsia="宋体" w:cs="Times New Roman"/>
                      <w:bCs/>
                      <w:color w:val="auto"/>
                    </w:rPr>
                    <w:t>《工业企业厂界环境噪声排放标准》（GB12348-2008）</w:t>
                  </w:r>
                  <w:r>
                    <w:rPr>
                      <w:rFonts w:hint="eastAsia" w:cs="Times New Roman"/>
                      <w:bCs/>
                      <w:color w:val="auto"/>
                      <w:lang w:val="en-US" w:eastAsia="zh-CN"/>
                    </w:rPr>
                    <w:t>3</w:t>
                  </w:r>
                  <w:r>
                    <w:rPr>
                      <w:rFonts w:hint="eastAsia" w:ascii="Times New Roman" w:hAnsi="Times New Roman" w:eastAsia="宋体" w:cs="Times New Roman"/>
                      <w:bCs/>
                      <w:color w:val="auto"/>
                    </w:rPr>
                    <w:t>类限值</w:t>
                  </w:r>
                  <w:r>
                    <w:rPr>
                      <w:rFonts w:hint="eastAsia"/>
                      <w:b w:val="0"/>
                      <w:bCs w:val="0"/>
                      <w:color w:val="auto"/>
                      <w:lang w:val="en-US" w:eastAsia="zh-CN"/>
                    </w:rPr>
                    <w:t>。</w:t>
                  </w:r>
                </w:p>
              </w:tc>
              <w:tc>
                <w:tcPr>
                  <w:tcW w:w="328" w:type="pct"/>
                  <w:vAlign w:val="center"/>
                </w:tcPr>
                <w:p w14:paraId="6534CB42">
                  <w:pPr>
                    <w:jc w:val="center"/>
                    <w:rPr>
                      <w:b/>
                      <w:bCs/>
                      <w:color w:val="auto"/>
                      <w:sz w:val="21"/>
                      <w:szCs w:val="21"/>
                    </w:rPr>
                  </w:pPr>
                  <w:r>
                    <w:rPr>
                      <w:b/>
                      <w:bCs/>
                      <w:color w:val="auto"/>
                      <w:sz w:val="21"/>
                      <w:szCs w:val="21"/>
                    </w:rPr>
                    <w:t>是</w:t>
                  </w:r>
                </w:p>
              </w:tc>
            </w:tr>
            <w:tr w14:paraId="3193F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9" w:hRule="atLeast"/>
                <w:jc w:val="center"/>
              </w:trPr>
              <w:tc>
                <w:tcPr>
                  <w:tcW w:w="198" w:type="pct"/>
                  <w:vAlign w:val="center"/>
                </w:tcPr>
                <w:p w14:paraId="6C5EEEAC">
                  <w:pPr>
                    <w:pStyle w:val="31"/>
                    <w:rPr>
                      <w:color w:val="auto"/>
                    </w:rPr>
                  </w:pPr>
                  <w:r>
                    <w:rPr>
                      <w:rFonts w:hint="eastAsia"/>
                      <w:color w:val="auto"/>
                      <w:lang w:val="en-US" w:eastAsia="zh-CN"/>
                    </w:rPr>
                    <w:t>3</w:t>
                  </w:r>
                  <w:r>
                    <w:rPr>
                      <w:rFonts w:hint="eastAsia"/>
                      <w:color w:val="auto"/>
                    </w:rPr>
                    <w:t>.4</w:t>
                  </w:r>
                </w:p>
              </w:tc>
              <w:tc>
                <w:tcPr>
                  <w:tcW w:w="2593" w:type="pct"/>
                  <w:vAlign w:val="center"/>
                </w:tcPr>
                <w:p w14:paraId="692C0EFC">
                  <w:pPr>
                    <w:pStyle w:val="31"/>
                    <w:jc w:val="both"/>
                    <w:rPr>
                      <w:rFonts w:hint="eastAsia"/>
                      <w:color w:val="auto"/>
                    </w:rPr>
                  </w:pPr>
                  <w:r>
                    <w:rPr>
                      <w:rFonts w:hint="eastAsia"/>
                      <w:color w:val="auto"/>
                    </w:rPr>
                    <w:t>根据《报告表》关于本新建项目主要污染物排放总量计算结果为：</w:t>
                  </w:r>
                </w:p>
                <w:p w14:paraId="55E96209">
                  <w:pPr>
                    <w:pStyle w:val="31"/>
                    <w:jc w:val="both"/>
                    <w:rPr>
                      <w:rFonts w:hint="eastAsia"/>
                      <w:color w:val="auto"/>
                    </w:rPr>
                  </w:pPr>
                  <w:r>
                    <w:rPr>
                      <w:rFonts w:hint="eastAsia"/>
                      <w:color w:val="auto"/>
                    </w:rPr>
                    <w:t>化学需氧量≤0.171吨/年，氨氮≤0.017吨/年；</w:t>
                  </w:r>
                </w:p>
                <w:p w14:paraId="6EAA86DD">
                  <w:pPr>
                    <w:pStyle w:val="31"/>
                    <w:jc w:val="both"/>
                    <w:rPr>
                      <w:color w:val="auto"/>
                    </w:rPr>
                  </w:pPr>
                  <w:r>
                    <w:rPr>
                      <w:rFonts w:hint="eastAsia"/>
                      <w:color w:val="auto"/>
                    </w:rPr>
                    <w:t>VOCs≤0.348吨/年</w:t>
                  </w:r>
                </w:p>
              </w:tc>
              <w:tc>
                <w:tcPr>
                  <w:tcW w:w="1878" w:type="pct"/>
                  <w:vAlign w:val="center"/>
                </w:tcPr>
                <w:p w14:paraId="00DA6E5F">
                  <w:pPr>
                    <w:pStyle w:val="31"/>
                    <w:jc w:val="both"/>
                    <w:rPr>
                      <w:b/>
                      <w:bCs/>
                      <w:color w:val="auto"/>
                    </w:rPr>
                  </w:pPr>
                  <w:r>
                    <w:rPr>
                      <w:b/>
                      <w:bCs/>
                      <w:color w:val="auto"/>
                    </w:rPr>
                    <w:t>已落实：</w:t>
                  </w:r>
                  <w:r>
                    <w:rPr>
                      <w:rFonts w:hint="eastAsia"/>
                      <w:b w:val="0"/>
                      <w:bCs w:val="0"/>
                      <w:color w:val="auto"/>
                      <w:lang w:val="en-US" w:eastAsia="zh-CN"/>
                    </w:rPr>
                    <w:t>根据计算，本项目VOCs排放量为0.058t/a，符合VOCs排放量≤0.384t/a控制要求。本项目工业废水COD排放量为0.0043t/a，氨氮排放量为0.0000715t/a。符合化学需氧量&lt;0.171吨/年，氨氮&lt;0.017吨/年控制要求</w:t>
                  </w:r>
                  <w:r>
                    <w:rPr>
                      <w:rFonts w:hint="eastAsia"/>
                      <w:color w:val="auto"/>
                    </w:rPr>
                    <w:t>。</w:t>
                  </w:r>
                </w:p>
              </w:tc>
              <w:tc>
                <w:tcPr>
                  <w:tcW w:w="328" w:type="pct"/>
                  <w:vAlign w:val="center"/>
                </w:tcPr>
                <w:p w14:paraId="79A9B459">
                  <w:pPr>
                    <w:jc w:val="center"/>
                    <w:rPr>
                      <w:b/>
                      <w:bCs/>
                      <w:color w:val="auto"/>
                      <w:sz w:val="21"/>
                      <w:szCs w:val="21"/>
                    </w:rPr>
                  </w:pPr>
                  <w:r>
                    <w:rPr>
                      <w:b/>
                      <w:bCs/>
                      <w:color w:val="auto"/>
                      <w:sz w:val="21"/>
                      <w:szCs w:val="21"/>
                    </w:rPr>
                    <w:t>是</w:t>
                  </w:r>
                </w:p>
              </w:tc>
            </w:tr>
          </w:tbl>
          <w:p w14:paraId="46E517AF">
            <w:pPr>
              <w:jc w:val="left"/>
              <w:rPr>
                <w:b/>
                <w:sz w:val="21"/>
                <w:szCs w:val="21"/>
              </w:rPr>
            </w:pPr>
          </w:p>
        </w:tc>
      </w:tr>
    </w:tbl>
    <w:p w14:paraId="3F167D90">
      <w:pPr>
        <w:pStyle w:val="2"/>
        <w:sectPr>
          <w:pgSz w:w="16838" w:h="11906" w:orient="landscape"/>
          <w:pgMar w:top="1383" w:right="1440" w:bottom="1327" w:left="1440" w:header="708" w:footer="709" w:gutter="0"/>
          <w:pgBorders>
            <w:top w:val="none" w:sz="0" w:space="0"/>
            <w:left w:val="none" w:sz="0" w:space="0"/>
            <w:bottom w:val="none" w:sz="0" w:space="0"/>
            <w:right w:val="none" w:sz="0" w:space="0"/>
          </w:pgBorders>
          <w:cols w:space="720" w:num="1"/>
          <w:docGrid w:linePitch="360" w:charSpace="0"/>
        </w:sectPr>
      </w:pPr>
    </w:p>
    <w:p w14:paraId="6E1E0F22">
      <w:pPr>
        <w:pStyle w:val="2"/>
      </w:pPr>
      <w:r>
        <w:t>表五</w:t>
      </w:r>
    </w:p>
    <w:tbl>
      <w:tblPr>
        <w:tblStyle w:val="20"/>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14:paraId="0B5A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73" w:hRule="atLeast"/>
          <w:jc w:val="center"/>
        </w:trPr>
        <w:tc>
          <w:tcPr>
            <w:tcW w:w="9242" w:type="dxa"/>
          </w:tcPr>
          <w:p w14:paraId="7F021F12">
            <w:pPr>
              <w:keepNext w:val="0"/>
              <w:keepLines w:val="0"/>
              <w:pageBreakBefore w:val="0"/>
              <w:kinsoku/>
              <w:wordWrap/>
              <w:overflowPunct/>
              <w:topLinePunct w:val="0"/>
              <w:autoSpaceDE/>
              <w:autoSpaceDN/>
              <w:bidi w:val="0"/>
              <w:adjustRightInd/>
              <w:snapToGrid/>
              <w:spacing w:before="48" w:beforeLines="20" w:line="240" w:lineRule="auto"/>
              <w:textAlignment w:val="auto"/>
              <w:rPr>
                <w:b/>
                <w:bCs/>
              </w:rPr>
            </w:pPr>
            <w:r>
              <w:rPr>
                <w:b/>
                <w:bCs/>
              </w:rPr>
              <w:t>验收监测质量保证及质量控制：</w:t>
            </w:r>
            <w:bookmarkStart w:id="4" w:name="_Toc505240979"/>
          </w:p>
          <w:p w14:paraId="4F282BB4">
            <w:pPr>
              <w:keepNext w:val="0"/>
              <w:keepLines w:val="0"/>
              <w:pageBreakBefore w:val="0"/>
              <w:kinsoku/>
              <w:wordWrap/>
              <w:overflowPunct/>
              <w:topLinePunct w:val="0"/>
              <w:autoSpaceDE/>
              <w:autoSpaceDN/>
              <w:bidi w:val="0"/>
              <w:adjustRightInd/>
              <w:snapToGrid/>
              <w:spacing w:before="48" w:beforeLines="20" w:line="240" w:lineRule="auto"/>
              <w:textAlignment w:val="auto"/>
              <w:rPr>
                <w:b/>
                <w:bCs/>
              </w:rPr>
            </w:pPr>
            <w:r>
              <w:rPr>
                <w:b/>
                <w:bCs/>
              </w:rPr>
              <w:t>（1）分析方法与仪器</w:t>
            </w:r>
            <w:bookmarkEnd w:id="4"/>
          </w:p>
          <w:p w14:paraId="09F69388">
            <w:pPr>
              <w:pStyle w:val="49"/>
              <w:keepNext w:val="0"/>
              <w:keepLines w:val="0"/>
              <w:pageBreakBefore w:val="0"/>
              <w:kinsoku/>
              <w:wordWrap/>
              <w:overflowPunct/>
              <w:topLinePunct w:val="0"/>
              <w:autoSpaceDE/>
              <w:autoSpaceDN/>
              <w:bidi w:val="0"/>
              <w:adjustRightInd/>
              <w:snapToGrid/>
              <w:spacing w:line="240" w:lineRule="auto"/>
              <w:textAlignment w:val="auto"/>
              <w:rPr>
                <w:rFonts w:cs="Times New Roman"/>
                <w:b/>
                <w:color w:val="auto"/>
                <w:szCs w:val="24"/>
              </w:rPr>
            </w:pPr>
            <w:r>
              <w:rPr>
                <w:rFonts w:cs="Times New Roman"/>
                <w:b/>
                <w:color w:val="auto"/>
                <w:szCs w:val="24"/>
              </w:rPr>
              <w:t>表5-1分析方法与仪器</w:t>
            </w:r>
          </w:p>
          <w:tbl>
            <w:tblPr>
              <w:tblStyle w:val="20"/>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036"/>
              <w:gridCol w:w="3848"/>
              <w:gridCol w:w="2090"/>
              <w:gridCol w:w="1214"/>
            </w:tblGrid>
            <w:tr w14:paraId="4B2F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tcBorders>
                    <w:tl2br w:val="nil"/>
                    <w:tr2bl w:val="nil"/>
                  </w:tcBorders>
                  <w:noWrap w:val="0"/>
                  <w:vAlign w:val="center"/>
                </w:tcPr>
                <w:p w14:paraId="35A6FA39">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sz w:val="21"/>
                      <w:szCs w:val="21"/>
                      <w:highlight w:val="none"/>
                      <w:lang w:eastAsia="zh-CN"/>
                    </w:rPr>
                  </w:pPr>
                  <w:r>
                    <w:rPr>
                      <w:rFonts w:hint="eastAsia" w:cs="Times New Roman"/>
                      <w:b w:val="0"/>
                      <w:bCs/>
                      <w:sz w:val="21"/>
                      <w:szCs w:val="21"/>
                      <w:highlight w:val="none"/>
                      <w:lang w:eastAsia="zh-CN"/>
                    </w:rPr>
                    <w:t>类别</w:t>
                  </w:r>
                </w:p>
              </w:tc>
              <w:tc>
                <w:tcPr>
                  <w:tcW w:w="586" w:type="pct"/>
                  <w:tcBorders>
                    <w:tl2br w:val="nil"/>
                    <w:tr2bl w:val="nil"/>
                  </w:tcBorders>
                  <w:noWrap w:val="0"/>
                  <w:vAlign w:val="center"/>
                </w:tcPr>
                <w:p w14:paraId="185DC474">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highlight w:val="none"/>
                      <w:lang w:eastAsia="zh-CN"/>
                    </w:rPr>
                    <w:t>检测项目</w:t>
                  </w:r>
                </w:p>
              </w:tc>
              <w:tc>
                <w:tcPr>
                  <w:tcW w:w="2162" w:type="pct"/>
                  <w:tcBorders>
                    <w:tl2br w:val="nil"/>
                    <w:tr2bl w:val="nil"/>
                  </w:tcBorders>
                  <w:noWrap w:val="0"/>
                  <w:vAlign w:val="center"/>
                </w:tcPr>
                <w:p w14:paraId="548F53DF">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000000"/>
                      <w:sz w:val="21"/>
                      <w:szCs w:val="21"/>
                      <w:highlight w:val="none"/>
                      <w:lang w:eastAsia="zh-CN"/>
                    </w:rPr>
                  </w:pPr>
                  <w:r>
                    <w:rPr>
                      <w:rFonts w:hint="default" w:ascii="Times New Roman" w:hAnsi="Times New Roman" w:eastAsia="宋体" w:cs="Times New Roman"/>
                      <w:b w:val="0"/>
                      <w:bCs/>
                      <w:color w:val="000000"/>
                      <w:sz w:val="21"/>
                      <w:szCs w:val="21"/>
                      <w:highlight w:val="none"/>
                      <w:lang w:eastAsia="zh-CN"/>
                    </w:rPr>
                    <w:t>方法名称</w:t>
                  </w:r>
                  <w:r>
                    <w:rPr>
                      <w:rFonts w:hint="eastAsia" w:cs="Times New Roman"/>
                      <w:b w:val="0"/>
                      <w:bCs/>
                      <w:color w:val="000000"/>
                      <w:sz w:val="21"/>
                      <w:szCs w:val="21"/>
                      <w:highlight w:val="none"/>
                      <w:lang w:val="en-US" w:eastAsia="zh-CN"/>
                    </w:rPr>
                    <w:t>/</w:t>
                  </w:r>
                  <w:r>
                    <w:rPr>
                      <w:rFonts w:hint="default" w:ascii="Times New Roman" w:hAnsi="Times New Roman" w:eastAsia="宋体" w:cs="Times New Roman"/>
                      <w:b w:val="0"/>
                      <w:bCs/>
                      <w:color w:val="000000"/>
                      <w:sz w:val="21"/>
                      <w:szCs w:val="21"/>
                      <w:highlight w:val="none"/>
                      <w:lang w:eastAsia="zh-CN"/>
                    </w:rPr>
                    <w:t>标准号</w:t>
                  </w:r>
                </w:p>
              </w:tc>
              <w:tc>
                <w:tcPr>
                  <w:tcW w:w="1148" w:type="pct"/>
                  <w:tcBorders>
                    <w:tl2br w:val="nil"/>
                    <w:tr2bl w:val="nil"/>
                  </w:tcBorders>
                  <w:noWrap w:val="0"/>
                  <w:vAlign w:val="center"/>
                </w:tcPr>
                <w:p w14:paraId="35CB51C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color w:val="000000"/>
                      <w:sz w:val="21"/>
                      <w:szCs w:val="21"/>
                      <w:highlight w:val="none"/>
                      <w:lang w:val="en-US" w:eastAsia="zh-CN"/>
                    </w:rPr>
                  </w:pPr>
                  <w:r>
                    <w:rPr>
                      <w:rFonts w:hint="eastAsia" w:cs="Times New Roman"/>
                      <w:b w:val="0"/>
                      <w:bCs/>
                      <w:color w:val="000000"/>
                      <w:sz w:val="21"/>
                      <w:szCs w:val="21"/>
                      <w:highlight w:val="none"/>
                      <w:lang w:val="en-US" w:eastAsia="zh-CN"/>
                    </w:rPr>
                    <w:t>仪器设备</w:t>
                  </w:r>
                </w:p>
              </w:tc>
              <w:tc>
                <w:tcPr>
                  <w:tcW w:w="686" w:type="pct"/>
                  <w:tcBorders>
                    <w:tl2br w:val="nil"/>
                    <w:tr2bl w:val="nil"/>
                  </w:tcBorders>
                  <w:noWrap w:val="0"/>
                  <w:vAlign w:val="center"/>
                </w:tcPr>
                <w:p w14:paraId="53B5CB4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color w:val="000000"/>
                      <w:sz w:val="21"/>
                      <w:szCs w:val="21"/>
                      <w:highlight w:val="none"/>
                      <w:lang w:val="en-US" w:eastAsia="zh-CN"/>
                    </w:rPr>
                  </w:pPr>
                  <w:r>
                    <w:rPr>
                      <w:rFonts w:hint="default" w:ascii="Times New Roman" w:hAnsi="Times New Roman" w:eastAsia="宋体" w:cs="Times New Roman"/>
                      <w:b w:val="0"/>
                      <w:bCs/>
                      <w:color w:val="000000"/>
                      <w:sz w:val="21"/>
                      <w:szCs w:val="21"/>
                      <w:highlight w:val="none"/>
                      <w:lang w:val="en-US" w:eastAsia="zh-CN"/>
                    </w:rPr>
                    <w:t>检出限</w:t>
                  </w:r>
                </w:p>
              </w:tc>
            </w:tr>
            <w:tr w14:paraId="0A15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restart"/>
                  <w:tcBorders>
                    <w:tl2br w:val="nil"/>
                    <w:tr2bl w:val="nil"/>
                  </w:tcBorders>
                  <w:noWrap w:val="0"/>
                  <w:vAlign w:val="center"/>
                </w:tcPr>
                <w:p w14:paraId="16A69D50">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废水</w:t>
                  </w:r>
                </w:p>
              </w:tc>
              <w:tc>
                <w:tcPr>
                  <w:tcW w:w="586" w:type="pct"/>
                  <w:tcBorders>
                    <w:tl2br w:val="nil"/>
                    <w:tr2bl w:val="nil"/>
                  </w:tcBorders>
                  <w:noWrap w:val="0"/>
                  <w:vAlign w:val="center"/>
                </w:tcPr>
                <w:p w14:paraId="5DE35172">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spacing w:val="-6"/>
                      <w:kern w:val="2"/>
                      <w:sz w:val="21"/>
                      <w:szCs w:val="21"/>
                      <w:lang w:val="en-US" w:eastAsia="zh-CN" w:bidi="ar-SA"/>
                    </w:rPr>
                  </w:pPr>
                  <w:r>
                    <w:rPr>
                      <w:rFonts w:hint="default" w:ascii="Times New Roman" w:hAnsi="Times New Roman" w:eastAsia="宋体" w:cs="Times New Roman"/>
                      <w:b w:val="0"/>
                      <w:color w:val="000000"/>
                      <w:sz w:val="21"/>
                      <w:szCs w:val="21"/>
                    </w:rPr>
                    <w:t>pH</w:t>
                  </w:r>
                </w:p>
              </w:tc>
              <w:tc>
                <w:tcPr>
                  <w:tcW w:w="2162" w:type="pct"/>
                  <w:tcBorders>
                    <w:tl2br w:val="nil"/>
                    <w:tr2bl w:val="nil"/>
                  </w:tcBorders>
                  <w:noWrap w:val="0"/>
                  <w:vAlign w:val="center"/>
                </w:tcPr>
                <w:p w14:paraId="1BE84674">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《水质pH值的测定电极法》</w:t>
                  </w:r>
                </w:p>
                <w:p w14:paraId="4015B3BC">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HJ1147-2020</w:t>
                  </w:r>
                </w:p>
              </w:tc>
              <w:tc>
                <w:tcPr>
                  <w:tcW w:w="1148" w:type="pct"/>
                  <w:tcBorders>
                    <w:tl2br w:val="nil"/>
                    <w:tr2bl w:val="nil"/>
                  </w:tcBorders>
                  <w:noWrap w:val="0"/>
                  <w:vAlign w:val="center"/>
                </w:tcPr>
                <w:p w14:paraId="591E6F3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便携式pH计PHB-4</w:t>
                  </w:r>
                  <w:r>
                    <w:rPr>
                      <w:rFonts w:hint="default" w:ascii="Times New Roman" w:hAnsi="Times New Roman" w:eastAsia="宋体" w:cs="Times New Roman"/>
                      <w:b w:val="0"/>
                      <w:bCs/>
                      <w:sz w:val="21"/>
                      <w:szCs w:val="21"/>
                      <w:lang w:val="en-US" w:eastAsia="zh-CN"/>
                    </w:rPr>
                    <w:t>/APT</w:t>
                  </w:r>
                  <w:r>
                    <w:rPr>
                      <w:rFonts w:hint="eastAsia" w:ascii="Times New Roman" w:hAnsi="Times New Roman" w:eastAsia="宋体" w:cs="Times New Roman"/>
                      <w:b w:val="0"/>
                      <w:bCs/>
                      <w:sz w:val="21"/>
                      <w:szCs w:val="21"/>
                      <w:lang w:val="en-US" w:eastAsia="zh-CN"/>
                    </w:rPr>
                    <w:t>X26-</w:t>
                  </w:r>
                  <w:r>
                    <w:rPr>
                      <w:rFonts w:hint="eastAsia" w:cs="Times New Roman"/>
                      <w:b w:val="0"/>
                      <w:bCs/>
                      <w:sz w:val="21"/>
                      <w:szCs w:val="21"/>
                      <w:lang w:val="en-US" w:eastAsia="zh-CN"/>
                    </w:rPr>
                    <w:t>5</w:t>
                  </w:r>
                </w:p>
              </w:tc>
              <w:tc>
                <w:tcPr>
                  <w:tcW w:w="686" w:type="pct"/>
                  <w:tcBorders>
                    <w:tl2br w:val="nil"/>
                    <w:tr2bl w:val="nil"/>
                  </w:tcBorders>
                  <w:noWrap w:val="0"/>
                  <w:vAlign w:val="center"/>
                </w:tcPr>
                <w:p w14:paraId="3C269D4B">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lang w:val="en-US" w:eastAsia="zh-CN"/>
                    </w:rPr>
                    <w:t>/</w:t>
                  </w:r>
                </w:p>
              </w:tc>
            </w:tr>
            <w:tr w14:paraId="4028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tcBorders>
                    <w:tl2br w:val="nil"/>
                    <w:tr2bl w:val="nil"/>
                  </w:tcBorders>
                  <w:noWrap w:val="0"/>
                  <w:vAlign w:val="center"/>
                </w:tcPr>
                <w:p w14:paraId="18060766">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cs="Times New Roman"/>
                      <w:b w:val="0"/>
                      <w:bCs/>
                      <w:sz w:val="21"/>
                      <w:szCs w:val="21"/>
                      <w:highlight w:val="none"/>
                      <w:lang w:val="en-US" w:eastAsia="zh-CN"/>
                    </w:rPr>
                  </w:pPr>
                </w:p>
              </w:tc>
              <w:tc>
                <w:tcPr>
                  <w:tcW w:w="586" w:type="pct"/>
                  <w:tcBorders>
                    <w:tl2br w:val="nil"/>
                    <w:tr2bl w:val="nil"/>
                  </w:tcBorders>
                  <w:noWrap w:val="0"/>
                  <w:vAlign w:val="center"/>
                </w:tcPr>
                <w:p w14:paraId="7070C2B3">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spacing w:val="-6"/>
                      <w:kern w:val="2"/>
                      <w:sz w:val="21"/>
                      <w:szCs w:val="21"/>
                      <w:lang w:val="en-US" w:eastAsia="zh-CN" w:bidi="ar-SA"/>
                    </w:rPr>
                  </w:pPr>
                  <w:r>
                    <w:rPr>
                      <w:rFonts w:hint="default" w:ascii="Times New Roman" w:hAnsi="Times New Roman" w:eastAsia="宋体" w:cs="Times New Roman"/>
                      <w:b w:val="0"/>
                      <w:spacing w:val="-6"/>
                      <w:sz w:val="21"/>
                      <w:szCs w:val="21"/>
                      <w:lang w:val="en-US" w:eastAsia="zh-CN"/>
                    </w:rPr>
                    <w:t>石油类</w:t>
                  </w:r>
                </w:p>
              </w:tc>
              <w:tc>
                <w:tcPr>
                  <w:tcW w:w="2162" w:type="pct"/>
                  <w:tcBorders>
                    <w:tl2br w:val="nil"/>
                    <w:tr2bl w:val="nil"/>
                  </w:tcBorders>
                  <w:noWrap w:val="0"/>
                  <w:vAlign w:val="center"/>
                </w:tcPr>
                <w:p w14:paraId="02C905D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《水质石油类和动植物油类的测定</w:t>
                  </w:r>
                </w:p>
                <w:p w14:paraId="4DEE0759">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红外分光光度法》HJ637-201</w:t>
                  </w:r>
                  <w:r>
                    <w:rPr>
                      <w:rFonts w:hint="eastAsia" w:ascii="Times New Roman" w:hAnsi="Times New Roman" w:eastAsia="宋体" w:cs="Times New Roman"/>
                      <w:b w:val="0"/>
                      <w:bCs/>
                      <w:sz w:val="21"/>
                      <w:szCs w:val="21"/>
                      <w:lang w:val="en-US" w:eastAsia="zh-CN"/>
                    </w:rPr>
                    <w:t>8</w:t>
                  </w:r>
                </w:p>
              </w:tc>
              <w:tc>
                <w:tcPr>
                  <w:tcW w:w="1148" w:type="pct"/>
                  <w:tcBorders>
                    <w:tl2br w:val="nil"/>
                    <w:tr2bl w:val="nil"/>
                  </w:tcBorders>
                  <w:noWrap w:val="0"/>
                  <w:vAlign w:val="center"/>
                </w:tcPr>
                <w:p w14:paraId="77184261">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红外分光测油仪</w:t>
                  </w:r>
                </w:p>
                <w:p w14:paraId="5357C8B7">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LT-21A/</w:t>
                  </w:r>
                  <w:r>
                    <w:rPr>
                      <w:rFonts w:hint="eastAsia" w:ascii="Times New Roman" w:hAnsi="Times New Roman" w:eastAsia="宋体" w:cs="Times New Roman"/>
                      <w:b w:val="0"/>
                      <w:bCs/>
                      <w:sz w:val="21"/>
                      <w:szCs w:val="21"/>
                      <w:lang w:eastAsia="zh-CN"/>
                    </w:rPr>
                    <w:t>APTS04</w:t>
                  </w:r>
                </w:p>
              </w:tc>
              <w:tc>
                <w:tcPr>
                  <w:tcW w:w="686" w:type="pct"/>
                  <w:tcBorders>
                    <w:tl2br w:val="nil"/>
                    <w:tr2bl w:val="nil"/>
                  </w:tcBorders>
                  <w:noWrap w:val="0"/>
                  <w:vAlign w:val="center"/>
                </w:tcPr>
                <w:p w14:paraId="1CECCA25">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0.0</w:t>
                  </w:r>
                  <w:r>
                    <w:rPr>
                      <w:rFonts w:hint="eastAsia" w:ascii="Times New Roman" w:hAnsi="Times New Roman" w:eastAsia="宋体" w:cs="Times New Roman"/>
                      <w:b w:val="0"/>
                      <w:bCs/>
                      <w:sz w:val="21"/>
                      <w:szCs w:val="21"/>
                      <w:lang w:val="en-US" w:eastAsia="zh-CN"/>
                    </w:rPr>
                    <w:t>6</w:t>
                  </w:r>
                  <w:r>
                    <w:rPr>
                      <w:rFonts w:hint="default" w:ascii="Times New Roman" w:hAnsi="Times New Roman" w:eastAsia="宋体" w:cs="Times New Roman"/>
                      <w:b w:val="0"/>
                      <w:bCs/>
                      <w:sz w:val="21"/>
                      <w:szCs w:val="21"/>
                    </w:rPr>
                    <w:t>mg/L</w:t>
                  </w:r>
                </w:p>
              </w:tc>
            </w:tr>
            <w:tr w14:paraId="4527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tcBorders>
                    <w:tl2br w:val="nil"/>
                    <w:tr2bl w:val="nil"/>
                  </w:tcBorders>
                  <w:noWrap w:val="0"/>
                  <w:vAlign w:val="center"/>
                </w:tcPr>
                <w:p w14:paraId="77E4321C">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cs="Times New Roman"/>
                      <w:b w:val="0"/>
                      <w:bCs/>
                      <w:sz w:val="21"/>
                      <w:szCs w:val="21"/>
                      <w:highlight w:val="none"/>
                      <w:lang w:val="en-US" w:eastAsia="zh-CN"/>
                    </w:rPr>
                  </w:pPr>
                </w:p>
              </w:tc>
              <w:tc>
                <w:tcPr>
                  <w:tcW w:w="586" w:type="pct"/>
                  <w:tcBorders>
                    <w:tl2br w:val="nil"/>
                    <w:tr2bl w:val="nil"/>
                  </w:tcBorders>
                  <w:noWrap w:val="0"/>
                  <w:vAlign w:val="center"/>
                </w:tcPr>
                <w:p w14:paraId="0DB83D0D">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spacing w:val="-6"/>
                      <w:kern w:val="2"/>
                      <w:sz w:val="21"/>
                      <w:szCs w:val="21"/>
                      <w:lang w:val="en-US" w:eastAsia="zh-CN" w:bidi="ar-SA"/>
                    </w:rPr>
                  </w:pPr>
                  <w:r>
                    <w:rPr>
                      <w:rFonts w:hint="eastAsia" w:ascii="Times New Roman" w:hAnsi="Times New Roman" w:eastAsia="宋体" w:cs="Times New Roman"/>
                      <w:b w:val="0"/>
                      <w:spacing w:val="-6"/>
                      <w:sz w:val="21"/>
                      <w:szCs w:val="21"/>
                      <w:lang w:val="en-US" w:eastAsia="zh-CN"/>
                    </w:rPr>
                    <w:t>阴离子表面活性剂</w:t>
                  </w:r>
                </w:p>
              </w:tc>
              <w:tc>
                <w:tcPr>
                  <w:tcW w:w="2162" w:type="pct"/>
                  <w:tcBorders>
                    <w:tl2br w:val="nil"/>
                    <w:tr2bl w:val="nil"/>
                  </w:tcBorders>
                  <w:noWrap w:val="0"/>
                  <w:vAlign w:val="center"/>
                </w:tcPr>
                <w:p w14:paraId="53AEC094">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kern w:val="2"/>
                      <w:sz w:val="36"/>
                      <w:szCs w:val="36"/>
                      <w:lang w:val="en-US" w:eastAsia="zh-CN" w:bidi="ar-SA"/>
                    </w:rPr>
                  </w:pPr>
                  <w:r>
                    <w:rPr>
                      <w:rFonts w:hint="default" w:ascii="Times New Roman" w:hAnsi="Times New Roman" w:eastAsia="宋体" w:cs="Times New Roman"/>
                      <w:b w:val="0"/>
                      <w:bCs/>
                      <w:sz w:val="21"/>
                      <w:szCs w:val="21"/>
                      <w:lang w:val="en-US" w:eastAsia="zh-CN"/>
                    </w:rPr>
                    <w:t>《水质阴离子表面活性剂的测定亚甲蓝分光光度法》GB</w:t>
                  </w:r>
                  <w:r>
                    <w:rPr>
                      <w:rFonts w:hint="eastAsia" w:ascii="Times New Roman" w:hAnsi="Times New Roman" w:eastAsia="宋体" w:cs="Times New Roman"/>
                      <w:b w:val="0"/>
                      <w:color w:val="000000"/>
                      <w:sz w:val="21"/>
                      <w:szCs w:val="21"/>
                      <w:lang w:val="en-US" w:eastAsia="zh-CN"/>
                    </w:rPr>
                    <w:t>/T</w:t>
                  </w:r>
                  <w:r>
                    <w:rPr>
                      <w:rFonts w:hint="default" w:ascii="Times New Roman" w:hAnsi="Times New Roman" w:eastAsia="宋体" w:cs="Times New Roman"/>
                      <w:b w:val="0"/>
                      <w:bCs/>
                      <w:sz w:val="21"/>
                      <w:szCs w:val="21"/>
                      <w:lang w:val="en-US" w:eastAsia="zh-CN"/>
                    </w:rPr>
                    <w:t>7494-</w:t>
                  </w:r>
                  <w:r>
                    <w:rPr>
                      <w:rFonts w:hint="eastAsia" w:ascii="Times New Roman" w:hAnsi="Times New Roman" w:eastAsia="宋体" w:cs="Times New Roman"/>
                      <w:b w:val="0"/>
                      <w:bCs/>
                      <w:sz w:val="21"/>
                      <w:szCs w:val="21"/>
                      <w:lang w:val="en-US" w:eastAsia="zh-CN"/>
                    </w:rPr>
                    <w:t>19</w:t>
                  </w:r>
                  <w:r>
                    <w:rPr>
                      <w:rFonts w:hint="default" w:ascii="Times New Roman" w:hAnsi="Times New Roman" w:eastAsia="宋体" w:cs="Times New Roman"/>
                      <w:b w:val="0"/>
                      <w:bCs/>
                      <w:sz w:val="21"/>
                      <w:szCs w:val="21"/>
                      <w:lang w:val="en-US" w:eastAsia="zh-CN"/>
                    </w:rPr>
                    <w:t>87</w:t>
                  </w:r>
                </w:p>
              </w:tc>
              <w:tc>
                <w:tcPr>
                  <w:tcW w:w="1148" w:type="pct"/>
                  <w:tcBorders>
                    <w:tl2br w:val="nil"/>
                    <w:tr2bl w:val="nil"/>
                  </w:tcBorders>
                  <w:noWrap w:val="0"/>
                  <w:vAlign w:val="center"/>
                </w:tcPr>
                <w:p w14:paraId="66F258E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color w:val="000000"/>
                      <w:kern w:val="2"/>
                      <w:sz w:val="21"/>
                      <w:szCs w:val="21"/>
                      <w:shd w:val="clear" w:color="auto" w:fill="auto"/>
                      <w:lang w:val="en-US" w:eastAsia="zh-CN" w:bidi="ar-SA"/>
                    </w:rPr>
                  </w:pPr>
                  <w:r>
                    <w:rPr>
                      <w:rFonts w:hint="default" w:ascii="Times New Roman" w:hAnsi="Times New Roman" w:eastAsia="宋体" w:cs="Times New Roman"/>
                      <w:b w:val="0"/>
                      <w:color w:val="000000"/>
                      <w:kern w:val="2"/>
                      <w:sz w:val="21"/>
                      <w:szCs w:val="21"/>
                      <w:shd w:val="clear" w:color="auto" w:fill="auto"/>
                      <w:lang w:val="en-US" w:eastAsia="zh-CN" w:bidi="ar-SA"/>
                    </w:rPr>
                    <w:t>紫外可见分光光度计P2/APTS20</w:t>
                  </w:r>
                </w:p>
              </w:tc>
              <w:tc>
                <w:tcPr>
                  <w:tcW w:w="686" w:type="pct"/>
                  <w:tcBorders>
                    <w:tl2br w:val="nil"/>
                    <w:tr2bl w:val="nil"/>
                  </w:tcBorders>
                  <w:noWrap w:val="0"/>
                  <w:vAlign w:val="center"/>
                </w:tcPr>
                <w:p w14:paraId="451930F2">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bCs/>
                      <w:kern w:val="2"/>
                      <w:sz w:val="36"/>
                      <w:szCs w:val="36"/>
                      <w:lang w:val="en-US" w:eastAsia="zh-CN" w:bidi="ar-SA"/>
                    </w:rPr>
                  </w:pPr>
                  <w:r>
                    <w:rPr>
                      <w:rFonts w:hint="default" w:ascii="Times New Roman" w:hAnsi="Times New Roman" w:eastAsia="宋体" w:cs="Times New Roman"/>
                      <w:b w:val="0"/>
                      <w:bCs/>
                      <w:sz w:val="21"/>
                      <w:szCs w:val="21"/>
                    </w:rPr>
                    <w:t>0.05mg/L</w:t>
                  </w:r>
                </w:p>
              </w:tc>
            </w:tr>
            <w:tr w14:paraId="6EF5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tcBorders>
                    <w:tl2br w:val="nil"/>
                    <w:tr2bl w:val="nil"/>
                  </w:tcBorders>
                  <w:noWrap w:val="0"/>
                  <w:vAlign w:val="center"/>
                </w:tcPr>
                <w:p w14:paraId="0D672D23">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cs="Times New Roman"/>
                      <w:b w:val="0"/>
                      <w:bCs/>
                      <w:sz w:val="21"/>
                      <w:szCs w:val="21"/>
                      <w:highlight w:val="none"/>
                      <w:lang w:val="en-US" w:eastAsia="zh-CN"/>
                    </w:rPr>
                  </w:pPr>
                </w:p>
              </w:tc>
              <w:tc>
                <w:tcPr>
                  <w:tcW w:w="586" w:type="pct"/>
                  <w:tcBorders>
                    <w:tl2br w:val="nil"/>
                    <w:tr2bl w:val="nil"/>
                  </w:tcBorders>
                  <w:noWrap w:val="0"/>
                  <w:vAlign w:val="center"/>
                </w:tcPr>
                <w:p w14:paraId="6E03F3DB">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spacing w:val="-6"/>
                      <w:kern w:val="2"/>
                      <w:sz w:val="21"/>
                      <w:szCs w:val="21"/>
                      <w:lang w:val="en-US" w:eastAsia="zh-CN" w:bidi="ar-SA"/>
                    </w:rPr>
                  </w:pPr>
                  <w:r>
                    <w:rPr>
                      <w:rFonts w:hint="default" w:ascii="Times New Roman" w:hAnsi="Times New Roman" w:eastAsia="宋体" w:cs="Times New Roman"/>
                      <w:b w:val="0"/>
                      <w:spacing w:val="-6"/>
                      <w:sz w:val="21"/>
                      <w:szCs w:val="21"/>
                      <w:lang w:val="en-US" w:eastAsia="zh-CN"/>
                    </w:rPr>
                    <w:t>悬浮物</w:t>
                  </w:r>
                </w:p>
              </w:tc>
              <w:tc>
                <w:tcPr>
                  <w:tcW w:w="2162" w:type="pct"/>
                  <w:tcBorders>
                    <w:tl2br w:val="nil"/>
                    <w:tr2bl w:val="nil"/>
                  </w:tcBorders>
                  <w:noWrap w:val="0"/>
                  <w:vAlign w:val="center"/>
                </w:tcPr>
                <w:p w14:paraId="1D789C3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《水质悬浮物的测定重量法》</w:t>
                  </w:r>
                </w:p>
                <w:p w14:paraId="4B5778C4">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000000"/>
                      <w:sz w:val="21"/>
                      <w:szCs w:val="21"/>
                    </w:rPr>
                    <w:t>GB</w:t>
                  </w:r>
                  <w:r>
                    <w:rPr>
                      <w:rFonts w:hint="default" w:ascii="Times New Roman" w:hAnsi="Times New Roman" w:eastAsia="宋体" w:cs="Times New Roman"/>
                      <w:b w:val="0"/>
                      <w:bCs/>
                      <w:color w:val="000000"/>
                      <w:sz w:val="21"/>
                      <w:szCs w:val="21"/>
                      <w:lang w:val="en-US" w:eastAsia="zh-CN"/>
                    </w:rPr>
                    <w:t>/T</w:t>
                  </w:r>
                  <w:r>
                    <w:rPr>
                      <w:rFonts w:hint="default" w:ascii="Times New Roman" w:hAnsi="Times New Roman" w:eastAsia="宋体" w:cs="Times New Roman"/>
                      <w:b w:val="0"/>
                      <w:bCs/>
                      <w:color w:val="000000"/>
                      <w:sz w:val="21"/>
                      <w:szCs w:val="21"/>
                    </w:rPr>
                    <w:t>11901-</w:t>
                  </w:r>
                  <w:r>
                    <w:rPr>
                      <w:rFonts w:hint="default" w:ascii="Times New Roman" w:hAnsi="Times New Roman" w:eastAsia="宋体" w:cs="Times New Roman"/>
                      <w:b w:val="0"/>
                      <w:bCs/>
                      <w:color w:val="000000"/>
                      <w:sz w:val="21"/>
                      <w:szCs w:val="21"/>
                      <w:lang w:val="en-US" w:eastAsia="zh-CN"/>
                    </w:rPr>
                    <w:t>19</w:t>
                  </w:r>
                  <w:r>
                    <w:rPr>
                      <w:rFonts w:hint="default" w:ascii="Times New Roman" w:hAnsi="Times New Roman" w:eastAsia="宋体" w:cs="Times New Roman"/>
                      <w:b w:val="0"/>
                      <w:bCs/>
                      <w:color w:val="000000"/>
                      <w:sz w:val="21"/>
                      <w:szCs w:val="21"/>
                    </w:rPr>
                    <w:t>89</w:t>
                  </w:r>
                </w:p>
              </w:tc>
              <w:tc>
                <w:tcPr>
                  <w:tcW w:w="1148" w:type="pct"/>
                  <w:tcBorders>
                    <w:tl2br w:val="nil"/>
                    <w:tr2bl w:val="nil"/>
                  </w:tcBorders>
                  <w:noWrap w:val="0"/>
                  <w:vAlign w:val="center"/>
                </w:tcPr>
                <w:p w14:paraId="28A4FF1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color w:val="000000"/>
                      <w:sz w:val="21"/>
                      <w:szCs w:val="21"/>
                      <w:shd w:val="clear" w:color="auto" w:fill="auto"/>
                      <w:lang w:eastAsia="zh-CN"/>
                    </w:rPr>
                  </w:pPr>
                  <w:r>
                    <w:rPr>
                      <w:rFonts w:hint="default" w:ascii="Times New Roman" w:hAnsi="Times New Roman" w:eastAsia="宋体" w:cs="Times New Roman"/>
                      <w:b w:val="0"/>
                      <w:bCs/>
                      <w:color w:val="000000"/>
                      <w:sz w:val="21"/>
                      <w:szCs w:val="21"/>
                      <w:shd w:val="clear" w:color="auto" w:fill="auto"/>
                      <w:lang w:eastAsia="zh-CN"/>
                    </w:rPr>
                    <w:t>分析天平</w:t>
                  </w:r>
                </w:p>
                <w:p w14:paraId="094C587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bCs/>
                      <w:color w:val="000000"/>
                      <w:sz w:val="21"/>
                      <w:szCs w:val="21"/>
                      <w:shd w:val="clear" w:color="auto" w:fill="auto"/>
                      <w:lang w:eastAsia="zh-CN"/>
                    </w:rPr>
                    <w:t>ME204E/02/APTS22</w:t>
                  </w:r>
                </w:p>
              </w:tc>
              <w:tc>
                <w:tcPr>
                  <w:tcW w:w="686" w:type="pct"/>
                  <w:tcBorders>
                    <w:tl2br w:val="nil"/>
                    <w:tr2bl w:val="nil"/>
                  </w:tcBorders>
                  <w:noWrap w:val="0"/>
                  <w:vAlign w:val="center"/>
                </w:tcPr>
                <w:p w14:paraId="09E0593B">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color w:val="000000"/>
                      <w:sz w:val="21"/>
                      <w:szCs w:val="21"/>
                      <w:lang w:val="en-US" w:eastAsia="zh-CN"/>
                    </w:rPr>
                    <w:t>/</w:t>
                  </w:r>
                </w:p>
              </w:tc>
            </w:tr>
            <w:tr w14:paraId="2D65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tcBorders>
                    <w:tl2br w:val="nil"/>
                    <w:tr2bl w:val="nil"/>
                  </w:tcBorders>
                  <w:noWrap w:val="0"/>
                  <w:vAlign w:val="center"/>
                </w:tcPr>
                <w:p w14:paraId="4F444574">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cs="Times New Roman"/>
                      <w:b w:val="0"/>
                      <w:bCs/>
                      <w:sz w:val="21"/>
                      <w:szCs w:val="21"/>
                      <w:highlight w:val="none"/>
                      <w:lang w:eastAsia="zh-CN"/>
                    </w:rPr>
                  </w:pPr>
                </w:p>
              </w:tc>
              <w:tc>
                <w:tcPr>
                  <w:tcW w:w="586" w:type="pct"/>
                  <w:tcBorders>
                    <w:tl2br w:val="nil"/>
                    <w:tr2bl w:val="nil"/>
                  </w:tcBorders>
                  <w:noWrap w:val="0"/>
                  <w:vAlign w:val="center"/>
                </w:tcPr>
                <w:p w14:paraId="012D8991">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氨氮</w:t>
                  </w:r>
                </w:p>
              </w:tc>
              <w:tc>
                <w:tcPr>
                  <w:tcW w:w="2162" w:type="pct"/>
                  <w:tcBorders>
                    <w:tl2br w:val="nil"/>
                    <w:tr2bl w:val="nil"/>
                  </w:tcBorders>
                  <w:noWrap w:val="0"/>
                  <w:vAlign w:val="center"/>
                </w:tcPr>
                <w:p w14:paraId="3D6052A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《水质氨氮</w:t>
                  </w:r>
                  <w:r>
                    <w:rPr>
                      <w:rFonts w:hint="default" w:ascii="Times New Roman" w:hAnsi="Times New Roman" w:eastAsia="宋体" w:cs="Times New Roman"/>
                      <w:b w:val="0"/>
                      <w:color w:val="000000"/>
                      <w:kern w:val="0"/>
                      <w:sz w:val="21"/>
                      <w:szCs w:val="21"/>
                    </w:rPr>
                    <w:t>的测定</w:t>
                  </w:r>
                  <w:r>
                    <w:rPr>
                      <w:rFonts w:hint="default" w:ascii="Times New Roman" w:hAnsi="Times New Roman" w:eastAsia="宋体" w:cs="Times New Roman"/>
                      <w:b w:val="0"/>
                      <w:bCs/>
                      <w:color w:val="000000"/>
                      <w:sz w:val="21"/>
                      <w:szCs w:val="21"/>
                    </w:rPr>
                    <w:t>纳氏试剂</w:t>
                  </w:r>
                  <w:r>
                    <w:rPr>
                      <w:rFonts w:hint="default" w:ascii="Times New Roman" w:hAnsi="Times New Roman" w:eastAsia="宋体" w:cs="Times New Roman"/>
                      <w:b w:val="0"/>
                      <w:bCs/>
                      <w:color w:val="000000"/>
                      <w:sz w:val="21"/>
                      <w:szCs w:val="21"/>
                      <w:lang w:val="en-US" w:eastAsia="zh-CN"/>
                    </w:rPr>
                    <w:t>分光</w:t>
                  </w:r>
                  <w:r>
                    <w:rPr>
                      <w:rFonts w:hint="default" w:ascii="Times New Roman" w:hAnsi="Times New Roman" w:eastAsia="宋体" w:cs="Times New Roman"/>
                      <w:b w:val="0"/>
                      <w:bCs/>
                      <w:color w:val="000000"/>
                      <w:sz w:val="21"/>
                      <w:szCs w:val="21"/>
                    </w:rPr>
                    <w:t>光度法》HJ535-2009</w:t>
                  </w:r>
                </w:p>
              </w:tc>
              <w:tc>
                <w:tcPr>
                  <w:tcW w:w="1148" w:type="pct"/>
                  <w:tcBorders>
                    <w:tl2br w:val="nil"/>
                    <w:tr2bl w:val="nil"/>
                  </w:tcBorders>
                  <w:noWrap w:val="0"/>
                  <w:vAlign w:val="center"/>
                </w:tcPr>
                <w:p w14:paraId="699DEEF3">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2"/>
                      <w:sz w:val="21"/>
                      <w:szCs w:val="21"/>
                      <w:shd w:val="clear" w:color="auto" w:fill="auto"/>
                      <w:lang w:val="en-US" w:eastAsia="zh-CN" w:bidi="ar-SA"/>
                    </w:rPr>
                  </w:pPr>
                  <w:r>
                    <w:rPr>
                      <w:rFonts w:hint="default" w:ascii="Times New Roman" w:hAnsi="Times New Roman" w:eastAsia="宋体" w:cs="Times New Roman"/>
                      <w:b w:val="0"/>
                      <w:color w:val="000000"/>
                      <w:kern w:val="2"/>
                      <w:sz w:val="21"/>
                      <w:szCs w:val="21"/>
                      <w:shd w:val="clear" w:color="auto" w:fill="auto"/>
                      <w:lang w:val="en-US" w:eastAsia="zh-CN" w:bidi="ar-SA"/>
                    </w:rPr>
                    <w:t>紫外可见分光光度计P2/</w:t>
                  </w:r>
                  <w:r>
                    <w:rPr>
                      <w:rFonts w:hint="default" w:ascii="Times New Roman" w:hAnsi="Times New Roman" w:eastAsia="宋体" w:cs="Times New Roman"/>
                      <w:b w:val="0"/>
                      <w:bCs/>
                      <w:kern w:val="2"/>
                      <w:sz w:val="21"/>
                      <w:szCs w:val="21"/>
                      <w:shd w:val="clear" w:color="auto" w:fill="auto"/>
                      <w:lang w:eastAsia="zh-CN"/>
                    </w:rPr>
                    <w:t>APTS</w:t>
                  </w:r>
                  <w:r>
                    <w:rPr>
                      <w:rFonts w:hint="default" w:ascii="Times New Roman" w:hAnsi="Times New Roman" w:eastAsia="宋体" w:cs="Times New Roman"/>
                      <w:b w:val="0"/>
                      <w:bCs/>
                      <w:kern w:val="2"/>
                      <w:sz w:val="21"/>
                      <w:szCs w:val="21"/>
                      <w:shd w:val="clear" w:color="auto" w:fill="auto"/>
                      <w:lang w:val="en-US" w:eastAsia="zh-CN"/>
                    </w:rPr>
                    <w:t>20</w:t>
                  </w:r>
                </w:p>
              </w:tc>
              <w:tc>
                <w:tcPr>
                  <w:tcW w:w="686" w:type="pct"/>
                  <w:tcBorders>
                    <w:tl2br w:val="nil"/>
                    <w:tr2bl w:val="nil"/>
                  </w:tcBorders>
                  <w:noWrap w:val="0"/>
                  <w:vAlign w:val="center"/>
                </w:tcPr>
                <w:p w14:paraId="5D21AD87">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0.025mg/L</w:t>
                  </w:r>
                </w:p>
              </w:tc>
            </w:tr>
            <w:tr w14:paraId="7CD7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tcBorders>
                    <w:tl2br w:val="nil"/>
                    <w:tr2bl w:val="nil"/>
                  </w:tcBorders>
                  <w:noWrap w:val="0"/>
                  <w:vAlign w:val="center"/>
                </w:tcPr>
                <w:p w14:paraId="4675EFAC">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sz w:val="21"/>
                      <w:szCs w:val="21"/>
                      <w:highlight w:val="none"/>
                      <w:lang w:eastAsia="zh-CN"/>
                    </w:rPr>
                  </w:pPr>
                </w:p>
              </w:tc>
              <w:tc>
                <w:tcPr>
                  <w:tcW w:w="586" w:type="pct"/>
                  <w:tcBorders>
                    <w:tl2br w:val="nil"/>
                    <w:tr2bl w:val="nil"/>
                  </w:tcBorders>
                  <w:noWrap w:val="0"/>
                  <w:vAlign w:val="center"/>
                </w:tcPr>
                <w:p w14:paraId="7C14CFD2">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化学需氧量</w:t>
                  </w:r>
                </w:p>
              </w:tc>
              <w:tc>
                <w:tcPr>
                  <w:tcW w:w="2162" w:type="pct"/>
                  <w:tcBorders>
                    <w:tl2br w:val="nil"/>
                    <w:tr2bl w:val="nil"/>
                  </w:tcBorders>
                  <w:noWrap w:val="0"/>
                  <w:vAlign w:val="center"/>
                </w:tcPr>
                <w:p w14:paraId="375BFDB3">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《水质化学需氧量的测定重铬酸盐法》HJ828-2017</w:t>
                  </w:r>
                </w:p>
              </w:tc>
              <w:tc>
                <w:tcPr>
                  <w:tcW w:w="1148" w:type="pct"/>
                  <w:tcBorders>
                    <w:tl2br w:val="nil"/>
                    <w:tr2bl w:val="nil"/>
                  </w:tcBorders>
                  <w:noWrap w:val="0"/>
                  <w:vAlign w:val="center"/>
                </w:tcPr>
                <w:p w14:paraId="4DA4D4E7">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酸式滴定管</w:t>
                  </w:r>
                </w:p>
                <w:p w14:paraId="1DDFCD6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50mL/APTS59</w:t>
                  </w:r>
                </w:p>
              </w:tc>
              <w:tc>
                <w:tcPr>
                  <w:tcW w:w="686" w:type="pct"/>
                  <w:tcBorders>
                    <w:tl2br w:val="nil"/>
                    <w:tr2bl w:val="nil"/>
                  </w:tcBorders>
                  <w:noWrap w:val="0"/>
                  <w:vAlign w:val="center"/>
                </w:tcPr>
                <w:p w14:paraId="7137BE91">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4mg/L</w:t>
                  </w:r>
                </w:p>
              </w:tc>
            </w:tr>
            <w:tr w14:paraId="56C0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tcBorders>
                    <w:tl2br w:val="nil"/>
                    <w:tr2bl w:val="nil"/>
                  </w:tcBorders>
                  <w:noWrap w:val="0"/>
                  <w:vAlign w:val="center"/>
                </w:tcPr>
                <w:p w14:paraId="4612BCD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sz w:val="21"/>
                      <w:szCs w:val="21"/>
                      <w:highlight w:val="none"/>
                      <w:lang w:val="en-US" w:eastAsia="zh-CN"/>
                    </w:rPr>
                  </w:pPr>
                </w:p>
              </w:tc>
              <w:tc>
                <w:tcPr>
                  <w:tcW w:w="586" w:type="pct"/>
                  <w:tcBorders>
                    <w:tl2br w:val="nil"/>
                    <w:tr2bl w:val="nil"/>
                  </w:tcBorders>
                  <w:noWrap w:val="0"/>
                  <w:vAlign w:val="center"/>
                </w:tcPr>
                <w:p w14:paraId="095E409C">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五日生化需氧量</w:t>
                  </w:r>
                </w:p>
              </w:tc>
              <w:tc>
                <w:tcPr>
                  <w:tcW w:w="2162" w:type="pct"/>
                  <w:tcBorders>
                    <w:tl2br w:val="nil"/>
                    <w:tr2bl w:val="nil"/>
                  </w:tcBorders>
                  <w:noWrap w:val="0"/>
                  <w:vAlign w:val="center"/>
                </w:tcPr>
                <w:p w14:paraId="1E10836A">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val="0"/>
                      <w:color w:val="000000"/>
                      <w:sz w:val="21"/>
                      <w:szCs w:val="21"/>
                    </w:rPr>
                    <w:t>《水质五日生化需氧量</w:t>
                  </w:r>
                  <w:r>
                    <w:rPr>
                      <w:rFonts w:hint="default" w:ascii="Times New Roman" w:hAnsi="Times New Roman" w:eastAsia="宋体" w:cs="Times New Roman"/>
                      <w:b w:val="0"/>
                      <w:color w:val="000000"/>
                      <w:sz w:val="21"/>
                      <w:szCs w:val="21"/>
                      <w:lang w:eastAsia="zh-CN"/>
                    </w:rPr>
                    <w:t>（</w:t>
                  </w:r>
                  <w:r>
                    <w:rPr>
                      <w:rFonts w:hint="default" w:ascii="Times New Roman" w:hAnsi="Times New Roman" w:eastAsia="宋体" w:cs="Times New Roman"/>
                      <w:b w:val="0"/>
                      <w:color w:val="000000"/>
                      <w:sz w:val="21"/>
                      <w:szCs w:val="21"/>
                      <w:lang w:val="en-US" w:eastAsia="zh-CN"/>
                    </w:rPr>
                    <w:t>BOD</w:t>
                  </w:r>
                  <w:r>
                    <w:rPr>
                      <w:rFonts w:hint="default" w:ascii="Times New Roman" w:hAnsi="Times New Roman" w:eastAsia="宋体" w:cs="Times New Roman"/>
                      <w:b w:val="0"/>
                      <w:color w:val="000000"/>
                      <w:sz w:val="21"/>
                      <w:szCs w:val="21"/>
                      <w:vertAlign w:val="subscript"/>
                      <w:lang w:val="en-US" w:eastAsia="zh-CN"/>
                    </w:rPr>
                    <w:t>5</w:t>
                  </w:r>
                  <w:r>
                    <w:rPr>
                      <w:rFonts w:hint="default" w:ascii="Times New Roman" w:hAnsi="Times New Roman" w:eastAsia="宋体" w:cs="Times New Roman"/>
                      <w:b w:val="0"/>
                      <w:color w:val="000000"/>
                      <w:sz w:val="21"/>
                      <w:szCs w:val="21"/>
                      <w:lang w:eastAsia="zh-CN"/>
                    </w:rPr>
                    <w:t>）</w:t>
                  </w:r>
                  <w:r>
                    <w:rPr>
                      <w:rFonts w:hint="default" w:ascii="Times New Roman" w:hAnsi="Times New Roman" w:eastAsia="宋体" w:cs="Times New Roman"/>
                      <w:b w:val="0"/>
                      <w:color w:val="000000"/>
                      <w:sz w:val="21"/>
                      <w:szCs w:val="21"/>
                    </w:rPr>
                    <w:t>的测定稀释与接种法》HJ505-2009</w:t>
                  </w:r>
                </w:p>
              </w:tc>
              <w:tc>
                <w:tcPr>
                  <w:tcW w:w="1148" w:type="pct"/>
                  <w:tcBorders>
                    <w:tl2br w:val="nil"/>
                    <w:tr2bl w:val="nil"/>
                  </w:tcBorders>
                  <w:noWrap w:val="0"/>
                  <w:vAlign w:val="center"/>
                </w:tcPr>
                <w:p w14:paraId="3FC389A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生化培养箱SPX-150B/APTS18</w:t>
                  </w:r>
                </w:p>
              </w:tc>
              <w:tc>
                <w:tcPr>
                  <w:tcW w:w="686" w:type="pct"/>
                  <w:tcBorders>
                    <w:tl2br w:val="nil"/>
                    <w:tr2bl w:val="nil"/>
                  </w:tcBorders>
                  <w:noWrap w:val="0"/>
                  <w:vAlign w:val="center"/>
                </w:tcPr>
                <w:p w14:paraId="2E3CE52B">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val="0"/>
                      <w:color w:val="000000"/>
                      <w:sz w:val="21"/>
                      <w:szCs w:val="21"/>
                    </w:rPr>
                    <w:t>0.5mg/L</w:t>
                  </w:r>
                </w:p>
              </w:tc>
            </w:tr>
            <w:tr w14:paraId="64C8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restart"/>
                  <w:tcBorders>
                    <w:tl2br w:val="nil"/>
                    <w:tr2bl w:val="nil"/>
                  </w:tcBorders>
                  <w:noWrap w:val="0"/>
                  <w:vAlign w:val="center"/>
                </w:tcPr>
                <w:p w14:paraId="691A440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废气</w:t>
                  </w:r>
                </w:p>
              </w:tc>
              <w:tc>
                <w:tcPr>
                  <w:tcW w:w="586" w:type="pct"/>
                  <w:vMerge w:val="restart"/>
                  <w:tcBorders>
                    <w:tl2br w:val="nil"/>
                    <w:tr2bl w:val="nil"/>
                  </w:tcBorders>
                  <w:noWrap w:val="0"/>
                  <w:vAlign w:val="center"/>
                </w:tcPr>
                <w:p w14:paraId="431EFE7B">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spacing w:val="-6"/>
                      <w:sz w:val="21"/>
                      <w:szCs w:val="21"/>
                      <w:lang w:val="en-US" w:eastAsia="zh-CN"/>
                    </w:rPr>
                    <w:t>非甲烷总烃</w:t>
                  </w:r>
                </w:p>
              </w:tc>
              <w:tc>
                <w:tcPr>
                  <w:tcW w:w="2162" w:type="pct"/>
                  <w:tcBorders>
                    <w:tl2br w:val="nil"/>
                    <w:tr2bl w:val="nil"/>
                  </w:tcBorders>
                  <w:noWrap w:val="0"/>
                  <w:vAlign w:val="center"/>
                </w:tcPr>
                <w:p w14:paraId="58D29F09">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cs="Times New Roman"/>
                      <w:b w:val="0"/>
                      <w:color w:val="000000"/>
                      <w:kern w:val="2"/>
                      <w:sz w:val="21"/>
                      <w:szCs w:val="24"/>
                      <w:lang w:val="en-US" w:eastAsia="zh-CN" w:bidi="ar-SA"/>
                    </w:rPr>
                    <w:t>《固定污染源废气总烃、甲烷和非甲烷总烃的测定气相色谱法》HJ38-2017</w:t>
                  </w:r>
                </w:p>
              </w:tc>
              <w:tc>
                <w:tcPr>
                  <w:tcW w:w="1148" w:type="pct"/>
                  <w:tcBorders>
                    <w:tl2br w:val="nil"/>
                    <w:tr2bl w:val="nil"/>
                  </w:tcBorders>
                  <w:noWrap w:val="0"/>
                  <w:vAlign w:val="center"/>
                </w:tcPr>
                <w:p w14:paraId="0E9E2E32">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color w:val="auto"/>
                      <w:kern w:val="2"/>
                      <w:sz w:val="21"/>
                      <w:szCs w:val="24"/>
                      <w:shd w:val="clear" w:color="auto" w:fill="auto"/>
                      <w:lang w:val="en-US" w:eastAsia="zh-CN" w:bidi="ar-SA"/>
                    </w:rPr>
                  </w:pPr>
                  <w:r>
                    <w:rPr>
                      <w:rFonts w:hint="default" w:ascii="Times New Roman" w:hAnsi="Times New Roman" w:cs="Times New Roman"/>
                      <w:b w:val="0"/>
                      <w:color w:val="auto"/>
                      <w:kern w:val="2"/>
                      <w:sz w:val="21"/>
                      <w:szCs w:val="24"/>
                      <w:shd w:val="clear" w:color="auto" w:fill="auto"/>
                      <w:lang w:val="en-US" w:eastAsia="zh-CN" w:bidi="ar-SA"/>
                    </w:rPr>
                    <w:t>气相色谱仪</w:t>
                  </w:r>
                </w:p>
                <w:p w14:paraId="45E07571">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color w:val="auto"/>
                      <w:spacing w:val="-6"/>
                      <w:kern w:val="2"/>
                      <w:sz w:val="21"/>
                      <w:szCs w:val="21"/>
                      <w:shd w:val="clear" w:color="auto" w:fill="auto"/>
                      <w:lang w:val="en-US" w:eastAsia="zh-CN" w:bidi="ar-SA"/>
                    </w:rPr>
                  </w:pPr>
                  <w:r>
                    <w:rPr>
                      <w:rFonts w:hint="default" w:ascii="Times New Roman" w:hAnsi="Times New Roman" w:cs="Times New Roman"/>
                      <w:b w:val="0"/>
                      <w:color w:val="auto"/>
                      <w:kern w:val="2"/>
                      <w:sz w:val="21"/>
                      <w:szCs w:val="24"/>
                      <w:shd w:val="clear" w:color="auto" w:fill="auto"/>
                      <w:lang w:val="en-US" w:eastAsia="zh-CN" w:bidi="ar-SA"/>
                    </w:rPr>
                    <w:t>GC9790Ⅱ/</w:t>
                  </w:r>
                  <w:r>
                    <w:rPr>
                      <w:rFonts w:hint="eastAsia" w:ascii="Times New Roman" w:hAnsi="Times New Roman" w:eastAsia="仿宋_GB2312" w:cs="Times New Roman"/>
                      <w:b w:val="0"/>
                      <w:bCs/>
                      <w:kern w:val="2"/>
                      <w:sz w:val="21"/>
                      <w:szCs w:val="21"/>
                      <w:shd w:val="clear" w:color="auto" w:fill="auto"/>
                      <w:lang w:eastAsia="zh-CN"/>
                    </w:rPr>
                    <w:t>APTS</w:t>
                  </w:r>
                  <w:r>
                    <w:rPr>
                      <w:rFonts w:hint="eastAsia" w:ascii="Times New Roman" w:hAnsi="Times New Roman" w:eastAsia="仿宋_GB2312" w:cs="Times New Roman"/>
                      <w:b w:val="0"/>
                      <w:bCs/>
                      <w:kern w:val="2"/>
                      <w:sz w:val="21"/>
                      <w:szCs w:val="21"/>
                      <w:shd w:val="clear" w:color="auto" w:fill="auto"/>
                      <w:lang w:val="en-US" w:eastAsia="zh-CN"/>
                    </w:rPr>
                    <w:t>0</w:t>
                  </w:r>
                  <w:r>
                    <w:rPr>
                      <w:rFonts w:hint="eastAsia" w:ascii="Times New Roman" w:hAnsi="Times New Roman" w:eastAsia="仿宋_GB2312" w:cs="Times New Roman"/>
                      <w:b w:val="0"/>
                      <w:bCs/>
                      <w:kern w:val="2"/>
                      <w:sz w:val="21"/>
                      <w:szCs w:val="21"/>
                      <w:shd w:val="clear" w:color="auto" w:fill="auto"/>
                      <w:lang w:eastAsia="zh-CN"/>
                    </w:rPr>
                    <w:t>8-1</w:t>
                  </w:r>
                </w:p>
              </w:tc>
              <w:tc>
                <w:tcPr>
                  <w:tcW w:w="686" w:type="pct"/>
                  <w:tcBorders>
                    <w:tl2br w:val="nil"/>
                    <w:tr2bl w:val="nil"/>
                  </w:tcBorders>
                  <w:noWrap w:val="0"/>
                  <w:vAlign w:val="center"/>
                </w:tcPr>
                <w:p w14:paraId="7CBF4AF8">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spacing w:val="-6"/>
                      <w:sz w:val="21"/>
                      <w:szCs w:val="21"/>
                      <w:lang w:val="en-US" w:eastAsia="zh-CN"/>
                    </w:rPr>
                    <w:t>0.0</w:t>
                  </w:r>
                  <w:r>
                    <w:rPr>
                      <w:rFonts w:hint="eastAsia" w:ascii="Times New Roman" w:hAnsi="Times New Roman" w:eastAsia="宋体" w:cs="Times New Roman"/>
                      <w:b w:val="0"/>
                      <w:spacing w:val="-6"/>
                      <w:sz w:val="21"/>
                      <w:szCs w:val="21"/>
                      <w:lang w:val="en-US" w:eastAsia="zh-CN"/>
                    </w:rPr>
                    <w:t>7</w:t>
                  </w:r>
                  <w:r>
                    <w:rPr>
                      <w:rFonts w:hint="default" w:ascii="Times New Roman" w:hAnsi="Times New Roman" w:cs="Times New Roman"/>
                      <w:b w:val="0"/>
                      <w:bCs/>
                      <w:kern w:val="0"/>
                      <w:sz w:val="21"/>
                      <w:szCs w:val="21"/>
                    </w:rPr>
                    <w:t>mg/m</w:t>
                  </w:r>
                  <w:r>
                    <w:rPr>
                      <w:rFonts w:hint="default" w:ascii="Times New Roman" w:hAnsi="Times New Roman" w:cs="Times New Roman"/>
                      <w:b w:val="0"/>
                      <w:bCs/>
                      <w:kern w:val="0"/>
                      <w:sz w:val="21"/>
                      <w:szCs w:val="21"/>
                      <w:vertAlign w:val="superscript"/>
                    </w:rPr>
                    <w:t>3</w:t>
                  </w:r>
                </w:p>
              </w:tc>
            </w:tr>
            <w:tr w14:paraId="1340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tcBorders>
                    <w:tl2br w:val="nil"/>
                    <w:tr2bl w:val="nil"/>
                  </w:tcBorders>
                  <w:noWrap w:val="0"/>
                  <w:vAlign w:val="center"/>
                </w:tcPr>
                <w:p w14:paraId="41C3A944">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cs="Times New Roman"/>
                      <w:b w:val="0"/>
                      <w:bCs/>
                      <w:sz w:val="21"/>
                      <w:szCs w:val="21"/>
                      <w:highlight w:val="none"/>
                      <w:lang w:val="en-US" w:eastAsia="zh-CN"/>
                    </w:rPr>
                  </w:pPr>
                </w:p>
              </w:tc>
              <w:tc>
                <w:tcPr>
                  <w:tcW w:w="586" w:type="pct"/>
                  <w:vMerge w:val="continue"/>
                  <w:tcBorders>
                    <w:tl2br w:val="nil"/>
                    <w:tr2bl w:val="nil"/>
                  </w:tcBorders>
                  <w:noWrap w:val="0"/>
                  <w:vAlign w:val="center"/>
                </w:tcPr>
                <w:p w14:paraId="772ADEF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000000"/>
                      <w:kern w:val="2"/>
                      <w:sz w:val="21"/>
                      <w:szCs w:val="21"/>
                      <w:lang w:val="en-US" w:eastAsia="zh-CN" w:bidi="ar-SA"/>
                    </w:rPr>
                  </w:pPr>
                </w:p>
              </w:tc>
              <w:tc>
                <w:tcPr>
                  <w:tcW w:w="2162" w:type="pct"/>
                  <w:tcBorders>
                    <w:tl2br w:val="nil"/>
                    <w:tr2bl w:val="nil"/>
                  </w:tcBorders>
                  <w:noWrap w:val="0"/>
                  <w:vAlign w:val="center"/>
                </w:tcPr>
                <w:p w14:paraId="2FFE4D65">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color w:val="auto"/>
                      <w:kern w:val="2"/>
                      <w:sz w:val="21"/>
                      <w:szCs w:val="24"/>
                      <w:lang w:val="en-US" w:eastAsia="zh-CN" w:bidi="ar-SA"/>
                    </w:rPr>
                    <w:t>《环境空气总烃、甲烷和非甲烷总烃的测定直接进样-气相色谱法》HJ604-2017</w:t>
                  </w:r>
                </w:p>
              </w:tc>
              <w:tc>
                <w:tcPr>
                  <w:tcW w:w="1148" w:type="pct"/>
                  <w:tcBorders>
                    <w:tl2br w:val="nil"/>
                    <w:tr2bl w:val="nil"/>
                  </w:tcBorders>
                  <w:noWrap w:val="0"/>
                  <w:vAlign w:val="center"/>
                </w:tcPr>
                <w:p w14:paraId="6DD04AB3">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b w:val="0"/>
                      <w:color w:val="auto"/>
                      <w:kern w:val="2"/>
                      <w:sz w:val="21"/>
                      <w:szCs w:val="24"/>
                      <w:shd w:val="clear" w:color="auto" w:fill="auto"/>
                      <w:lang w:val="en-US" w:eastAsia="zh-CN" w:bidi="ar-SA"/>
                    </w:rPr>
                  </w:pPr>
                  <w:r>
                    <w:rPr>
                      <w:rFonts w:hint="default" w:ascii="Times New Roman" w:hAnsi="Times New Roman" w:cs="Times New Roman"/>
                      <w:b w:val="0"/>
                      <w:color w:val="auto"/>
                      <w:kern w:val="2"/>
                      <w:sz w:val="21"/>
                      <w:szCs w:val="24"/>
                      <w:shd w:val="clear" w:color="auto" w:fill="auto"/>
                      <w:lang w:val="en-US" w:eastAsia="zh-CN" w:bidi="ar-SA"/>
                    </w:rPr>
                    <w:t>气相色谱仪</w:t>
                  </w:r>
                </w:p>
                <w:p w14:paraId="7BD92501">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cs="Times New Roman"/>
                      <w:b w:val="0"/>
                      <w:color w:val="auto"/>
                      <w:kern w:val="2"/>
                      <w:sz w:val="21"/>
                      <w:szCs w:val="24"/>
                      <w:shd w:val="clear" w:color="auto" w:fill="auto"/>
                      <w:lang w:val="en-US" w:eastAsia="zh-CN" w:bidi="ar-SA"/>
                    </w:rPr>
                    <w:t>GC9790Ⅱ/</w:t>
                  </w:r>
                  <w:r>
                    <w:rPr>
                      <w:rFonts w:hint="eastAsia" w:ascii="Times New Roman" w:hAnsi="Times New Roman" w:eastAsia="仿宋_GB2312" w:cs="Times New Roman"/>
                      <w:b w:val="0"/>
                      <w:bCs/>
                      <w:kern w:val="2"/>
                      <w:sz w:val="21"/>
                      <w:szCs w:val="21"/>
                      <w:shd w:val="clear" w:color="auto" w:fill="auto"/>
                      <w:lang w:eastAsia="zh-CN"/>
                    </w:rPr>
                    <w:t>APTS</w:t>
                  </w:r>
                  <w:r>
                    <w:rPr>
                      <w:rFonts w:hint="eastAsia" w:ascii="Times New Roman" w:hAnsi="Times New Roman" w:eastAsia="仿宋_GB2312" w:cs="Times New Roman"/>
                      <w:b w:val="0"/>
                      <w:bCs/>
                      <w:kern w:val="2"/>
                      <w:sz w:val="21"/>
                      <w:szCs w:val="21"/>
                      <w:shd w:val="clear" w:color="auto" w:fill="auto"/>
                      <w:lang w:val="en-US" w:eastAsia="zh-CN"/>
                    </w:rPr>
                    <w:t>0</w:t>
                  </w:r>
                  <w:r>
                    <w:rPr>
                      <w:rFonts w:hint="eastAsia" w:ascii="Times New Roman" w:hAnsi="Times New Roman" w:eastAsia="仿宋_GB2312" w:cs="Times New Roman"/>
                      <w:b w:val="0"/>
                      <w:bCs/>
                      <w:kern w:val="2"/>
                      <w:sz w:val="21"/>
                      <w:szCs w:val="21"/>
                      <w:shd w:val="clear" w:color="auto" w:fill="auto"/>
                      <w:lang w:eastAsia="zh-CN"/>
                    </w:rPr>
                    <w:t>8-1</w:t>
                  </w:r>
                </w:p>
              </w:tc>
              <w:tc>
                <w:tcPr>
                  <w:tcW w:w="686" w:type="pct"/>
                  <w:tcBorders>
                    <w:tl2br w:val="nil"/>
                    <w:tr2bl w:val="nil"/>
                  </w:tcBorders>
                  <w:noWrap w:val="0"/>
                  <w:vAlign w:val="center"/>
                </w:tcPr>
                <w:p w14:paraId="40F1BF06">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color w:val="auto"/>
                      <w:spacing w:val="-6"/>
                      <w:sz w:val="21"/>
                      <w:szCs w:val="21"/>
                      <w:lang w:val="en-US" w:eastAsia="zh-CN"/>
                    </w:rPr>
                    <w:t>0.0</w:t>
                  </w:r>
                  <w:r>
                    <w:rPr>
                      <w:rFonts w:hint="eastAsia" w:ascii="Times New Roman" w:hAnsi="Times New Roman" w:eastAsia="宋体" w:cs="Times New Roman"/>
                      <w:b w:val="0"/>
                      <w:color w:val="auto"/>
                      <w:spacing w:val="-6"/>
                      <w:sz w:val="21"/>
                      <w:szCs w:val="21"/>
                      <w:lang w:val="en-US" w:eastAsia="zh-CN"/>
                    </w:rPr>
                    <w:t>7</w:t>
                  </w:r>
                  <w:r>
                    <w:rPr>
                      <w:rFonts w:hint="default" w:ascii="Times New Roman" w:hAnsi="Times New Roman" w:cs="Times New Roman"/>
                      <w:b w:val="0"/>
                      <w:bCs/>
                      <w:color w:val="auto"/>
                      <w:kern w:val="0"/>
                      <w:sz w:val="21"/>
                      <w:szCs w:val="21"/>
                    </w:rPr>
                    <w:t>mg/m</w:t>
                  </w:r>
                  <w:r>
                    <w:rPr>
                      <w:rFonts w:hint="default" w:ascii="Times New Roman" w:hAnsi="Times New Roman" w:cs="Times New Roman"/>
                      <w:b w:val="0"/>
                      <w:bCs/>
                      <w:color w:val="auto"/>
                      <w:kern w:val="0"/>
                      <w:sz w:val="21"/>
                      <w:szCs w:val="21"/>
                      <w:vertAlign w:val="superscript"/>
                    </w:rPr>
                    <w:t>3</w:t>
                  </w:r>
                </w:p>
              </w:tc>
            </w:tr>
            <w:tr w14:paraId="4CDC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tcBorders>
                    <w:tl2br w:val="nil"/>
                    <w:tr2bl w:val="nil"/>
                  </w:tcBorders>
                  <w:noWrap w:val="0"/>
                  <w:vAlign w:val="center"/>
                </w:tcPr>
                <w:p w14:paraId="7F40270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color w:val="000000"/>
                      <w:spacing w:val="-6"/>
                      <w:sz w:val="21"/>
                      <w:szCs w:val="21"/>
                    </w:rPr>
                    <w:t>噪声</w:t>
                  </w:r>
                </w:p>
              </w:tc>
              <w:tc>
                <w:tcPr>
                  <w:tcW w:w="586" w:type="pct"/>
                  <w:tcBorders>
                    <w:tl2br w:val="nil"/>
                    <w:tr2bl w:val="nil"/>
                  </w:tcBorders>
                  <w:noWrap w:val="0"/>
                  <w:vAlign w:val="center"/>
                </w:tcPr>
                <w:p w14:paraId="1C13A48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sz w:val="21"/>
                      <w:szCs w:val="21"/>
                      <w:highlight w:val="none"/>
                      <w:lang w:val="en-US" w:eastAsia="zh-CN"/>
                    </w:rPr>
                  </w:pPr>
                  <w:r>
                    <w:rPr>
                      <w:rFonts w:hint="eastAsia" w:ascii="Times New Roman" w:hAnsi="Times New Roman" w:eastAsia="宋体" w:cs="Times New Roman"/>
                      <w:b w:val="0"/>
                      <w:color w:val="000000"/>
                      <w:spacing w:val="-6"/>
                      <w:sz w:val="21"/>
                      <w:szCs w:val="21"/>
                      <w:lang w:eastAsia="zh-CN"/>
                    </w:rPr>
                    <w:t>厂界环境</w:t>
                  </w:r>
                  <w:r>
                    <w:rPr>
                      <w:rFonts w:hint="default" w:ascii="Times New Roman" w:hAnsi="Times New Roman" w:eastAsia="宋体" w:cs="Times New Roman"/>
                      <w:b w:val="0"/>
                      <w:color w:val="000000"/>
                      <w:spacing w:val="-6"/>
                      <w:sz w:val="21"/>
                      <w:szCs w:val="21"/>
                    </w:rPr>
                    <w:t>噪声</w:t>
                  </w:r>
                </w:p>
              </w:tc>
              <w:tc>
                <w:tcPr>
                  <w:tcW w:w="2162" w:type="pct"/>
                  <w:tcBorders>
                    <w:tl2br w:val="nil"/>
                    <w:tr2bl w:val="nil"/>
                  </w:tcBorders>
                  <w:noWrap w:val="0"/>
                  <w:vAlign w:val="center"/>
                </w:tcPr>
                <w:p w14:paraId="4234D29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ascii="Times New Roman" w:hAnsi="Times New Roman" w:eastAsia="宋体" w:cs="Times New Roman"/>
                      <w:b w:val="0"/>
                      <w:bCs/>
                      <w:color w:val="000000"/>
                      <w:sz w:val="21"/>
                      <w:szCs w:val="21"/>
                      <w:lang w:eastAsia="zh-CN"/>
                    </w:rPr>
                  </w:pPr>
                  <w:r>
                    <w:rPr>
                      <w:rFonts w:hint="default" w:ascii="Times New Roman" w:hAnsi="Times New Roman" w:cs="Times New Roman"/>
                      <w:b w:val="0"/>
                      <w:bCs/>
                      <w:color w:val="000000"/>
                      <w:sz w:val="21"/>
                      <w:szCs w:val="21"/>
                    </w:rPr>
                    <w:t>《工业企业厂界环境噪声排放标准》</w:t>
                  </w:r>
                </w:p>
                <w:p w14:paraId="1B701E0A">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color w:val="000000"/>
                      <w:sz w:val="21"/>
                      <w:szCs w:val="21"/>
                    </w:rPr>
                    <w:t>GB12348-2008</w:t>
                  </w:r>
                </w:p>
              </w:tc>
              <w:tc>
                <w:tcPr>
                  <w:tcW w:w="1148" w:type="pct"/>
                  <w:tcBorders>
                    <w:tl2br w:val="nil"/>
                    <w:tr2bl w:val="nil"/>
                  </w:tcBorders>
                  <w:noWrap w:val="0"/>
                  <w:vAlign w:val="center"/>
                </w:tcPr>
                <w:p w14:paraId="7AD64BA4">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多功能声级计</w:t>
                  </w:r>
                </w:p>
                <w:p w14:paraId="36F7CEB4">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bCs/>
                      <w:sz w:val="21"/>
                      <w:szCs w:val="21"/>
                    </w:rPr>
                    <w:t>AWA</w:t>
                  </w:r>
                  <w:r>
                    <w:rPr>
                      <w:rFonts w:hint="eastAsia" w:cs="Times New Roman"/>
                      <w:b w:val="0"/>
                      <w:bCs/>
                      <w:sz w:val="21"/>
                      <w:szCs w:val="21"/>
                      <w:lang w:val="en-US" w:eastAsia="zh-CN"/>
                    </w:rPr>
                    <w:t>5688</w:t>
                  </w:r>
                  <w:r>
                    <w:rPr>
                      <w:rFonts w:hint="default" w:ascii="Times New Roman" w:hAnsi="Times New Roman" w:eastAsia="宋体" w:cs="Times New Roman"/>
                      <w:b w:val="0"/>
                      <w:bCs/>
                      <w:sz w:val="21"/>
                      <w:szCs w:val="21"/>
                      <w:lang w:val="en-US" w:eastAsia="zh-CN"/>
                    </w:rPr>
                    <w:t>/</w:t>
                  </w:r>
                  <w:r>
                    <w:rPr>
                      <w:rFonts w:hint="default" w:ascii="Times New Roman" w:hAnsi="Times New Roman" w:eastAsia="宋体" w:cs="Times New Roman"/>
                      <w:b w:val="0"/>
                      <w:bCs/>
                      <w:sz w:val="21"/>
                      <w:szCs w:val="21"/>
                    </w:rPr>
                    <w:t>APTX1</w:t>
                  </w:r>
                  <w:r>
                    <w:rPr>
                      <w:rFonts w:hint="eastAsia" w:cs="Times New Roman"/>
                      <w:b w:val="0"/>
                      <w:bCs/>
                      <w:sz w:val="21"/>
                      <w:szCs w:val="21"/>
                      <w:lang w:val="en-US" w:eastAsia="zh-CN"/>
                    </w:rPr>
                    <w:t>4-2</w:t>
                  </w:r>
                </w:p>
              </w:tc>
              <w:tc>
                <w:tcPr>
                  <w:tcW w:w="686" w:type="pct"/>
                  <w:tcBorders>
                    <w:tl2br w:val="nil"/>
                    <w:tr2bl w:val="nil"/>
                  </w:tcBorders>
                  <w:noWrap w:val="0"/>
                  <w:vAlign w:val="center"/>
                </w:tcPr>
                <w:p w14:paraId="316DD2F5">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highlight w:val="none"/>
                      <w:lang w:val="en-US" w:eastAsia="zh-CN"/>
                    </w:rPr>
                  </w:pPr>
                  <w:r>
                    <w:rPr>
                      <w:rFonts w:hint="eastAsia" w:ascii="Times New Roman" w:hAnsi="Times New Roman" w:eastAsia="宋体" w:cs="Times New Roman"/>
                      <w:b w:val="0"/>
                      <w:color w:val="000000"/>
                      <w:spacing w:val="-6"/>
                      <w:sz w:val="21"/>
                      <w:szCs w:val="21"/>
                      <w:lang w:val="en-US" w:eastAsia="zh-CN"/>
                    </w:rPr>
                    <w:t>/</w:t>
                  </w:r>
                </w:p>
              </w:tc>
            </w:tr>
          </w:tbl>
          <w:p w14:paraId="3627167D">
            <w:pPr>
              <w:pStyle w:val="46"/>
              <w:ind w:firstLine="0" w:firstLineChars="0"/>
              <w:rPr>
                <w:rFonts w:ascii="Times New Roman" w:hAnsi="Times New Roman"/>
                <w:sz w:val="24"/>
                <w:szCs w:val="24"/>
              </w:rPr>
            </w:pPr>
          </w:p>
        </w:tc>
      </w:tr>
      <w:tr w14:paraId="7733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03" w:hRule="atLeast"/>
          <w:jc w:val="center"/>
        </w:trPr>
        <w:tc>
          <w:tcPr>
            <w:tcW w:w="9242" w:type="dxa"/>
          </w:tcPr>
          <w:p w14:paraId="1C11B238">
            <w:pPr>
              <w:pStyle w:val="49"/>
              <w:rPr>
                <w:rFonts w:cs="Times New Roman"/>
                <w:b/>
                <w:color w:val="auto"/>
                <w:szCs w:val="24"/>
              </w:rPr>
            </w:pPr>
            <w:r>
              <w:rPr>
                <w:rFonts w:cs="Times New Roman"/>
                <w:b/>
                <w:color w:val="auto"/>
                <w:szCs w:val="24"/>
              </w:rPr>
              <w:t>表5-</w:t>
            </w:r>
            <w:r>
              <w:rPr>
                <w:rFonts w:hint="eastAsia" w:cs="Times New Roman"/>
                <w:b/>
                <w:color w:val="auto"/>
                <w:szCs w:val="24"/>
              </w:rPr>
              <w:t>2仪器检定日期</w:t>
            </w:r>
          </w:p>
          <w:tbl>
            <w:tblPr>
              <w:tblStyle w:val="2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74"/>
              <w:gridCol w:w="2281"/>
              <w:gridCol w:w="1716"/>
              <w:gridCol w:w="1450"/>
              <w:gridCol w:w="1450"/>
              <w:gridCol w:w="1453"/>
            </w:tblGrid>
            <w:tr w14:paraId="43ADE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tcBorders>
                    <w:tl2br w:val="nil"/>
                    <w:tr2bl w:val="nil"/>
                  </w:tcBorders>
                  <w:noWrap w:val="0"/>
                  <w:vAlign w:val="center"/>
                </w:tcPr>
                <w:p w14:paraId="5B1F6D1C">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263" w:type="pct"/>
                  <w:tcBorders>
                    <w:tl2br w:val="nil"/>
                    <w:tr2bl w:val="nil"/>
                  </w:tcBorders>
                  <w:noWrap w:val="0"/>
                  <w:vAlign w:val="center"/>
                </w:tcPr>
                <w:p w14:paraId="2295C52F">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使用仪器</w:t>
                  </w:r>
                </w:p>
              </w:tc>
              <w:tc>
                <w:tcPr>
                  <w:tcW w:w="950" w:type="pct"/>
                  <w:tcBorders>
                    <w:tl2br w:val="nil"/>
                    <w:tr2bl w:val="nil"/>
                  </w:tcBorders>
                  <w:noWrap w:val="0"/>
                  <w:vAlign w:val="center"/>
                </w:tcPr>
                <w:p w14:paraId="3E8249D3">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sz w:val="21"/>
                      <w:szCs w:val="21"/>
                    </w:rPr>
                    <w:t>仪器型号</w:t>
                  </w:r>
                </w:p>
              </w:tc>
              <w:tc>
                <w:tcPr>
                  <w:tcW w:w="803" w:type="pct"/>
                  <w:tcBorders>
                    <w:tl2br w:val="nil"/>
                    <w:tr2bl w:val="nil"/>
                  </w:tcBorders>
                  <w:noWrap w:val="0"/>
                  <w:vAlign w:val="center"/>
                </w:tcPr>
                <w:p w14:paraId="52D8A347">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sz w:val="21"/>
                      <w:szCs w:val="21"/>
                    </w:rPr>
                    <w:t>仪器编号</w:t>
                  </w:r>
                </w:p>
              </w:tc>
              <w:tc>
                <w:tcPr>
                  <w:tcW w:w="803" w:type="pct"/>
                  <w:tcBorders>
                    <w:tl2br w:val="nil"/>
                    <w:tr2bl w:val="nil"/>
                  </w:tcBorders>
                  <w:noWrap w:val="0"/>
                  <w:vAlign w:val="center"/>
                </w:tcPr>
                <w:p w14:paraId="7AFB2466">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溯源方式</w:t>
                  </w:r>
                </w:p>
              </w:tc>
              <w:tc>
                <w:tcPr>
                  <w:tcW w:w="804" w:type="pct"/>
                  <w:tcBorders>
                    <w:tl2br w:val="nil"/>
                    <w:tr2bl w:val="nil"/>
                  </w:tcBorders>
                  <w:noWrap w:val="0"/>
                  <w:vAlign w:val="center"/>
                </w:tcPr>
                <w:p w14:paraId="7AEEDD48">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有效期</w:t>
                  </w:r>
                </w:p>
              </w:tc>
            </w:tr>
            <w:tr w14:paraId="74E9C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tcBorders>
                    <w:tl2br w:val="nil"/>
                    <w:tr2bl w:val="nil"/>
                  </w:tcBorders>
                  <w:noWrap w:val="0"/>
                  <w:vAlign w:val="center"/>
                </w:tcPr>
                <w:p w14:paraId="771BE8AC">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1263" w:type="pct"/>
                  <w:tcBorders>
                    <w:tl2br w:val="nil"/>
                    <w:tr2bl w:val="nil"/>
                  </w:tcBorders>
                  <w:noWrap w:val="0"/>
                  <w:vAlign w:val="center"/>
                </w:tcPr>
                <w:p w14:paraId="2D1ADAA4">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孔口流量校准器</w:t>
                  </w:r>
                </w:p>
              </w:tc>
              <w:tc>
                <w:tcPr>
                  <w:tcW w:w="950" w:type="pct"/>
                  <w:tcBorders>
                    <w:tl2br w:val="nil"/>
                    <w:tr2bl w:val="nil"/>
                  </w:tcBorders>
                  <w:noWrap w:val="0"/>
                  <w:vAlign w:val="center"/>
                </w:tcPr>
                <w:p w14:paraId="5B91F55A">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KL-100</w:t>
                  </w:r>
                </w:p>
              </w:tc>
              <w:tc>
                <w:tcPr>
                  <w:tcW w:w="803" w:type="pct"/>
                  <w:tcBorders>
                    <w:tl2br w:val="nil"/>
                    <w:tr2bl w:val="nil"/>
                  </w:tcBorders>
                  <w:noWrap w:val="0"/>
                  <w:vAlign w:val="center"/>
                </w:tcPr>
                <w:p w14:paraId="3062FB4D">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APTX03</w:t>
                  </w:r>
                </w:p>
              </w:tc>
              <w:tc>
                <w:tcPr>
                  <w:tcW w:w="803" w:type="pct"/>
                  <w:tcBorders>
                    <w:tl2br w:val="nil"/>
                    <w:tr2bl w:val="nil"/>
                  </w:tcBorders>
                  <w:noWrap w:val="0"/>
                  <w:vAlign w:val="center"/>
                </w:tcPr>
                <w:p w14:paraId="5BCEBCCF">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校准</w:t>
                  </w:r>
                </w:p>
              </w:tc>
              <w:tc>
                <w:tcPr>
                  <w:tcW w:w="804" w:type="pct"/>
                  <w:tcBorders>
                    <w:tl2br w:val="nil"/>
                    <w:tr2bl w:val="nil"/>
                  </w:tcBorders>
                  <w:noWrap w:val="0"/>
                  <w:vAlign w:val="center"/>
                </w:tcPr>
                <w:p w14:paraId="0C781045">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cs="Times New Roman"/>
                      <w:b w:val="0"/>
                      <w:kern w:val="2"/>
                      <w:sz w:val="21"/>
                      <w:szCs w:val="21"/>
                      <w:lang w:val="en-US" w:eastAsia="zh-CN" w:bidi="ar-SA"/>
                    </w:rPr>
                    <w:t>2024.9.12</w:t>
                  </w:r>
                </w:p>
              </w:tc>
            </w:tr>
            <w:tr w14:paraId="2CE80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tcBorders>
                    <w:tl2br w:val="nil"/>
                    <w:tr2bl w:val="nil"/>
                  </w:tcBorders>
                  <w:noWrap w:val="0"/>
                  <w:vAlign w:val="center"/>
                </w:tcPr>
                <w:p w14:paraId="3B48824C">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w:t>
                  </w:r>
                </w:p>
              </w:tc>
              <w:tc>
                <w:tcPr>
                  <w:tcW w:w="1263" w:type="pct"/>
                  <w:tcBorders>
                    <w:tl2br w:val="nil"/>
                    <w:tr2bl w:val="nil"/>
                  </w:tcBorders>
                  <w:noWrap w:val="0"/>
                  <w:vAlign w:val="center"/>
                </w:tcPr>
                <w:p w14:paraId="36FB6506">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自动烟尘烟气测试仪</w:t>
                  </w:r>
                </w:p>
              </w:tc>
              <w:tc>
                <w:tcPr>
                  <w:tcW w:w="950" w:type="pct"/>
                  <w:tcBorders>
                    <w:tl2br w:val="nil"/>
                    <w:tr2bl w:val="nil"/>
                  </w:tcBorders>
                  <w:noWrap w:val="0"/>
                  <w:vAlign w:val="center"/>
                </w:tcPr>
                <w:p w14:paraId="6106AA47">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GH-60E型</w:t>
                  </w:r>
                </w:p>
              </w:tc>
              <w:tc>
                <w:tcPr>
                  <w:tcW w:w="803" w:type="pct"/>
                  <w:tcBorders>
                    <w:tl2br w:val="nil"/>
                    <w:tr2bl w:val="nil"/>
                  </w:tcBorders>
                  <w:noWrap w:val="0"/>
                  <w:vAlign w:val="center"/>
                </w:tcPr>
                <w:p w14:paraId="06596E41">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APTX10-2</w:t>
                  </w:r>
                </w:p>
              </w:tc>
              <w:tc>
                <w:tcPr>
                  <w:tcW w:w="803" w:type="pct"/>
                  <w:tcBorders>
                    <w:tl2br w:val="nil"/>
                    <w:tr2bl w:val="nil"/>
                  </w:tcBorders>
                  <w:noWrap w:val="0"/>
                  <w:vAlign w:val="center"/>
                </w:tcPr>
                <w:p w14:paraId="462B70F8">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校准</w:t>
                  </w:r>
                </w:p>
              </w:tc>
              <w:tc>
                <w:tcPr>
                  <w:tcW w:w="804" w:type="pct"/>
                  <w:tcBorders>
                    <w:tl2br w:val="nil"/>
                    <w:tr2bl w:val="nil"/>
                  </w:tcBorders>
                  <w:noWrap w:val="0"/>
                  <w:vAlign w:val="center"/>
                </w:tcPr>
                <w:p w14:paraId="6AEF67B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cs="Times New Roman"/>
                      <w:b w:val="0"/>
                      <w:kern w:val="2"/>
                      <w:sz w:val="21"/>
                      <w:szCs w:val="21"/>
                      <w:lang w:val="en-US" w:eastAsia="zh-CN" w:bidi="ar-SA"/>
                    </w:rPr>
                    <w:t>2024.9.17</w:t>
                  </w:r>
                </w:p>
              </w:tc>
            </w:tr>
            <w:tr w14:paraId="07D80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tcBorders>
                    <w:tl2br w:val="nil"/>
                    <w:tr2bl w:val="nil"/>
                  </w:tcBorders>
                  <w:noWrap w:val="0"/>
                  <w:vAlign w:val="center"/>
                </w:tcPr>
                <w:p w14:paraId="670C14C9">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3</w:t>
                  </w:r>
                </w:p>
              </w:tc>
              <w:tc>
                <w:tcPr>
                  <w:tcW w:w="1263" w:type="pct"/>
                  <w:tcBorders>
                    <w:tl2br w:val="nil"/>
                    <w:tr2bl w:val="nil"/>
                  </w:tcBorders>
                  <w:noWrap w:val="0"/>
                  <w:vAlign w:val="center"/>
                </w:tcPr>
                <w:p w14:paraId="16813FB8">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default" w:ascii="Times New Roman" w:hAnsi="Times New Roman" w:eastAsia="宋体" w:cs="Times New Roman"/>
                      <w:b w:val="0"/>
                      <w:kern w:val="2"/>
                      <w:sz w:val="21"/>
                      <w:szCs w:val="21"/>
                      <w:lang w:val="en-US" w:eastAsia="zh-CN" w:bidi="ar-SA"/>
                    </w:rPr>
                    <w:t>紫外可见分光光度计</w:t>
                  </w:r>
                </w:p>
              </w:tc>
              <w:tc>
                <w:tcPr>
                  <w:tcW w:w="950" w:type="pct"/>
                  <w:tcBorders>
                    <w:tl2br w:val="nil"/>
                    <w:tr2bl w:val="nil"/>
                  </w:tcBorders>
                  <w:noWrap w:val="0"/>
                  <w:vAlign w:val="center"/>
                </w:tcPr>
                <w:p w14:paraId="3133A935">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P2</w:t>
                  </w:r>
                </w:p>
              </w:tc>
              <w:tc>
                <w:tcPr>
                  <w:tcW w:w="803" w:type="pct"/>
                  <w:tcBorders>
                    <w:tl2br w:val="nil"/>
                    <w:tr2bl w:val="nil"/>
                  </w:tcBorders>
                  <w:noWrap w:val="0"/>
                  <w:vAlign w:val="center"/>
                </w:tcPr>
                <w:p w14:paraId="0DCAFD11">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APTS20</w:t>
                  </w:r>
                </w:p>
              </w:tc>
              <w:tc>
                <w:tcPr>
                  <w:tcW w:w="803" w:type="pct"/>
                  <w:tcBorders>
                    <w:tl2br w:val="nil"/>
                    <w:tr2bl w:val="nil"/>
                  </w:tcBorders>
                  <w:noWrap w:val="0"/>
                  <w:vAlign w:val="center"/>
                </w:tcPr>
                <w:p w14:paraId="22F594C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校准</w:t>
                  </w:r>
                </w:p>
              </w:tc>
              <w:tc>
                <w:tcPr>
                  <w:tcW w:w="804" w:type="pct"/>
                  <w:tcBorders>
                    <w:tl2br w:val="nil"/>
                    <w:tr2bl w:val="nil"/>
                  </w:tcBorders>
                  <w:noWrap w:val="0"/>
                  <w:vAlign w:val="center"/>
                </w:tcPr>
                <w:p w14:paraId="5B5567E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_GB2312" w:cs="Times New Roman"/>
                      <w:b/>
                      <w:color w:val="0000FF"/>
                      <w:kern w:val="2"/>
                      <w:sz w:val="21"/>
                      <w:szCs w:val="21"/>
                      <w:lang w:val="en-US" w:eastAsia="zh-CN" w:bidi="ar-SA"/>
                    </w:rPr>
                  </w:pPr>
                  <w:r>
                    <w:rPr>
                      <w:rFonts w:hint="eastAsia" w:cs="Times New Roman"/>
                      <w:b w:val="0"/>
                      <w:kern w:val="2"/>
                      <w:sz w:val="21"/>
                      <w:szCs w:val="21"/>
                      <w:lang w:val="en-US" w:eastAsia="zh-CN" w:bidi="ar-SA"/>
                    </w:rPr>
                    <w:t>2024.9.6</w:t>
                  </w:r>
                </w:p>
              </w:tc>
            </w:tr>
            <w:tr w14:paraId="07543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tcBorders>
                    <w:tl2br w:val="nil"/>
                    <w:tr2bl w:val="nil"/>
                  </w:tcBorders>
                  <w:noWrap w:val="0"/>
                  <w:vAlign w:val="center"/>
                </w:tcPr>
                <w:p w14:paraId="6984C23C">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w:t>
                  </w:r>
                </w:p>
              </w:tc>
              <w:tc>
                <w:tcPr>
                  <w:tcW w:w="1263" w:type="pct"/>
                  <w:tcBorders>
                    <w:tl2br w:val="nil"/>
                    <w:tr2bl w:val="nil"/>
                  </w:tcBorders>
                  <w:noWrap w:val="0"/>
                  <w:vAlign w:val="center"/>
                </w:tcPr>
                <w:p w14:paraId="29F8B174">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便携式pH计</w:t>
                  </w:r>
                </w:p>
              </w:tc>
              <w:tc>
                <w:tcPr>
                  <w:tcW w:w="950" w:type="pct"/>
                  <w:tcBorders>
                    <w:tl2br w:val="nil"/>
                    <w:tr2bl w:val="nil"/>
                  </w:tcBorders>
                  <w:noWrap w:val="0"/>
                  <w:vAlign w:val="center"/>
                </w:tcPr>
                <w:p w14:paraId="5485D856">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PHB-4</w:t>
                  </w:r>
                </w:p>
              </w:tc>
              <w:tc>
                <w:tcPr>
                  <w:tcW w:w="803" w:type="pct"/>
                  <w:tcBorders>
                    <w:tl2br w:val="nil"/>
                    <w:tr2bl w:val="nil"/>
                  </w:tcBorders>
                  <w:noWrap w:val="0"/>
                  <w:vAlign w:val="center"/>
                </w:tcPr>
                <w:p w14:paraId="11A69572">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APTX26-</w:t>
                  </w:r>
                  <w:r>
                    <w:rPr>
                      <w:rFonts w:hint="eastAsia" w:cs="Times New Roman"/>
                      <w:b w:val="0"/>
                      <w:kern w:val="2"/>
                      <w:sz w:val="21"/>
                      <w:szCs w:val="21"/>
                      <w:lang w:val="en-US" w:eastAsia="zh-CN" w:bidi="ar-SA"/>
                    </w:rPr>
                    <w:t>5</w:t>
                  </w:r>
                </w:p>
              </w:tc>
              <w:tc>
                <w:tcPr>
                  <w:tcW w:w="803" w:type="pct"/>
                  <w:tcBorders>
                    <w:tl2br w:val="nil"/>
                    <w:tr2bl w:val="nil"/>
                  </w:tcBorders>
                  <w:noWrap w:val="0"/>
                  <w:vAlign w:val="center"/>
                </w:tcPr>
                <w:p w14:paraId="44A8EA49">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校准</w:t>
                  </w:r>
                </w:p>
              </w:tc>
              <w:tc>
                <w:tcPr>
                  <w:tcW w:w="804" w:type="pct"/>
                  <w:tcBorders>
                    <w:tl2br w:val="nil"/>
                    <w:tr2bl w:val="nil"/>
                  </w:tcBorders>
                  <w:noWrap w:val="0"/>
                  <w:vAlign w:val="center"/>
                </w:tcPr>
                <w:p w14:paraId="70CAF71F">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cs="Times New Roman"/>
                      <w:b w:val="0"/>
                      <w:kern w:val="2"/>
                      <w:sz w:val="21"/>
                      <w:szCs w:val="21"/>
                      <w:lang w:val="en-US" w:eastAsia="zh-CN" w:bidi="ar-SA"/>
                    </w:rPr>
                    <w:t>2024.12.5</w:t>
                  </w:r>
                </w:p>
              </w:tc>
            </w:tr>
            <w:tr w14:paraId="566A6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tcBorders>
                    <w:tl2br w:val="nil"/>
                    <w:tr2bl w:val="nil"/>
                  </w:tcBorders>
                  <w:noWrap w:val="0"/>
                  <w:vAlign w:val="center"/>
                </w:tcPr>
                <w:p w14:paraId="2DB3C0BD">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5</w:t>
                  </w:r>
                </w:p>
              </w:tc>
              <w:tc>
                <w:tcPr>
                  <w:tcW w:w="1263" w:type="pct"/>
                  <w:tcBorders>
                    <w:tl2br w:val="nil"/>
                    <w:tr2bl w:val="nil"/>
                  </w:tcBorders>
                  <w:noWrap w:val="0"/>
                  <w:vAlign w:val="center"/>
                </w:tcPr>
                <w:p w14:paraId="5A2907E2">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气相色谱仪</w:t>
                  </w:r>
                </w:p>
              </w:tc>
              <w:tc>
                <w:tcPr>
                  <w:tcW w:w="950" w:type="pct"/>
                  <w:tcBorders>
                    <w:tl2br w:val="nil"/>
                    <w:tr2bl w:val="nil"/>
                  </w:tcBorders>
                  <w:noWrap w:val="0"/>
                  <w:vAlign w:val="center"/>
                </w:tcPr>
                <w:p w14:paraId="20D9D0AD">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GC9790Ⅱ</w:t>
                  </w:r>
                </w:p>
              </w:tc>
              <w:tc>
                <w:tcPr>
                  <w:tcW w:w="803" w:type="pct"/>
                  <w:tcBorders>
                    <w:tl2br w:val="nil"/>
                    <w:tr2bl w:val="nil"/>
                  </w:tcBorders>
                  <w:noWrap w:val="0"/>
                  <w:vAlign w:val="center"/>
                </w:tcPr>
                <w:p w14:paraId="17C4580B">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APTS08-1</w:t>
                  </w:r>
                </w:p>
              </w:tc>
              <w:tc>
                <w:tcPr>
                  <w:tcW w:w="803" w:type="pct"/>
                  <w:tcBorders>
                    <w:tl2br w:val="nil"/>
                    <w:tr2bl w:val="nil"/>
                  </w:tcBorders>
                  <w:noWrap w:val="0"/>
                  <w:vAlign w:val="center"/>
                </w:tcPr>
                <w:p w14:paraId="7DC777C9">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校准</w:t>
                  </w:r>
                </w:p>
              </w:tc>
              <w:tc>
                <w:tcPr>
                  <w:tcW w:w="804" w:type="pct"/>
                  <w:tcBorders>
                    <w:tl2br w:val="nil"/>
                    <w:tr2bl w:val="nil"/>
                  </w:tcBorders>
                  <w:noWrap w:val="0"/>
                  <w:vAlign w:val="center"/>
                </w:tcPr>
                <w:p w14:paraId="66C93EC4">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cs="Times New Roman"/>
                      <w:b w:val="0"/>
                      <w:kern w:val="2"/>
                      <w:sz w:val="21"/>
                      <w:szCs w:val="21"/>
                      <w:lang w:val="en-US" w:eastAsia="zh-CN" w:bidi="ar-SA"/>
                    </w:rPr>
                    <w:t>2024.9.19</w:t>
                  </w:r>
                </w:p>
              </w:tc>
            </w:tr>
            <w:tr w14:paraId="37CBC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tcBorders>
                    <w:tl2br w:val="nil"/>
                    <w:tr2bl w:val="nil"/>
                  </w:tcBorders>
                  <w:noWrap w:val="0"/>
                  <w:vAlign w:val="center"/>
                </w:tcPr>
                <w:p w14:paraId="0BF50BA6">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6</w:t>
                  </w:r>
                </w:p>
              </w:tc>
              <w:tc>
                <w:tcPr>
                  <w:tcW w:w="1263" w:type="pct"/>
                  <w:tcBorders>
                    <w:tl2br w:val="nil"/>
                    <w:tr2bl w:val="nil"/>
                  </w:tcBorders>
                  <w:noWrap w:val="0"/>
                  <w:vAlign w:val="center"/>
                </w:tcPr>
                <w:p w14:paraId="2D9763D9">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000000"/>
                      <w:kern w:val="2"/>
                      <w:sz w:val="21"/>
                      <w:szCs w:val="24"/>
                      <w:lang w:val="en-US" w:eastAsia="zh-CN" w:bidi="ar-SA"/>
                    </w:rPr>
                  </w:pPr>
                  <w:r>
                    <w:rPr>
                      <w:rFonts w:hint="eastAsia" w:ascii="Times New Roman" w:hAnsi="Times New Roman" w:eastAsia="宋体" w:cs="Times New Roman"/>
                      <w:b w:val="0"/>
                      <w:bCs/>
                      <w:sz w:val="21"/>
                      <w:szCs w:val="21"/>
                      <w:lang w:val="en-US" w:eastAsia="zh-CN"/>
                    </w:rPr>
                    <w:t>生化培养箱</w:t>
                  </w:r>
                </w:p>
              </w:tc>
              <w:tc>
                <w:tcPr>
                  <w:tcW w:w="950" w:type="pct"/>
                  <w:tcBorders>
                    <w:tl2br w:val="nil"/>
                    <w:tr2bl w:val="nil"/>
                  </w:tcBorders>
                  <w:noWrap w:val="0"/>
                  <w:vAlign w:val="center"/>
                </w:tcPr>
                <w:p w14:paraId="07B985BF">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000000"/>
                      <w:kern w:val="2"/>
                      <w:sz w:val="21"/>
                      <w:szCs w:val="24"/>
                      <w:lang w:val="en-US" w:eastAsia="zh-CN" w:bidi="ar-SA"/>
                    </w:rPr>
                  </w:pPr>
                  <w:r>
                    <w:rPr>
                      <w:rFonts w:hint="eastAsia" w:ascii="Times New Roman" w:hAnsi="Times New Roman" w:eastAsia="宋体" w:cs="Times New Roman"/>
                      <w:b w:val="0"/>
                      <w:bCs/>
                      <w:sz w:val="21"/>
                      <w:szCs w:val="21"/>
                      <w:lang w:val="en-US" w:eastAsia="zh-CN"/>
                    </w:rPr>
                    <w:t>SPX-150B</w:t>
                  </w:r>
                </w:p>
              </w:tc>
              <w:tc>
                <w:tcPr>
                  <w:tcW w:w="803" w:type="pct"/>
                  <w:tcBorders>
                    <w:tl2br w:val="nil"/>
                    <w:tr2bl w:val="nil"/>
                  </w:tcBorders>
                  <w:noWrap w:val="0"/>
                  <w:vAlign w:val="center"/>
                </w:tcPr>
                <w:p w14:paraId="23D2B11C">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APTS18</w:t>
                  </w:r>
                </w:p>
              </w:tc>
              <w:tc>
                <w:tcPr>
                  <w:tcW w:w="803" w:type="pct"/>
                  <w:tcBorders>
                    <w:tl2br w:val="nil"/>
                    <w:tr2bl w:val="nil"/>
                  </w:tcBorders>
                  <w:noWrap w:val="0"/>
                  <w:vAlign w:val="center"/>
                </w:tcPr>
                <w:p w14:paraId="3A7856C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校准</w:t>
                  </w:r>
                </w:p>
              </w:tc>
              <w:tc>
                <w:tcPr>
                  <w:tcW w:w="804" w:type="pct"/>
                  <w:tcBorders>
                    <w:tl2br w:val="nil"/>
                    <w:tr2bl w:val="nil"/>
                  </w:tcBorders>
                  <w:noWrap w:val="0"/>
                  <w:vAlign w:val="center"/>
                </w:tcPr>
                <w:p w14:paraId="048E0D8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color w:val="0000FF"/>
                      <w:kern w:val="2"/>
                      <w:sz w:val="21"/>
                      <w:szCs w:val="21"/>
                      <w:lang w:val="en-US" w:eastAsia="zh-CN" w:bidi="ar-SA"/>
                    </w:rPr>
                  </w:pPr>
                  <w:r>
                    <w:rPr>
                      <w:rFonts w:hint="eastAsia" w:cs="Times New Roman"/>
                      <w:b w:val="0"/>
                      <w:kern w:val="2"/>
                      <w:sz w:val="21"/>
                      <w:szCs w:val="21"/>
                      <w:lang w:val="en-US" w:eastAsia="zh-CN" w:bidi="ar-SA"/>
                    </w:rPr>
                    <w:t>2024.9.6</w:t>
                  </w:r>
                </w:p>
              </w:tc>
            </w:tr>
            <w:tr w14:paraId="0A9B3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tcBorders>
                    <w:tl2br w:val="nil"/>
                    <w:tr2bl w:val="nil"/>
                  </w:tcBorders>
                  <w:noWrap w:val="0"/>
                  <w:vAlign w:val="center"/>
                </w:tcPr>
                <w:p w14:paraId="39321832">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7</w:t>
                  </w:r>
                </w:p>
              </w:tc>
              <w:tc>
                <w:tcPr>
                  <w:tcW w:w="1263" w:type="pct"/>
                  <w:tcBorders>
                    <w:tl2br w:val="nil"/>
                    <w:tr2bl w:val="nil"/>
                  </w:tcBorders>
                  <w:noWrap w:val="0"/>
                  <w:vAlign w:val="center"/>
                </w:tcPr>
                <w:p w14:paraId="079FDEAE">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分析天平</w:t>
                  </w:r>
                </w:p>
              </w:tc>
              <w:tc>
                <w:tcPr>
                  <w:tcW w:w="950" w:type="pct"/>
                  <w:tcBorders>
                    <w:tl2br w:val="nil"/>
                    <w:tr2bl w:val="nil"/>
                  </w:tcBorders>
                  <w:noWrap w:val="0"/>
                  <w:vAlign w:val="center"/>
                </w:tcPr>
                <w:p w14:paraId="2570DFBA">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ME204E/02</w:t>
                  </w:r>
                </w:p>
              </w:tc>
              <w:tc>
                <w:tcPr>
                  <w:tcW w:w="803" w:type="pct"/>
                  <w:tcBorders>
                    <w:tl2br w:val="nil"/>
                    <w:tr2bl w:val="nil"/>
                  </w:tcBorders>
                  <w:noWrap w:val="0"/>
                  <w:vAlign w:val="center"/>
                </w:tcPr>
                <w:p w14:paraId="62823658">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APTS22</w:t>
                  </w:r>
                </w:p>
              </w:tc>
              <w:tc>
                <w:tcPr>
                  <w:tcW w:w="803" w:type="pct"/>
                  <w:tcBorders>
                    <w:tl2br w:val="nil"/>
                    <w:tr2bl w:val="nil"/>
                  </w:tcBorders>
                  <w:noWrap w:val="0"/>
                  <w:vAlign w:val="center"/>
                </w:tcPr>
                <w:p w14:paraId="3BB9888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校准</w:t>
                  </w:r>
                </w:p>
              </w:tc>
              <w:tc>
                <w:tcPr>
                  <w:tcW w:w="804" w:type="pct"/>
                  <w:tcBorders>
                    <w:tl2br w:val="nil"/>
                    <w:tr2bl w:val="nil"/>
                  </w:tcBorders>
                  <w:noWrap w:val="0"/>
                  <w:vAlign w:val="center"/>
                </w:tcPr>
                <w:p w14:paraId="578592B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color w:val="0000FF"/>
                      <w:kern w:val="2"/>
                      <w:sz w:val="21"/>
                      <w:szCs w:val="21"/>
                      <w:lang w:val="en-US" w:eastAsia="zh-CN" w:bidi="ar-SA"/>
                    </w:rPr>
                  </w:pPr>
                  <w:r>
                    <w:rPr>
                      <w:rFonts w:hint="eastAsia" w:cs="Times New Roman"/>
                      <w:b w:val="0"/>
                      <w:kern w:val="2"/>
                      <w:sz w:val="21"/>
                      <w:szCs w:val="21"/>
                      <w:lang w:val="en-US" w:eastAsia="zh-CN" w:bidi="ar-SA"/>
                    </w:rPr>
                    <w:t>2024.9.6</w:t>
                  </w:r>
                </w:p>
              </w:tc>
            </w:tr>
            <w:tr w14:paraId="1508A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tcBorders>
                    <w:tl2br w:val="nil"/>
                    <w:tr2bl w:val="nil"/>
                  </w:tcBorders>
                  <w:noWrap w:val="0"/>
                  <w:vAlign w:val="center"/>
                </w:tcPr>
                <w:p w14:paraId="78CE4893">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w:t>
                  </w:r>
                </w:p>
              </w:tc>
              <w:tc>
                <w:tcPr>
                  <w:tcW w:w="1263" w:type="pct"/>
                  <w:tcBorders>
                    <w:tl2br w:val="nil"/>
                    <w:tr2bl w:val="nil"/>
                  </w:tcBorders>
                  <w:noWrap w:val="0"/>
                  <w:vAlign w:val="center"/>
                </w:tcPr>
                <w:p w14:paraId="18160AB7">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eastAsia="zh-CN"/>
                    </w:rPr>
                    <w:t>多功能声级计</w:t>
                  </w:r>
                </w:p>
              </w:tc>
              <w:tc>
                <w:tcPr>
                  <w:tcW w:w="950" w:type="pct"/>
                  <w:tcBorders>
                    <w:tl2br w:val="nil"/>
                    <w:tr2bl w:val="nil"/>
                  </w:tcBorders>
                  <w:noWrap w:val="0"/>
                  <w:vAlign w:val="center"/>
                </w:tcPr>
                <w:p w14:paraId="6124D2DA">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_GB2312" w:cs="Times New Roman"/>
                      <w:kern w:val="2"/>
                      <w:sz w:val="21"/>
                      <w:szCs w:val="21"/>
                      <w:lang w:val="en-US" w:eastAsia="zh-CN" w:bidi="ar-SA"/>
                    </w:rPr>
                  </w:pPr>
                  <w:r>
                    <w:rPr>
                      <w:rFonts w:hint="eastAsia" w:ascii="Times New Roman" w:hAnsi="Times New Roman" w:eastAsia="宋体" w:cs="Times New Roman"/>
                      <w:lang w:eastAsia="zh-CN"/>
                    </w:rPr>
                    <w:t>AWA</w:t>
                  </w:r>
                  <w:r>
                    <w:rPr>
                      <w:rFonts w:hint="eastAsia" w:cs="Times New Roman"/>
                      <w:lang w:val="en-US" w:eastAsia="zh-CN"/>
                    </w:rPr>
                    <w:t>5688</w:t>
                  </w:r>
                </w:p>
              </w:tc>
              <w:tc>
                <w:tcPr>
                  <w:tcW w:w="803" w:type="pct"/>
                  <w:tcBorders>
                    <w:tl2br w:val="nil"/>
                    <w:tr2bl w:val="nil"/>
                  </w:tcBorders>
                  <w:noWrap w:val="0"/>
                  <w:vAlign w:val="center"/>
                </w:tcPr>
                <w:p w14:paraId="59D57097">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_GB2312" w:cs="Times New Roman"/>
                      <w:kern w:val="2"/>
                      <w:sz w:val="21"/>
                      <w:szCs w:val="21"/>
                      <w:lang w:val="en-US" w:eastAsia="zh-CN" w:bidi="ar-SA"/>
                    </w:rPr>
                  </w:pPr>
                  <w:r>
                    <w:rPr>
                      <w:rFonts w:hint="eastAsia" w:ascii="Times New Roman" w:hAnsi="Times New Roman" w:eastAsia="宋体" w:cs="Times New Roman"/>
                      <w:lang w:eastAsia="zh-CN"/>
                    </w:rPr>
                    <w:t>APTX1</w:t>
                  </w:r>
                  <w:r>
                    <w:rPr>
                      <w:rFonts w:hint="eastAsia" w:cs="Times New Roman"/>
                      <w:lang w:val="en-US" w:eastAsia="zh-CN"/>
                    </w:rPr>
                    <w:t>4-2</w:t>
                  </w:r>
                </w:p>
              </w:tc>
              <w:tc>
                <w:tcPr>
                  <w:tcW w:w="803" w:type="pct"/>
                  <w:tcBorders>
                    <w:tl2br w:val="nil"/>
                    <w:tr2bl w:val="nil"/>
                  </w:tcBorders>
                  <w:noWrap w:val="0"/>
                  <w:vAlign w:val="center"/>
                </w:tcPr>
                <w:p w14:paraId="5BA00D52">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rPr>
                    <w:t>检定</w:t>
                  </w:r>
                </w:p>
              </w:tc>
              <w:tc>
                <w:tcPr>
                  <w:tcW w:w="804" w:type="pct"/>
                  <w:tcBorders>
                    <w:tl2br w:val="nil"/>
                    <w:tr2bl w:val="nil"/>
                  </w:tcBorders>
                  <w:noWrap w:val="0"/>
                  <w:vAlign w:val="center"/>
                </w:tcPr>
                <w:p w14:paraId="379374C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color w:val="0000FF"/>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202</w:t>
                  </w:r>
                  <w:r>
                    <w:rPr>
                      <w:rFonts w:hint="eastAsia" w:cs="Times New Roman"/>
                      <w:b w:val="0"/>
                      <w:kern w:val="2"/>
                      <w:sz w:val="21"/>
                      <w:szCs w:val="21"/>
                      <w:lang w:val="en-US" w:eastAsia="zh-CN" w:bidi="ar-SA"/>
                    </w:rPr>
                    <w:t>4.10.15</w:t>
                  </w:r>
                </w:p>
              </w:tc>
            </w:tr>
            <w:tr w14:paraId="326A4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tcBorders>
                    <w:tl2br w:val="nil"/>
                    <w:tr2bl w:val="nil"/>
                  </w:tcBorders>
                  <w:noWrap w:val="0"/>
                  <w:vAlign w:val="center"/>
                </w:tcPr>
                <w:p w14:paraId="7F97FD70">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w:t>
                  </w:r>
                </w:p>
              </w:tc>
              <w:tc>
                <w:tcPr>
                  <w:tcW w:w="1263" w:type="pct"/>
                  <w:tcBorders>
                    <w:tl2br w:val="nil"/>
                    <w:tr2bl w:val="nil"/>
                  </w:tcBorders>
                  <w:noWrap w:val="0"/>
                  <w:vAlign w:val="center"/>
                </w:tcPr>
                <w:p w14:paraId="692FAE85">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rPr>
                    <w:t>声</w:t>
                  </w:r>
                  <w:r>
                    <w:rPr>
                      <w:rFonts w:hint="eastAsia" w:ascii="Times New Roman" w:hAnsi="Times New Roman" w:eastAsia="宋体" w:cs="Times New Roman"/>
                      <w:lang w:val="en-US" w:eastAsia="zh-CN"/>
                    </w:rPr>
                    <w:t>级</w:t>
                  </w:r>
                  <w:r>
                    <w:rPr>
                      <w:rFonts w:hint="default" w:ascii="Times New Roman" w:hAnsi="Times New Roman" w:eastAsia="宋体" w:cs="Times New Roman"/>
                    </w:rPr>
                    <w:t>校准器</w:t>
                  </w:r>
                </w:p>
              </w:tc>
              <w:tc>
                <w:tcPr>
                  <w:tcW w:w="950" w:type="pct"/>
                  <w:tcBorders>
                    <w:tl2br w:val="nil"/>
                    <w:tr2bl w:val="nil"/>
                  </w:tcBorders>
                  <w:noWrap w:val="0"/>
                  <w:vAlign w:val="center"/>
                </w:tcPr>
                <w:p w14:paraId="27D7E52D">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_GB2312" w:cs="Times New Roman"/>
                      <w:kern w:val="2"/>
                      <w:sz w:val="21"/>
                      <w:szCs w:val="21"/>
                      <w:lang w:val="en-US" w:eastAsia="zh-CN" w:bidi="ar-SA"/>
                    </w:rPr>
                  </w:pPr>
                  <w:r>
                    <w:rPr>
                      <w:rFonts w:hint="eastAsia" w:ascii="Times New Roman" w:hAnsi="Times New Roman" w:eastAsia="宋体" w:cs="Times New Roman"/>
                      <w:lang w:eastAsia="zh-CN"/>
                    </w:rPr>
                    <w:t>AWA602</w:t>
                  </w:r>
                  <w:r>
                    <w:rPr>
                      <w:rFonts w:hint="eastAsia" w:cs="Times New Roman"/>
                      <w:lang w:val="en-US" w:eastAsia="zh-CN"/>
                    </w:rPr>
                    <w:t>2</w:t>
                  </w:r>
                  <w:r>
                    <w:rPr>
                      <w:rFonts w:hint="eastAsia" w:ascii="Times New Roman" w:hAnsi="Times New Roman" w:eastAsia="宋体" w:cs="Times New Roman"/>
                      <w:lang w:eastAsia="zh-CN"/>
                    </w:rPr>
                    <w:t>A</w:t>
                  </w:r>
                </w:p>
              </w:tc>
              <w:tc>
                <w:tcPr>
                  <w:tcW w:w="803" w:type="pct"/>
                  <w:tcBorders>
                    <w:tl2br w:val="nil"/>
                    <w:tr2bl w:val="nil"/>
                  </w:tcBorders>
                  <w:noWrap w:val="0"/>
                  <w:vAlign w:val="center"/>
                </w:tcPr>
                <w:p w14:paraId="728E2DFA">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仿宋_GB2312" w:cs="Times New Roman"/>
                      <w:kern w:val="2"/>
                      <w:sz w:val="21"/>
                      <w:szCs w:val="21"/>
                      <w:lang w:val="en-US" w:eastAsia="zh-CN" w:bidi="ar-SA"/>
                    </w:rPr>
                  </w:pPr>
                  <w:r>
                    <w:rPr>
                      <w:rFonts w:hint="eastAsia" w:ascii="Times New Roman" w:hAnsi="Times New Roman" w:eastAsia="宋体" w:cs="Times New Roman"/>
                      <w:lang w:eastAsia="zh-CN"/>
                    </w:rPr>
                    <w:t>APTX</w:t>
                  </w:r>
                  <w:r>
                    <w:rPr>
                      <w:rFonts w:hint="eastAsia" w:cs="Times New Roman"/>
                      <w:lang w:val="en-US" w:eastAsia="zh-CN"/>
                    </w:rPr>
                    <w:t>36-4</w:t>
                  </w:r>
                </w:p>
              </w:tc>
              <w:tc>
                <w:tcPr>
                  <w:tcW w:w="803" w:type="pct"/>
                  <w:tcBorders>
                    <w:tl2br w:val="nil"/>
                    <w:tr2bl w:val="nil"/>
                  </w:tcBorders>
                  <w:noWrap w:val="0"/>
                  <w:vAlign w:val="center"/>
                </w:tcPr>
                <w:p w14:paraId="5826FEF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检定</w:t>
                  </w:r>
                </w:p>
              </w:tc>
              <w:tc>
                <w:tcPr>
                  <w:tcW w:w="804" w:type="pct"/>
                  <w:tcBorders>
                    <w:tl2br w:val="nil"/>
                    <w:tr2bl w:val="nil"/>
                  </w:tcBorders>
                  <w:noWrap w:val="0"/>
                  <w:vAlign w:val="center"/>
                </w:tcPr>
                <w:p w14:paraId="327A747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color w:val="0000FF"/>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20</w:t>
                  </w:r>
                  <w:r>
                    <w:rPr>
                      <w:rFonts w:hint="eastAsia" w:cs="Times New Roman"/>
                      <w:b w:val="0"/>
                      <w:kern w:val="2"/>
                      <w:sz w:val="21"/>
                      <w:szCs w:val="21"/>
                      <w:lang w:val="en-US" w:eastAsia="zh-CN" w:bidi="ar-SA"/>
                    </w:rPr>
                    <w:t>25.1.9</w:t>
                  </w:r>
                </w:p>
              </w:tc>
            </w:tr>
            <w:tr w14:paraId="30B0B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tcBorders>
                    <w:tl2br w:val="nil"/>
                    <w:tr2bl w:val="nil"/>
                  </w:tcBorders>
                  <w:noWrap w:val="0"/>
                  <w:vAlign w:val="center"/>
                </w:tcPr>
                <w:p w14:paraId="4C24E497">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w:t>
                  </w:r>
                </w:p>
              </w:tc>
              <w:tc>
                <w:tcPr>
                  <w:tcW w:w="1263" w:type="pct"/>
                  <w:tcBorders>
                    <w:tl2br w:val="nil"/>
                    <w:tr2bl w:val="nil"/>
                  </w:tcBorders>
                  <w:noWrap w:val="0"/>
                  <w:vAlign w:val="center"/>
                </w:tcPr>
                <w:p w14:paraId="1206C37B">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eastAsia="zh-CN"/>
                    </w:rPr>
                    <w:t>红外分光测油仪</w:t>
                  </w:r>
                </w:p>
              </w:tc>
              <w:tc>
                <w:tcPr>
                  <w:tcW w:w="950" w:type="pct"/>
                  <w:tcBorders>
                    <w:tl2br w:val="nil"/>
                    <w:tr2bl w:val="nil"/>
                  </w:tcBorders>
                  <w:noWrap w:val="0"/>
                  <w:vAlign w:val="center"/>
                </w:tcPr>
                <w:p w14:paraId="0D3711CD">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eastAsia="zh-CN"/>
                    </w:rPr>
                    <w:t>LT-21A</w:t>
                  </w:r>
                </w:p>
              </w:tc>
              <w:tc>
                <w:tcPr>
                  <w:tcW w:w="803" w:type="pct"/>
                  <w:tcBorders>
                    <w:tl2br w:val="nil"/>
                    <w:tr2bl w:val="nil"/>
                  </w:tcBorders>
                  <w:noWrap w:val="0"/>
                  <w:vAlign w:val="center"/>
                </w:tcPr>
                <w:p w14:paraId="6D289C7E">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仿宋_GB2312" w:cs="Times New Roman"/>
                      <w:kern w:val="2"/>
                      <w:sz w:val="21"/>
                      <w:szCs w:val="21"/>
                      <w:lang w:eastAsia="zh-CN"/>
                    </w:rPr>
                    <w:t>APTS04</w:t>
                  </w:r>
                </w:p>
              </w:tc>
              <w:tc>
                <w:tcPr>
                  <w:tcW w:w="803" w:type="pct"/>
                  <w:tcBorders>
                    <w:tl2br w:val="nil"/>
                    <w:tr2bl w:val="nil"/>
                  </w:tcBorders>
                  <w:noWrap w:val="0"/>
                  <w:vAlign w:val="center"/>
                </w:tcPr>
                <w:p w14:paraId="115B928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校准</w:t>
                  </w:r>
                </w:p>
              </w:tc>
              <w:tc>
                <w:tcPr>
                  <w:tcW w:w="804" w:type="pct"/>
                  <w:tcBorders>
                    <w:tl2br w:val="nil"/>
                    <w:tr2bl w:val="nil"/>
                  </w:tcBorders>
                  <w:noWrap w:val="0"/>
                  <w:vAlign w:val="center"/>
                </w:tcPr>
                <w:p w14:paraId="1E17F5E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color w:val="0000FF"/>
                      <w:kern w:val="2"/>
                      <w:sz w:val="21"/>
                      <w:szCs w:val="21"/>
                      <w:lang w:val="en-US" w:eastAsia="zh-CN" w:bidi="ar-SA"/>
                    </w:rPr>
                  </w:pPr>
                  <w:r>
                    <w:rPr>
                      <w:rFonts w:hint="eastAsia" w:cs="Times New Roman"/>
                      <w:b w:val="0"/>
                      <w:kern w:val="2"/>
                      <w:sz w:val="21"/>
                      <w:szCs w:val="21"/>
                      <w:lang w:val="en-US" w:eastAsia="zh-CN" w:bidi="ar-SA"/>
                    </w:rPr>
                    <w:t>2024.9.6</w:t>
                  </w:r>
                </w:p>
              </w:tc>
            </w:tr>
          </w:tbl>
          <w:p w14:paraId="3E22AE6B">
            <w:pPr>
              <w:spacing w:before="48" w:beforeLines="20"/>
              <w:rPr>
                <w:b/>
                <w:bCs/>
              </w:rPr>
            </w:pPr>
          </w:p>
        </w:tc>
      </w:tr>
      <w:tr w14:paraId="38EA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8" w:hRule="atLeast"/>
          <w:jc w:val="center"/>
        </w:trPr>
        <w:tc>
          <w:tcPr>
            <w:tcW w:w="9242" w:type="dxa"/>
          </w:tcPr>
          <w:p w14:paraId="6F45F546">
            <w:pPr>
              <w:keepNext w:val="0"/>
              <w:keepLines w:val="0"/>
              <w:pageBreakBefore w:val="0"/>
              <w:widowControl w:val="0"/>
              <w:kinsoku/>
              <w:wordWrap/>
              <w:overflowPunct/>
              <w:topLinePunct w:val="0"/>
              <w:autoSpaceDE/>
              <w:autoSpaceDN/>
              <w:bidi w:val="0"/>
              <w:adjustRightInd/>
              <w:snapToGrid/>
              <w:spacing w:line="240" w:lineRule="auto"/>
              <w:textAlignment w:val="auto"/>
              <w:rPr>
                <w:b/>
                <w:bCs/>
              </w:rPr>
            </w:pPr>
            <w:r>
              <w:rPr>
                <w:b/>
                <w:bCs/>
              </w:rPr>
              <w:t>（2）人员资质</w:t>
            </w:r>
          </w:p>
          <w:p w14:paraId="3B942B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rPr>
            </w:pPr>
            <w:r>
              <w:rPr>
                <w:b/>
              </w:rPr>
              <w:t>表5-</w:t>
            </w:r>
            <w:r>
              <w:rPr>
                <w:rFonts w:hint="eastAsia"/>
                <w:b/>
              </w:rPr>
              <w:t>3</w:t>
            </w:r>
            <w:r>
              <w:rPr>
                <w:b/>
              </w:rPr>
              <w:t>人员资质情况一览表</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53"/>
              <w:gridCol w:w="2256"/>
              <w:gridCol w:w="2256"/>
              <w:gridCol w:w="2256"/>
            </w:tblGrid>
            <w:tr w14:paraId="7A445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tcBorders>
                    <w:top w:val="single" w:color="auto" w:sz="12" w:space="0"/>
                  </w:tcBorders>
                  <w:noWrap w:val="0"/>
                  <w:vAlign w:val="center"/>
                </w:tcPr>
                <w:p w14:paraId="7F10862D">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1250" w:type="pct"/>
                  <w:tcBorders>
                    <w:top w:val="single" w:color="auto" w:sz="12" w:space="0"/>
                  </w:tcBorders>
                  <w:noWrap w:val="0"/>
                  <w:vAlign w:val="center"/>
                </w:tcPr>
                <w:p w14:paraId="68533061">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姓名</w:t>
                  </w:r>
                </w:p>
              </w:tc>
              <w:tc>
                <w:tcPr>
                  <w:tcW w:w="1250" w:type="pct"/>
                  <w:tcBorders>
                    <w:top w:val="single" w:color="auto" w:sz="12" w:space="0"/>
                  </w:tcBorders>
                  <w:noWrap w:val="0"/>
                  <w:vAlign w:val="center"/>
                </w:tcPr>
                <w:p w14:paraId="61E6FA0A">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职责</w:t>
                  </w:r>
                </w:p>
              </w:tc>
              <w:tc>
                <w:tcPr>
                  <w:tcW w:w="1250" w:type="pct"/>
                  <w:tcBorders>
                    <w:top w:val="single" w:color="auto" w:sz="12" w:space="0"/>
                  </w:tcBorders>
                  <w:noWrap w:val="0"/>
                  <w:vAlign w:val="center"/>
                </w:tcPr>
                <w:p w14:paraId="443F3569">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上岗证编号</w:t>
                  </w:r>
                </w:p>
              </w:tc>
            </w:tr>
            <w:tr w14:paraId="68127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noWrap w:val="0"/>
                  <w:vAlign w:val="center"/>
                </w:tcPr>
                <w:p w14:paraId="7AFACE8F">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250" w:type="pct"/>
                  <w:noWrap w:val="0"/>
                  <w:vAlign w:val="center"/>
                </w:tcPr>
                <w:p w14:paraId="3652FD96">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田德明</w:t>
                  </w:r>
                </w:p>
              </w:tc>
              <w:tc>
                <w:tcPr>
                  <w:tcW w:w="1250" w:type="pct"/>
                  <w:noWrap w:val="0"/>
                  <w:vAlign w:val="center"/>
                </w:tcPr>
                <w:p w14:paraId="1979F21E">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采样</w:t>
                  </w:r>
                  <w:r>
                    <w:rPr>
                      <w:rFonts w:hint="eastAsia" w:cs="Times New Roman"/>
                      <w:b w:val="0"/>
                      <w:color w:val="auto"/>
                      <w:kern w:val="2"/>
                      <w:sz w:val="21"/>
                      <w:szCs w:val="21"/>
                      <w:lang w:val="en-US" w:eastAsia="zh-CN" w:bidi="ar-SA"/>
                    </w:rPr>
                    <w:t>员</w:t>
                  </w:r>
                </w:p>
              </w:tc>
              <w:tc>
                <w:tcPr>
                  <w:tcW w:w="1250" w:type="pct"/>
                  <w:noWrap w:val="0"/>
                  <w:vAlign w:val="center"/>
                </w:tcPr>
                <w:p w14:paraId="640A0C75">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eastAsia="zh-CN"/>
                    </w:rPr>
                    <w:t>安谱测字第</w:t>
                  </w:r>
                  <w:r>
                    <w:rPr>
                      <w:rFonts w:hint="eastAsia"/>
                      <w:color w:val="auto"/>
                      <w:sz w:val="21"/>
                      <w:szCs w:val="21"/>
                      <w:vertAlign w:val="baseline"/>
                      <w:lang w:val="en-US" w:eastAsia="zh-CN"/>
                    </w:rPr>
                    <w:t>60号</w:t>
                  </w:r>
                </w:p>
              </w:tc>
            </w:tr>
            <w:tr w14:paraId="79DEB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noWrap w:val="0"/>
                  <w:vAlign w:val="center"/>
                </w:tcPr>
                <w:p w14:paraId="452A801B">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250" w:type="pct"/>
                  <w:noWrap w:val="0"/>
                  <w:vAlign w:val="center"/>
                </w:tcPr>
                <w:p w14:paraId="235DE7A9">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陈江川</w:t>
                  </w:r>
                </w:p>
              </w:tc>
              <w:tc>
                <w:tcPr>
                  <w:tcW w:w="1250" w:type="pct"/>
                  <w:noWrap w:val="0"/>
                  <w:vAlign w:val="center"/>
                </w:tcPr>
                <w:p w14:paraId="171EF5C3">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采样</w:t>
                  </w:r>
                  <w:r>
                    <w:rPr>
                      <w:rFonts w:hint="eastAsia" w:cs="Times New Roman"/>
                      <w:b w:val="0"/>
                      <w:color w:val="auto"/>
                      <w:kern w:val="2"/>
                      <w:sz w:val="21"/>
                      <w:szCs w:val="21"/>
                      <w:lang w:val="en-US" w:eastAsia="zh-CN" w:bidi="ar-SA"/>
                    </w:rPr>
                    <w:t>员</w:t>
                  </w:r>
                </w:p>
              </w:tc>
              <w:tc>
                <w:tcPr>
                  <w:tcW w:w="1250" w:type="pct"/>
                  <w:noWrap w:val="0"/>
                  <w:vAlign w:val="center"/>
                </w:tcPr>
                <w:p w14:paraId="18A4FB1F">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安谱测字第</w:t>
                  </w:r>
                  <w:r>
                    <w:rPr>
                      <w:rFonts w:hint="eastAsia" w:cs="Times New Roman"/>
                      <w:color w:val="auto"/>
                      <w:sz w:val="21"/>
                      <w:szCs w:val="21"/>
                      <w:lang w:val="en-US" w:eastAsia="zh-CN"/>
                    </w:rPr>
                    <w:t>57</w:t>
                  </w:r>
                  <w:r>
                    <w:rPr>
                      <w:rFonts w:hint="eastAsia" w:ascii="Times New Roman" w:hAnsi="Times New Roman" w:eastAsia="宋体" w:cs="Times New Roman"/>
                      <w:color w:val="auto"/>
                      <w:sz w:val="21"/>
                      <w:szCs w:val="21"/>
                      <w:lang w:val="en-US" w:eastAsia="zh-CN"/>
                    </w:rPr>
                    <w:t>号</w:t>
                  </w:r>
                </w:p>
              </w:tc>
            </w:tr>
            <w:tr w14:paraId="10129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noWrap w:val="0"/>
                  <w:vAlign w:val="center"/>
                </w:tcPr>
                <w:p w14:paraId="65F7094A">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250" w:type="pct"/>
                  <w:noWrap w:val="0"/>
                  <w:vAlign w:val="center"/>
                </w:tcPr>
                <w:p w14:paraId="40893BD9">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余桂钟</w:t>
                  </w:r>
                </w:p>
              </w:tc>
              <w:tc>
                <w:tcPr>
                  <w:tcW w:w="1250" w:type="pct"/>
                  <w:noWrap w:val="0"/>
                  <w:vAlign w:val="center"/>
                </w:tcPr>
                <w:p w14:paraId="44EFA230">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采样</w:t>
                  </w:r>
                  <w:r>
                    <w:rPr>
                      <w:rFonts w:hint="eastAsia" w:cs="Times New Roman"/>
                      <w:b w:val="0"/>
                      <w:color w:val="auto"/>
                      <w:kern w:val="2"/>
                      <w:sz w:val="21"/>
                      <w:szCs w:val="21"/>
                      <w:lang w:val="en-US" w:eastAsia="zh-CN" w:bidi="ar-SA"/>
                    </w:rPr>
                    <w:t>员</w:t>
                  </w:r>
                </w:p>
              </w:tc>
              <w:tc>
                <w:tcPr>
                  <w:tcW w:w="1250" w:type="pct"/>
                  <w:noWrap w:val="0"/>
                  <w:vAlign w:val="center"/>
                </w:tcPr>
                <w:p w14:paraId="131CC464">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vertAlign w:val="baseline"/>
                      <w:lang w:eastAsia="zh-CN"/>
                    </w:rPr>
                    <w:t>安谱测字第</w:t>
                  </w:r>
                  <w:r>
                    <w:rPr>
                      <w:rFonts w:hint="eastAsia"/>
                      <w:color w:val="auto"/>
                      <w:sz w:val="21"/>
                      <w:szCs w:val="21"/>
                      <w:vertAlign w:val="baseline"/>
                      <w:lang w:val="en-US" w:eastAsia="zh-CN"/>
                    </w:rPr>
                    <w:t>52号</w:t>
                  </w:r>
                </w:p>
              </w:tc>
            </w:tr>
            <w:tr w14:paraId="2D8087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noWrap w:val="0"/>
                  <w:vAlign w:val="center"/>
                </w:tcPr>
                <w:p w14:paraId="151DB36E">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w:t>
                  </w:r>
                </w:p>
              </w:tc>
              <w:tc>
                <w:tcPr>
                  <w:tcW w:w="1250" w:type="pct"/>
                  <w:noWrap w:val="0"/>
                  <w:vAlign w:val="center"/>
                </w:tcPr>
                <w:p w14:paraId="7729626E">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郭森峰</w:t>
                  </w:r>
                </w:p>
              </w:tc>
              <w:tc>
                <w:tcPr>
                  <w:tcW w:w="1250" w:type="pct"/>
                  <w:noWrap w:val="0"/>
                  <w:vAlign w:val="center"/>
                </w:tcPr>
                <w:p w14:paraId="423AD5D8">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采样</w:t>
                  </w:r>
                  <w:r>
                    <w:rPr>
                      <w:rFonts w:hint="eastAsia" w:cs="Times New Roman"/>
                      <w:b w:val="0"/>
                      <w:color w:val="auto"/>
                      <w:kern w:val="2"/>
                      <w:sz w:val="21"/>
                      <w:szCs w:val="21"/>
                      <w:lang w:val="en-US" w:eastAsia="zh-CN" w:bidi="ar-SA"/>
                    </w:rPr>
                    <w:t>员</w:t>
                  </w:r>
                </w:p>
              </w:tc>
              <w:tc>
                <w:tcPr>
                  <w:tcW w:w="1250" w:type="pct"/>
                  <w:noWrap w:val="0"/>
                  <w:vAlign w:val="center"/>
                </w:tcPr>
                <w:p w14:paraId="3107227D">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安谱测字第2</w:t>
                  </w:r>
                  <w:r>
                    <w:rPr>
                      <w:rFonts w:hint="eastAsia" w:cs="Times New Roman"/>
                      <w:sz w:val="21"/>
                      <w:szCs w:val="21"/>
                      <w:lang w:val="en-US" w:eastAsia="zh-CN"/>
                    </w:rPr>
                    <w:t>3</w:t>
                  </w:r>
                  <w:r>
                    <w:rPr>
                      <w:rFonts w:hint="eastAsia" w:ascii="Times New Roman" w:hAnsi="Times New Roman" w:eastAsia="宋体" w:cs="Times New Roman"/>
                      <w:sz w:val="21"/>
                      <w:szCs w:val="21"/>
                      <w:lang w:val="en-US" w:eastAsia="zh-CN"/>
                    </w:rPr>
                    <w:t>号</w:t>
                  </w:r>
                </w:p>
              </w:tc>
            </w:tr>
            <w:tr w14:paraId="743AE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noWrap w:val="0"/>
                  <w:vAlign w:val="center"/>
                </w:tcPr>
                <w:p w14:paraId="67660C7A">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w:t>
                  </w:r>
                </w:p>
              </w:tc>
              <w:tc>
                <w:tcPr>
                  <w:tcW w:w="1250" w:type="pct"/>
                  <w:noWrap w:val="0"/>
                  <w:vAlign w:val="center"/>
                </w:tcPr>
                <w:p w14:paraId="5228A8D8">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kern w:val="2"/>
                      <w:sz w:val="21"/>
                      <w:szCs w:val="21"/>
                      <w:lang w:val="en-US" w:eastAsia="zh-CN" w:bidi="ar-SA"/>
                    </w:rPr>
                  </w:pPr>
                  <w:r>
                    <w:rPr>
                      <w:rFonts w:hint="eastAsia" w:ascii="宋体" w:hAnsi="宋体" w:cs="宋体"/>
                      <w:sz w:val="21"/>
                      <w:szCs w:val="21"/>
                      <w:lang w:eastAsia="zh-CN"/>
                    </w:rPr>
                    <w:t>周培诗</w:t>
                  </w:r>
                </w:p>
              </w:tc>
              <w:tc>
                <w:tcPr>
                  <w:tcW w:w="1250" w:type="pct"/>
                  <w:noWrap w:val="0"/>
                  <w:vAlign w:val="center"/>
                </w:tcPr>
                <w:p w14:paraId="40544EDA">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检测员</w:t>
                  </w:r>
                </w:p>
              </w:tc>
              <w:tc>
                <w:tcPr>
                  <w:tcW w:w="1250" w:type="pct"/>
                  <w:noWrap w:val="0"/>
                  <w:vAlign w:val="center"/>
                </w:tcPr>
                <w:p w14:paraId="524B995D">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安谱测字第</w:t>
                  </w:r>
                  <w:r>
                    <w:rPr>
                      <w:rFonts w:hint="eastAsia" w:cs="Times New Roman"/>
                      <w:sz w:val="21"/>
                      <w:szCs w:val="21"/>
                      <w:lang w:val="en-US" w:eastAsia="zh-CN"/>
                    </w:rPr>
                    <w:t>53</w:t>
                  </w:r>
                  <w:r>
                    <w:rPr>
                      <w:rFonts w:hint="eastAsia" w:ascii="Times New Roman" w:hAnsi="Times New Roman" w:eastAsia="宋体" w:cs="Times New Roman"/>
                      <w:sz w:val="21"/>
                      <w:szCs w:val="21"/>
                      <w:lang w:val="en-US" w:eastAsia="zh-CN"/>
                    </w:rPr>
                    <w:t>号</w:t>
                  </w:r>
                </w:p>
              </w:tc>
            </w:tr>
            <w:tr w14:paraId="40F5A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noWrap w:val="0"/>
                  <w:vAlign w:val="center"/>
                </w:tcPr>
                <w:p w14:paraId="30989024">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6</w:t>
                  </w:r>
                </w:p>
              </w:tc>
              <w:tc>
                <w:tcPr>
                  <w:tcW w:w="1250" w:type="pct"/>
                  <w:noWrap w:val="0"/>
                  <w:vAlign w:val="center"/>
                </w:tcPr>
                <w:p w14:paraId="5F1E0121">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蔡珊珊</w:t>
                  </w:r>
                </w:p>
              </w:tc>
              <w:tc>
                <w:tcPr>
                  <w:tcW w:w="1250" w:type="pct"/>
                  <w:noWrap w:val="0"/>
                  <w:vAlign w:val="center"/>
                </w:tcPr>
                <w:p w14:paraId="00F0DDD6">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检测员</w:t>
                  </w:r>
                </w:p>
              </w:tc>
              <w:tc>
                <w:tcPr>
                  <w:tcW w:w="1250" w:type="pct"/>
                  <w:noWrap w:val="0"/>
                  <w:vAlign w:val="center"/>
                </w:tcPr>
                <w:p w14:paraId="4A5F6B4D">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安谱测字第</w:t>
                  </w:r>
                  <w:r>
                    <w:rPr>
                      <w:rFonts w:hint="eastAsia" w:cs="Times New Roman"/>
                      <w:sz w:val="21"/>
                      <w:szCs w:val="21"/>
                      <w:lang w:val="en-US" w:eastAsia="zh-CN"/>
                    </w:rPr>
                    <w:t>29</w:t>
                  </w:r>
                  <w:r>
                    <w:rPr>
                      <w:rFonts w:hint="eastAsia" w:ascii="Times New Roman" w:hAnsi="Times New Roman" w:eastAsia="宋体" w:cs="Times New Roman"/>
                      <w:sz w:val="21"/>
                      <w:szCs w:val="21"/>
                      <w:lang w:val="en-US" w:eastAsia="zh-CN"/>
                    </w:rPr>
                    <w:t>号</w:t>
                  </w:r>
                </w:p>
              </w:tc>
            </w:tr>
            <w:tr w14:paraId="725A9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noWrap w:val="0"/>
                  <w:vAlign w:val="center"/>
                </w:tcPr>
                <w:p w14:paraId="34A1A196">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7</w:t>
                  </w:r>
                </w:p>
              </w:tc>
              <w:tc>
                <w:tcPr>
                  <w:tcW w:w="1250" w:type="pct"/>
                  <w:noWrap w:val="0"/>
                  <w:vAlign w:val="center"/>
                </w:tcPr>
                <w:p w14:paraId="5FE47B11">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林兵倩</w:t>
                  </w:r>
                </w:p>
              </w:tc>
              <w:tc>
                <w:tcPr>
                  <w:tcW w:w="1250" w:type="pct"/>
                  <w:noWrap w:val="0"/>
                  <w:vAlign w:val="center"/>
                </w:tcPr>
                <w:p w14:paraId="7D642E0E">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检测员</w:t>
                  </w:r>
                </w:p>
              </w:tc>
              <w:tc>
                <w:tcPr>
                  <w:tcW w:w="1250" w:type="pct"/>
                  <w:noWrap w:val="0"/>
                  <w:vAlign w:val="center"/>
                </w:tcPr>
                <w:p w14:paraId="7FD4FEFD">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安谱测字第</w:t>
                  </w:r>
                  <w:r>
                    <w:rPr>
                      <w:rFonts w:hint="eastAsia" w:cs="Times New Roman"/>
                      <w:sz w:val="21"/>
                      <w:szCs w:val="21"/>
                      <w:lang w:val="en-US" w:eastAsia="zh-CN"/>
                    </w:rPr>
                    <w:t>56</w:t>
                  </w:r>
                  <w:r>
                    <w:rPr>
                      <w:rFonts w:hint="eastAsia" w:ascii="Times New Roman" w:hAnsi="Times New Roman" w:eastAsia="宋体" w:cs="Times New Roman"/>
                      <w:sz w:val="21"/>
                      <w:szCs w:val="21"/>
                      <w:lang w:val="en-US" w:eastAsia="zh-CN"/>
                    </w:rPr>
                    <w:t>号</w:t>
                  </w:r>
                </w:p>
              </w:tc>
            </w:tr>
            <w:tr w14:paraId="30C8D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noWrap w:val="0"/>
                  <w:vAlign w:val="center"/>
                </w:tcPr>
                <w:p w14:paraId="2CAFF531">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eastAsia" w:cs="Times New Roman"/>
                      <w:sz w:val="21"/>
                      <w:szCs w:val="21"/>
                      <w:lang w:val="en-US" w:eastAsia="zh-CN"/>
                    </w:rPr>
                    <w:t>8</w:t>
                  </w:r>
                </w:p>
              </w:tc>
              <w:tc>
                <w:tcPr>
                  <w:tcW w:w="1250" w:type="pct"/>
                  <w:noWrap w:val="0"/>
                  <w:vAlign w:val="center"/>
                </w:tcPr>
                <w:p w14:paraId="165DB183">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刘胜楠</w:t>
                  </w:r>
                </w:p>
              </w:tc>
              <w:tc>
                <w:tcPr>
                  <w:tcW w:w="1250" w:type="pct"/>
                  <w:noWrap w:val="0"/>
                  <w:vAlign w:val="center"/>
                </w:tcPr>
                <w:p w14:paraId="654575F0">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检测员</w:t>
                  </w:r>
                </w:p>
              </w:tc>
              <w:tc>
                <w:tcPr>
                  <w:tcW w:w="1250" w:type="pct"/>
                  <w:noWrap w:val="0"/>
                  <w:vAlign w:val="center"/>
                </w:tcPr>
                <w:p w14:paraId="133C5010">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安谱测字第</w:t>
                  </w:r>
                  <w:r>
                    <w:rPr>
                      <w:rFonts w:hint="eastAsia" w:cs="Times New Roman"/>
                      <w:sz w:val="21"/>
                      <w:szCs w:val="21"/>
                      <w:lang w:val="en-US" w:eastAsia="zh-CN"/>
                    </w:rPr>
                    <w:t>50</w:t>
                  </w:r>
                  <w:r>
                    <w:rPr>
                      <w:rFonts w:hint="eastAsia" w:ascii="Times New Roman" w:hAnsi="Times New Roman" w:eastAsia="宋体" w:cs="Times New Roman"/>
                      <w:sz w:val="21"/>
                      <w:szCs w:val="21"/>
                      <w:lang w:val="en-US" w:eastAsia="zh-CN"/>
                    </w:rPr>
                    <w:t>号</w:t>
                  </w:r>
                </w:p>
              </w:tc>
            </w:tr>
            <w:tr w14:paraId="6EEE0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noWrap w:val="0"/>
                  <w:vAlign w:val="center"/>
                </w:tcPr>
                <w:p w14:paraId="5B498559">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eastAsia" w:cs="Times New Roman"/>
                      <w:sz w:val="21"/>
                      <w:szCs w:val="21"/>
                      <w:lang w:val="en-US" w:eastAsia="zh-CN"/>
                    </w:rPr>
                    <w:t>9</w:t>
                  </w:r>
                </w:p>
              </w:tc>
              <w:tc>
                <w:tcPr>
                  <w:tcW w:w="1250" w:type="pct"/>
                  <w:noWrap w:val="0"/>
                  <w:vAlign w:val="center"/>
                </w:tcPr>
                <w:p w14:paraId="13857496">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郭燕萍</w:t>
                  </w:r>
                </w:p>
              </w:tc>
              <w:tc>
                <w:tcPr>
                  <w:tcW w:w="1250" w:type="pct"/>
                  <w:noWrap w:val="0"/>
                  <w:vAlign w:val="center"/>
                </w:tcPr>
                <w:p w14:paraId="532DB6BC">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检测员</w:t>
                  </w:r>
                </w:p>
              </w:tc>
              <w:tc>
                <w:tcPr>
                  <w:tcW w:w="1250" w:type="pct"/>
                  <w:noWrap w:val="0"/>
                  <w:vAlign w:val="center"/>
                </w:tcPr>
                <w:p w14:paraId="6F962F1C">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安谱测字第</w:t>
                  </w:r>
                  <w:r>
                    <w:rPr>
                      <w:rFonts w:hint="eastAsia" w:cs="Times New Roman"/>
                      <w:lang w:val="en-US" w:eastAsia="zh-CN"/>
                    </w:rPr>
                    <w:t>47</w:t>
                  </w:r>
                  <w:r>
                    <w:rPr>
                      <w:rFonts w:hint="eastAsia" w:ascii="Times New Roman" w:hAnsi="Times New Roman" w:eastAsia="宋体" w:cs="Times New Roman"/>
                      <w:lang w:val="en-US" w:eastAsia="zh-CN"/>
                    </w:rPr>
                    <w:t>号</w:t>
                  </w:r>
                </w:p>
              </w:tc>
            </w:tr>
          </w:tbl>
          <w:p w14:paraId="4E0AD819">
            <w:pPr>
              <w:spacing w:before="48" w:beforeLines="20"/>
              <w:rPr>
                <w:b/>
                <w:bCs/>
              </w:rPr>
            </w:pPr>
            <w:r>
              <w:rPr>
                <w:b/>
                <w:bCs/>
              </w:rPr>
              <w:t>（3）大气监测分析过程中的质量保证和质量控制</w:t>
            </w:r>
          </w:p>
          <w:p w14:paraId="7353F39D">
            <w:pPr>
              <w:widowControl/>
              <w:topLinePunct/>
              <w:adjustRightInd w:val="0"/>
              <w:snapToGrid w:val="0"/>
              <w:ind w:firstLine="480" w:firstLineChars="200"/>
              <w:jc w:val="left"/>
              <w:textAlignment w:val="baseline"/>
              <w:rPr>
                <w:bCs/>
                <w:kern w:val="0"/>
              </w:rPr>
            </w:pPr>
            <w:r>
              <w:rPr>
                <w:rFonts w:hint="eastAsia"/>
                <w:bCs/>
                <w:kern w:val="0"/>
              </w:rPr>
              <w:t>气体</w:t>
            </w:r>
            <w:r>
              <w:rPr>
                <w:bCs/>
                <w:kern w:val="0"/>
              </w:rPr>
              <w:t>的采集、运输、保存、实验室分析和数据计算的全过程均按</w:t>
            </w:r>
            <w:r>
              <w:rPr>
                <w:rFonts w:hint="eastAsia"/>
                <w:bCs/>
                <w:kern w:val="0"/>
              </w:rPr>
              <w:t>GB/T16157-1996《固定污染源排气中颗粒物测定与气态污染物采样方法》的要求进行</w:t>
            </w:r>
            <w:r>
              <w:rPr>
                <w:bCs/>
                <w:kern w:val="0"/>
              </w:rPr>
              <w:t>。采样过程中采集平行样；实验室分析过程使用标准物质、采用空白试验、平行样测定、加标回收率测定，并对质控数据分析。</w:t>
            </w:r>
          </w:p>
          <w:p w14:paraId="216B2F29">
            <w:pPr>
              <w:jc w:val="center"/>
              <w:rPr>
                <w:b/>
              </w:rPr>
            </w:pPr>
            <w:r>
              <w:rPr>
                <w:b/>
              </w:rPr>
              <w:t>表</w:t>
            </w:r>
            <w:r>
              <w:rPr>
                <w:rFonts w:hint="eastAsia"/>
                <w:b/>
              </w:rPr>
              <w:t>5-4</w:t>
            </w:r>
            <w:r>
              <w:rPr>
                <w:b/>
              </w:rPr>
              <w:t>废气质量控制及质量保证一览表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Layout w:type="autofit"/>
              <w:tblCellMar>
                <w:top w:w="0" w:type="dxa"/>
                <w:left w:w="108" w:type="dxa"/>
                <w:bottom w:w="0" w:type="dxa"/>
                <w:right w:w="108" w:type="dxa"/>
              </w:tblCellMar>
            </w:tblPr>
            <w:tblGrid>
              <w:gridCol w:w="1679"/>
              <w:gridCol w:w="1243"/>
              <w:gridCol w:w="1225"/>
              <w:gridCol w:w="1225"/>
              <w:gridCol w:w="1219"/>
              <w:gridCol w:w="1223"/>
              <w:gridCol w:w="1208"/>
            </w:tblGrid>
            <w:tr w14:paraId="5A33A7DC">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454" w:hRule="atLeast"/>
                <w:jc w:val="center"/>
              </w:trPr>
              <w:tc>
                <w:tcPr>
                  <w:tcW w:w="930" w:type="pct"/>
                  <w:tcBorders>
                    <w:tl2br w:val="nil"/>
                    <w:tr2bl w:val="nil"/>
                  </w:tcBorders>
                  <w:noWrap w:val="0"/>
                  <w:vAlign w:val="center"/>
                </w:tcPr>
                <w:p w14:paraId="5C9AE78C">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仪器名称/编号</w:t>
                  </w:r>
                </w:p>
              </w:tc>
              <w:tc>
                <w:tcPr>
                  <w:tcW w:w="688" w:type="pct"/>
                  <w:tcBorders>
                    <w:tl2br w:val="nil"/>
                    <w:tr2bl w:val="nil"/>
                  </w:tcBorders>
                  <w:noWrap w:val="0"/>
                  <w:vAlign w:val="center"/>
                </w:tcPr>
                <w:p w14:paraId="4229E120">
                  <w:pPr>
                    <w:pStyle w:val="33"/>
                    <w:keepNext w:val="0"/>
                    <w:keepLines w:val="0"/>
                    <w:suppressLineNumbers w:val="0"/>
                    <w:spacing w:before="0" w:beforeAutospacing="0" w:after="0" w:afterAutospacing="0" w:line="240" w:lineRule="auto"/>
                    <w:ind w:left="0" w:leftChars="0" w:right="0" w:rightChars="0"/>
                    <w:jc w:val="center"/>
                    <w:rPr>
                      <w:rFonts w:hint="eastAsia" w:cs="Times New Roman"/>
                      <w:sz w:val="21"/>
                      <w:szCs w:val="21"/>
                      <w:lang w:val="en-US" w:eastAsia="zh-CN"/>
                    </w:rPr>
                  </w:pPr>
                  <w:r>
                    <w:rPr>
                      <w:rFonts w:hint="eastAsia" w:cs="Times New Roman"/>
                      <w:sz w:val="21"/>
                      <w:szCs w:val="21"/>
                      <w:lang w:val="en-US" w:eastAsia="zh-CN"/>
                    </w:rPr>
                    <w:t>校准日期</w:t>
                  </w:r>
                </w:p>
              </w:tc>
              <w:tc>
                <w:tcPr>
                  <w:tcW w:w="678" w:type="pct"/>
                  <w:tcBorders>
                    <w:tl2br w:val="nil"/>
                    <w:tr2bl w:val="nil"/>
                  </w:tcBorders>
                  <w:noWrap w:val="0"/>
                  <w:vAlign w:val="center"/>
                </w:tcPr>
                <w:p w14:paraId="139630E6">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设定值L/min</w:t>
                  </w:r>
                </w:p>
              </w:tc>
              <w:tc>
                <w:tcPr>
                  <w:tcW w:w="678" w:type="pct"/>
                  <w:tcBorders>
                    <w:tl2br w:val="nil"/>
                    <w:tr2bl w:val="nil"/>
                  </w:tcBorders>
                  <w:noWrap w:val="0"/>
                  <w:vAlign w:val="center"/>
                </w:tcPr>
                <w:p w14:paraId="5960509F">
                  <w:pPr>
                    <w:pStyle w:val="33"/>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校准值L/min</w:t>
                  </w:r>
                </w:p>
              </w:tc>
              <w:tc>
                <w:tcPr>
                  <w:tcW w:w="675" w:type="pct"/>
                  <w:tcBorders>
                    <w:tl2br w:val="nil"/>
                    <w:tr2bl w:val="nil"/>
                  </w:tcBorders>
                  <w:noWrap w:val="0"/>
                  <w:vAlign w:val="center"/>
                </w:tcPr>
                <w:p w14:paraId="16BCEC30">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示值误差/%</w:t>
                  </w:r>
                </w:p>
              </w:tc>
              <w:tc>
                <w:tcPr>
                  <w:tcW w:w="677" w:type="pct"/>
                  <w:tcBorders>
                    <w:tl2br w:val="nil"/>
                    <w:tr2bl w:val="nil"/>
                  </w:tcBorders>
                  <w:noWrap w:val="0"/>
                  <w:vAlign w:val="center"/>
                </w:tcPr>
                <w:p w14:paraId="69DA99E5">
                  <w:pPr>
                    <w:pStyle w:val="33"/>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允许误差/%</w:t>
                  </w:r>
                </w:p>
              </w:tc>
              <w:tc>
                <w:tcPr>
                  <w:tcW w:w="669" w:type="pct"/>
                  <w:tcBorders>
                    <w:tl2br w:val="nil"/>
                    <w:tr2bl w:val="nil"/>
                  </w:tcBorders>
                  <w:noWrap w:val="0"/>
                  <w:vAlign w:val="center"/>
                </w:tcPr>
                <w:p w14:paraId="355C2292">
                  <w:pPr>
                    <w:pStyle w:val="33"/>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评价结果</w:t>
                  </w:r>
                </w:p>
              </w:tc>
            </w:tr>
            <w:tr w14:paraId="04654E11">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454" w:hRule="atLeast"/>
                <w:jc w:val="center"/>
              </w:trPr>
              <w:tc>
                <w:tcPr>
                  <w:tcW w:w="930" w:type="pct"/>
                  <w:vMerge w:val="restart"/>
                  <w:tcBorders>
                    <w:tl2br w:val="nil"/>
                    <w:tr2bl w:val="nil"/>
                  </w:tcBorders>
                  <w:noWrap w:val="0"/>
                  <w:vAlign w:val="center"/>
                </w:tcPr>
                <w:p w14:paraId="21516D9B">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000000"/>
                      <w:kern w:val="0"/>
                      <w:sz w:val="21"/>
                      <w:szCs w:val="21"/>
                      <w:lang w:eastAsia="zh-CN" w:bidi="ar"/>
                    </w:rPr>
                    <w:t>自动烟尘烟气综合测试仪</w:t>
                  </w:r>
                  <w:r>
                    <w:rPr>
                      <w:rFonts w:hint="eastAsia" w:ascii="Times New Roman" w:hAnsi="Times New Roman" w:eastAsia="宋体" w:cs="Times New Roman"/>
                      <w:color w:val="000000"/>
                      <w:kern w:val="0"/>
                      <w:sz w:val="21"/>
                      <w:szCs w:val="21"/>
                      <w:lang w:bidi="ar"/>
                    </w:rPr>
                    <w:t>（</w:t>
                  </w:r>
                  <w:r>
                    <w:rPr>
                      <w:rFonts w:hint="eastAsia" w:ascii="Times New Roman" w:hAnsi="Times New Roman" w:eastAsia="宋体" w:cs="Times New Roman"/>
                      <w:color w:val="000000"/>
                      <w:kern w:val="0"/>
                      <w:sz w:val="21"/>
                      <w:szCs w:val="21"/>
                      <w:lang w:eastAsia="zh-CN" w:bidi="ar"/>
                    </w:rPr>
                    <w:t>APTX</w:t>
                  </w:r>
                  <w:r>
                    <w:rPr>
                      <w:rFonts w:hint="eastAsia" w:cs="Times New Roman"/>
                      <w:color w:val="000000"/>
                      <w:kern w:val="0"/>
                      <w:sz w:val="21"/>
                      <w:szCs w:val="21"/>
                      <w:lang w:val="en-US" w:eastAsia="zh-CN" w:bidi="ar"/>
                    </w:rPr>
                    <w:t>10</w:t>
                  </w:r>
                  <w:r>
                    <w:rPr>
                      <w:rFonts w:hint="eastAsia" w:ascii="Times New Roman" w:hAnsi="Times New Roman" w:eastAsia="宋体" w:cs="Times New Roman"/>
                      <w:color w:val="000000"/>
                      <w:kern w:val="0"/>
                      <w:sz w:val="21"/>
                      <w:szCs w:val="21"/>
                      <w:lang w:val="en-US" w:eastAsia="zh-CN" w:bidi="ar"/>
                    </w:rPr>
                    <w:t>-</w:t>
                  </w:r>
                  <w:r>
                    <w:rPr>
                      <w:rFonts w:hint="eastAsia" w:cs="Times New Roman"/>
                      <w:color w:val="000000"/>
                      <w:kern w:val="0"/>
                      <w:sz w:val="21"/>
                      <w:szCs w:val="21"/>
                      <w:lang w:val="en-US" w:eastAsia="zh-CN" w:bidi="ar"/>
                    </w:rPr>
                    <w:t>2</w:t>
                  </w:r>
                  <w:r>
                    <w:rPr>
                      <w:rFonts w:hint="eastAsia" w:ascii="Times New Roman" w:hAnsi="Times New Roman" w:eastAsia="宋体" w:cs="Times New Roman"/>
                      <w:color w:val="000000"/>
                      <w:kern w:val="0"/>
                      <w:sz w:val="21"/>
                      <w:szCs w:val="21"/>
                      <w:lang w:bidi="ar"/>
                    </w:rPr>
                    <w:t>）</w:t>
                  </w:r>
                </w:p>
              </w:tc>
              <w:tc>
                <w:tcPr>
                  <w:tcW w:w="688" w:type="pct"/>
                  <w:tcBorders>
                    <w:tl2br w:val="nil"/>
                    <w:tr2bl w:val="nil"/>
                  </w:tcBorders>
                  <w:noWrap w:val="0"/>
                  <w:vAlign w:val="center"/>
                </w:tcPr>
                <w:p w14:paraId="7211189F">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2024.5.30</w:t>
                  </w:r>
                </w:p>
              </w:tc>
              <w:tc>
                <w:tcPr>
                  <w:tcW w:w="678" w:type="pct"/>
                  <w:tcBorders>
                    <w:tl2br w:val="nil"/>
                    <w:tr2bl w:val="nil"/>
                  </w:tcBorders>
                  <w:noWrap w:val="0"/>
                  <w:vAlign w:val="center"/>
                </w:tcPr>
                <w:p w14:paraId="02F2A1EB">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color w:val="000000"/>
                      <w:kern w:val="0"/>
                      <w:sz w:val="21"/>
                      <w:szCs w:val="21"/>
                      <w:lang w:val="en-US" w:eastAsia="zh-CN" w:bidi="ar"/>
                    </w:rPr>
                    <w:t>20</w:t>
                  </w:r>
                </w:p>
              </w:tc>
              <w:tc>
                <w:tcPr>
                  <w:tcW w:w="678" w:type="pct"/>
                  <w:tcBorders>
                    <w:tl2br w:val="nil"/>
                    <w:tr2bl w:val="nil"/>
                  </w:tcBorders>
                  <w:noWrap w:val="0"/>
                  <w:vAlign w:val="center"/>
                </w:tcPr>
                <w:p w14:paraId="1A7190B3">
                  <w:pPr>
                    <w:pStyle w:val="33"/>
                    <w:keepNext w:val="0"/>
                    <w:keepLines w:val="0"/>
                    <w:suppressLineNumbers w:val="0"/>
                    <w:spacing w:before="0" w:beforeAutospacing="0" w:after="0" w:afterAutospacing="0" w:line="240" w:lineRule="auto"/>
                    <w:ind w:left="0" w:leftChars="0" w:right="0" w:rightChars="0"/>
                    <w:jc w:val="center"/>
                    <w:rPr>
                      <w:rFonts w:hint="eastAsia" w:eastAsia="宋体" w:cs="Times New Roman"/>
                      <w:kern w:val="2"/>
                      <w:sz w:val="21"/>
                      <w:szCs w:val="21"/>
                      <w:lang w:val="en-US" w:eastAsia="zh-CN" w:bidi="ar-SA"/>
                    </w:rPr>
                  </w:pPr>
                  <w:r>
                    <w:rPr>
                      <w:rFonts w:hint="default" w:eastAsia="宋体" w:cs="Times New Roman"/>
                      <w:kern w:val="2"/>
                      <w:sz w:val="21"/>
                      <w:szCs w:val="21"/>
                      <w:lang w:val="en-US" w:eastAsia="zh-CN" w:bidi="ar-SA"/>
                    </w:rPr>
                    <w:t>19.30</w:t>
                  </w:r>
                </w:p>
              </w:tc>
              <w:tc>
                <w:tcPr>
                  <w:tcW w:w="675" w:type="pct"/>
                  <w:tcBorders>
                    <w:tl2br w:val="nil"/>
                    <w:tr2bl w:val="nil"/>
                  </w:tcBorders>
                  <w:noWrap w:val="0"/>
                  <w:vAlign w:val="center"/>
                </w:tcPr>
                <w:p w14:paraId="11FF185D">
                  <w:pPr>
                    <w:pStyle w:val="33"/>
                    <w:keepNext w:val="0"/>
                    <w:keepLines w:val="0"/>
                    <w:suppressLineNumbers w:val="0"/>
                    <w:spacing w:before="0" w:beforeAutospacing="0" w:after="0" w:afterAutospacing="0" w:line="240" w:lineRule="auto"/>
                    <w:ind w:left="0" w:leftChars="0" w:right="0" w:rightChars="0"/>
                    <w:jc w:val="center"/>
                    <w:rPr>
                      <w:rFonts w:hint="eastAsia" w:eastAsia="宋体" w:cs="Times New Roman"/>
                      <w:kern w:val="2"/>
                      <w:sz w:val="21"/>
                      <w:szCs w:val="21"/>
                      <w:lang w:val="en-US" w:eastAsia="zh-CN" w:bidi="ar-SA"/>
                    </w:rPr>
                  </w:pPr>
                  <w:r>
                    <w:rPr>
                      <w:rFonts w:hint="default" w:eastAsia="宋体" w:cs="Times New Roman"/>
                      <w:kern w:val="2"/>
                      <w:sz w:val="21"/>
                      <w:szCs w:val="21"/>
                      <w:lang w:val="en-US" w:eastAsia="zh-CN" w:bidi="ar-SA"/>
                    </w:rPr>
                    <w:t>3.63</w:t>
                  </w:r>
                </w:p>
              </w:tc>
              <w:tc>
                <w:tcPr>
                  <w:tcW w:w="677" w:type="pct"/>
                  <w:vMerge w:val="restart"/>
                  <w:tcBorders>
                    <w:tl2br w:val="nil"/>
                    <w:tr2bl w:val="nil"/>
                  </w:tcBorders>
                  <w:noWrap w:val="0"/>
                  <w:vAlign w:val="center"/>
                </w:tcPr>
                <w:p w14:paraId="6C2B9BCC">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sz w:val="21"/>
                      <w:szCs w:val="21"/>
                      <w:lang w:val="en-US" w:eastAsia="zh-CN"/>
                    </w:rPr>
                    <w:t>±</w:t>
                  </w:r>
                  <w:r>
                    <w:rPr>
                      <w:rFonts w:hint="default" w:ascii="Times New Roman" w:hAnsi="Times New Roman" w:cs="Times New Roman"/>
                      <w:sz w:val="21"/>
                      <w:szCs w:val="21"/>
                      <w:lang w:val="en-US" w:eastAsia="zh-CN"/>
                    </w:rPr>
                    <w:t>5%</w:t>
                  </w:r>
                </w:p>
              </w:tc>
              <w:tc>
                <w:tcPr>
                  <w:tcW w:w="669" w:type="pct"/>
                  <w:tcBorders>
                    <w:tl2br w:val="nil"/>
                    <w:tr2bl w:val="nil"/>
                  </w:tcBorders>
                  <w:noWrap w:val="0"/>
                  <w:vAlign w:val="center"/>
                </w:tcPr>
                <w:p w14:paraId="3FCF3B1A">
                  <w:pPr>
                    <w:pStyle w:val="33"/>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合格</w:t>
                  </w:r>
                </w:p>
              </w:tc>
            </w:tr>
            <w:tr w14:paraId="59F5679B">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454" w:hRule="atLeast"/>
                <w:jc w:val="center"/>
              </w:trPr>
              <w:tc>
                <w:tcPr>
                  <w:tcW w:w="930" w:type="pct"/>
                  <w:vMerge w:val="continue"/>
                  <w:tcBorders>
                    <w:tl2br w:val="nil"/>
                    <w:tr2bl w:val="nil"/>
                  </w:tcBorders>
                  <w:noWrap w:val="0"/>
                  <w:vAlign w:val="center"/>
                </w:tcPr>
                <w:p w14:paraId="4FB47210">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p>
              </w:tc>
              <w:tc>
                <w:tcPr>
                  <w:tcW w:w="688" w:type="pct"/>
                  <w:tcBorders>
                    <w:tl2br w:val="nil"/>
                    <w:tr2bl w:val="nil"/>
                  </w:tcBorders>
                  <w:noWrap w:val="0"/>
                  <w:vAlign w:val="center"/>
                </w:tcPr>
                <w:p w14:paraId="4852622B">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2024.5.31</w:t>
                  </w:r>
                </w:p>
              </w:tc>
              <w:tc>
                <w:tcPr>
                  <w:tcW w:w="678" w:type="pct"/>
                  <w:tcBorders>
                    <w:tl2br w:val="nil"/>
                    <w:tr2bl w:val="nil"/>
                  </w:tcBorders>
                  <w:noWrap w:val="0"/>
                  <w:vAlign w:val="center"/>
                </w:tcPr>
                <w:p w14:paraId="14150353">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2</w:t>
                  </w:r>
                  <w:r>
                    <w:rPr>
                      <w:rFonts w:hint="eastAsia" w:cs="Times New Roman"/>
                      <w:color w:val="000000"/>
                      <w:kern w:val="0"/>
                      <w:sz w:val="21"/>
                      <w:szCs w:val="21"/>
                      <w:lang w:val="en-US" w:eastAsia="zh-CN" w:bidi="ar"/>
                    </w:rPr>
                    <w:t>0</w:t>
                  </w:r>
                </w:p>
              </w:tc>
              <w:tc>
                <w:tcPr>
                  <w:tcW w:w="678" w:type="pct"/>
                  <w:tcBorders>
                    <w:tl2br w:val="nil"/>
                    <w:tr2bl w:val="nil"/>
                  </w:tcBorders>
                  <w:noWrap w:val="0"/>
                  <w:vAlign w:val="center"/>
                </w:tcPr>
                <w:p w14:paraId="34C9D609">
                  <w:pPr>
                    <w:pStyle w:val="33"/>
                    <w:keepNext w:val="0"/>
                    <w:keepLines w:val="0"/>
                    <w:suppressLineNumbers w:val="0"/>
                    <w:spacing w:before="0" w:beforeAutospacing="0" w:after="0" w:afterAutospacing="0" w:line="240" w:lineRule="auto"/>
                    <w:ind w:left="0" w:leftChars="0" w:right="0" w:rightChars="0"/>
                    <w:jc w:val="center"/>
                    <w:rPr>
                      <w:rFonts w:hint="eastAsia" w:eastAsia="宋体" w:cs="Times New Roman"/>
                      <w:kern w:val="2"/>
                      <w:sz w:val="21"/>
                      <w:szCs w:val="21"/>
                      <w:lang w:val="en-US" w:eastAsia="zh-CN" w:bidi="ar-SA"/>
                    </w:rPr>
                  </w:pPr>
                  <w:r>
                    <w:rPr>
                      <w:rFonts w:hint="default" w:eastAsia="宋体" w:cs="Times New Roman"/>
                      <w:kern w:val="2"/>
                      <w:sz w:val="21"/>
                      <w:szCs w:val="21"/>
                      <w:lang w:val="en-US" w:eastAsia="zh-CN" w:bidi="ar-SA"/>
                    </w:rPr>
                    <w:t>20.54</w:t>
                  </w:r>
                </w:p>
              </w:tc>
              <w:tc>
                <w:tcPr>
                  <w:tcW w:w="675" w:type="pct"/>
                  <w:tcBorders>
                    <w:tl2br w:val="nil"/>
                    <w:tr2bl w:val="nil"/>
                  </w:tcBorders>
                  <w:noWrap w:val="0"/>
                  <w:vAlign w:val="center"/>
                </w:tcPr>
                <w:p w14:paraId="758101E9">
                  <w:pPr>
                    <w:pStyle w:val="33"/>
                    <w:keepNext w:val="0"/>
                    <w:keepLines w:val="0"/>
                    <w:suppressLineNumbers w:val="0"/>
                    <w:spacing w:before="0" w:beforeAutospacing="0" w:after="0" w:afterAutospacing="0" w:line="240" w:lineRule="auto"/>
                    <w:ind w:left="0" w:leftChars="0" w:right="0" w:rightChars="0"/>
                    <w:jc w:val="center"/>
                    <w:rPr>
                      <w:rFonts w:hint="eastAsia" w:eastAsia="宋体" w:cs="Times New Roman"/>
                      <w:kern w:val="2"/>
                      <w:sz w:val="21"/>
                      <w:szCs w:val="21"/>
                      <w:lang w:val="en-US" w:eastAsia="zh-CN" w:bidi="ar-SA"/>
                    </w:rPr>
                  </w:pPr>
                  <w:r>
                    <w:rPr>
                      <w:rFonts w:hint="default" w:eastAsia="宋体" w:cs="Times New Roman"/>
                      <w:kern w:val="2"/>
                      <w:sz w:val="21"/>
                      <w:szCs w:val="21"/>
                      <w:lang w:val="en-US" w:eastAsia="zh-CN" w:bidi="ar-SA"/>
                    </w:rPr>
                    <w:t>-2.63</w:t>
                  </w:r>
                </w:p>
              </w:tc>
              <w:tc>
                <w:tcPr>
                  <w:tcW w:w="677" w:type="pct"/>
                  <w:vMerge w:val="continue"/>
                  <w:tcBorders>
                    <w:tl2br w:val="nil"/>
                    <w:tr2bl w:val="nil"/>
                  </w:tcBorders>
                  <w:noWrap w:val="0"/>
                  <w:vAlign w:val="center"/>
                </w:tcPr>
                <w:p w14:paraId="2CBC856B">
                  <w:pPr>
                    <w:pStyle w:val="33"/>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lang w:val="en-US" w:eastAsia="zh-CN" w:bidi="ar-SA"/>
                    </w:rPr>
                  </w:pPr>
                </w:p>
              </w:tc>
              <w:tc>
                <w:tcPr>
                  <w:tcW w:w="669" w:type="pct"/>
                  <w:tcBorders>
                    <w:tl2br w:val="nil"/>
                    <w:tr2bl w:val="nil"/>
                  </w:tcBorders>
                  <w:noWrap w:val="0"/>
                  <w:vAlign w:val="center"/>
                </w:tcPr>
                <w:p w14:paraId="5483000D">
                  <w:pPr>
                    <w:pStyle w:val="33"/>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合格</w:t>
                  </w:r>
                </w:p>
              </w:tc>
            </w:tr>
          </w:tbl>
          <w:p w14:paraId="5DCF1A54">
            <w:pPr>
              <w:widowControl/>
              <w:topLinePunct/>
              <w:adjustRightInd w:val="0"/>
              <w:snapToGrid w:val="0"/>
              <w:jc w:val="left"/>
              <w:textAlignment w:val="baseline"/>
              <w:rPr>
                <w:b/>
                <w:bCs/>
              </w:rPr>
            </w:pPr>
          </w:p>
        </w:tc>
      </w:tr>
      <w:tr w14:paraId="0642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05" w:hRule="atLeast"/>
          <w:jc w:val="center"/>
        </w:trPr>
        <w:tc>
          <w:tcPr>
            <w:tcW w:w="9242" w:type="dxa"/>
          </w:tcPr>
          <w:p w14:paraId="3BBCA22F">
            <w:pPr>
              <w:spacing w:before="48" w:beforeLines="20"/>
              <w:ind w:firstLine="241" w:firstLineChars="100"/>
              <w:rPr>
                <w:b/>
                <w:bCs/>
              </w:rPr>
            </w:pPr>
            <w:r>
              <w:rPr>
                <w:b/>
                <w:bCs/>
              </w:rPr>
              <w:t>（4）噪声监测分析过程中的质量保证和质量控制</w:t>
            </w:r>
          </w:p>
          <w:p w14:paraId="39DFC442">
            <w:pPr>
              <w:ind w:firstLine="480" w:firstLineChars="200"/>
            </w:pPr>
            <w:r>
              <w:rPr>
                <w:rFonts w:hint="eastAsia"/>
              </w:rPr>
              <w:t>多功能噪音分析仪</w:t>
            </w:r>
            <w:r>
              <w:t>在测试前后用</w:t>
            </w:r>
            <w:r>
              <w:rPr>
                <w:rFonts w:hint="eastAsia"/>
              </w:rPr>
              <w:t>声校准器</w:t>
            </w:r>
            <w:r>
              <w:t>（AWA6</w:t>
            </w:r>
            <w:r>
              <w:rPr>
                <w:rFonts w:hint="eastAsia"/>
              </w:rPr>
              <w:t>022A</w:t>
            </w:r>
            <w:r>
              <w:t>声校准器/ZKS014-0</w:t>
            </w:r>
            <w:r>
              <w:rPr>
                <w:rFonts w:hint="eastAsia"/>
              </w:rPr>
              <w:t>7</w:t>
            </w:r>
            <w:r>
              <w:t>）进行校准，测量前后仪器的灵敏度相差不大于0.5dB，若大于0.5dB测试数据无效。附噪声仪器校验表。</w:t>
            </w:r>
          </w:p>
          <w:p w14:paraId="7ED6B39D">
            <w:pPr>
              <w:jc w:val="center"/>
              <w:rPr>
                <w:b/>
                <w:bCs/>
              </w:rPr>
            </w:pPr>
            <w:r>
              <w:rPr>
                <w:b/>
                <w:bCs/>
              </w:rPr>
              <w:t>表5-</w:t>
            </w:r>
            <w:r>
              <w:rPr>
                <w:rFonts w:hint="eastAsia"/>
                <w:b/>
                <w:bCs/>
              </w:rPr>
              <w:t>5</w:t>
            </w:r>
            <w:r>
              <w:rPr>
                <w:b/>
                <w:bCs/>
              </w:rPr>
              <w:t>噪声仪器校验表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1677"/>
              <w:gridCol w:w="1677"/>
              <w:gridCol w:w="1389"/>
              <w:gridCol w:w="1681"/>
              <w:gridCol w:w="1324"/>
            </w:tblGrid>
            <w:tr w14:paraId="6B93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tcBorders>
                    <w:top w:val="single" w:color="auto" w:sz="12" w:space="0"/>
                    <w:left w:val="nil"/>
                    <w:bottom w:val="single" w:color="auto" w:sz="4" w:space="0"/>
                  </w:tcBorders>
                  <w:noWrap w:val="0"/>
                  <w:vAlign w:val="center"/>
                </w:tcPr>
                <w:p w14:paraId="093A670E">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校准日期</w:t>
                  </w:r>
                </w:p>
              </w:tc>
              <w:tc>
                <w:tcPr>
                  <w:tcW w:w="930" w:type="pct"/>
                  <w:tcBorders>
                    <w:top w:val="single" w:color="auto" w:sz="12" w:space="0"/>
                    <w:bottom w:val="single" w:color="auto" w:sz="4" w:space="0"/>
                  </w:tcBorders>
                  <w:noWrap w:val="0"/>
                  <w:vAlign w:val="center"/>
                </w:tcPr>
                <w:p w14:paraId="7A5F4EB2">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测前校准/dB（A）</w:t>
                  </w:r>
                </w:p>
              </w:tc>
              <w:tc>
                <w:tcPr>
                  <w:tcW w:w="930" w:type="pct"/>
                  <w:tcBorders>
                    <w:top w:val="single" w:color="auto" w:sz="12" w:space="0"/>
                    <w:bottom w:val="single" w:color="auto" w:sz="4" w:space="0"/>
                  </w:tcBorders>
                  <w:noWrap w:val="0"/>
                  <w:vAlign w:val="center"/>
                </w:tcPr>
                <w:p w14:paraId="16F97023">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测后校准/dB（A）</w:t>
                  </w:r>
                </w:p>
              </w:tc>
              <w:tc>
                <w:tcPr>
                  <w:tcW w:w="770" w:type="pct"/>
                  <w:tcBorders>
                    <w:top w:val="single" w:color="auto" w:sz="12" w:space="0"/>
                    <w:bottom w:val="single" w:color="auto" w:sz="4" w:space="0"/>
                  </w:tcBorders>
                  <w:noWrap w:val="0"/>
                  <w:vAlign w:val="center"/>
                </w:tcPr>
                <w:p w14:paraId="52230B80">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差值/dB（A）</w:t>
                  </w:r>
                </w:p>
              </w:tc>
              <w:tc>
                <w:tcPr>
                  <w:tcW w:w="932" w:type="pct"/>
                  <w:tcBorders>
                    <w:top w:val="single" w:color="auto" w:sz="12" w:space="0"/>
                    <w:right w:val="nil"/>
                  </w:tcBorders>
                  <w:noWrap w:val="0"/>
                  <w:vAlign w:val="center"/>
                </w:tcPr>
                <w:p w14:paraId="43AEF808">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允许差值/dB（A）</w:t>
                  </w:r>
                </w:p>
              </w:tc>
              <w:tc>
                <w:tcPr>
                  <w:tcW w:w="734" w:type="pct"/>
                  <w:tcBorders>
                    <w:top w:val="single" w:color="auto" w:sz="12" w:space="0"/>
                    <w:right w:val="nil"/>
                  </w:tcBorders>
                  <w:noWrap w:val="0"/>
                  <w:vAlign w:val="center"/>
                </w:tcPr>
                <w:p w14:paraId="0BC7E5B6">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评价结果</w:t>
                  </w:r>
                </w:p>
              </w:tc>
            </w:tr>
            <w:tr w14:paraId="6D07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tcBorders>
                    <w:top w:val="single" w:color="auto" w:sz="4" w:space="0"/>
                    <w:left w:val="nil"/>
                  </w:tcBorders>
                  <w:noWrap w:val="0"/>
                  <w:vAlign w:val="center"/>
                </w:tcPr>
                <w:p w14:paraId="2B989FA3">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2024.5.30</w:t>
                  </w:r>
                </w:p>
              </w:tc>
              <w:tc>
                <w:tcPr>
                  <w:tcW w:w="930" w:type="pct"/>
                  <w:tcBorders>
                    <w:top w:val="single" w:color="auto" w:sz="4" w:space="0"/>
                  </w:tcBorders>
                  <w:noWrap w:val="0"/>
                  <w:vAlign w:val="center"/>
                </w:tcPr>
                <w:p w14:paraId="3A9364E6">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93.8</w:t>
                  </w:r>
                </w:p>
              </w:tc>
              <w:tc>
                <w:tcPr>
                  <w:tcW w:w="930" w:type="pct"/>
                  <w:tcBorders>
                    <w:top w:val="single" w:color="auto" w:sz="4" w:space="0"/>
                  </w:tcBorders>
                  <w:noWrap w:val="0"/>
                  <w:vAlign w:val="center"/>
                </w:tcPr>
                <w:p w14:paraId="3728C64B">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93.8</w:t>
                  </w:r>
                </w:p>
              </w:tc>
              <w:tc>
                <w:tcPr>
                  <w:tcW w:w="770" w:type="pct"/>
                  <w:tcBorders>
                    <w:top w:val="single" w:color="auto" w:sz="4" w:space="0"/>
                  </w:tcBorders>
                  <w:noWrap w:val="0"/>
                  <w:vAlign w:val="center"/>
                </w:tcPr>
                <w:p w14:paraId="0BF165F8">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p>
              </w:tc>
              <w:tc>
                <w:tcPr>
                  <w:tcW w:w="932" w:type="pct"/>
                  <w:vMerge w:val="restart"/>
                  <w:tcBorders>
                    <w:top w:val="single" w:color="auto" w:sz="4" w:space="0"/>
                    <w:right w:val="nil"/>
                  </w:tcBorders>
                  <w:noWrap w:val="0"/>
                  <w:vAlign w:val="center"/>
                </w:tcPr>
                <w:p w14:paraId="54C7B459">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0.5</w:t>
                  </w:r>
                </w:p>
              </w:tc>
              <w:tc>
                <w:tcPr>
                  <w:tcW w:w="734" w:type="pct"/>
                  <w:tcBorders>
                    <w:top w:val="single" w:color="auto" w:sz="4" w:space="0"/>
                    <w:right w:val="nil"/>
                  </w:tcBorders>
                  <w:noWrap w:val="0"/>
                  <w:vAlign w:val="center"/>
                </w:tcPr>
                <w:p w14:paraId="248F6C6B">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合格</w:t>
                  </w:r>
                </w:p>
              </w:tc>
            </w:tr>
            <w:tr w14:paraId="565E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pct"/>
                  <w:tcBorders>
                    <w:left w:val="nil"/>
                    <w:bottom w:val="single" w:color="auto" w:sz="12" w:space="0"/>
                  </w:tcBorders>
                  <w:noWrap w:val="0"/>
                  <w:vAlign w:val="center"/>
                </w:tcPr>
                <w:p w14:paraId="68A1C2BC">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2024.5.31</w:t>
                  </w:r>
                </w:p>
              </w:tc>
              <w:tc>
                <w:tcPr>
                  <w:tcW w:w="930" w:type="pct"/>
                  <w:tcBorders>
                    <w:bottom w:val="single" w:color="auto" w:sz="12" w:space="0"/>
                  </w:tcBorders>
                  <w:noWrap w:val="0"/>
                  <w:vAlign w:val="center"/>
                </w:tcPr>
                <w:p w14:paraId="626EE489">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93.8</w:t>
                  </w:r>
                </w:p>
              </w:tc>
              <w:tc>
                <w:tcPr>
                  <w:tcW w:w="930" w:type="pct"/>
                  <w:tcBorders>
                    <w:bottom w:val="single" w:color="auto" w:sz="12" w:space="0"/>
                  </w:tcBorders>
                  <w:noWrap w:val="0"/>
                  <w:vAlign w:val="center"/>
                </w:tcPr>
                <w:p w14:paraId="7AAB49F2">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93.8</w:t>
                  </w:r>
                </w:p>
              </w:tc>
              <w:tc>
                <w:tcPr>
                  <w:tcW w:w="770" w:type="pct"/>
                  <w:tcBorders>
                    <w:bottom w:val="single" w:color="auto" w:sz="12" w:space="0"/>
                  </w:tcBorders>
                  <w:noWrap w:val="0"/>
                  <w:vAlign w:val="center"/>
                </w:tcPr>
                <w:p w14:paraId="4DB17FCC">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p>
              </w:tc>
              <w:tc>
                <w:tcPr>
                  <w:tcW w:w="932" w:type="pct"/>
                  <w:vMerge w:val="continue"/>
                  <w:tcBorders>
                    <w:bottom w:val="single" w:color="auto" w:sz="12" w:space="0"/>
                    <w:right w:val="nil"/>
                  </w:tcBorders>
                  <w:noWrap w:val="0"/>
                  <w:vAlign w:val="center"/>
                </w:tcPr>
                <w:p w14:paraId="2D9E2C8C">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p>
              </w:tc>
              <w:tc>
                <w:tcPr>
                  <w:tcW w:w="734" w:type="pct"/>
                  <w:tcBorders>
                    <w:bottom w:val="single" w:color="auto" w:sz="12" w:space="0"/>
                    <w:right w:val="nil"/>
                  </w:tcBorders>
                  <w:noWrap w:val="0"/>
                  <w:vAlign w:val="center"/>
                </w:tcPr>
                <w:p w14:paraId="12A11237">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合格</w:t>
                  </w:r>
                </w:p>
              </w:tc>
            </w:tr>
          </w:tbl>
          <w:p w14:paraId="58FD2248">
            <w:pPr>
              <w:spacing w:before="48" w:beforeLines="20"/>
              <w:ind w:firstLine="241" w:firstLineChars="100"/>
              <w:rPr>
                <w:b/>
                <w:bCs/>
              </w:rPr>
            </w:pPr>
            <w:r>
              <w:rPr>
                <w:b/>
                <w:bCs/>
              </w:rPr>
              <w:t>（</w:t>
            </w:r>
            <w:r>
              <w:rPr>
                <w:rFonts w:hint="eastAsia"/>
                <w:b/>
                <w:bCs/>
              </w:rPr>
              <w:t>5</w:t>
            </w:r>
            <w:r>
              <w:rPr>
                <w:b/>
                <w:bCs/>
              </w:rPr>
              <w:t>）</w:t>
            </w:r>
            <w:r>
              <w:rPr>
                <w:rFonts w:hint="eastAsia"/>
                <w:b/>
                <w:bCs/>
              </w:rPr>
              <w:t>水质监测分析过程中的质量保证和质量控制</w:t>
            </w:r>
          </w:p>
          <w:p w14:paraId="48297063">
            <w:pPr>
              <w:pStyle w:val="46"/>
              <w:ind w:firstLine="482"/>
              <w:jc w:val="center"/>
              <w:rPr>
                <w:rFonts w:hint="eastAsia" w:ascii="Times New Roman" w:hAnsi="Times New Roman"/>
                <w:b/>
                <w:kern w:val="2"/>
                <w:sz w:val="24"/>
                <w:szCs w:val="24"/>
              </w:rPr>
            </w:pPr>
            <w:r>
              <w:rPr>
                <w:rFonts w:ascii="Times New Roman" w:hAnsi="Times New Roman"/>
                <w:b/>
                <w:kern w:val="2"/>
                <w:sz w:val="24"/>
                <w:szCs w:val="24"/>
              </w:rPr>
              <w:t>表</w:t>
            </w:r>
            <w:r>
              <w:rPr>
                <w:rFonts w:hint="eastAsia" w:ascii="Times New Roman" w:hAnsi="Times New Roman"/>
                <w:b/>
                <w:kern w:val="2"/>
                <w:sz w:val="24"/>
                <w:szCs w:val="24"/>
              </w:rPr>
              <w:t>5-6实验室水质标准样质控结果</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53"/>
              <w:gridCol w:w="1205"/>
              <w:gridCol w:w="1425"/>
              <w:gridCol w:w="1078"/>
              <w:gridCol w:w="1093"/>
              <w:gridCol w:w="1078"/>
              <w:gridCol w:w="1094"/>
            </w:tblGrid>
            <w:tr w14:paraId="01A7F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209" w:type="dxa"/>
                  <w:vMerge w:val="restart"/>
                  <w:tcBorders>
                    <w:top w:val="single" w:color="auto" w:sz="12" w:space="0"/>
                  </w:tcBorders>
                  <w:noWrap w:val="0"/>
                  <w:vAlign w:val="center"/>
                </w:tcPr>
                <w:p w14:paraId="22721AB0">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kern w:val="0"/>
                      <w:sz w:val="21"/>
                      <w:szCs w:val="21"/>
                      <w:lang w:val="en-US" w:eastAsia="zh-CN" w:bidi="ar"/>
                    </w:rPr>
                    <w:t>检测项目</w:t>
                  </w:r>
                </w:p>
              </w:tc>
              <w:tc>
                <w:tcPr>
                  <w:tcW w:w="1279" w:type="dxa"/>
                  <w:vMerge w:val="restart"/>
                  <w:tcBorders>
                    <w:top w:val="single" w:color="auto" w:sz="12" w:space="0"/>
                  </w:tcBorders>
                  <w:noWrap w:val="0"/>
                  <w:vAlign w:val="center"/>
                </w:tcPr>
                <w:p w14:paraId="080D2878">
                  <w:pPr>
                    <w:pStyle w:val="33"/>
                    <w:keepNext w:val="0"/>
                    <w:keepLines w:val="0"/>
                    <w:suppressLineNumbers w:val="0"/>
                    <w:spacing w:before="0" w:beforeAutospacing="0" w:after="0" w:afterAutospacing="0" w:line="240" w:lineRule="auto"/>
                    <w:ind w:left="0" w:leftChars="0" w:right="0" w:rightChars="0"/>
                    <w:jc w:val="center"/>
                    <w:rPr>
                      <w:rFonts w:hint="eastAsia" w:cs="Times New Roman"/>
                      <w:b w:val="0"/>
                      <w:bCs/>
                      <w:kern w:val="0"/>
                      <w:sz w:val="21"/>
                      <w:szCs w:val="21"/>
                      <w:lang w:val="en-US" w:eastAsia="zh-CN" w:bidi="ar"/>
                    </w:rPr>
                  </w:pPr>
                  <w:r>
                    <w:rPr>
                      <w:rFonts w:hint="eastAsia" w:cs="Times New Roman"/>
                      <w:b w:val="0"/>
                      <w:bCs/>
                      <w:kern w:val="0"/>
                      <w:sz w:val="21"/>
                      <w:szCs w:val="21"/>
                      <w:lang w:val="en-US" w:eastAsia="zh-CN" w:bidi="ar"/>
                    </w:rPr>
                    <w:t>样品数量</w:t>
                  </w:r>
                </w:p>
                <w:p w14:paraId="3AD47C1D">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cs="Times New Roman"/>
                      <w:b w:val="0"/>
                      <w:bCs/>
                      <w:kern w:val="0"/>
                      <w:sz w:val="21"/>
                      <w:szCs w:val="21"/>
                      <w:lang w:val="en-US" w:eastAsia="zh-CN" w:bidi="ar"/>
                    </w:rPr>
                    <w:t>/个</w:t>
                  </w:r>
                </w:p>
              </w:tc>
              <w:tc>
                <w:tcPr>
                  <w:tcW w:w="1520" w:type="dxa"/>
                  <w:tcBorders>
                    <w:top w:val="single" w:color="auto" w:sz="12" w:space="0"/>
                  </w:tcBorders>
                  <w:noWrap w:val="0"/>
                  <w:vAlign w:val="center"/>
                </w:tcPr>
                <w:p w14:paraId="45F367E0">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空白样</w:t>
                  </w:r>
                </w:p>
              </w:tc>
              <w:tc>
                <w:tcPr>
                  <w:tcW w:w="2281" w:type="dxa"/>
                  <w:gridSpan w:val="2"/>
                  <w:tcBorders>
                    <w:top w:val="single" w:color="auto" w:sz="12" w:space="0"/>
                  </w:tcBorders>
                  <w:noWrap w:val="0"/>
                  <w:vAlign w:val="center"/>
                </w:tcPr>
                <w:p w14:paraId="1C4D8090">
                  <w:pPr>
                    <w:pStyle w:val="33"/>
                    <w:keepNext w:val="0"/>
                    <w:keepLines w:val="0"/>
                    <w:suppressLineNumbers w:val="0"/>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现场平行</w:t>
                  </w:r>
                </w:p>
              </w:tc>
              <w:tc>
                <w:tcPr>
                  <w:tcW w:w="2282" w:type="dxa"/>
                  <w:gridSpan w:val="2"/>
                  <w:tcBorders>
                    <w:top w:val="single" w:color="auto" w:sz="12" w:space="0"/>
                  </w:tcBorders>
                  <w:noWrap w:val="0"/>
                  <w:vAlign w:val="center"/>
                </w:tcPr>
                <w:p w14:paraId="724C7759">
                  <w:pPr>
                    <w:pStyle w:val="33"/>
                    <w:keepNext w:val="0"/>
                    <w:keepLines w:val="0"/>
                    <w:suppressLineNumbers w:val="0"/>
                    <w:spacing w:before="0" w:beforeAutospacing="0" w:after="0" w:afterAutospacing="0" w:line="240" w:lineRule="auto"/>
                    <w:ind w:left="0" w:leftChars="0" w:right="0" w:rightChars="0"/>
                    <w:jc w:val="center"/>
                    <w:rPr>
                      <w:rFonts w:hint="eastAsia" w:cs="Times New Roman"/>
                      <w:sz w:val="21"/>
                      <w:szCs w:val="21"/>
                      <w:lang w:val="en-US" w:eastAsia="zh-CN"/>
                    </w:rPr>
                  </w:pPr>
                  <w:r>
                    <w:rPr>
                      <w:rFonts w:hint="eastAsia" w:cs="Times New Roman"/>
                      <w:sz w:val="21"/>
                      <w:szCs w:val="21"/>
                      <w:lang w:val="en-US" w:eastAsia="zh-CN"/>
                    </w:rPr>
                    <w:t>实验室平行</w:t>
                  </w:r>
                </w:p>
              </w:tc>
            </w:tr>
            <w:tr w14:paraId="75A93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9" w:type="dxa"/>
                  <w:vMerge w:val="continue"/>
                  <w:noWrap w:val="0"/>
                  <w:vAlign w:val="center"/>
                </w:tcPr>
                <w:p w14:paraId="649F480F">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p>
              </w:tc>
              <w:tc>
                <w:tcPr>
                  <w:tcW w:w="1279" w:type="dxa"/>
                  <w:vMerge w:val="continue"/>
                  <w:noWrap w:val="0"/>
                  <w:vAlign w:val="center"/>
                </w:tcPr>
                <w:p w14:paraId="42358E2C">
                  <w:pPr>
                    <w:pStyle w:val="33"/>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sz w:val="21"/>
                      <w:szCs w:val="21"/>
                      <w:lang w:val="en-US" w:eastAsia="zh-CN"/>
                    </w:rPr>
                  </w:pPr>
                </w:p>
              </w:tc>
              <w:tc>
                <w:tcPr>
                  <w:tcW w:w="1520" w:type="dxa"/>
                  <w:noWrap w:val="0"/>
                  <w:vAlign w:val="center"/>
                </w:tcPr>
                <w:p w14:paraId="14BFDBA4">
                  <w:pPr>
                    <w:pStyle w:val="33"/>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b w:val="0"/>
                      <w:bCs/>
                      <w:kern w:val="0"/>
                      <w:sz w:val="21"/>
                      <w:szCs w:val="21"/>
                      <w:lang w:val="en-US" w:eastAsia="zh-CN" w:bidi="ar"/>
                    </w:rPr>
                    <w:t>数量/个</w:t>
                  </w:r>
                </w:p>
              </w:tc>
              <w:tc>
                <w:tcPr>
                  <w:tcW w:w="1140" w:type="dxa"/>
                  <w:noWrap w:val="0"/>
                  <w:vAlign w:val="center"/>
                </w:tcPr>
                <w:p w14:paraId="75E66F3C">
                  <w:pPr>
                    <w:pStyle w:val="33"/>
                    <w:keepNext w:val="0"/>
                    <w:keepLines w:val="0"/>
                    <w:suppressLineNumbers w:val="0"/>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b w:val="0"/>
                      <w:bCs/>
                      <w:kern w:val="0"/>
                      <w:sz w:val="21"/>
                      <w:szCs w:val="21"/>
                      <w:lang w:val="en-US" w:eastAsia="zh-CN" w:bidi="ar"/>
                    </w:rPr>
                    <w:t>数量/个</w:t>
                  </w:r>
                </w:p>
              </w:tc>
              <w:tc>
                <w:tcPr>
                  <w:tcW w:w="1141" w:type="dxa"/>
                  <w:noWrap w:val="0"/>
                  <w:vAlign w:val="center"/>
                </w:tcPr>
                <w:p w14:paraId="0C71DFAD">
                  <w:pPr>
                    <w:pStyle w:val="33"/>
                    <w:keepNext w:val="0"/>
                    <w:keepLines w:val="0"/>
                    <w:suppressLineNumbers w:val="0"/>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b w:val="0"/>
                      <w:bCs/>
                      <w:kern w:val="0"/>
                      <w:sz w:val="21"/>
                      <w:szCs w:val="21"/>
                      <w:lang w:val="en-US" w:eastAsia="zh-CN" w:bidi="ar"/>
                    </w:rPr>
                    <w:t>检查率</w:t>
                  </w:r>
                  <w:r>
                    <w:rPr>
                      <w:rFonts w:hint="eastAsia" w:cs="Times New Roman"/>
                      <w:sz w:val="21"/>
                      <w:szCs w:val="21"/>
                      <w:lang w:val="en-US" w:eastAsia="zh-CN"/>
                    </w:rPr>
                    <w:t>/%</w:t>
                  </w:r>
                </w:p>
              </w:tc>
              <w:tc>
                <w:tcPr>
                  <w:tcW w:w="1140" w:type="dxa"/>
                  <w:noWrap w:val="0"/>
                  <w:vAlign w:val="center"/>
                </w:tcPr>
                <w:p w14:paraId="14161D9E">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cs="Times New Roman"/>
                      <w:b w:val="0"/>
                      <w:bCs/>
                      <w:kern w:val="0"/>
                      <w:sz w:val="21"/>
                      <w:szCs w:val="21"/>
                      <w:lang w:val="en-US" w:eastAsia="zh-CN" w:bidi="ar"/>
                    </w:rPr>
                    <w:t>数量/个</w:t>
                  </w:r>
                </w:p>
              </w:tc>
              <w:tc>
                <w:tcPr>
                  <w:tcW w:w="1142" w:type="dxa"/>
                  <w:noWrap w:val="0"/>
                  <w:vAlign w:val="center"/>
                </w:tcPr>
                <w:p w14:paraId="5A73C7E1">
                  <w:pPr>
                    <w:pStyle w:val="3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cs="Times New Roman"/>
                      <w:b w:val="0"/>
                      <w:bCs/>
                      <w:kern w:val="0"/>
                      <w:sz w:val="21"/>
                      <w:szCs w:val="21"/>
                      <w:lang w:val="en-US" w:eastAsia="zh-CN" w:bidi="ar"/>
                    </w:rPr>
                    <w:t>检查率</w:t>
                  </w:r>
                  <w:r>
                    <w:rPr>
                      <w:rFonts w:hint="eastAsia" w:cs="Times New Roman"/>
                      <w:sz w:val="21"/>
                      <w:szCs w:val="21"/>
                      <w:lang w:val="en-US" w:eastAsia="zh-CN"/>
                    </w:rPr>
                    <w:t>/%</w:t>
                  </w:r>
                </w:p>
              </w:tc>
            </w:tr>
            <w:tr w14:paraId="26D58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9" w:type="dxa"/>
                  <w:noWrap w:val="0"/>
                  <w:vAlign w:val="center"/>
                </w:tcPr>
                <w:p w14:paraId="500EC6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氨氮</w:t>
                  </w:r>
                </w:p>
              </w:tc>
              <w:tc>
                <w:tcPr>
                  <w:tcW w:w="1279" w:type="dxa"/>
                  <w:noWrap w:val="0"/>
                  <w:vAlign w:val="center"/>
                </w:tcPr>
                <w:p w14:paraId="4B81FF58">
                  <w:pPr>
                    <w:keepNext w:val="0"/>
                    <w:keepLines w:val="0"/>
                    <w:suppressLineNumbers w:val="0"/>
                    <w:spacing w:before="0" w:beforeAutospacing="0" w:after="0" w:afterAutospacing="0"/>
                    <w:ind w:left="0" w:leftChars="0" w:right="0" w:rightChars="0"/>
                    <w:jc w:val="center"/>
                    <w:rPr>
                      <w:rFonts w:hint="default"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16</w:t>
                  </w:r>
                </w:p>
              </w:tc>
              <w:tc>
                <w:tcPr>
                  <w:tcW w:w="1520" w:type="dxa"/>
                  <w:noWrap w:val="0"/>
                  <w:vAlign w:val="center"/>
                </w:tcPr>
                <w:p w14:paraId="0183C5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2</w:t>
                  </w:r>
                </w:p>
              </w:tc>
              <w:tc>
                <w:tcPr>
                  <w:tcW w:w="1140" w:type="dxa"/>
                  <w:noWrap w:val="0"/>
                  <w:vAlign w:val="center"/>
                </w:tcPr>
                <w:p w14:paraId="508B336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2</w:t>
                  </w:r>
                </w:p>
              </w:tc>
              <w:tc>
                <w:tcPr>
                  <w:tcW w:w="1141" w:type="dxa"/>
                  <w:noWrap w:val="0"/>
                  <w:vAlign w:val="center"/>
                </w:tcPr>
                <w:p w14:paraId="54E9D5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12.5</w:t>
                  </w:r>
                </w:p>
              </w:tc>
              <w:tc>
                <w:tcPr>
                  <w:tcW w:w="1140" w:type="dxa"/>
                  <w:noWrap w:val="0"/>
                  <w:vAlign w:val="center"/>
                </w:tcPr>
                <w:p w14:paraId="73AAA2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2</w:t>
                  </w:r>
                </w:p>
              </w:tc>
              <w:tc>
                <w:tcPr>
                  <w:tcW w:w="1142" w:type="dxa"/>
                  <w:noWrap w:val="0"/>
                  <w:vAlign w:val="center"/>
                </w:tcPr>
                <w:p w14:paraId="2906E9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12.5</w:t>
                  </w:r>
                </w:p>
              </w:tc>
            </w:tr>
            <w:tr w14:paraId="299C4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9" w:type="dxa"/>
                  <w:noWrap w:val="0"/>
                  <w:vAlign w:val="center"/>
                </w:tcPr>
                <w:p w14:paraId="21544C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化学需氧量</w:t>
                  </w:r>
                </w:p>
              </w:tc>
              <w:tc>
                <w:tcPr>
                  <w:tcW w:w="1279" w:type="dxa"/>
                  <w:noWrap w:val="0"/>
                  <w:vAlign w:val="center"/>
                </w:tcPr>
                <w:p w14:paraId="4B3A87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16</w:t>
                  </w:r>
                </w:p>
              </w:tc>
              <w:tc>
                <w:tcPr>
                  <w:tcW w:w="1520" w:type="dxa"/>
                  <w:noWrap w:val="0"/>
                  <w:vAlign w:val="center"/>
                </w:tcPr>
                <w:p w14:paraId="309B82D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2</w:t>
                  </w:r>
                </w:p>
              </w:tc>
              <w:tc>
                <w:tcPr>
                  <w:tcW w:w="1140" w:type="dxa"/>
                  <w:noWrap w:val="0"/>
                  <w:vAlign w:val="center"/>
                </w:tcPr>
                <w:p w14:paraId="7A416D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2</w:t>
                  </w:r>
                </w:p>
              </w:tc>
              <w:tc>
                <w:tcPr>
                  <w:tcW w:w="1141" w:type="dxa"/>
                  <w:noWrap w:val="0"/>
                  <w:vAlign w:val="center"/>
                </w:tcPr>
                <w:p w14:paraId="223CE3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12.5</w:t>
                  </w:r>
                </w:p>
              </w:tc>
              <w:tc>
                <w:tcPr>
                  <w:tcW w:w="1140" w:type="dxa"/>
                  <w:noWrap w:val="0"/>
                  <w:vAlign w:val="center"/>
                </w:tcPr>
                <w:p w14:paraId="071CE22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2</w:t>
                  </w:r>
                </w:p>
              </w:tc>
              <w:tc>
                <w:tcPr>
                  <w:tcW w:w="1142" w:type="dxa"/>
                  <w:noWrap w:val="0"/>
                  <w:vAlign w:val="center"/>
                </w:tcPr>
                <w:p w14:paraId="71D2B98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12.5</w:t>
                  </w:r>
                </w:p>
              </w:tc>
            </w:tr>
            <w:tr w14:paraId="6A4C4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9" w:type="dxa"/>
                  <w:noWrap w:val="0"/>
                  <w:vAlign w:val="center"/>
                </w:tcPr>
                <w:p w14:paraId="504118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五日生化需氧量</w:t>
                  </w:r>
                </w:p>
              </w:tc>
              <w:tc>
                <w:tcPr>
                  <w:tcW w:w="1279" w:type="dxa"/>
                  <w:noWrap w:val="0"/>
                  <w:vAlign w:val="center"/>
                </w:tcPr>
                <w:p w14:paraId="2826DC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8</w:t>
                  </w:r>
                </w:p>
              </w:tc>
              <w:tc>
                <w:tcPr>
                  <w:tcW w:w="1520" w:type="dxa"/>
                  <w:noWrap w:val="0"/>
                  <w:vAlign w:val="center"/>
                </w:tcPr>
                <w:p w14:paraId="5FC8E2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2</w:t>
                  </w:r>
                </w:p>
              </w:tc>
              <w:tc>
                <w:tcPr>
                  <w:tcW w:w="1140" w:type="dxa"/>
                  <w:noWrap w:val="0"/>
                  <w:vAlign w:val="center"/>
                </w:tcPr>
                <w:p w14:paraId="298065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2</w:t>
                  </w:r>
                </w:p>
              </w:tc>
              <w:tc>
                <w:tcPr>
                  <w:tcW w:w="1141" w:type="dxa"/>
                  <w:noWrap w:val="0"/>
                  <w:vAlign w:val="center"/>
                </w:tcPr>
                <w:p w14:paraId="55C4308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25.0</w:t>
                  </w:r>
                </w:p>
              </w:tc>
              <w:tc>
                <w:tcPr>
                  <w:tcW w:w="1140" w:type="dxa"/>
                  <w:noWrap w:val="0"/>
                  <w:vAlign w:val="center"/>
                </w:tcPr>
                <w:p w14:paraId="31103A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2</w:t>
                  </w:r>
                </w:p>
              </w:tc>
              <w:tc>
                <w:tcPr>
                  <w:tcW w:w="1142" w:type="dxa"/>
                  <w:noWrap w:val="0"/>
                  <w:vAlign w:val="center"/>
                </w:tcPr>
                <w:p w14:paraId="0740B53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25.0</w:t>
                  </w:r>
                </w:p>
              </w:tc>
            </w:tr>
            <w:tr w14:paraId="2F4E3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9" w:type="dxa"/>
                  <w:noWrap w:val="0"/>
                  <w:vAlign w:val="center"/>
                </w:tcPr>
                <w:p w14:paraId="38B08F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阴离子表面活性剂</w:t>
                  </w:r>
                </w:p>
              </w:tc>
              <w:tc>
                <w:tcPr>
                  <w:tcW w:w="1279" w:type="dxa"/>
                  <w:noWrap w:val="0"/>
                  <w:vAlign w:val="center"/>
                </w:tcPr>
                <w:p w14:paraId="1D2AB4F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8</w:t>
                  </w:r>
                </w:p>
              </w:tc>
              <w:tc>
                <w:tcPr>
                  <w:tcW w:w="1520" w:type="dxa"/>
                  <w:noWrap w:val="0"/>
                  <w:vAlign w:val="center"/>
                </w:tcPr>
                <w:p w14:paraId="4C94DDD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2</w:t>
                  </w:r>
                </w:p>
              </w:tc>
              <w:tc>
                <w:tcPr>
                  <w:tcW w:w="1140" w:type="dxa"/>
                  <w:noWrap w:val="0"/>
                  <w:vAlign w:val="center"/>
                </w:tcPr>
                <w:p w14:paraId="1877FC3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2</w:t>
                  </w:r>
                </w:p>
              </w:tc>
              <w:tc>
                <w:tcPr>
                  <w:tcW w:w="1141" w:type="dxa"/>
                  <w:noWrap w:val="0"/>
                  <w:vAlign w:val="center"/>
                </w:tcPr>
                <w:p w14:paraId="7B014AC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25.0</w:t>
                  </w:r>
                </w:p>
              </w:tc>
              <w:tc>
                <w:tcPr>
                  <w:tcW w:w="1140" w:type="dxa"/>
                  <w:noWrap w:val="0"/>
                  <w:vAlign w:val="center"/>
                </w:tcPr>
                <w:p w14:paraId="57308A7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2</w:t>
                  </w:r>
                </w:p>
              </w:tc>
              <w:tc>
                <w:tcPr>
                  <w:tcW w:w="1142" w:type="dxa"/>
                  <w:noWrap w:val="0"/>
                  <w:vAlign w:val="center"/>
                </w:tcPr>
                <w:p w14:paraId="31AB302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25.0</w:t>
                  </w:r>
                </w:p>
              </w:tc>
            </w:tr>
          </w:tbl>
          <w:p w14:paraId="5EA4C5E3">
            <w:pPr>
              <w:pStyle w:val="46"/>
              <w:ind w:left="0" w:leftChars="0" w:firstLine="0" w:firstLineChars="0"/>
              <w:jc w:val="center"/>
              <w:rPr>
                <w:rFonts w:hint="eastAsia" w:ascii="Times New Roman" w:hAnsi="Times New Roman"/>
                <w:b/>
                <w:kern w:val="2"/>
                <w:sz w:val="24"/>
                <w:szCs w:val="24"/>
                <w:lang w:val="en-US" w:eastAsia="zh-CN"/>
              </w:rPr>
            </w:pPr>
            <w:r>
              <w:rPr>
                <w:rFonts w:hint="eastAsia" w:ascii="Times New Roman" w:hAnsi="Times New Roman"/>
                <w:b/>
                <w:kern w:val="2"/>
                <w:sz w:val="24"/>
                <w:szCs w:val="24"/>
                <w:lang w:val="en-US" w:eastAsia="zh-CN"/>
              </w:rPr>
              <w:t>表5-7空白样质控结果表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1168"/>
              <w:gridCol w:w="1908"/>
              <w:gridCol w:w="771"/>
              <w:gridCol w:w="1805"/>
              <w:gridCol w:w="1805"/>
            </w:tblGrid>
            <w:tr w14:paraId="3B9A4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top w:val="single" w:color="auto" w:sz="12" w:space="0"/>
                  </w:tcBorders>
                  <w:noWrap w:val="0"/>
                  <w:vAlign w:val="center"/>
                </w:tcPr>
                <w:p w14:paraId="2FA49E4D">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样品编号</w:t>
                  </w:r>
                </w:p>
              </w:tc>
              <w:tc>
                <w:tcPr>
                  <w:tcW w:w="647" w:type="pct"/>
                  <w:tcBorders>
                    <w:top w:val="single" w:color="auto" w:sz="12" w:space="0"/>
                  </w:tcBorders>
                  <w:noWrap w:val="0"/>
                  <w:vAlign w:val="center"/>
                </w:tcPr>
                <w:p w14:paraId="2571FB94">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057" w:type="pct"/>
                  <w:tcBorders>
                    <w:top w:val="single" w:color="auto" w:sz="12" w:space="0"/>
                  </w:tcBorders>
                  <w:noWrap w:val="0"/>
                  <w:vAlign w:val="center"/>
                </w:tcPr>
                <w:p w14:paraId="2DB683A5">
                  <w:pPr>
                    <w:pStyle w:val="33"/>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427" w:type="pct"/>
                  <w:tcBorders>
                    <w:top w:val="single" w:color="auto" w:sz="12" w:space="0"/>
                  </w:tcBorders>
                  <w:noWrap w:val="0"/>
                  <w:vAlign w:val="center"/>
                </w:tcPr>
                <w:p w14:paraId="2927948C">
                  <w:pPr>
                    <w:pStyle w:val="33"/>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单位</w:t>
                  </w:r>
                </w:p>
              </w:tc>
              <w:tc>
                <w:tcPr>
                  <w:tcW w:w="1000" w:type="pct"/>
                  <w:tcBorders>
                    <w:top w:val="single" w:color="auto" w:sz="12" w:space="0"/>
                  </w:tcBorders>
                  <w:noWrap w:val="0"/>
                  <w:vAlign w:val="center"/>
                </w:tcPr>
                <w:p w14:paraId="56D9B1EE">
                  <w:pPr>
                    <w:pStyle w:val="33"/>
                    <w:keepNext w:val="0"/>
                    <w:keepLines w:val="0"/>
                    <w:suppressLineNumbers w:val="0"/>
                    <w:spacing w:before="0" w:beforeAutospacing="0" w:after="0" w:afterAutospacing="0" w:line="240" w:lineRule="auto"/>
                    <w:ind w:left="0" w:leftChars="0" w:right="0" w:rightChars="0"/>
                    <w:rPr>
                      <w:rFonts w:hint="default" w:cs="Times New Roman"/>
                      <w:sz w:val="21"/>
                      <w:szCs w:val="21"/>
                      <w:lang w:val="en-US" w:eastAsia="zh-CN"/>
                    </w:rPr>
                  </w:pPr>
                  <w:r>
                    <w:rPr>
                      <w:rFonts w:hint="eastAsia" w:cs="Times New Roman"/>
                      <w:sz w:val="21"/>
                      <w:szCs w:val="21"/>
                      <w:lang w:val="en-US" w:eastAsia="zh-CN"/>
                    </w:rPr>
                    <w:t>检测结果</w:t>
                  </w:r>
                </w:p>
              </w:tc>
              <w:tc>
                <w:tcPr>
                  <w:tcW w:w="1000" w:type="pct"/>
                  <w:tcBorders>
                    <w:top w:val="single" w:color="auto" w:sz="12" w:space="0"/>
                  </w:tcBorders>
                  <w:noWrap w:val="0"/>
                  <w:vAlign w:val="center"/>
                </w:tcPr>
                <w:p w14:paraId="63C13B47">
                  <w:pPr>
                    <w:pStyle w:val="33"/>
                    <w:keepNext w:val="0"/>
                    <w:keepLines w:val="0"/>
                    <w:suppressLineNumbers w:val="0"/>
                    <w:spacing w:before="0" w:beforeAutospacing="0" w:after="0" w:afterAutospacing="0" w:line="240" w:lineRule="auto"/>
                    <w:ind w:left="0" w:leftChars="0" w:right="0" w:rightChars="0"/>
                    <w:rPr>
                      <w:rFonts w:hint="default" w:cs="Times New Roman"/>
                      <w:sz w:val="21"/>
                      <w:szCs w:val="21"/>
                      <w:lang w:val="en-US" w:eastAsia="zh-CN"/>
                    </w:rPr>
                  </w:pPr>
                  <w:r>
                    <w:rPr>
                      <w:rFonts w:hint="eastAsia" w:cs="Times New Roman"/>
                      <w:sz w:val="21"/>
                      <w:szCs w:val="21"/>
                      <w:lang w:val="en-US" w:eastAsia="zh-CN"/>
                    </w:rPr>
                    <w:t>符合性</w:t>
                  </w:r>
                </w:p>
              </w:tc>
            </w:tr>
            <w:tr w14:paraId="50E5E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restart"/>
                  <w:noWrap w:val="0"/>
                  <w:vAlign w:val="center"/>
                </w:tcPr>
                <w:p w14:paraId="66854CA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WB-S</w:t>
                  </w:r>
                  <w:r>
                    <w:rPr>
                      <w:rFonts w:hint="eastAsia" w:cs="Times New Roman"/>
                      <w:b w:val="0"/>
                      <w:kern w:val="2"/>
                      <w:sz w:val="21"/>
                      <w:szCs w:val="21"/>
                      <w:lang w:val="en-US" w:eastAsia="zh-CN" w:bidi="ar-SA"/>
                    </w:rPr>
                    <w:t>E68</w:t>
                  </w:r>
                  <w:r>
                    <w:rPr>
                      <w:rFonts w:hint="eastAsia" w:ascii="Times New Roman" w:hAnsi="Times New Roman" w:eastAsia="宋体" w:cs="Times New Roman"/>
                      <w:b w:val="0"/>
                      <w:kern w:val="2"/>
                      <w:sz w:val="21"/>
                      <w:szCs w:val="21"/>
                      <w:lang w:val="en-US" w:eastAsia="zh-CN" w:bidi="ar-SA"/>
                    </w:rPr>
                    <w:t>-1</w:t>
                  </w:r>
                </w:p>
              </w:tc>
              <w:tc>
                <w:tcPr>
                  <w:tcW w:w="647" w:type="pct"/>
                  <w:vMerge w:val="restart"/>
                  <w:noWrap w:val="0"/>
                  <w:vAlign w:val="center"/>
                </w:tcPr>
                <w:p w14:paraId="011475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spacing w:val="-6"/>
                      <w:kern w:val="2"/>
                      <w:sz w:val="21"/>
                      <w:szCs w:val="21"/>
                      <w:lang w:val="en-US" w:eastAsia="zh-CN" w:bidi="ar-SA"/>
                    </w:rPr>
                  </w:pPr>
                  <w:r>
                    <w:rPr>
                      <w:rFonts w:hint="eastAsia" w:cs="Times New Roman"/>
                      <w:b w:val="0"/>
                      <w:spacing w:val="-6"/>
                      <w:kern w:val="2"/>
                      <w:sz w:val="21"/>
                      <w:szCs w:val="21"/>
                      <w:lang w:val="en-US" w:eastAsia="zh-CN" w:bidi="ar-SA"/>
                    </w:rPr>
                    <w:t>2024.5.30</w:t>
                  </w:r>
                </w:p>
              </w:tc>
              <w:tc>
                <w:tcPr>
                  <w:tcW w:w="1057" w:type="pct"/>
                  <w:noWrap w:val="0"/>
                  <w:vAlign w:val="center"/>
                </w:tcPr>
                <w:p w14:paraId="65EA210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氨氮</w:t>
                  </w:r>
                </w:p>
              </w:tc>
              <w:tc>
                <w:tcPr>
                  <w:tcW w:w="427" w:type="pct"/>
                  <w:noWrap w:val="0"/>
                  <w:vAlign w:val="center"/>
                </w:tcPr>
                <w:p w14:paraId="5BB9790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mg/L</w:t>
                  </w:r>
                </w:p>
              </w:tc>
              <w:tc>
                <w:tcPr>
                  <w:tcW w:w="1000" w:type="pct"/>
                  <w:noWrap w:val="0"/>
                  <w:vAlign w:val="center"/>
                </w:tcPr>
                <w:p w14:paraId="08CBC6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w:t>
                  </w:r>
                  <w:r>
                    <w:rPr>
                      <w:rFonts w:hint="eastAsia" w:ascii="Times New Roman" w:hAnsi="Times New Roman" w:eastAsia="宋体" w:cs="Times New Roman"/>
                      <w:b w:val="0"/>
                      <w:bCs/>
                      <w:color w:val="000000"/>
                      <w:sz w:val="21"/>
                      <w:szCs w:val="21"/>
                      <w:lang w:val="en-US" w:eastAsia="zh-CN"/>
                    </w:rPr>
                    <w:t>0.025</w:t>
                  </w:r>
                </w:p>
              </w:tc>
              <w:tc>
                <w:tcPr>
                  <w:tcW w:w="1000" w:type="pct"/>
                  <w:noWrap w:val="0"/>
                  <w:vAlign w:val="center"/>
                </w:tcPr>
                <w:p w14:paraId="01494FF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710FA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continue"/>
                  <w:noWrap w:val="0"/>
                  <w:vAlign w:val="center"/>
                </w:tcPr>
                <w:p w14:paraId="259128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p>
              </w:tc>
              <w:tc>
                <w:tcPr>
                  <w:tcW w:w="647" w:type="pct"/>
                  <w:vMerge w:val="continue"/>
                  <w:noWrap w:val="0"/>
                  <w:vAlign w:val="center"/>
                </w:tcPr>
                <w:p w14:paraId="3C77CD3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kern w:val="2"/>
                      <w:sz w:val="21"/>
                      <w:szCs w:val="21"/>
                      <w:lang w:val="en-US" w:eastAsia="zh-CN" w:bidi="ar-SA"/>
                    </w:rPr>
                  </w:pPr>
                </w:p>
              </w:tc>
              <w:tc>
                <w:tcPr>
                  <w:tcW w:w="1057" w:type="pct"/>
                  <w:noWrap w:val="0"/>
                  <w:vAlign w:val="center"/>
                </w:tcPr>
                <w:p w14:paraId="2F3EAD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化学需氧量</w:t>
                  </w:r>
                </w:p>
              </w:tc>
              <w:tc>
                <w:tcPr>
                  <w:tcW w:w="427" w:type="pct"/>
                  <w:noWrap w:val="0"/>
                  <w:vAlign w:val="center"/>
                </w:tcPr>
                <w:p w14:paraId="54957B4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mg/L</w:t>
                  </w:r>
                </w:p>
              </w:tc>
              <w:tc>
                <w:tcPr>
                  <w:tcW w:w="1000" w:type="pct"/>
                  <w:noWrap w:val="0"/>
                  <w:vAlign w:val="center"/>
                </w:tcPr>
                <w:p w14:paraId="599D105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w:t>
                  </w:r>
                  <w:r>
                    <w:rPr>
                      <w:rFonts w:hint="eastAsia" w:ascii="Times New Roman" w:hAnsi="Times New Roman" w:eastAsia="宋体" w:cs="Times New Roman"/>
                      <w:b w:val="0"/>
                      <w:bCs/>
                      <w:color w:val="000000"/>
                      <w:sz w:val="21"/>
                      <w:szCs w:val="21"/>
                      <w:lang w:val="en-US" w:eastAsia="zh-CN"/>
                    </w:rPr>
                    <w:t>4</w:t>
                  </w:r>
                </w:p>
              </w:tc>
              <w:tc>
                <w:tcPr>
                  <w:tcW w:w="1000" w:type="pct"/>
                  <w:noWrap w:val="0"/>
                  <w:vAlign w:val="center"/>
                </w:tcPr>
                <w:p w14:paraId="370F62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0538E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continue"/>
                  <w:noWrap w:val="0"/>
                  <w:vAlign w:val="center"/>
                </w:tcPr>
                <w:p w14:paraId="145B210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kern w:val="2"/>
                      <w:sz w:val="21"/>
                      <w:szCs w:val="21"/>
                      <w:lang w:val="en-US" w:eastAsia="zh-CN" w:bidi="ar-SA"/>
                    </w:rPr>
                  </w:pPr>
                </w:p>
              </w:tc>
              <w:tc>
                <w:tcPr>
                  <w:tcW w:w="647" w:type="pct"/>
                  <w:vMerge w:val="continue"/>
                  <w:noWrap w:val="0"/>
                  <w:vAlign w:val="center"/>
                </w:tcPr>
                <w:p w14:paraId="09AD600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kern w:val="2"/>
                      <w:sz w:val="21"/>
                      <w:szCs w:val="21"/>
                      <w:lang w:val="en-US" w:eastAsia="zh-CN" w:bidi="ar-SA"/>
                    </w:rPr>
                  </w:pPr>
                </w:p>
              </w:tc>
              <w:tc>
                <w:tcPr>
                  <w:tcW w:w="1057" w:type="pct"/>
                  <w:noWrap w:val="0"/>
                  <w:vAlign w:val="center"/>
                </w:tcPr>
                <w:p w14:paraId="774FE98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五日生化需氧量</w:t>
                  </w:r>
                </w:p>
              </w:tc>
              <w:tc>
                <w:tcPr>
                  <w:tcW w:w="427" w:type="pct"/>
                  <w:noWrap w:val="0"/>
                  <w:vAlign w:val="center"/>
                </w:tcPr>
                <w:p w14:paraId="73E3C5C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strike w:val="0"/>
                      <w:dstrike w:val="0"/>
                      <w:sz w:val="21"/>
                      <w:szCs w:val="21"/>
                      <w:shd w:val="clear" w:color="auto" w:fill="auto"/>
                      <w:lang w:val="en-US" w:eastAsia="zh-CN"/>
                    </w:rPr>
                  </w:pPr>
                  <w:r>
                    <w:rPr>
                      <w:rFonts w:hint="eastAsia" w:ascii="Times New Roman" w:hAnsi="Times New Roman" w:eastAsia="宋体" w:cs="Times New Roman"/>
                      <w:b w:val="0"/>
                      <w:bCs/>
                      <w:kern w:val="2"/>
                      <w:sz w:val="21"/>
                      <w:szCs w:val="21"/>
                      <w:lang w:val="en-US" w:eastAsia="zh-CN" w:bidi="ar-SA"/>
                    </w:rPr>
                    <w:t>mg/L</w:t>
                  </w:r>
                </w:p>
              </w:tc>
              <w:tc>
                <w:tcPr>
                  <w:tcW w:w="1000" w:type="pct"/>
                  <w:noWrap w:val="0"/>
                  <w:vAlign w:val="center"/>
                </w:tcPr>
                <w:p w14:paraId="144DB6A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w:t>
                  </w:r>
                  <w:r>
                    <w:rPr>
                      <w:rFonts w:hint="eastAsia" w:ascii="Times New Roman" w:hAnsi="Times New Roman" w:eastAsia="宋体" w:cs="Times New Roman"/>
                      <w:b w:val="0"/>
                      <w:bCs/>
                      <w:color w:val="000000"/>
                      <w:sz w:val="21"/>
                      <w:szCs w:val="21"/>
                      <w:lang w:val="en-US" w:eastAsia="zh-CN"/>
                    </w:rPr>
                    <w:t>0.5</w:t>
                  </w:r>
                </w:p>
              </w:tc>
              <w:tc>
                <w:tcPr>
                  <w:tcW w:w="1000" w:type="pct"/>
                  <w:noWrap w:val="0"/>
                  <w:vAlign w:val="center"/>
                </w:tcPr>
                <w:p w14:paraId="00EF518C">
                  <w:pPr>
                    <w:keepNext w:val="0"/>
                    <w:keepLines w:val="0"/>
                    <w:suppressLineNumbers w:val="0"/>
                    <w:spacing w:before="0" w:beforeAutospacing="0" w:after="0" w:afterAutospacing="0"/>
                    <w:ind w:left="0" w:leftChars="0" w:right="0" w:rightChars="0"/>
                    <w:jc w:val="center"/>
                    <w:rPr>
                      <w:rFonts w:hint="eastAsia" w:cs="Times New Roman"/>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309DB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continue"/>
                  <w:noWrap w:val="0"/>
                  <w:vAlign w:val="center"/>
                </w:tcPr>
                <w:p w14:paraId="595D51A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kern w:val="2"/>
                      <w:sz w:val="21"/>
                      <w:szCs w:val="21"/>
                      <w:lang w:val="en-US" w:eastAsia="zh-CN" w:bidi="ar-SA"/>
                    </w:rPr>
                  </w:pPr>
                </w:p>
              </w:tc>
              <w:tc>
                <w:tcPr>
                  <w:tcW w:w="647" w:type="pct"/>
                  <w:vMerge w:val="continue"/>
                  <w:noWrap w:val="0"/>
                  <w:vAlign w:val="center"/>
                </w:tcPr>
                <w:p w14:paraId="67E3E4F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kern w:val="2"/>
                      <w:sz w:val="21"/>
                      <w:szCs w:val="21"/>
                      <w:lang w:val="en-US" w:eastAsia="zh-CN" w:bidi="ar-SA"/>
                    </w:rPr>
                  </w:pPr>
                </w:p>
              </w:tc>
              <w:tc>
                <w:tcPr>
                  <w:tcW w:w="1057" w:type="pct"/>
                  <w:noWrap w:val="0"/>
                  <w:vAlign w:val="center"/>
                </w:tcPr>
                <w:p w14:paraId="62171C8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sz w:val="21"/>
                      <w:szCs w:val="21"/>
                      <w:lang w:eastAsia="zh-CN"/>
                    </w:rPr>
                  </w:pPr>
                  <w:r>
                    <w:rPr>
                      <w:rFonts w:hint="eastAsia" w:cs="Times New Roman"/>
                      <w:b w:val="0"/>
                      <w:bCs/>
                      <w:sz w:val="21"/>
                      <w:szCs w:val="21"/>
                      <w:lang w:val="en-US" w:eastAsia="zh-CN"/>
                    </w:rPr>
                    <w:t>阴离子表面活性剂</w:t>
                  </w:r>
                </w:p>
              </w:tc>
              <w:tc>
                <w:tcPr>
                  <w:tcW w:w="427" w:type="pct"/>
                  <w:noWrap w:val="0"/>
                  <w:vAlign w:val="center"/>
                </w:tcPr>
                <w:p w14:paraId="1ADD498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mg/L</w:t>
                  </w:r>
                </w:p>
              </w:tc>
              <w:tc>
                <w:tcPr>
                  <w:tcW w:w="1000" w:type="pct"/>
                  <w:noWrap w:val="0"/>
                  <w:vAlign w:val="center"/>
                </w:tcPr>
                <w:p w14:paraId="05ED1B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w:t>
                  </w:r>
                  <w:r>
                    <w:rPr>
                      <w:rFonts w:hint="eastAsia" w:ascii="Times New Roman" w:hAnsi="Times New Roman" w:eastAsia="宋体" w:cs="Times New Roman"/>
                      <w:b w:val="0"/>
                      <w:bCs/>
                      <w:color w:val="000000"/>
                      <w:sz w:val="21"/>
                      <w:szCs w:val="21"/>
                      <w:lang w:val="en-US" w:eastAsia="zh-CN"/>
                    </w:rPr>
                    <w:t>0.</w:t>
                  </w:r>
                  <w:r>
                    <w:rPr>
                      <w:rFonts w:hint="eastAsia" w:eastAsia="宋体" w:cs="Times New Roman"/>
                      <w:b w:val="0"/>
                      <w:bCs/>
                      <w:color w:val="000000"/>
                      <w:sz w:val="21"/>
                      <w:szCs w:val="21"/>
                      <w:lang w:val="en-US" w:eastAsia="zh-CN"/>
                    </w:rPr>
                    <w:t>0</w:t>
                  </w:r>
                  <w:r>
                    <w:rPr>
                      <w:rFonts w:hint="eastAsia" w:ascii="Times New Roman" w:hAnsi="Times New Roman" w:eastAsia="宋体" w:cs="Times New Roman"/>
                      <w:b w:val="0"/>
                      <w:bCs/>
                      <w:color w:val="000000"/>
                      <w:sz w:val="21"/>
                      <w:szCs w:val="21"/>
                      <w:lang w:val="en-US" w:eastAsia="zh-CN"/>
                    </w:rPr>
                    <w:t>5</w:t>
                  </w:r>
                </w:p>
              </w:tc>
              <w:tc>
                <w:tcPr>
                  <w:tcW w:w="1000" w:type="pct"/>
                  <w:noWrap w:val="0"/>
                  <w:vAlign w:val="center"/>
                </w:tcPr>
                <w:p w14:paraId="60C02A4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75D1B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restart"/>
                  <w:noWrap w:val="0"/>
                  <w:vAlign w:val="center"/>
                </w:tcPr>
                <w:p w14:paraId="4E1223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WB-S</w:t>
                  </w:r>
                  <w:r>
                    <w:rPr>
                      <w:rFonts w:hint="eastAsia" w:cs="Times New Roman"/>
                      <w:b w:val="0"/>
                      <w:kern w:val="2"/>
                      <w:sz w:val="21"/>
                      <w:szCs w:val="21"/>
                      <w:lang w:val="en-US" w:eastAsia="zh-CN" w:bidi="ar-SA"/>
                    </w:rPr>
                    <w:t>E68</w:t>
                  </w:r>
                  <w:r>
                    <w:rPr>
                      <w:rFonts w:hint="eastAsia" w:ascii="Times New Roman" w:hAnsi="Times New Roman" w:eastAsia="宋体" w:cs="Times New Roman"/>
                      <w:b w:val="0"/>
                      <w:kern w:val="2"/>
                      <w:sz w:val="21"/>
                      <w:szCs w:val="21"/>
                      <w:lang w:val="en-US" w:eastAsia="zh-CN" w:bidi="ar-SA"/>
                    </w:rPr>
                    <w:t>-1</w:t>
                  </w:r>
                </w:p>
              </w:tc>
              <w:tc>
                <w:tcPr>
                  <w:tcW w:w="647" w:type="pct"/>
                  <w:vMerge w:val="restart"/>
                  <w:noWrap w:val="0"/>
                  <w:vAlign w:val="center"/>
                </w:tcPr>
                <w:p w14:paraId="14480C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spacing w:val="-6"/>
                      <w:kern w:val="2"/>
                      <w:sz w:val="21"/>
                      <w:szCs w:val="21"/>
                      <w:lang w:val="en-US" w:eastAsia="zh-CN" w:bidi="ar-SA"/>
                    </w:rPr>
                  </w:pPr>
                  <w:r>
                    <w:rPr>
                      <w:rFonts w:hint="eastAsia" w:cs="Times New Roman"/>
                      <w:b w:val="0"/>
                      <w:spacing w:val="-6"/>
                      <w:kern w:val="2"/>
                      <w:sz w:val="21"/>
                      <w:szCs w:val="21"/>
                      <w:lang w:val="en-US" w:eastAsia="zh-CN" w:bidi="ar-SA"/>
                    </w:rPr>
                    <w:t>2024.5.31</w:t>
                  </w:r>
                </w:p>
              </w:tc>
              <w:tc>
                <w:tcPr>
                  <w:tcW w:w="1057" w:type="pct"/>
                  <w:noWrap w:val="0"/>
                  <w:vAlign w:val="center"/>
                </w:tcPr>
                <w:p w14:paraId="3F5297E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氨氮</w:t>
                  </w:r>
                </w:p>
              </w:tc>
              <w:tc>
                <w:tcPr>
                  <w:tcW w:w="427" w:type="pct"/>
                  <w:noWrap w:val="0"/>
                  <w:vAlign w:val="center"/>
                </w:tcPr>
                <w:p w14:paraId="2F88D63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mg/L</w:t>
                  </w:r>
                </w:p>
              </w:tc>
              <w:tc>
                <w:tcPr>
                  <w:tcW w:w="1000" w:type="pct"/>
                  <w:noWrap w:val="0"/>
                  <w:vAlign w:val="center"/>
                </w:tcPr>
                <w:p w14:paraId="06454D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w:t>
                  </w:r>
                  <w:r>
                    <w:rPr>
                      <w:rFonts w:hint="eastAsia" w:ascii="Times New Roman" w:hAnsi="Times New Roman" w:eastAsia="宋体" w:cs="Times New Roman"/>
                      <w:b w:val="0"/>
                      <w:bCs/>
                      <w:color w:val="000000"/>
                      <w:sz w:val="21"/>
                      <w:szCs w:val="21"/>
                      <w:lang w:val="en-US" w:eastAsia="zh-CN"/>
                    </w:rPr>
                    <w:t>0.025</w:t>
                  </w:r>
                </w:p>
              </w:tc>
              <w:tc>
                <w:tcPr>
                  <w:tcW w:w="1000" w:type="pct"/>
                  <w:noWrap w:val="0"/>
                  <w:vAlign w:val="center"/>
                </w:tcPr>
                <w:p w14:paraId="636BB4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75EA6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continue"/>
                  <w:noWrap w:val="0"/>
                  <w:vAlign w:val="center"/>
                </w:tcPr>
                <w:p w14:paraId="0C579E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p>
              </w:tc>
              <w:tc>
                <w:tcPr>
                  <w:tcW w:w="647" w:type="pct"/>
                  <w:vMerge w:val="continue"/>
                  <w:noWrap w:val="0"/>
                  <w:vAlign w:val="center"/>
                </w:tcPr>
                <w:p w14:paraId="6701155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kern w:val="2"/>
                      <w:sz w:val="21"/>
                      <w:szCs w:val="21"/>
                      <w:lang w:val="en-US" w:eastAsia="zh-CN" w:bidi="ar-SA"/>
                    </w:rPr>
                  </w:pPr>
                </w:p>
              </w:tc>
              <w:tc>
                <w:tcPr>
                  <w:tcW w:w="1057" w:type="pct"/>
                  <w:noWrap w:val="0"/>
                  <w:vAlign w:val="center"/>
                </w:tcPr>
                <w:p w14:paraId="6DCCBB5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化学需氧量</w:t>
                  </w:r>
                </w:p>
              </w:tc>
              <w:tc>
                <w:tcPr>
                  <w:tcW w:w="427" w:type="pct"/>
                  <w:noWrap w:val="0"/>
                  <w:vAlign w:val="center"/>
                </w:tcPr>
                <w:p w14:paraId="01EB808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mg/L</w:t>
                  </w:r>
                </w:p>
              </w:tc>
              <w:tc>
                <w:tcPr>
                  <w:tcW w:w="1000" w:type="pct"/>
                  <w:noWrap w:val="0"/>
                  <w:vAlign w:val="center"/>
                </w:tcPr>
                <w:p w14:paraId="6E951B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w:t>
                  </w:r>
                  <w:r>
                    <w:rPr>
                      <w:rFonts w:hint="eastAsia" w:ascii="Times New Roman" w:hAnsi="Times New Roman" w:eastAsia="宋体" w:cs="Times New Roman"/>
                      <w:b w:val="0"/>
                      <w:bCs/>
                      <w:color w:val="000000"/>
                      <w:sz w:val="21"/>
                      <w:szCs w:val="21"/>
                      <w:lang w:val="en-US" w:eastAsia="zh-CN"/>
                    </w:rPr>
                    <w:t>4</w:t>
                  </w:r>
                </w:p>
              </w:tc>
              <w:tc>
                <w:tcPr>
                  <w:tcW w:w="1000" w:type="pct"/>
                  <w:noWrap w:val="0"/>
                  <w:vAlign w:val="center"/>
                </w:tcPr>
                <w:p w14:paraId="23F27EC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5F2CD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continue"/>
                  <w:noWrap w:val="0"/>
                  <w:vAlign w:val="center"/>
                </w:tcPr>
                <w:p w14:paraId="3133474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kern w:val="2"/>
                      <w:sz w:val="21"/>
                      <w:szCs w:val="21"/>
                      <w:lang w:val="en-US" w:eastAsia="zh-CN" w:bidi="ar-SA"/>
                    </w:rPr>
                  </w:pPr>
                </w:p>
              </w:tc>
              <w:tc>
                <w:tcPr>
                  <w:tcW w:w="647" w:type="pct"/>
                  <w:vMerge w:val="continue"/>
                  <w:noWrap w:val="0"/>
                  <w:vAlign w:val="center"/>
                </w:tcPr>
                <w:p w14:paraId="118F94D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kern w:val="2"/>
                      <w:sz w:val="21"/>
                      <w:szCs w:val="21"/>
                      <w:lang w:val="en-US" w:eastAsia="zh-CN" w:bidi="ar-SA"/>
                    </w:rPr>
                  </w:pPr>
                </w:p>
              </w:tc>
              <w:tc>
                <w:tcPr>
                  <w:tcW w:w="1057" w:type="pct"/>
                  <w:noWrap w:val="0"/>
                  <w:vAlign w:val="center"/>
                </w:tcPr>
                <w:p w14:paraId="071EAD9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五日生化需氧量</w:t>
                  </w:r>
                </w:p>
              </w:tc>
              <w:tc>
                <w:tcPr>
                  <w:tcW w:w="427" w:type="pct"/>
                  <w:noWrap w:val="0"/>
                  <w:vAlign w:val="center"/>
                </w:tcPr>
                <w:p w14:paraId="124198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strike w:val="0"/>
                      <w:dstrike w:val="0"/>
                      <w:sz w:val="21"/>
                      <w:szCs w:val="21"/>
                      <w:shd w:val="clear" w:color="auto" w:fill="auto"/>
                      <w:lang w:val="en-US" w:eastAsia="zh-CN"/>
                    </w:rPr>
                  </w:pPr>
                  <w:r>
                    <w:rPr>
                      <w:rFonts w:hint="eastAsia" w:ascii="Times New Roman" w:hAnsi="Times New Roman" w:eastAsia="宋体" w:cs="Times New Roman"/>
                      <w:b w:val="0"/>
                      <w:bCs/>
                      <w:kern w:val="2"/>
                      <w:sz w:val="21"/>
                      <w:szCs w:val="21"/>
                      <w:lang w:val="en-US" w:eastAsia="zh-CN" w:bidi="ar-SA"/>
                    </w:rPr>
                    <w:t>mg/L</w:t>
                  </w:r>
                </w:p>
              </w:tc>
              <w:tc>
                <w:tcPr>
                  <w:tcW w:w="1000" w:type="pct"/>
                  <w:noWrap w:val="0"/>
                  <w:vAlign w:val="center"/>
                </w:tcPr>
                <w:p w14:paraId="44E17A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w:t>
                  </w:r>
                  <w:r>
                    <w:rPr>
                      <w:rFonts w:hint="eastAsia" w:ascii="Times New Roman" w:hAnsi="Times New Roman" w:eastAsia="宋体" w:cs="Times New Roman"/>
                      <w:b w:val="0"/>
                      <w:bCs/>
                      <w:color w:val="000000"/>
                      <w:sz w:val="21"/>
                      <w:szCs w:val="21"/>
                      <w:lang w:val="en-US" w:eastAsia="zh-CN"/>
                    </w:rPr>
                    <w:t>0.5</w:t>
                  </w:r>
                </w:p>
              </w:tc>
              <w:tc>
                <w:tcPr>
                  <w:tcW w:w="1000" w:type="pct"/>
                  <w:noWrap w:val="0"/>
                  <w:vAlign w:val="center"/>
                </w:tcPr>
                <w:p w14:paraId="128084E7">
                  <w:pPr>
                    <w:keepNext w:val="0"/>
                    <w:keepLines w:val="0"/>
                    <w:suppressLineNumbers w:val="0"/>
                    <w:spacing w:before="0" w:beforeAutospacing="0" w:after="0" w:afterAutospacing="0"/>
                    <w:ind w:left="0" w:leftChars="0" w:right="0" w:rightChars="0"/>
                    <w:jc w:val="center"/>
                    <w:rPr>
                      <w:rFonts w:hint="eastAsia" w:cs="Times New Roman"/>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4DD79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continue"/>
                  <w:noWrap w:val="0"/>
                  <w:vAlign w:val="center"/>
                </w:tcPr>
                <w:p w14:paraId="4E02F78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kern w:val="2"/>
                      <w:sz w:val="21"/>
                      <w:szCs w:val="21"/>
                      <w:lang w:val="en-US" w:eastAsia="zh-CN" w:bidi="ar-SA"/>
                    </w:rPr>
                  </w:pPr>
                </w:p>
              </w:tc>
              <w:tc>
                <w:tcPr>
                  <w:tcW w:w="647" w:type="pct"/>
                  <w:vMerge w:val="continue"/>
                  <w:noWrap w:val="0"/>
                  <w:vAlign w:val="center"/>
                </w:tcPr>
                <w:p w14:paraId="6ADD61D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kern w:val="2"/>
                      <w:sz w:val="21"/>
                      <w:szCs w:val="21"/>
                      <w:lang w:val="en-US" w:eastAsia="zh-CN" w:bidi="ar-SA"/>
                    </w:rPr>
                  </w:pPr>
                </w:p>
              </w:tc>
              <w:tc>
                <w:tcPr>
                  <w:tcW w:w="1057" w:type="pct"/>
                  <w:noWrap w:val="0"/>
                  <w:vAlign w:val="center"/>
                </w:tcPr>
                <w:p w14:paraId="5C633B8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sz w:val="21"/>
                      <w:szCs w:val="21"/>
                      <w:lang w:eastAsia="zh-CN"/>
                    </w:rPr>
                  </w:pPr>
                  <w:r>
                    <w:rPr>
                      <w:rFonts w:hint="eastAsia" w:cs="Times New Roman"/>
                      <w:b w:val="0"/>
                      <w:bCs/>
                      <w:sz w:val="21"/>
                      <w:szCs w:val="21"/>
                      <w:lang w:val="en-US" w:eastAsia="zh-CN"/>
                    </w:rPr>
                    <w:t>阴离子表面活性剂</w:t>
                  </w:r>
                </w:p>
              </w:tc>
              <w:tc>
                <w:tcPr>
                  <w:tcW w:w="427" w:type="pct"/>
                  <w:noWrap w:val="0"/>
                  <w:vAlign w:val="center"/>
                </w:tcPr>
                <w:p w14:paraId="1589497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mg/L</w:t>
                  </w:r>
                </w:p>
              </w:tc>
              <w:tc>
                <w:tcPr>
                  <w:tcW w:w="1000" w:type="pct"/>
                  <w:noWrap w:val="0"/>
                  <w:vAlign w:val="center"/>
                </w:tcPr>
                <w:p w14:paraId="7D8AA52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w:t>
                  </w:r>
                  <w:r>
                    <w:rPr>
                      <w:rFonts w:hint="eastAsia" w:ascii="Times New Roman" w:hAnsi="Times New Roman" w:eastAsia="宋体" w:cs="Times New Roman"/>
                      <w:b w:val="0"/>
                      <w:bCs/>
                      <w:color w:val="000000"/>
                      <w:sz w:val="21"/>
                      <w:szCs w:val="21"/>
                      <w:lang w:val="en-US" w:eastAsia="zh-CN"/>
                    </w:rPr>
                    <w:t>0.</w:t>
                  </w:r>
                  <w:r>
                    <w:rPr>
                      <w:rFonts w:hint="eastAsia" w:eastAsia="宋体" w:cs="Times New Roman"/>
                      <w:b w:val="0"/>
                      <w:bCs/>
                      <w:color w:val="000000"/>
                      <w:sz w:val="21"/>
                      <w:szCs w:val="21"/>
                      <w:lang w:val="en-US" w:eastAsia="zh-CN"/>
                    </w:rPr>
                    <w:t>0</w:t>
                  </w:r>
                  <w:r>
                    <w:rPr>
                      <w:rFonts w:hint="eastAsia" w:ascii="Times New Roman" w:hAnsi="Times New Roman" w:eastAsia="宋体" w:cs="Times New Roman"/>
                      <w:b w:val="0"/>
                      <w:bCs/>
                      <w:color w:val="000000"/>
                      <w:sz w:val="21"/>
                      <w:szCs w:val="21"/>
                      <w:lang w:val="en-US" w:eastAsia="zh-CN"/>
                    </w:rPr>
                    <w:t>5</w:t>
                  </w:r>
                </w:p>
              </w:tc>
              <w:tc>
                <w:tcPr>
                  <w:tcW w:w="1000" w:type="pct"/>
                  <w:noWrap w:val="0"/>
                  <w:vAlign w:val="center"/>
                </w:tcPr>
                <w:p w14:paraId="4C94387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bl>
          <w:p w14:paraId="69CD13B5">
            <w:pPr>
              <w:pStyle w:val="46"/>
              <w:ind w:firstLine="0" w:firstLineChars="0"/>
              <w:rPr>
                <w:rFonts w:ascii="Times New Roman" w:hAnsi="Times New Roman"/>
                <w:b/>
              </w:rPr>
            </w:pPr>
          </w:p>
        </w:tc>
      </w:tr>
      <w:tr w14:paraId="66A7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05" w:hRule="atLeast"/>
          <w:jc w:val="center"/>
        </w:trPr>
        <w:tc>
          <w:tcPr>
            <w:tcW w:w="9242" w:type="dxa"/>
          </w:tcPr>
          <w:p w14:paraId="5BA35D52">
            <w:pPr>
              <w:pStyle w:val="46"/>
              <w:ind w:firstLine="482"/>
              <w:jc w:val="center"/>
              <w:rPr>
                <w:rFonts w:hint="eastAsia" w:ascii="Times New Roman" w:hAnsi="Times New Roman"/>
                <w:b/>
                <w:kern w:val="2"/>
                <w:sz w:val="24"/>
                <w:szCs w:val="24"/>
                <w:lang w:val="en-US" w:eastAsia="zh-CN"/>
              </w:rPr>
            </w:pPr>
            <w:r>
              <w:rPr>
                <w:rFonts w:hint="eastAsia" w:ascii="Times New Roman" w:hAnsi="Times New Roman"/>
                <w:b/>
                <w:kern w:val="2"/>
                <w:sz w:val="24"/>
                <w:szCs w:val="24"/>
                <w:lang w:val="en-US" w:eastAsia="zh-CN"/>
              </w:rPr>
              <w:t>表5-8现场平行样质控结果表</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630"/>
              <w:gridCol w:w="1740"/>
              <w:gridCol w:w="715"/>
              <w:gridCol w:w="1144"/>
              <w:gridCol w:w="1144"/>
              <w:gridCol w:w="1144"/>
              <w:gridCol w:w="1504"/>
            </w:tblGrid>
            <w:tr w14:paraId="22E93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3" w:type="pct"/>
                  <w:vMerge w:val="restart"/>
                  <w:tcBorders>
                    <w:tl2br w:val="nil"/>
                    <w:tr2bl w:val="nil"/>
                  </w:tcBorders>
                  <w:noWrap w:val="0"/>
                  <w:vAlign w:val="center"/>
                </w:tcPr>
                <w:p w14:paraId="2AD67451">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样品编号</w:t>
                  </w:r>
                </w:p>
              </w:tc>
              <w:tc>
                <w:tcPr>
                  <w:tcW w:w="964" w:type="pct"/>
                  <w:vMerge w:val="restart"/>
                  <w:tcBorders>
                    <w:tl2br w:val="nil"/>
                    <w:tr2bl w:val="nil"/>
                  </w:tcBorders>
                  <w:noWrap w:val="0"/>
                  <w:vAlign w:val="center"/>
                </w:tcPr>
                <w:p w14:paraId="1A5937B6">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检测项目</w:t>
                  </w:r>
                </w:p>
              </w:tc>
              <w:tc>
                <w:tcPr>
                  <w:tcW w:w="396" w:type="pct"/>
                  <w:vMerge w:val="restart"/>
                  <w:tcBorders>
                    <w:tl2br w:val="nil"/>
                    <w:tr2bl w:val="nil"/>
                  </w:tcBorders>
                  <w:noWrap w:val="0"/>
                  <w:vAlign w:val="center"/>
                </w:tcPr>
                <w:p w14:paraId="231FB525">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单位</w:t>
                  </w:r>
                </w:p>
              </w:tc>
              <w:tc>
                <w:tcPr>
                  <w:tcW w:w="1268" w:type="pct"/>
                  <w:gridSpan w:val="2"/>
                  <w:tcBorders>
                    <w:tl2br w:val="nil"/>
                    <w:tr2bl w:val="nil"/>
                  </w:tcBorders>
                  <w:noWrap w:val="0"/>
                  <w:vAlign w:val="center"/>
                </w:tcPr>
                <w:p w14:paraId="1FE3941D">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检测结果</w:t>
                  </w:r>
                </w:p>
              </w:tc>
              <w:tc>
                <w:tcPr>
                  <w:tcW w:w="634" w:type="pct"/>
                  <w:vMerge w:val="restart"/>
                  <w:tcBorders>
                    <w:tl2br w:val="nil"/>
                    <w:tr2bl w:val="nil"/>
                  </w:tcBorders>
                  <w:noWrap w:val="0"/>
                  <w:vAlign w:val="center"/>
                </w:tcPr>
                <w:p w14:paraId="16F7DA4E">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相对偏差%</w:t>
                  </w:r>
                </w:p>
              </w:tc>
              <w:tc>
                <w:tcPr>
                  <w:tcW w:w="833" w:type="pct"/>
                  <w:vMerge w:val="restart"/>
                  <w:tcBorders>
                    <w:tl2br w:val="nil"/>
                    <w:tr2bl w:val="nil"/>
                  </w:tcBorders>
                  <w:noWrap w:val="0"/>
                  <w:vAlign w:val="center"/>
                </w:tcPr>
                <w:p w14:paraId="2166402F">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符合性</w:t>
                  </w:r>
                </w:p>
              </w:tc>
            </w:tr>
            <w:tr w14:paraId="58760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903" w:type="pct"/>
                  <w:vMerge w:val="continue"/>
                  <w:tcBorders>
                    <w:tl2br w:val="nil"/>
                    <w:tr2bl w:val="nil"/>
                  </w:tcBorders>
                  <w:noWrap w:val="0"/>
                  <w:vAlign w:val="center"/>
                </w:tcPr>
                <w:p w14:paraId="0441FBFF">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sz w:val="21"/>
                      <w:szCs w:val="21"/>
                      <w:lang w:val="en-US" w:eastAsia="zh-CN"/>
                    </w:rPr>
                  </w:pPr>
                </w:p>
              </w:tc>
              <w:tc>
                <w:tcPr>
                  <w:tcW w:w="964" w:type="pct"/>
                  <w:vMerge w:val="continue"/>
                  <w:tcBorders>
                    <w:tl2br w:val="nil"/>
                    <w:tr2bl w:val="nil"/>
                  </w:tcBorders>
                  <w:noWrap w:val="0"/>
                  <w:vAlign w:val="center"/>
                </w:tcPr>
                <w:p w14:paraId="0840B400">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sz w:val="21"/>
                      <w:szCs w:val="21"/>
                      <w:lang w:val="en-US" w:eastAsia="zh-CN"/>
                    </w:rPr>
                  </w:pPr>
                </w:p>
              </w:tc>
              <w:tc>
                <w:tcPr>
                  <w:tcW w:w="396" w:type="pct"/>
                  <w:vMerge w:val="continue"/>
                  <w:tcBorders>
                    <w:tl2br w:val="nil"/>
                    <w:tr2bl w:val="nil"/>
                  </w:tcBorders>
                  <w:noWrap w:val="0"/>
                  <w:vAlign w:val="center"/>
                </w:tcPr>
                <w:p w14:paraId="47E799BE">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sz w:val="21"/>
                      <w:szCs w:val="21"/>
                      <w:lang w:val="en-US" w:eastAsia="zh-CN"/>
                    </w:rPr>
                  </w:pPr>
                </w:p>
              </w:tc>
              <w:tc>
                <w:tcPr>
                  <w:tcW w:w="634" w:type="pct"/>
                  <w:tcBorders>
                    <w:tl2br w:val="nil"/>
                    <w:tr2bl w:val="nil"/>
                  </w:tcBorders>
                  <w:noWrap w:val="0"/>
                  <w:vAlign w:val="center"/>
                </w:tcPr>
                <w:p w14:paraId="4FB9CC17">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样品</w:t>
                  </w:r>
                </w:p>
              </w:tc>
              <w:tc>
                <w:tcPr>
                  <w:tcW w:w="634" w:type="pct"/>
                  <w:tcBorders>
                    <w:tl2br w:val="nil"/>
                    <w:tr2bl w:val="nil"/>
                  </w:tcBorders>
                  <w:noWrap w:val="0"/>
                  <w:vAlign w:val="center"/>
                </w:tcPr>
                <w:p w14:paraId="6D87B5B0">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平行样</w:t>
                  </w:r>
                </w:p>
              </w:tc>
              <w:tc>
                <w:tcPr>
                  <w:tcW w:w="634" w:type="pct"/>
                  <w:vMerge w:val="continue"/>
                  <w:tcBorders>
                    <w:tl2br w:val="nil"/>
                    <w:tr2bl w:val="nil"/>
                  </w:tcBorders>
                  <w:noWrap w:val="0"/>
                  <w:vAlign w:val="center"/>
                </w:tcPr>
                <w:p w14:paraId="0B523C2C">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cs="Times New Roman"/>
                      <w:sz w:val="21"/>
                      <w:szCs w:val="21"/>
                      <w:lang w:val="en-US" w:eastAsia="zh-CN"/>
                    </w:rPr>
                  </w:pPr>
                </w:p>
              </w:tc>
              <w:tc>
                <w:tcPr>
                  <w:tcW w:w="833" w:type="pct"/>
                  <w:vMerge w:val="continue"/>
                  <w:tcBorders>
                    <w:tl2br w:val="nil"/>
                    <w:tr2bl w:val="nil"/>
                  </w:tcBorders>
                  <w:noWrap w:val="0"/>
                  <w:vAlign w:val="center"/>
                </w:tcPr>
                <w:p w14:paraId="3806C381">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cs="Times New Roman"/>
                      <w:sz w:val="21"/>
                      <w:szCs w:val="21"/>
                      <w:lang w:val="en-US" w:eastAsia="zh-CN"/>
                    </w:rPr>
                  </w:pPr>
                </w:p>
              </w:tc>
            </w:tr>
            <w:tr w14:paraId="31CE2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3" w:type="pct"/>
                  <w:vMerge w:val="restart"/>
                  <w:tcBorders>
                    <w:tl2br w:val="nil"/>
                    <w:tr2bl w:val="nil"/>
                  </w:tcBorders>
                  <w:noWrap w:val="0"/>
                  <w:vAlign w:val="center"/>
                </w:tcPr>
                <w:p w14:paraId="3BD37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kern w:val="2"/>
                      <w:sz w:val="21"/>
                      <w:szCs w:val="21"/>
                      <w:lang w:val="en-US" w:eastAsia="zh-CN" w:bidi="ar-SA"/>
                    </w:rPr>
                  </w:pPr>
                  <w:r>
                    <w:rPr>
                      <w:rFonts w:hint="default" w:ascii="Times New Roman" w:hAnsi="Times New Roman" w:eastAsia="宋体" w:cs="Times New Roman"/>
                      <w:b w:val="0"/>
                      <w:kern w:val="2"/>
                      <w:sz w:val="21"/>
                      <w:szCs w:val="21"/>
                      <w:lang w:val="en-US" w:eastAsia="zh-CN" w:bidi="ar-SA"/>
                    </w:rPr>
                    <w:t>S</w:t>
                  </w:r>
                  <w:r>
                    <w:rPr>
                      <w:rFonts w:hint="eastAsia" w:cs="Times New Roman"/>
                      <w:b w:val="0"/>
                      <w:kern w:val="2"/>
                      <w:sz w:val="21"/>
                      <w:szCs w:val="21"/>
                      <w:lang w:val="en-US" w:eastAsia="zh-CN" w:bidi="ar-SA"/>
                    </w:rPr>
                    <w:t>240530E68</w:t>
                  </w:r>
                  <w:r>
                    <w:rPr>
                      <w:rFonts w:hint="eastAsia" w:ascii="Times New Roman" w:hAnsi="Times New Roman" w:eastAsia="宋体" w:cs="Times New Roman"/>
                      <w:b w:val="0"/>
                      <w:kern w:val="2"/>
                      <w:sz w:val="21"/>
                      <w:szCs w:val="21"/>
                      <w:lang w:val="en-US" w:eastAsia="zh-CN" w:bidi="ar-SA"/>
                    </w:rPr>
                    <w:t>-1-1</w:t>
                  </w:r>
                </w:p>
              </w:tc>
              <w:tc>
                <w:tcPr>
                  <w:tcW w:w="964" w:type="pct"/>
                  <w:tcBorders>
                    <w:tl2br w:val="nil"/>
                    <w:tr2bl w:val="nil"/>
                  </w:tcBorders>
                  <w:noWrap w:val="0"/>
                  <w:vAlign w:val="center"/>
                </w:tcPr>
                <w:p w14:paraId="167F3E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氨氮</w:t>
                  </w:r>
                </w:p>
              </w:tc>
              <w:tc>
                <w:tcPr>
                  <w:tcW w:w="396" w:type="pct"/>
                  <w:tcBorders>
                    <w:tl2br w:val="nil"/>
                    <w:tr2bl w:val="nil"/>
                  </w:tcBorders>
                  <w:noWrap w:val="0"/>
                  <w:vAlign w:val="center"/>
                </w:tcPr>
                <w:p w14:paraId="611F6A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634" w:type="pct"/>
                  <w:tcBorders>
                    <w:tl2br w:val="nil"/>
                    <w:tr2bl w:val="nil"/>
                  </w:tcBorders>
                  <w:noWrap w:val="0"/>
                  <w:vAlign w:val="center"/>
                </w:tcPr>
                <w:p w14:paraId="3B7D3D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40.3</w:t>
                  </w:r>
                </w:p>
              </w:tc>
              <w:tc>
                <w:tcPr>
                  <w:tcW w:w="634" w:type="pct"/>
                  <w:tcBorders>
                    <w:tl2br w:val="nil"/>
                    <w:tr2bl w:val="nil"/>
                  </w:tcBorders>
                  <w:noWrap w:val="0"/>
                  <w:vAlign w:val="center"/>
                </w:tcPr>
                <w:p w14:paraId="78A176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40.7</w:t>
                  </w:r>
                </w:p>
              </w:tc>
              <w:tc>
                <w:tcPr>
                  <w:tcW w:w="634" w:type="pct"/>
                  <w:tcBorders>
                    <w:tl2br w:val="nil"/>
                    <w:tr2bl w:val="nil"/>
                  </w:tcBorders>
                  <w:noWrap w:val="0"/>
                  <w:vAlign w:val="center"/>
                </w:tcPr>
                <w:p w14:paraId="13118D83">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0.49</w:t>
                  </w:r>
                </w:p>
              </w:tc>
              <w:tc>
                <w:tcPr>
                  <w:tcW w:w="833" w:type="pct"/>
                  <w:tcBorders>
                    <w:tl2br w:val="nil"/>
                    <w:tr2bl w:val="nil"/>
                  </w:tcBorders>
                  <w:noWrap w:val="0"/>
                  <w:vAlign w:val="center"/>
                </w:tcPr>
                <w:p w14:paraId="125B47DA">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符合</w:t>
                  </w:r>
                </w:p>
              </w:tc>
            </w:tr>
            <w:tr w14:paraId="3AB94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3" w:type="pct"/>
                  <w:vMerge w:val="continue"/>
                  <w:tcBorders>
                    <w:tl2br w:val="nil"/>
                    <w:tr2bl w:val="nil"/>
                  </w:tcBorders>
                  <w:noWrap w:val="0"/>
                  <w:vAlign w:val="center"/>
                </w:tcPr>
                <w:p w14:paraId="4CF0E3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b w:val="0"/>
                      <w:kern w:val="2"/>
                      <w:sz w:val="21"/>
                      <w:szCs w:val="21"/>
                      <w:lang w:val="en-US" w:eastAsia="zh-CN" w:bidi="ar-SA"/>
                    </w:rPr>
                  </w:pPr>
                </w:p>
              </w:tc>
              <w:tc>
                <w:tcPr>
                  <w:tcW w:w="964" w:type="pct"/>
                  <w:tcBorders>
                    <w:tl2br w:val="nil"/>
                    <w:tr2bl w:val="nil"/>
                  </w:tcBorders>
                  <w:noWrap w:val="0"/>
                  <w:vAlign w:val="center"/>
                </w:tcPr>
                <w:p w14:paraId="53C384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化学需氧量</w:t>
                  </w:r>
                </w:p>
              </w:tc>
              <w:tc>
                <w:tcPr>
                  <w:tcW w:w="396" w:type="pct"/>
                  <w:tcBorders>
                    <w:tl2br w:val="nil"/>
                    <w:tr2bl w:val="nil"/>
                  </w:tcBorders>
                  <w:noWrap w:val="0"/>
                  <w:vAlign w:val="center"/>
                </w:tcPr>
                <w:p w14:paraId="7928BB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634" w:type="pct"/>
                  <w:tcBorders>
                    <w:tl2br w:val="nil"/>
                    <w:tr2bl w:val="nil"/>
                  </w:tcBorders>
                  <w:noWrap w:val="0"/>
                  <w:vAlign w:val="center"/>
                </w:tcPr>
                <w:p w14:paraId="431EBD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271</w:t>
                  </w:r>
                </w:p>
              </w:tc>
              <w:tc>
                <w:tcPr>
                  <w:tcW w:w="634" w:type="pct"/>
                  <w:tcBorders>
                    <w:tl2br w:val="nil"/>
                    <w:tr2bl w:val="nil"/>
                  </w:tcBorders>
                  <w:noWrap w:val="0"/>
                  <w:vAlign w:val="center"/>
                </w:tcPr>
                <w:p w14:paraId="0ED9BF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286</w:t>
                  </w:r>
                </w:p>
              </w:tc>
              <w:tc>
                <w:tcPr>
                  <w:tcW w:w="634" w:type="pct"/>
                  <w:tcBorders>
                    <w:tl2br w:val="nil"/>
                    <w:tr2bl w:val="nil"/>
                  </w:tcBorders>
                  <w:noWrap w:val="0"/>
                  <w:vAlign w:val="center"/>
                </w:tcPr>
                <w:p w14:paraId="4130E0E6">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2.69</w:t>
                  </w:r>
                </w:p>
              </w:tc>
              <w:tc>
                <w:tcPr>
                  <w:tcW w:w="833" w:type="pct"/>
                  <w:tcBorders>
                    <w:tl2br w:val="nil"/>
                    <w:tr2bl w:val="nil"/>
                  </w:tcBorders>
                  <w:noWrap w:val="0"/>
                  <w:vAlign w:val="center"/>
                </w:tcPr>
                <w:p w14:paraId="29C7A4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cs="Times New Roman"/>
                      <w:b w:val="0"/>
                      <w:bCs/>
                      <w:sz w:val="21"/>
                      <w:szCs w:val="21"/>
                      <w:lang w:val="en-US" w:eastAsia="zh-CN"/>
                    </w:rPr>
                  </w:pPr>
                  <w:r>
                    <w:rPr>
                      <w:rFonts w:hint="eastAsia" w:cs="Times New Roman"/>
                      <w:b w:val="0"/>
                      <w:bCs/>
                      <w:sz w:val="21"/>
                      <w:szCs w:val="21"/>
                      <w:lang w:val="en-US" w:eastAsia="zh-CN"/>
                    </w:rPr>
                    <w:t>符合</w:t>
                  </w:r>
                </w:p>
              </w:tc>
            </w:tr>
            <w:tr w14:paraId="6D709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3" w:type="pct"/>
                  <w:vMerge w:val="continue"/>
                  <w:tcBorders>
                    <w:tl2br w:val="nil"/>
                    <w:tr2bl w:val="nil"/>
                  </w:tcBorders>
                  <w:noWrap w:val="0"/>
                  <w:vAlign w:val="center"/>
                </w:tcPr>
                <w:p w14:paraId="7C70C7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b w:val="0"/>
                      <w:kern w:val="2"/>
                      <w:sz w:val="21"/>
                      <w:szCs w:val="21"/>
                      <w:lang w:val="en-US" w:eastAsia="zh-CN" w:bidi="ar-SA"/>
                    </w:rPr>
                  </w:pPr>
                </w:p>
              </w:tc>
              <w:tc>
                <w:tcPr>
                  <w:tcW w:w="964" w:type="pct"/>
                  <w:tcBorders>
                    <w:tl2br w:val="nil"/>
                    <w:tr2bl w:val="nil"/>
                  </w:tcBorders>
                  <w:noWrap w:val="0"/>
                  <w:vAlign w:val="center"/>
                </w:tcPr>
                <w:p w14:paraId="23AD01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五日生化需氧量</w:t>
                  </w:r>
                </w:p>
              </w:tc>
              <w:tc>
                <w:tcPr>
                  <w:tcW w:w="396" w:type="pct"/>
                  <w:tcBorders>
                    <w:tl2br w:val="nil"/>
                    <w:tr2bl w:val="nil"/>
                  </w:tcBorders>
                  <w:noWrap w:val="0"/>
                  <w:vAlign w:val="center"/>
                </w:tcPr>
                <w:p w14:paraId="4967EB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634" w:type="pct"/>
                  <w:tcBorders>
                    <w:tl2br w:val="nil"/>
                    <w:tr2bl w:val="nil"/>
                  </w:tcBorders>
                  <w:noWrap w:val="0"/>
                  <w:vAlign w:val="center"/>
                </w:tcPr>
                <w:p w14:paraId="000E75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122</w:t>
                  </w:r>
                </w:p>
              </w:tc>
              <w:tc>
                <w:tcPr>
                  <w:tcW w:w="634" w:type="pct"/>
                  <w:tcBorders>
                    <w:tl2br w:val="nil"/>
                    <w:tr2bl w:val="nil"/>
                  </w:tcBorders>
                  <w:noWrap w:val="0"/>
                  <w:vAlign w:val="center"/>
                </w:tcPr>
                <w:p w14:paraId="74D021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129</w:t>
                  </w:r>
                </w:p>
              </w:tc>
              <w:tc>
                <w:tcPr>
                  <w:tcW w:w="634" w:type="pct"/>
                  <w:tcBorders>
                    <w:tl2br w:val="nil"/>
                    <w:tr2bl w:val="nil"/>
                  </w:tcBorders>
                  <w:noWrap w:val="0"/>
                  <w:vAlign w:val="center"/>
                </w:tcPr>
                <w:p w14:paraId="17F2F508">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2.79</w:t>
                  </w:r>
                </w:p>
              </w:tc>
              <w:tc>
                <w:tcPr>
                  <w:tcW w:w="833" w:type="pct"/>
                  <w:tcBorders>
                    <w:tl2br w:val="nil"/>
                    <w:tr2bl w:val="nil"/>
                  </w:tcBorders>
                  <w:noWrap w:val="0"/>
                  <w:vAlign w:val="center"/>
                </w:tcPr>
                <w:p w14:paraId="3BF4DA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cs="Times New Roman"/>
                      <w:b w:val="0"/>
                      <w:bCs/>
                      <w:sz w:val="21"/>
                      <w:szCs w:val="21"/>
                      <w:lang w:val="en-US" w:eastAsia="zh-CN"/>
                    </w:rPr>
                  </w:pPr>
                  <w:r>
                    <w:rPr>
                      <w:rFonts w:hint="eastAsia" w:cs="Times New Roman"/>
                      <w:b w:val="0"/>
                      <w:bCs/>
                      <w:sz w:val="21"/>
                      <w:szCs w:val="21"/>
                      <w:lang w:val="en-US" w:eastAsia="zh-CN"/>
                    </w:rPr>
                    <w:t>符合</w:t>
                  </w:r>
                </w:p>
              </w:tc>
            </w:tr>
            <w:tr w14:paraId="5E216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07" w:hRule="atLeast"/>
                <w:jc w:val="center"/>
              </w:trPr>
              <w:tc>
                <w:tcPr>
                  <w:tcW w:w="903" w:type="pct"/>
                  <w:tcBorders>
                    <w:tl2br w:val="nil"/>
                    <w:tr2bl w:val="nil"/>
                  </w:tcBorders>
                  <w:noWrap w:val="0"/>
                  <w:vAlign w:val="center"/>
                </w:tcPr>
                <w:p w14:paraId="0A228C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b w:val="0"/>
                      <w:kern w:val="2"/>
                      <w:sz w:val="21"/>
                      <w:szCs w:val="21"/>
                      <w:lang w:val="en-US" w:eastAsia="zh-CN" w:bidi="ar-SA"/>
                    </w:rPr>
                  </w:pPr>
                  <w:r>
                    <w:rPr>
                      <w:rFonts w:hint="default" w:ascii="Times New Roman" w:hAnsi="Times New Roman" w:eastAsia="宋体" w:cs="Times New Roman"/>
                      <w:b w:val="0"/>
                      <w:kern w:val="2"/>
                      <w:sz w:val="21"/>
                      <w:szCs w:val="21"/>
                      <w:lang w:val="en-US" w:eastAsia="zh-CN" w:bidi="ar-SA"/>
                    </w:rPr>
                    <w:t>S</w:t>
                  </w:r>
                  <w:r>
                    <w:rPr>
                      <w:rFonts w:hint="eastAsia" w:cs="Times New Roman"/>
                      <w:b w:val="0"/>
                      <w:kern w:val="2"/>
                      <w:sz w:val="21"/>
                      <w:szCs w:val="21"/>
                      <w:lang w:val="en-US" w:eastAsia="zh-CN" w:bidi="ar-SA"/>
                    </w:rPr>
                    <w:t>240530E68</w:t>
                  </w:r>
                  <w:r>
                    <w:rPr>
                      <w:rFonts w:hint="eastAsia" w:ascii="Times New Roman" w:hAnsi="Times New Roman" w:eastAsia="宋体" w:cs="Times New Roman"/>
                      <w:b w:val="0"/>
                      <w:kern w:val="2"/>
                      <w:sz w:val="21"/>
                      <w:szCs w:val="21"/>
                      <w:lang w:val="en-US" w:eastAsia="zh-CN" w:bidi="ar-SA"/>
                    </w:rPr>
                    <w:t>-</w:t>
                  </w:r>
                  <w:r>
                    <w:rPr>
                      <w:rFonts w:hint="eastAsia" w:cs="Times New Roman"/>
                      <w:b w:val="0"/>
                      <w:kern w:val="2"/>
                      <w:sz w:val="21"/>
                      <w:szCs w:val="21"/>
                      <w:lang w:val="en-US" w:eastAsia="zh-CN" w:bidi="ar-SA"/>
                    </w:rPr>
                    <w:t>2</w:t>
                  </w:r>
                  <w:r>
                    <w:rPr>
                      <w:rFonts w:hint="eastAsia" w:ascii="Times New Roman" w:hAnsi="Times New Roman" w:eastAsia="宋体" w:cs="Times New Roman"/>
                      <w:b w:val="0"/>
                      <w:kern w:val="2"/>
                      <w:sz w:val="21"/>
                      <w:szCs w:val="21"/>
                      <w:lang w:val="en-US" w:eastAsia="zh-CN" w:bidi="ar-SA"/>
                    </w:rPr>
                    <w:t>-1</w:t>
                  </w:r>
                </w:p>
              </w:tc>
              <w:tc>
                <w:tcPr>
                  <w:tcW w:w="964" w:type="pct"/>
                  <w:tcBorders>
                    <w:tl2br w:val="nil"/>
                    <w:tr2bl w:val="nil"/>
                  </w:tcBorders>
                  <w:noWrap w:val="0"/>
                  <w:vAlign w:val="center"/>
                </w:tcPr>
                <w:p w14:paraId="33480B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eastAsia" w:cs="Times New Roman"/>
                      <w:b w:val="0"/>
                      <w:bCs/>
                      <w:sz w:val="21"/>
                      <w:szCs w:val="21"/>
                      <w:lang w:val="en-US" w:eastAsia="zh-CN"/>
                    </w:rPr>
                    <w:t>阴离子表面活性剂</w:t>
                  </w:r>
                </w:p>
              </w:tc>
              <w:tc>
                <w:tcPr>
                  <w:tcW w:w="396" w:type="pct"/>
                  <w:tcBorders>
                    <w:tl2br w:val="nil"/>
                    <w:tr2bl w:val="nil"/>
                  </w:tcBorders>
                  <w:noWrap w:val="0"/>
                  <w:vAlign w:val="center"/>
                </w:tcPr>
                <w:p w14:paraId="614974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mg/L</w:t>
                  </w:r>
                </w:p>
              </w:tc>
              <w:tc>
                <w:tcPr>
                  <w:tcW w:w="634" w:type="pct"/>
                  <w:tcBorders>
                    <w:tl2br w:val="nil"/>
                    <w:tr2bl w:val="nil"/>
                  </w:tcBorders>
                  <w:noWrap w:val="0"/>
                  <w:vAlign w:val="center"/>
                </w:tcPr>
                <w:p w14:paraId="26DE20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0.108</w:t>
                  </w:r>
                </w:p>
              </w:tc>
              <w:tc>
                <w:tcPr>
                  <w:tcW w:w="634" w:type="pct"/>
                  <w:tcBorders>
                    <w:tl2br w:val="nil"/>
                    <w:tr2bl w:val="nil"/>
                  </w:tcBorders>
                  <w:noWrap w:val="0"/>
                  <w:vAlign w:val="center"/>
                </w:tcPr>
                <w:p w14:paraId="4EAEE3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0.105</w:t>
                  </w:r>
                </w:p>
              </w:tc>
              <w:tc>
                <w:tcPr>
                  <w:tcW w:w="634" w:type="pct"/>
                  <w:tcBorders>
                    <w:tl2br w:val="nil"/>
                    <w:tr2bl w:val="nil"/>
                  </w:tcBorders>
                  <w:noWrap w:val="0"/>
                  <w:vAlign w:val="center"/>
                </w:tcPr>
                <w:p w14:paraId="36D7E315">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1.41</w:t>
                  </w:r>
                </w:p>
              </w:tc>
              <w:tc>
                <w:tcPr>
                  <w:tcW w:w="833" w:type="pct"/>
                  <w:tcBorders>
                    <w:tl2br w:val="nil"/>
                    <w:tr2bl w:val="nil"/>
                  </w:tcBorders>
                  <w:noWrap w:val="0"/>
                  <w:vAlign w:val="center"/>
                </w:tcPr>
                <w:p w14:paraId="51A953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cs="Times New Roman"/>
                      <w:b w:val="0"/>
                      <w:bCs/>
                      <w:sz w:val="21"/>
                      <w:szCs w:val="21"/>
                      <w:lang w:val="en-US" w:eastAsia="zh-CN"/>
                    </w:rPr>
                  </w:pPr>
                  <w:r>
                    <w:rPr>
                      <w:rFonts w:hint="eastAsia" w:cs="Times New Roman"/>
                      <w:b w:val="0"/>
                      <w:bCs/>
                      <w:sz w:val="21"/>
                      <w:szCs w:val="21"/>
                      <w:lang w:val="en-US" w:eastAsia="zh-CN"/>
                    </w:rPr>
                    <w:t>符合</w:t>
                  </w:r>
                </w:p>
              </w:tc>
            </w:tr>
            <w:tr w14:paraId="39086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3" w:type="pct"/>
                  <w:vMerge w:val="restart"/>
                  <w:tcBorders>
                    <w:tl2br w:val="nil"/>
                    <w:tr2bl w:val="nil"/>
                  </w:tcBorders>
                  <w:noWrap w:val="0"/>
                  <w:vAlign w:val="center"/>
                </w:tcPr>
                <w:p w14:paraId="793C6E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kern w:val="2"/>
                      <w:sz w:val="21"/>
                      <w:szCs w:val="21"/>
                      <w:lang w:val="en-US" w:eastAsia="zh-CN" w:bidi="ar-SA"/>
                    </w:rPr>
                  </w:pPr>
                  <w:r>
                    <w:rPr>
                      <w:rFonts w:hint="default" w:ascii="Times New Roman" w:hAnsi="Times New Roman" w:eastAsia="宋体" w:cs="Times New Roman"/>
                      <w:b w:val="0"/>
                      <w:kern w:val="2"/>
                      <w:sz w:val="21"/>
                      <w:szCs w:val="21"/>
                      <w:lang w:val="en-US" w:eastAsia="zh-CN" w:bidi="ar-SA"/>
                    </w:rPr>
                    <w:t>S</w:t>
                  </w:r>
                  <w:r>
                    <w:rPr>
                      <w:rFonts w:hint="eastAsia" w:cs="Times New Roman"/>
                      <w:b w:val="0"/>
                      <w:kern w:val="2"/>
                      <w:sz w:val="21"/>
                      <w:szCs w:val="21"/>
                      <w:lang w:val="en-US" w:eastAsia="zh-CN" w:bidi="ar-SA"/>
                    </w:rPr>
                    <w:t>240531E68</w:t>
                  </w:r>
                  <w:r>
                    <w:rPr>
                      <w:rFonts w:hint="eastAsia" w:ascii="Times New Roman" w:hAnsi="Times New Roman" w:eastAsia="宋体" w:cs="Times New Roman"/>
                      <w:b w:val="0"/>
                      <w:kern w:val="2"/>
                      <w:sz w:val="21"/>
                      <w:szCs w:val="21"/>
                      <w:lang w:val="en-US" w:eastAsia="zh-CN" w:bidi="ar-SA"/>
                    </w:rPr>
                    <w:t>-1-1</w:t>
                  </w:r>
                </w:p>
              </w:tc>
              <w:tc>
                <w:tcPr>
                  <w:tcW w:w="964" w:type="pct"/>
                  <w:tcBorders>
                    <w:tl2br w:val="nil"/>
                    <w:tr2bl w:val="nil"/>
                  </w:tcBorders>
                  <w:noWrap w:val="0"/>
                  <w:vAlign w:val="center"/>
                </w:tcPr>
                <w:p w14:paraId="2DF904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氨氮</w:t>
                  </w:r>
                </w:p>
              </w:tc>
              <w:tc>
                <w:tcPr>
                  <w:tcW w:w="396" w:type="pct"/>
                  <w:tcBorders>
                    <w:tl2br w:val="nil"/>
                    <w:tr2bl w:val="nil"/>
                  </w:tcBorders>
                  <w:noWrap w:val="0"/>
                  <w:vAlign w:val="center"/>
                </w:tcPr>
                <w:p w14:paraId="63F40D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634" w:type="pct"/>
                  <w:tcBorders>
                    <w:tl2br w:val="nil"/>
                    <w:tr2bl w:val="nil"/>
                  </w:tcBorders>
                  <w:noWrap w:val="0"/>
                  <w:vAlign w:val="center"/>
                </w:tcPr>
                <w:p w14:paraId="4C9D01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40.7</w:t>
                  </w:r>
                </w:p>
              </w:tc>
              <w:tc>
                <w:tcPr>
                  <w:tcW w:w="634" w:type="pct"/>
                  <w:tcBorders>
                    <w:tl2br w:val="nil"/>
                    <w:tr2bl w:val="nil"/>
                  </w:tcBorders>
                  <w:noWrap w:val="0"/>
                  <w:vAlign w:val="center"/>
                </w:tcPr>
                <w:p w14:paraId="166D7F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41.0</w:t>
                  </w:r>
                </w:p>
              </w:tc>
              <w:tc>
                <w:tcPr>
                  <w:tcW w:w="634" w:type="pct"/>
                  <w:tcBorders>
                    <w:tl2br w:val="nil"/>
                    <w:tr2bl w:val="nil"/>
                  </w:tcBorders>
                  <w:noWrap w:val="0"/>
                  <w:vAlign w:val="center"/>
                </w:tcPr>
                <w:p w14:paraId="7819F710">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0.37</w:t>
                  </w:r>
                </w:p>
              </w:tc>
              <w:tc>
                <w:tcPr>
                  <w:tcW w:w="833" w:type="pct"/>
                  <w:tcBorders>
                    <w:tl2br w:val="nil"/>
                    <w:tr2bl w:val="nil"/>
                  </w:tcBorders>
                  <w:noWrap w:val="0"/>
                  <w:vAlign w:val="center"/>
                </w:tcPr>
                <w:p w14:paraId="3D637D6E">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符合</w:t>
                  </w:r>
                </w:p>
              </w:tc>
            </w:tr>
            <w:tr w14:paraId="33925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3" w:type="pct"/>
                  <w:vMerge w:val="continue"/>
                  <w:tcBorders>
                    <w:tl2br w:val="nil"/>
                    <w:tr2bl w:val="nil"/>
                  </w:tcBorders>
                  <w:noWrap w:val="0"/>
                  <w:vAlign w:val="center"/>
                </w:tcPr>
                <w:p w14:paraId="28AE5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b w:val="0"/>
                      <w:kern w:val="2"/>
                      <w:sz w:val="21"/>
                      <w:szCs w:val="21"/>
                      <w:lang w:val="en-US" w:eastAsia="zh-CN" w:bidi="ar-SA"/>
                    </w:rPr>
                  </w:pPr>
                </w:p>
              </w:tc>
              <w:tc>
                <w:tcPr>
                  <w:tcW w:w="964" w:type="pct"/>
                  <w:tcBorders>
                    <w:tl2br w:val="nil"/>
                    <w:tr2bl w:val="nil"/>
                  </w:tcBorders>
                  <w:noWrap w:val="0"/>
                  <w:vAlign w:val="center"/>
                </w:tcPr>
                <w:p w14:paraId="0625F4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化学需氧量</w:t>
                  </w:r>
                </w:p>
              </w:tc>
              <w:tc>
                <w:tcPr>
                  <w:tcW w:w="396" w:type="pct"/>
                  <w:tcBorders>
                    <w:tl2br w:val="nil"/>
                    <w:tr2bl w:val="nil"/>
                  </w:tcBorders>
                  <w:noWrap w:val="0"/>
                  <w:vAlign w:val="center"/>
                </w:tcPr>
                <w:p w14:paraId="346A82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634" w:type="pct"/>
                  <w:tcBorders>
                    <w:tl2br w:val="nil"/>
                    <w:tr2bl w:val="nil"/>
                  </w:tcBorders>
                  <w:noWrap w:val="0"/>
                  <w:vAlign w:val="center"/>
                </w:tcPr>
                <w:p w14:paraId="258F66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367</w:t>
                  </w:r>
                </w:p>
              </w:tc>
              <w:tc>
                <w:tcPr>
                  <w:tcW w:w="634" w:type="pct"/>
                  <w:tcBorders>
                    <w:tl2br w:val="nil"/>
                    <w:tr2bl w:val="nil"/>
                  </w:tcBorders>
                  <w:noWrap w:val="0"/>
                  <w:vAlign w:val="center"/>
                </w:tcPr>
                <w:p w14:paraId="14876B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354</w:t>
                  </w:r>
                </w:p>
              </w:tc>
              <w:tc>
                <w:tcPr>
                  <w:tcW w:w="634" w:type="pct"/>
                  <w:tcBorders>
                    <w:tl2br w:val="nil"/>
                    <w:tr2bl w:val="nil"/>
                  </w:tcBorders>
                  <w:noWrap w:val="0"/>
                  <w:vAlign w:val="center"/>
                </w:tcPr>
                <w:p w14:paraId="7156DF57">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1.80</w:t>
                  </w:r>
                </w:p>
              </w:tc>
              <w:tc>
                <w:tcPr>
                  <w:tcW w:w="833" w:type="pct"/>
                  <w:tcBorders>
                    <w:tl2br w:val="nil"/>
                    <w:tr2bl w:val="nil"/>
                  </w:tcBorders>
                  <w:noWrap w:val="0"/>
                  <w:vAlign w:val="center"/>
                </w:tcPr>
                <w:p w14:paraId="1392C4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cs="Times New Roman"/>
                      <w:b w:val="0"/>
                      <w:bCs/>
                      <w:sz w:val="21"/>
                      <w:szCs w:val="21"/>
                      <w:lang w:val="en-US" w:eastAsia="zh-CN"/>
                    </w:rPr>
                  </w:pPr>
                  <w:r>
                    <w:rPr>
                      <w:rFonts w:hint="eastAsia" w:cs="Times New Roman"/>
                      <w:b w:val="0"/>
                      <w:bCs/>
                      <w:sz w:val="21"/>
                      <w:szCs w:val="21"/>
                      <w:lang w:val="en-US" w:eastAsia="zh-CN"/>
                    </w:rPr>
                    <w:t>符合</w:t>
                  </w:r>
                </w:p>
              </w:tc>
            </w:tr>
            <w:tr w14:paraId="47EB8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3" w:type="pct"/>
                  <w:vMerge w:val="continue"/>
                  <w:tcBorders>
                    <w:tl2br w:val="nil"/>
                    <w:tr2bl w:val="nil"/>
                  </w:tcBorders>
                  <w:noWrap w:val="0"/>
                  <w:vAlign w:val="center"/>
                </w:tcPr>
                <w:p w14:paraId="0EFB67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b w:val="0"/>
                      <w:kern w:val="2"/>
                      <w:sz w:val="21"/>
                      <w:szCs w:val="21"/>
                      <w:lang w:val="en-US" w:eastAsia="zh-CN" w:bidi="ar-SA"/>
                    </w:rPr>
                  </w:pPr>
                </w:p>
              </w:tc>
              <w:tc>
                <w:tcPr>
                  <w:tcW w:w="964" w:type="pct"/>
                  <w:tcBorders>
                    <w:tl2br w:val="nil"/>
                    <w:tr2bl w:val="nil"/>
                  </w:tcBorders>
                  <w:noWrap w:val="0"/>
                  <w:vAlign w:val="center"/>
                </w:tcPr>
                <w:p w14:paraId="15D735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五日生化需氧量</w:t>
                  </w:r>
                </w:p>
              </w:tc>
              <w:tc>
                <w:tcPr>
                  <w:tcW w:w="396" w:type="pct"/>
                  <w:tcBorders>
                    <w:tl2br w:val="nil"/>
                    <w:tr2bl w:val="nil"/>
                  </w:tcBorders>
                  <w:noWrap w:val="0"/>
                  <w:vAlign w:val="center"/>
                </w:tcPr>
                <w:p w14:paraId="6D73E1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634" w:type="pct"/>
                  <w:tcBorders>
                    <w:tl2br w:val="nil"/>
                    <w:tr2bl w:val="nil"/>
                  </w:tcBorders>
                  <w:noWrap w:val="0"/>
                  <w:vAlign w:val="center"/>
                </w:tcPr>
                <w:p w14:paraId="74B910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171</w:t>
                  </w:r>
                </w:p>
              </w:tc>
              <w:tc>
                <w:tcPr>
                  <w:tcW w:w="634" w:type="pct"/>
                  <w:tcBorders>
                    <w:tl2br w:val="nil"/>
                    <w:tr2bl w:val="nil"/>
                  </w:tcBorders>
                  <w:noWrap w:val="0"/>
                  <w:vAlign w:val="center"/>
                </w:tcPr>
                <w:p w14:paraId="5C6A5C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166</w:t>
                  </w:r>
                </w:p>
              </w:tc>
              <w:tc>
                <w:tcPr>
                  <w:tcW w:w="634" w:type="pct"/>
                  <w:tcBorders>
                    <w:tl2br w:val="nil"/>
                    <w:tr2bl w:val="nil"/>
                  </w:tcBorders>
                  <w:noWrap w:val="0"/>
                  <w:vAlign w:val="center"/>
                </w:tcPr>
                <w:p w14:paraId="40084C86">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1.48</w:t>
                  </w:r>
                </w:p>
              </w:tc>
              <w:tc>
                <w:tcPr>
                  <w:tcW w:w="833" w:type="pct"/>
                  <w:tcBorders>
                    <w:tl2br w:val="nil"/>
                    <w:tr2bl w:val="nil"/>
                  </w:tcBorders>
                  <w:noWrap w:val="0"/>
                  <w:vAlign w:val="center"/>
                </w:tcPr>
                <w:p w14:paraId="4BFF0F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cs="Times New Roman"/>
                      <w:b w:val="0"/>
                      <w:bCs/>
                      <w:sz w:val="21"/>
                      <w:szCs w:val="21"/>
                      <w:lang w:val="en-US" w:eastAsia="zh-CN"/>
                    </w:rPr>
                  </w:pPr>
                  <w:r>
                    <w:rPr>
                      <w:rFonts w:hint="eastAsia" w:cs="Times New Roman"/>
                      <w:b w:val="0"/>
                      <w:bCs/>
                      <w:sz w:val="21"/>
                      <w:szCs w:val="21"/>
                      <w:lang w:val="en-US" w:eastAsia="zh-CN"/>
                    </w:rPr>
                    <w:t>符合</w:t>
                  </w:r>
                </w:p>
              </w:tc>
            </w:tr>
            <w:tr w14:paraId="07878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3" w:type="pct"/>
                  <w:tcBorders>
                    <w:tl2br w:val="nil"/>
                    <w:tr2bl w:val="nil"/>
                  </w:tcBorders>
                  <w:noWrap w:val="0"/>
                  <w:vAlign w:val="center"/>
                </w:tcPr>
                <w:p w14:paraId="0099D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b w:val="0"/>
                      <w:kern w:val="2"/>
                      <w:sz w:val="21"/>
                      <w:szCs w:val="21"/>
                      <w:lang w:val="en-US" w:eastAsia="zh-CN" w:bidi="ar-SA"/>
                    </w:rPr>
                  </w:pPr>
                  <w:r>
                    <w:rPr>
                      <w:rFonts w:hint="default" w:ascii="Times New Roman" w:hAnsi="Times New Roman" w:eastAsia="宋体" w:cs="Times New Roman"/>
                      <w:b w:val="0"/>
                      <w:kern w:val="2"/>
                      <w:sz w:val="21"/>
                      <w:szCs w:val="21"/>
                      <w:lang w:val="en-US" w:eastAsia="zh-CN" w:bidi="ar-SA"/>
                    </w:rPr>
                    <w:t>S</w:t>
                  </w:r>
                  <w:r>
                    <w:rPr>
                      <w:rFonts w:hint="eastAsia" w:cs="Times New Roman"/>
                      <w:b w:val="0"/>
                      <w:kern w:val="2"/>
                      <w:sz w:val="21"/>
                      <w:szCs w:val="21"/>
                      <w:lang w:val="en-US" w:eastAsia="zh-CN" w:bidi="ar-SA"/>
                    </w:rPr>
                    <w:t>240531E68</w:t>
                  </w:r>
                  <w:r>
                    <w:rPr>
                      <w:rFonts w:hint="eastAsia" w:ascii="Times New Roman" w:hAnsi="Times New Roman" w:eastAsia="宋体" w:cs="Times New Roman"/>
                      <w:b w:val="0"/>
                      <w:kern w:val="2"/>
                      <w:sz w:val="21"/>
                      <w:szCs w:val="21"/>
                      <w:lang w:val="en-US" w:eastAsia="zh-CN" w:bidi="ar-SA"/>
                    </w:rPr>
                    <w:t>-</w:t>
                  </w:r>
                  <w:r>
                    <w:rPr>
                      <w:rFonts w:hint="eastAsia" w:cs="Times New Roman"/>
                      <w:b w:val="0"/>
                      <w:kern w:val="2"/>
                      <w:sz w:val="21"/>
                      <w:szCs w:val="21"/>
                      <w:lang w:val="en-US" w:eastAsia="zh-CN" w:bidi="ar-SA"/>
                    </w:rPr>
                    <w:t>2</w:t>
                  </w:r>
                  <w:r>
                    <w:rPr>
                      <w:rFonts w:hint="eastAsia" w:ascii="Times New Roman" w:hAnsi="Times New Roman" w:eastAsia="宋体" w:cs="Times New Roman"/>
                      <w:b w:val="0"/>
                      <w:kern w:val="2"/>
                      <w:sz w:val="21"/>
                      <w:szCs w:val="21"/>
                      <w:lang w:val="en-US" w:eastAsia="zh-CN" w:bidi="ar-SA"/>
                    </w:rPr>
                    <w:t>-1</w:t>
                  </w:r>
                </w:p>
              </w:tc>
              <w:tc>
                <w:tcPr>
                  <w:tcW w:w="964" w:type="pct"/>
                  <w:tcBorders>
                    <w:tl2br w:val="nil"/>
                    <w:tr2bl w:val="nil"/>
                  </w:tcBorders>
                  <w:noWrap w:val="0"/>
                  <w:vAlign w:val="center"/>
                </w:tcPr>
                <w:p w14:paraId="48363B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eastAsia" w:cs="Times New Roman"/>
                      <w:b w:val="0"/>
                      <w:bCs/>
                      <w:sz w:val="21"/>
                      <w:szCs w:val="21"/>
                      <w:lang w:val="en-US" w:eastAsia="zh-CN"/>
                    </w:rPr>
                    <w:t>阴离子表面活性剂</w:t>
                  </w:r>
                </w:p>
              </w:tc>
              <w:tc>
                <w:tcPr>
                  <w:tcW w:w="396" w:type="pct"/>
                  <w:tcBorders>
                    <w:tl2br w:val="nil"/>
                    <w:tr2bl w:val="nil"/>
                  </w:tcBorders>
                  <w:noWrap w:val="0"/>
                  <w:vAlign w:val="center"/>
                </w:tcPr>
                <w:p w14:paraId="1FE947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mg/L</w:t>
                  </w:r>
                </w:p>
              </w:tc>
              <w:tc>
                <w:tcPr>
                  <w:tcW w:w="634" w:type="pct"/>
                  <w:tcBorders>
                    <w:tl2br w:val="nil"/>
                    <w:tr2bl w:val="nil"/>
                  </w:tcBorders>
                  <w:noWrap w:val="0"/>
                  <w:vAlign w:val="center"/>
                </w:tcPr>
                <w:p w14:paraId="18354D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0.087</w:t>
                  </w:r>
                </w:p>
              </w:tc>
              <w:tc>
                <w:tcPr>
                  <w:tcW w:w="634" w:type="pct"/>
                  <w:tcBorders>
                    <w:tl2br w:val="nil"/>
                    <w:tr2bl w:val="nil"/>
                  </w:tcBorders>
                  <w:noWrap w:val="0"/>
                  <w:vAlign w:val="center"/>
                </w:tcPr>
                <w:p w14:paraId="69010D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0.084</w:t>
                  </w:r>
                </w:p>
              </w:tc>
              <w:tc>
                <w:tcPr>
                  <w:tcW w:w="634" w:type="pct"/>
                  <w:tcBorders>
                    <w:tl2br w:val="nil"/>
                    <w:tr2bl w:val="nil"/>
                  </w:tcBorders>
                  <w:noWrap w:val="0"/>
                  <w:vAlign w:val="center"/>
                </w:tcPr>
                <w:p w14:paraId="2E7E94E7">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cs="Times New Roman"/>
                      <w:sz w:val="21"/>
                      <w:szCs w:val="21"/>
                      <w:lang w:val="en-US" w:eastAsia="zh-CN"/>
                    </w:rPr>
                  </w:pPr>
                  <w:r>
                    <w:rPr>
                      <w:rFonts w:hint="eastAsia" w:cs="Times New Roman"/>
                      <w:sz w:val="21"/>
                      <w:szCs w:val="21"/>
                      <w:lang w:val="en-US" w:eastAsia="zh-CN"/>
                    </w:rPr>
                    <w:t>1.75</w:t>
                  </w:r>
                </w:p>
              </w:tc>
              <w:tc>
                <w:tcPr>
                  <w:tcW w:w="833" w:type="pct"/>
                  <w:tcBorders>
                    <w:tl2br w:val="nil"/>
                    <w:tr2bl w:val="nil"/>
                  </w:tcBorders>
                  <w:noWrap w:val="0"/>
                  <w:vAlign w:val="center"/>
                </w:tcPr>
                <w:p w14:paraId="7392A8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cs="Times New Roman"/>
                      <w:b w:val="0"/>
                      <w:bCs/>
                      <w:sz w:val="21"/>
                      <w:szCs w:val="21"/>
                      <w:lang w:val="en-US" w:eastAsia="zh-CN"/>
                    </w:rPr>
                  </w:pPr>
                  <w:r>
                    <w:rPr>
                      <w:rFonts w:hint="eastAsia" w:cs="Times New Roman"/>
                      <w:b w:val="0"/>
                      <w:bCs/>
                      <w:sz w:val="21"/>
                      <w:szCs w:val="21"/>
                      <w:lang w:val="en-US" w:eastAsia="zh-CN"/>
                    </w:rPr>
                    <w:t>符合</w:t>
                  </w:r>
                </w:p>
              </w:tc>
            </w:tr>
          </w:tbl>
          <w:p w14:paraId="712CC498">
            <w:pPr>
              <w:pStyle w:val="46"/>
              <w:ind w:firstLine="482"/>
              <w:jc w:val="center"/>
              <w:rPr>
                <w:rFonts w:hint="eastAsia" w:ascii="Times New Roman" w:hAnsi="Times New Roman"/>
                <w:b/>
                <w:kern w:val="2"/>
                <w:sz w:val="24"/>
                <w:szCs w:val="24"/>
                <w:lang w:val="en-US" w:eastAsia="zh-CN"/>
              </w:rPr>
            </w:pPr>
            <w:r>
              <w:rPr>
                <w:rFonts w:hint="eastAsia" w:ascii="Times New Roman" w:hAnsi="Times New Roman"/>
                <w:b/>
                <w:kern w:val="2"/>
                <w:sz w:val="24"/>
                <w:szCs w:val="24"/>
                <w:lang w:val="en-US" w:eastAsia="zh-CN"/>
              </w:rPr>
              <w:t>表5-9实验室平行样质控结果表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168"/>
              <w:gridCol w:w="1504"/>
              <w:gridCol w:w="1504"/>
              <w:gridCol w:w="1504"/>
              <w:gridCol w:w="1504"/>
            </w:tblGrid>
            <w:tr w14:paraId="5C99D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tcBorders>
                    <w:top w:val="single" w:color="auto" w:sz="12" w:space="0"/>
                  </w:tcBorders>
                  <w:noWrap w:val="0"/>
                  <w:vAlign w:val="center"/>
                </w:tcPr>
                <w:p w14:paraId="26C129F2">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样品编号</w:t>
                  </w:r>
                </w:p>
              </w:tc>
              <w:tc>
                <w:tcPr>
                  <w:tcW w:w="647" w:type="pct"/>
                  <w:tcBorders>
                    <w:top w:val="single" w:color="auto" w:sz="12" w:space="0"/>
                  </w:tcBorders>
                  <w:noWrap w:val="0"/>
                  <w:vAlign w:val="center"/>
                </w:tcPr>
                <w:p w14:paraId="4D782C16">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检测项目</w:t>
                  </w:r>
                </w:p>
              </w:tc>
              <w:tc>
                <w:tcPr>
                  <w:tcW w:w="833" w:type="pct"/>
                  <w:tcBorders>
                    <w:top w:val="single" w:color="auto" w:sz="12" w:space="0"/>
                  </w:tcBorders>
                  <w:noWrap w:val="0"/>
                  <w:vAlign w:val="center"/>
                </w:tcPr>
                <w:p w14:paraId="7A2EEE53">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单位</w:t>
                  </w:r>
                </w:p>
              </w:tc>
              <w:tc>
                <w:tcPr>
                  <w:tcW w:w="833" w:type="pct"/>
                  <w:tcBorders>
                    <w:top w:val="single" w:color="auto" w:sz="12" w:space="0"/>
                  </w:tcBorders>
                  <w:noWrap w:val="0"/>
                  <w:vAlign w:val="center"/>
                </w:tcPr>
                <w:p w14:paraId="4AD63DC6">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检测结果</w:t>
                  </w:r>
                </w:p>
              </w:tc>
              <w:tc>
                <w:tcPr>
                  <w:tcW w:w="833" w:type="pct"/>
                  <w:tcBorders>
                    <w:top w:val="single" w:color="auto" w:sz="12" w:space="0"/>
                  </w:tcBorders>
                  <w:noWrap w:val="0"/>
                  <w:vAlign w:val="center"/>
                </w:tcPr>
                <w:p w14:paraId="73D4F6D8">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cs="Times New Roman"/>
                      <w:sz w:val="21"/>
                      <w:szCs w:val="21"/>
                      <w:lang w:val="en-US" w:eastAsia="zh-CN"/>
                    </w:rPr>
                  </w:pPr>
                  <w:r>
                    <w:rPr>
                      <w:rFonts w:hint="eastAsia" w:cs="Times New Roman"/>
                      <w:sz w:val="21"/>
                      <w:szCs w:val="21"/>
                      <w:lang w:val="en-US" w:eastAsia="zh-CN"/>
                    </w:rPr>
                    <w:t>相对偏差%</w:t>
                  </w:r>
                </w:p>
              </w:tc>
              <w:tc>
                <w:tcPr>
                  <w:tcW w:w="833" w:type="pct"/>
                  <w:tcBorders>
                    <w:top w:val="single" w:color="auto" w:sz="12" w:space="0"/>
                  </w:tcBorders>
                  <w:noWrap w:val="0"/>
                  <w:vAlign w:val="center"/>
                </w:tcPr>
                <w:p w14:paraId="3EC2BF77">
                  <w:pPr>
                    <w:pStyle w:val="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cs="Times New Roman"/>
                      <w:sz w:val="21"/>
                      <w:szCs w:val="21"/>
                      <w:lang w:val="en-US" w:eastAsia="zh-CN"/>
                    </w:rPr>
                  </w:pPr>
                  <w:r>
                    <w:rPr>
                      <w:rFonts w:hint="eastAsia" w:cs="Times New Roman"/>
                      <w:sz w:val="21"/>
                      <w:szCs w:val="21"/>
                      <w:lang w:val="en-US" w:eastAsia="zh-CN"/>
                    </w:rPr>
                    <w:t>符合性</w:t>
                  </w:r>
                </w:p>
              </w:tc>
            </w:tr>
            <w:tr w14:paraId="67F6A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368FAE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pacing w:val="-6"/>
                      <w:kern w:val="2"/>
                      <w:sz w:val="21"/>
                      <w:szCs w:val="21"/>
                      <w:lang w:val="en-US" w:eastAsia="zh-CN" w:bidi="ar-SA"/>
                    </w:rPr>
                  </w:pPr>
                  <w:r>
                    <w:rPr>
                      <w:rFonts w:hint="default" w:ascii="Times New Roman" w:hAnsi="Times New Roman" w:eastAsia="宋体" w:cs="Times New Roman"/>
                      <w:b w:val="0"/>
                      <w:bCs w:val="0"/>
                      <w:spacing w:val="-6"/>
                      <w:kern w:val="2"/>
                      <w:sz w:val="21"/>
                      <w:szCs w:val="21"/>
                      <w:lang w:val="en-US" w:eastAsia="zh-CN" w:bidi="ar-SA"/>
                    </w:rPr>
                    <w:t>S</w:t>
                  </w:r>
                  <w:r>
                    <w:rPr>
                      <w:rFonts w:hint="eastAsia" w:cs="Times New Roman"/>
                      <w:b w:val="0"/>
                      <w:bCs w:val="0"/>
                      <w:spacing w:val="-6"/>
                      <w:kern w:val="2"/>
                      <w:sz w:val="21"/>
                      <w:szCs w:val="21"/>
                      <w:lang w:val="en-US" w:eastAsia="zh-CN" w:bidi="ar-SA"/>
                    </w:rPr>
                    <w:t>240530E68</w:t>
                  </w:r>
                  <w:r>
                    <w:rPr>
                      <w:rFonts w:hint="default" w:ascii="Times New Roman" w:hAnsi="Times New Roman" w:eastAsia="宋体" w:cs="Times New Roman"/>
                      <w:b w:val="0"/>
                      <w:bCs w:val="0"/>
                      <w:spacing w:val="-6"/>
                      <w:kern w:val="2"/>
                      <w:sz w:val="21"/>
                      <w:szCs w:val="21"/>
                      <w:lang w:val="en-US" w:eastAsia="zh-CN" w:bidi="ar-SA"/>
                    </w:rPr>
                    <w:t>-</w:t>
                  </w:r>
                  <w:r>
                    <w:rPr>
                      <w:rFonts w:hint="eastAsia" w:cs="Times New Roman"/>
                      <w:b w:val="0"/>
                      <w:bCs w:val="0"/>
                      <w:spacing w:val="-6"/>
                      <w:kern w:val="2"/>
                      <w:sz w:val="21"/>
                      <w:szCs w:val="21"/>
                      <w:lang w:val="en-US" w:eastAsia="zh-CN" w:bidi="ar-SA"/>
                    </w:rPr>
                    <w:t>2</w:t>
                  </w:r>
                  <w:r>
                    <w:rPr>
                      <w:rFonts w:hint="default" w:ascii="Times New Roman" w:hAnsi="Times New Roman" w:eastAsia="宋体" w:cs="Times New Roman"/>
                      <w:b w:val="0"/>
                      <w:bCs w:val="0"/>
                      <w:spacing w:val="-6"/>
                      <w:kern w:val="2"/>
                      <w:sz w:val="21"/>
                      <w:szCs w:val="21"/>
                      <w:lang w:val="en-US" w:eastAsia="zh-CN" w:bidi="ar-SA"/>
                    </w:rPr>
                    <w:t>-4</w:t>
                  </w:r>
                </w:p>
              </w:tc>
              <w:tc>
                <w:tcPr>
                  <w:tcW w:w="647" w:type="pct"/>
                  <w:vMerge w:val="restart"/>
                  <w:noWrap w:val="0"/>
                  <w:vAlign w:val="center"/>
                </w:tcPr>
                <w:p w14:paraId="66BA60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color w:val="000000"/>
                      <w:sz w:val="21"/>
                      <w:szCs w:val="21"/>
                    </w:rPr>
                    <w:t>氨氮</w:t>
                  </w:r>
                </w:p>
              </w:tc>
              <w:tc>
                <w:tcPr>
                  <w:tcW w:w="833" w:type="pct"/>
                  <w:vMerge w:val="restart"/>
                  <w:noWrap w:val="0"/>
                  <w:vAlign w:val="center"/>
                </w:tcPr>
                <w:p w14:paraId="2FD0C0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833" w:type="pct"/>
                  <w:noWrap w:val="0"/>
                  <w:vAlign w:val="center"/>
                </w:tcPr>
                <w:p w14:paraId="747A1D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0.556</w:t>
                  </w:r>
                </w:p>
              </w:tc>
              <w:tc>
                <w:tcPr>
                  <w:tcW w:w="833" w:type="pct"/>
                  <w:vMerge w:val="restart"/>
                  <w:noWrap w:val="0"/>
                  <w:vAlign w:val="center"/>
                </w:tcPr>
                <w:p w14:paraId="677FA1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0.98</w:t>
                  </w:r>
                </w:p>
              </w:tc>
              <w:tc>
                <w:tcPr>
                  <w:tcW w:w="833" w:type="pct"/>
                  <w:vMerge w:val="restart"/>
                  <w:noWrap w:val="0"/>
                  <w:vAlign w:val="center"/>
                </w:tcPr>
                <w:p w14:paraId="15F32A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42D2F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13E453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S</w:t>
                  </w:r>
                  <w:r>
                    <w:rPr>
                      <w:rFonts w:hint="eastAsia" w:cs="Times New Roman"/>
                      <w:b w:val="0"/>
                      <w:bCs w:val="0"/>
                      <w:color w:val="000000"/>
                      <w:kern w:val="2"/>
                      <w:sz w:val="21"/>
                      <w:szCs w:val="21"/>
                      <w:lang w:val="en-US" w:eastAsia="zh-CN" w:bidi="ar-SA"/>
                    </w:rPr>
                    <w:t>240530E68</w:t>
                  </w:r>
                  <w:r>
                    <w:rPr>
                      <w:rFonts w:hint="eastAsia" w:ascii="Times New Roman" w:hAnsi="Times New Roman" w:eastAsia="宋体" w:cs="Times New Roman"/>
                      <w:b w:val="0"/>
                      <w:bCs w:val="0"/>
                      <w:color w:val="000000"/>
                      <w:kern w:val="2"/>
                      <w:sz w:val="21"/>
                      <w:szCs w:val="21"/>
                      <w:lang w:val="en-US" w:eastAsia="zh-CN" w:bidi="ar-SA"/>
                    </w:rPr>
                    <w:t>-</w:t>
                  </w:r>
                  <w:r>
                    <w:rPr>
                      <w:rFonts w:hint="eastAsia" w:cs="Times New Roman"/>
                      <w:b w:val="0"/>
                      <w:bCs w:val="0"/>
                      <w:color w:val="000000"/>
                      <w:kern w:val="2"/>
                      <w:sz w:val="21"/>
                      <w:szCs w:val="21"/>
                      <w:lang w:val="en-US" w:eastAsia="zh-CN" w:bidi="ar-SA"/>
                    </w:rPr>
                    <w:t>2</w:t>
                  </w:r>
                  <w:r>
                    <w:rPr>
                      <w:rFonts w:hint="eastAsia" w:ascii="Times New Roman" w:hAnsi="Times New Roman" w:eastAsia="宋体" w:cs="Times New Roman"/>
                      <w:b w:val="0"/>
                      <w:bCs w:val="0"/>
                      <w:color w:val="000000"/>
                      <w:kern w:val="2"/>
                      <w:sz w:val="21"/>
                      <w:szCs w:val="21"/>
                      <w:lang w:val="en-US" w:eastAsia="zh-CN" w:bidi="ar-SA"/>
                    </w:rPr>
                    <w:t>-4p</w:t>
                  </w:r>
                </w:p>
              </w:tc>
              <w:tc>
                <w:tcPr>
                  <w:tcW w:w="647" w:type="pct"/>
                  <w:vMerge w:val="continue"/>
                  <w:noWrap w:val="0"/>
                  <w:vAlign w:val="center"/>
                </w:tcPr>
                <w:p w14:paraId="43DC02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693EFF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noWrap w:val="0"/>
                  <w:vAlign w:val="center"/>
                </w:tcPr>
                <w:p w14:paraId="6C0993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0.567</w:t>
                  </w:r>
                </w:p>
              </w:tc>
              <w:tc>
                <w:tcPr>
                  <w:tcW w:w="833" w:type="pct"/>
                  <w:vMerge w:val="continue"/>
                  <w:noWrap w:val="0"/>
                  <w:vAlign w:val="center"/>
                </w:tcPr>
                <w:p w14:paraId="7CAFC1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284BBB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kern w:val="2"/>
                      <w:sz w:val="21"/>
                      <w:szCs w:val="21"/>
                      <w:lang w:val="en-US" w:eastAsia="zh-CN" w:bidi="ar-SA"/>
                    </w:rPr>
                  </w:pPr>
                </w:p>
              </w:tc>
            </w:tr>
            <w:tr w14:paraId="77662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2A62D0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pacing w:val="-6"/>
                      <w:kern w:val="2"/>
                      <w:sz w:val="21"/>
                      <w:szCs w:val="21"/>
                      <w:lang w:val="en-US" w:eastAsia="zh-CN" w:bidi="ar-SA"/>
                    </w:rPr>
                  </w:pPr>
                  <w:r>
                    <w:rPr>
                      <w:rFonts w:hint="default" w:ascii="Times New Roman" w:hAnsi="Times New Roman" w:eastAsia="宋体" w:cs="Times New Roman"/>
                      <w:b w:val="0"/>
                      <w:bCs w:val="0"/>
                      <w:spacing w:val="-6"/>
                      <w:kern w:val="2"/>
                      <w:sz w:val="21"/>
                      <w:szCs w:val="21"/>
                      <w:lang w:val="en-US" w:eastAsia="zh-CN" w:bidi="ar-SA"/>
                    </w:rPr>
                    <w:t>S</w:t>
                  </w:r>
                  <w:r>
                    <w:rPr>
                      <w:rFonts w:hint="eastAsia" w:cs="Times New Roman"/>
                      <w:b w:val="0"/>
                      <w:bCs w:val="0"/>
                      <w:spacing w:val="-6"/>
                      <w:kern w:val="2"/>
                      <w:sz w:val="21"/>
                      <w:szCs w:val="21"/>
                      <w:lang w:val="en-US" w:eastAsia="zh-CN" w:bidi="ar-SA"/>
                    </w:rPr>
                    <w:t>240531E68</w:t>
                  </w:r>
                  <w:r>
                    <w:rPr>
                      <w:rFonts w:hint="default" w:ascii="Times New Roman" w:hAnsi="Times New Roman" w:eastAsia="宋体" w:cs="Times New Roman"/>
                      <w:b w:val="0"/>
                      <w:bCs w:val="0"/>
                      <w:spacing w:val="-6"/>
                      <w:kern w:val="2"/>
                      <w:sz w:val="21"/>
                      <w:szCs w:val="21"/>
                      <w:lang w:val="en-US" w:eastAsia="zh-CN" w:bidi="ar-SA"/>
                    </w:rPr>
                    <w:t>-</w:t>
                  </w:r>
                  <w:r>
                    <w:rPr>
                      <w:rFonts w:hint="eastAsia" w:cs="Times New Roman"/>
                      <w:b w:val="0"/>
                      <w:bCs w:val="0"/>
                      <w:spacing w:val="-6"/>
                      <w:kern w:val="2"/>
                      <w:sz w:val="21"/>
                      <w:szCs w:val="21"/>
                      <w:lang w:val="en-US" w:eastAsia="zh-CN" w:bidi="ar-SA"/>
                    </w:rPr>
                    <w:t>2</w:t>
                  </w:r>
                  <w:r>
                    <w:rPr>
                      <w:rFonts w:hint="default" w:ascii="Times New Roman" w:hAnsi="Times New Roman" w:eastAsia="宋体" w:cs="Times New Roman"/>
                      <w:b w:val="0"/>
                      <w:bCs w:val="0"/>
                      <w:spacing w:val="-6"/>
                      <w:kern w:val="2"/>
                      <w:sz w:val="21"/>
                      <w:szCs w:val="21"/>
                      <w:lang w:val="en-US" w:eastAsia="zh-CN" w:bidi="ar-SA"/>
                    </w:rPr>
                    <w:t>-4</w:t>
                  </w:r>
                </w:p>
              </w:tc>
              <w:tc>
                <w:tcPr>
                  <w:tcW w:w="647" w:type="pct"/>
                  <w:vMerge w:val="restart"/>
                  <w:noWrap w:val="0"/>
                  <w:vAlign w:val="center"/>
                </w:tcPr>
                <w:p w14:paraId="14AB98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color w:val="000000"/>
                      <w:sz w:val="21"/>
                      <w:szCs w:val="21"/>
                    </w:rPr>
                    <w:t>氨氮</w:t>
                  </w:r>
                </w:p>
              </w:tc>
              <w:tc>
                <w:tcPr>
                  <w:tcW w:w="833" w:type="pct"/>
                  <w:vMerge w:val="restart"/>
                  <w:noWrap w:val="0"/>
                  <w:vAlign w:val="center"/>
                </w:tcPr>
                <w:p w14:paraId="139204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833" w:type="pct"/>
                  <w:noWrap w:val="0"/>
                  <w:vAlign w:val="center"/>
                </w:tcPr>
                <w:p w14:paraId="1E9E98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0.471</w:t>
                  </w:r>
                </w:p>
              </w:tc>
              <w:tc>
                <w:tcPr>
                  <w:tcW w:w="833" w:type="pct"/>
                  <w:vMerge w:val="restart"/>
                  <w:noWrap w:val="0"/>
                  <w:vAlign w:val="center"/>
                </w:tcPr>
                <w:p w14:paraId="48167A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1.73</w:t>
                  </w:r>
                </w:p>
              </w:tc>
              <w:tc>
                <w:tcPr>
                  <w:tcW w:w="833" w:type="pct"/>
                  <w:vMerge w:val="restart"/>
                  <w:noWrap w:val="0"/>
                  <w:vAlign w:val="center"/>
                </w:tcPr>
                <w:p w14:paraId="419B02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71BA2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1D7414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S</w:t>
                  </w:r>
                  <w:r>
                    <w:rPr>
                      <w:rFonts w:hint="eastAsia" w:cs="Times New Roman"/>
                      <w:b w:val="0"/>
                      <w:bCs w:val="0"/>
                      <w:color w:val="000000"/>
                      <w:kern w:val="2"/>
                      <w:sz w:val="21"/>
                      <w:szCs w:val="21"/>
                      <w:lang w:val="en-US" w:eastAsia="zh-CN" w:bidi="ar-SA"/>
                    </w:rPr>
                    <w:t>240531E68</w:t>
                  </w:r>
                  <w:r>
                    <w:rPr>
                      <w:rFonts w:hint="eastAsia" w:ascii="Times New Roman" w:hAnsi="Times New Roman" w:eastAsia="宋体" w:cs="Times New Roman"/>
                      <w:b w:val="0"/>
                      <w:bCs w:val="0"/>
                      <w:color w:val="000000"/>
                      <w:kern w:val="2"/>
                      <w:sz w:val="21"/>
                      <w:szCs w:val="21"/>
                      <w:lang w:val="en-US" w:eastAsia="zh-CN" w:bidi="ar-SA"/>
                    </w:rPr>
                    <w:t>-</w:t>
                  </w:r>
                  <w:r>
                    <w:rPr>
                      <w:rFonts w:hint="eastAsia" w:cs="Times New Roman"/>
                      <w:b w:val="0"/>
                      <w:bCs w:val="0"/>
                      <w:color w:val="000000"/>
                      <w:kern w:val="2"/>
                      <w:sz w:val="21"/>
                      <w:szCs w:val="21"/>
                      <w:lang w:val="en-US" w:eastAsia="zh-CN" w:bidi="ar-SA"/>
                    </w:rPr>
                    <w:t>2</w:t>
                  </w:r>
                  <w:r>
                    <w:rPr>
                      <w:rFonts w:hint="eastAsia" w:ascii="Times New Roman" w:hAnsi="Times New Roman" w:eastAsia="宋体" w:cs="Times New Roman"/>
                      <w:b w:val="0"/>
                      <w:bCs w:val="0"/>
                      <w:color w:val="000000"/>
                      <w:kern w:val="2"/>
                      <w:sz w:val="21"/>
                      <w:szCs w:val="21"/>
                      <w:lang w:val="en-US" w:eastAsia="zh-CN" w:bidi="ar-SA"/>
                    </w:rPr>
                    <w:t>-4p</w:t>
                  </w:r>
                </w:p>
              </w:tc>
              <w:tc>
                <w:tcPr>
                  <w:tcW w:w="647" w:type="pct"/>
                  <w:vMerge w:val="continue"/>
                  <w:noWrap w:val="0"/>
                  <w:vAlign w:val="center"/>
                </w:tcPr>
                <w:p w14:paraId="1FF12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413DC8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noWrap w:val="0"/>
                  <w:vAlign w:val="center"/>
                </w:tcPr>
                <w:p w14:paraId="3D00BA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0.455</w:t>
                  </w:r>
                </w:p>
              </w:tc>
              <w:tc>
                <w:tcPr>
                  <w:tcW w:w="833" w:type="pct"/>
                  <w:vMerge w:val="continue"/>
                  <w:noWrap w:val="0"/>
                  <w:vAlign w:val="center"/>
                </w:tcPr>
                <w:p w14:paraId="65D1ED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15D02B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kern w:val="2"/>
                      <w:sz w:val="21"/>
                      <w:szCs w:val="21"/>
                      <w:lang w:val="en-US" w:eastAsia="zh-CN" w:bidi="ar-SA"/>
                    </w:rPr>
                  </w:pPr>
                </w:p>
              </w:tc>
            </w:tr>
            <w:tr w14:paraId="08138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71B2AC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pacing w:val="-6"/>
                      <w:kern w:val="2"/>
                      <w:sz w:val="21"/>
                      <w:szCs w:val="21"/>
                      <w:lang w:val="en-US" w:eastAsia="zh-CN" w:bidi="ar-SA"/>
                    </w:rPr>
                  </w:pPr>
                  <w:r>
                    <w:rPr>
                      <w:rFonts w:hint="default" w:ascii="Times New Roman" w:hAnsi="Times New Roman" w:eastAsia="宋体" w:cs="Times New Roman"/>
                      <w:b w:val="0"/>
                      <w:bCs w:val="0"/>
                      <w:spacing w:val="-6"/>
                      <w:kern w:val="2"/>
                      <w:sz w:val="21"/>
                      <w:szCs w:val="21"/>
                      <w:lang w:val="en-US" w:eastAsia="zh-CN" w:bidi="ar-SA"/>
                    </w:rPr>
                    <w:t>S</w:t>
                  </w:r>
                  <w:r>
                    <w:rPr>
                      <w:rFonts w:hint="eastAsia" w:cs="Times New Roman"/>
                      <w:b w:val="0"/>
                      <w:bCs w:val="0"/>
                      <w:spacing w:val="-6"/>
                      <w:kern w:val="2"/>
                      <w:sz w:val="21"/>
                      <w:szCs w:val="21"/>
                      <w:lang w:val="en-US" w:eastAsia="zh-CN" w:bidi="ar-SA"/>
                    </w:rPr>
                    <w:t>240530E68</w:t>
                  </w:r>
                  <w:r>
                    <w:rPr>
                      <w:rFonts w:hint="default" w:ascii="Times New Roman" w:hAnsi="Times New Roman" w:eastAsia="宋体" w:cs="Times New Roman"/>
                      <w:b w:val="0"/>
                      <w:bCs w:val="0"/>
                      <w:spacing w:val="-6"/>
                      <w:kern w:val="2"/>
                      <w:sz w:val="21"/>
                      <w:szCs w:val="21"/>
                      <w:lang w:val="en-US" w:eastAsia="zh-CN" w:bidi="ar-SA"/>
                    </w:rPr>
                    <w:t>-</w:t>
                  </w:r>
                  <w:r>
                    <w:rPr>
                      <w:rFonts w:hint="eastAsia" w:cs="Times New Roman"/>
                      <w:b w:val="0"/>
                      <w:bCs w:val="0"/>
                      <w:spacing w:val="-6"/>
                      <w:kern w:val="2"/>
                      <w:sz w:val="21"/>
                      <w:szCs w:val="21"/>
                      <w:lang w:val="en-US" w:eastAsia="zh-CN" w:bidi="ar-SA"/>
                    </w:rPr>
                    <w:t>2</w:t>
                  </w:r>
                  <w:r>
                    <w:rPr>
                      <w:rFonts w:hint="default" w:ascii="Times New Roman" w:hAnsi="Times New Roman" w:eastAsia="宋体" w:cs="Times New Roman"/>
                      <w:b w:val="0"/>
                      <w:bCs w:val="0"/>
                      <w:spacing w:val="-6"/>
                      <w:kern w:val="2"/>
                      <w:sz w:val="21"/>
                      <w:szCs w:val="21"/>
                      <w:lang w:val="en-US" w:eastAsia="zh-CN" w:bidi="ar-SA"/>
                    </w:rPr>
                    <w:t>-4</w:t>
                  </w:r>
                </w:p>
              </w:tc>
              <w:tc>
                <w:tcPr>
                  <w:tcW w:w="647" w:type="pct"/>
                  <w:vMerge w:val="restart"/>
                  <w:noWrap w:val="0"/>
                  <w:vAlign w:val="center"/>
                </w:tcPr>
                <w:p w14:paraId="3FD765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sz w:val="21"/>
                      <w:szCs w:val="21"/>
                      <w:lang w:eastAsia="zh-CN"/>
                    </w:rPr>
                    <w:t>化学需氧量</w:t>
                  </w:r>
                </w:p>
              </w:tc>
              <w:tc>
                <w:tcPr>
                  <w:tcW w:w="833" w:type="pct"/>
                  <w:vMerge w:val="restart"/>
                  <w:noWrap w:val="0"/>
                  <w:vAlign w:val="center"/>
                </w:tcPr>
                <w:p w14:paraId="6A98BE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833" w:type="pct"/>
                  <w:noWrap w:val="0"/>
                  <w:vAlign w:val="center"/>
                </w:tcPr>
                <w:p w14:paraId="4D7D3C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32</w:t>
                  </w:r>
                </w:p>
              </w:tc>
              <w:tc>
                <w:tcPr>
                  <w:tcW w:w="833" w:type="pct"/>
                  <w:vMerge w:val="restart"/>
                  <w:noWrap w:val="0"/>
                  <w:vAlign w:val="center"/>
                </w:tcPr>
                <w:p w14:paraId="18745E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1.54</w:t>
                  </w:r>
                </w:p>
              </w:tc>
              <w:tc>
                <w:tcPr>
                  <w:tcW w:w="833" w:type="pct"/>
                  <w:vMerge w:val="restart"/>
                  <w:noWrap w:val="0"/>
                  <w:vAlign w:val="center"/>
                </w:tcPr>
                <w:p w14:paraId="66FF08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55CF0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04424B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S</w:t>
                  </w:r>
                  <w:r>
                    <w:rPr>
                      <w:rFonts w:hint="eastAsia" w:cs="Times New Roman"/>
                      <w:b w:val="0"/>
                      <w:bCs w:val="0"/>
                      <w:color w:val="000000"/>
                      <w:kern w:val="2"/>
                      <w:sz w:val="21"/>
                      <w:szCs w:val="21"/>
                      <w:lang w:val="en-US" w:eastAsia="zh-CN" w:bidi="ar-SA"/>
                    </w:rPr>
                    <w:t>240530E68</w:t>
                  </w:r>
                  <w:r>
                    <w:rPr>
                      <w:rFonts w:hint="eastAsia" w:ascii="Times New Roman" w:hAnsi="Times New Roman" w:eastAsia="宋体" w:cs="Times New Roman"/>
                      <w:b w:val="0"/>
                      <w:bCs w:val="0"/>
                      <w:color w:val="000000"/>
                      <w:kern w:val="2"/>
                      <w:sz w:val="21"/>
                      <w:szCs w:val="21"/>
                      <w:lang w:val="en-US" w:eastAsia="zh-CN" w:bidi="ar-SA"/>
                    </w:rPr>
                    <w:t>-</w:t>
                  </w:r>
                  <w:r>
                    <w:rPr>
                      <w:rFonts w:hint="eastAsia" w:cs="Times New Roman"/>
                      <w:b w:val="0"/>
                      <w:bCs w:val="0"/>
                      <w:color w:val="000000"/>
                      <w:kern w:val="2"/>
                      <w:sz w:val="21"/>
                      <w:szCs w:val="21"/>
                      <w:lang w:val="en-US" w:eastAsia="zh-CN" w:bidi="ar-SA"/>
                    </w:rPr>
                    <w:t>2</w:t>
                  </w:r>
                  <w:r>
                    <w:rPr>
                      <w:rFonts w:hint="eastAsia" w:ascii="Times New Roman" w:hAnsi="Times New Roman" w:eastAsia="宋体" w:cs="Times New Roman"/>
                      <w:b w:val="0"/>
                      <w:bCs w:val="0"/>
                      <w:color w:val="000000"/>
                      <w:kern w:val="2"/>
                      <w:sz w:val="21"/>
                      <w:szCs w:val="21"/>
                      <w:lang w:val="en-US" w:eastAsia="zh-CN" w:bidi="ar-SA"/>
                    </w:rPr>
                    <w:t>-4p</w:t>
                  </w:r>
                </w:p>
              </w:tc>
              <w:tc>
                <w:tcPr>
                  <w:tcW w:w="647" w:type="pct"/>
                  <w:vMerge w:val="continue"/>
                  <w:noWrap w:val="0"/>
                  <w:vAlign w:val="center"/>
                </w:tcPr>
                <w:p w14:paraId="66D47B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708D06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noWrap w:val="0"/>
                  <w:vAlign w:val="center"/>
                </w:tcPr>
                <w:p w14:paraId="0628E4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33</w:t>
                  </w:r>
                </w:p>
              </w:tc>
              <w:tc>
                <w:tcPr>
                  <w:tcW w:w="833" w:type="pct"/>
                  <w:vMerge w:val="continue"/>
                  <w:noWrap w:val="0"/>
                  <w:vAlign w:val="center"/>
                </w:tcPr>
                <w:p w14:paraId="3B0B27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1E9FE6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kern w:val="2"/>
                      <w:sz w:val="21"/>
                      <w:szCs w:val="21"/>
                      <w:lang w:val="en-US" w:eastAsia="zh-CN" w:bidi="ar-SA"/>
                    </w:rPr>
                  </w:pPr>
                </w:p>
              </w:tc>
            </w:tr>
            <w:tr w14:paraId="0C248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07FA8F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pacing w:val="-6"/>
                      <w:kern w:val="2"/>
                      <w:sz w:val="21"/>
                      <w:szCs w:val="21"/>
                      <w:lang w:val="en-US" w:eastAsia="zh-CN" w:bidi="ar-SA"/>
                    </w:rPr>
                  </w:pPr>
                  <w:r>
                    <w:rPr>
                      <w:rFonts w:hint="default" w:ascii="Times New Roman" w:hAnsi="Times New Roman" w:eastAsia="宋体" w:cs="Times New Roman"/>
                      <w:b w:val="0"/>
                      <w:bCs w:val="0"/>
                      <w:spacing w:val="-6"/>
                      <w:kern w:val="2"/>
                      <w:sz w:val="21"/>
                      <w:szCs w:val="21"/>
                      <w:lang w:val="en-US" w:eastAsia="zh-CN" w:bidi="ar-SA"/>
                    </w:rPr>
                    <w:t>S</w:t>
                  </w:r>
                  <w:r>
                    <w:rPr>
                      <w:rFonts w:hint="eastAsia" w:cs="Times New Roman"/>
                      <w:b w:val="0"/>
                      <w:bCs w:val="0"/>
                      <w:spacing w:val="-6"/>
                      <w:kern w:val="2"/>
                      <w:sz w:val="21"/>
                      <w:szCs w:val="21"/>
                      <w:lang w:val="en-US" w:eastAsia="zh-CN" w:bidi="ar-SA"/>
                    </w:rPr>
                    <w:t>240531E68</w:t>
                  </w:r>
                  <w:r>
                    <w:rPr>
                      <w:rFonts w:hint="default" w:ascii="Times New Roman" w:hAnsi="Times New Roman" w:eastAsia="宋体" w:cs="Times New Roman"/>
                      <w:b w:val="0"/>
                      <w:bCs w:val="0"/>
                      <w:spacing w:val="-6"/>
                      <w:kern w:val="2"/>
                      <w:sz w:val="21"/>
                      <w:szCs w:val="21"/>
                      <w:lang w:val="en-US" w:eastAsia="zh-CN" w:bidi="ar-SA"/>
                    </w:rPr>
                    <w:t>-</w:t>
                  </w:r>
                  <w:r>
                    <w:rPr>
                      <w:rFonts w:hint="eastAsia" w:cs="Times New Roman"/>
                      <w:b w:val="0"/>
                      <w:bCs w:val="0"/>
                      <w:spacing w:val="-6"/>
                      <w:kern w:val="2"/>
                      <w:sz w:val="21"/>
                      <w:szCs w:val="21"/>
                      <w:lang w:val="en-US" w:eastAsia="zh-CN" w:bidi="ar-SA"/>
                    </w:rPr>
                    <w:t>2</w:t>
                  </w:r>
                  <w:r>
                    <w:rPr>
                      <w:rFonts w:hint="default" w:ascii="Times New Roman" w:hAnsi="Times New Roman" w:eastAsia="宋体" w:cs="Times New Roman"/>
                      <w:b w:val="0"/>
                      <w:bCs w:val="0"/>
                      <w:spacing w:val="-6"/>
                      <w:kern w:val="2"/>
                      <w:sz w:val="21"/>
                      <w:szCs w:val="21"/>
                      <w:lang w:val="en-US" w:eastAsia="zh-CN" w:bidi="ar-SA"/>
                    </w:rPr>
                    <w:t>-4</w:t>
                  </w:r>
                </w:p>
              </w:tc>
              <w:tc>
                <w:tcPr>
                  <w:tcW w:w="647" w:type="pct"/>
                  <w:vMerge w:val="restart"/>
                  <w:noWrap w:val="0"/>
                  <w:vAlign w:val="center"/>
                </w:tcPr>
                <w:p w14:paraId="1D85BC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sz w:val="21"/>
                      <w:szCs w:val="21"/>
                      <w:lang w:eastAsia="zh-CN"/>
                    </w:rPr>
                    <w:t>化学需氧量</w:t>
                  </w:r>
                </w:p>
              </w:tc>
              <w:tc>
                <w:tcPr>
                  <w:tcW w:w="833" w:type="pct"/>
                  <w:vMerge w:val="restart"/>
                  <w:noWrap w:val="0"/>
                  <w:vAlign w:val="center"/>
                </w:tcPr>
                <w:p w14:paraId="23158F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833" w:type="pct"/>
                  <w:noWrap w:val="0"/>
                  <w:vAlign w:val="center"/>
                </w:tcPr>
                <w:p w14:paraId="747826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29</w:t>
                  </w:r>
                </w:p>
              </w:tc>
              <w:tc>
                <w:tcPr>
                  <w:tcW w:w="833" w:type="pct"/>
                  <w:vMerge w:val="restart"/>
                  <w:noWrap w:val="0"/>
                  <w:vAlign w:val="center"/>
                </w:tcPr>
                <w:p w14:paraId="211F61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1.75</w:t>
                  </w:r>
                </w:p>
              </w:tc>
              <w:tc>
                <w:tcPr>
                  <w:tcW w:w="833" w:type="pct"/>
                  <w:vMerge w:val="restart"/>
                  <w:noWrap w:val="0"/>
                  <w:vAlign w:val="center"/>
                </w:tcPr>
                <w:p w14:paraId="7D139F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58DFB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7C964A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S</w:t>
                  </w:r>
                  <w:r>
                    <w:rPr>
                      <w:rFonts w:hint="eastAsia" w:cs="Times New Roman"/>
                      <w:b w:val="0"/>
                      <w:bCs w:val="0"/>
                      <w:color w:val="000000"/>
                      <w:kern w:val="2"/>
                      <w:sz w:val="21"/>
                      <w:szCs w:val="21"/>
                      <w:lang w:val="en-US" w:eastAsia="zh-CN" w:bidi="ar-SA"/>
                    </w:rPr>
                    <w:t>240531E68</w:t>
                  </w:r>
                  <w:r>
                    <w:rPr>
                      <w:rFonts w:hint="eastAsia" w:ascii="Times New Roman" w:hAnsi="Times New Roman" w:eastAsia="宋体" w:cs="Times New Roman"/>
                      <w:b w:val="0"/>
                      <w:bCs w:val="0"/>
                      <w:color w:val="000000"/>
                      <w:kern w:val="2"/>
                      <w:sz w:val="21"/>
                      <w:szCs w:val="21"/>
                      <w:lang w:val="en-US" w:eastAsia="zh-CN" w:bidi="ar-SA"/>
                    </w:rPr>
                    <w:t>-</w:t>
                  </w:r>
                  <w:r>
                    <w:rPr>
                      <w:rFonts w:hint="eastAsia" w:cs="Times New Roman"/>
                      <w:b w:val="0"/>
                      <w:bCs w:val="0"/>
                      <w:color w:val="000000"/>
                      <w:kern w:val="2"/>
                      <w:sz w:val="21"/>
                      <w:szCs w:val="21"/>
                      <w:lang w:val="en-US" w:eastAsia="zh-CN" w:bidi="ar-SA"/>
                    </w:rPr>
                    <w:t>2</w:t>
                  </w:r>
                  <w:r>
                    <w:rPr>
                      <w:rFonts w:hint="eastAsia" w:ascii="Times New Roman" w:hAnsi="Times New Roman" w:eastAsia="宋体" w:cs="Times New Roman"/>
                      <w:b w:val="0"/>
                      <w:bCs w:val="0"/>
                      <w:color w:val="000000"/>
                      <w:kern w:val="2"/>
                      <w:sz w:val="21"/>
                      <w:szCs w:val="21"/>
                      <w:lang w:val="en-US" w:eastAsia="zh-CN" w:bidi="ar-SA"/>
                    </w:rPr>
                    <w:t>-4p</w:t>
                  </w:r>
                </w:p>
              </w:tc>
              <w:tc>
                <w:tcPr>
                  <w:tcW w:w="647" w:type="pct"/>
                  <w:vMerge w:val="continue"/>
                  <w:noWrap w:val="0"/>
                  <w:vAlign w:val="center"/>
                </w:tcPr>
                <w:p w14:paraId="346D79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45DBE9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noWrap w:val="0"/>
                  <w:vAlign w:val="center"/>
                </w:tcPr>
                <w:p w14:paraId="12C455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28</w:t>
                  </w:r>
                </w:p>
              </w:tc>
              <w:tc>
                <w:tcPr>
                  <w:tcW w:w="833" w:type="pct"/>
                  <w:vMerge w:val="continue"/>
                  <w:noWrap w:val="0"/>
                  <w:vAlign w:val="center"/>
                </w:tcPr>
                <w:p w14:paraId="4C17DB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123AD8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kern w:val="2"/>
                      <w:sz w:val="21"/>
                      <w:szCs w:val="21"/>
                      <w:lang w:val="en-US" w:eastAsia="zh-CN" w:bidi="ar-SA"/>
                    </w:rPr>
                  </w:pPr>
                </w:p>
              </w:tc>
            </w:tr>
            <w:tr w14:paraId="177A0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429492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pacing w:val="-6"/>
                      <w:kern w:val="2"/>
                      <w:sz w:val="21"/>
                      <w:szCs w:val="21"/>
                      <w:lang w:val="en-US" w:eastAsia="zh-CN" w:bidi="ar-SA"/>
                    </w:rPr>
                  </w:pPr>
                  <w:r>
                    <w:rPr>
                      <w:rFonts w:hint="default" w:ascii="Times New Roman" w:hAnsi="Times New Roman" w:eastAsia="宋体" w:cs="Times New Roman"/>
                      <w:b w:val="0"/>
                      <w:bCs w:val="0"/>
                      <w:spacing w:val="-6"/>
                      <w:kern w:val="2"/>
                      <w:sz w:val="21"/>
                      <w:szCs w:val="21"/>
                      <w:lang w:val="en-US" w:eastAsia="zh-CN" w:bidi="ar-SA"/>
                    </w:rPr>
                    <w:t>S</w:t>
                  </w:r>
                  <w:r>
                    <w:rPr>
                      <w:rFonts w:hint="eastAsia" w:cs="Times New Roman"/>
                      <w:b w:val="0"/>
                      <w:bCs w:val="0"/>
                      <w:spacing w:val="-6"/>
                      <w:kern w:val="2"/>
                      <w:sz w:val="21"/>
                      <w:szCs w:val="21"/>
                      <w:lang w:val="en-US" w:eastAsia="zh-CN" w:bidi="ar-SA"/>
                    </w:rPr>
                    <w:t>240530E68</w:t>
                  </w:r>
                  <w:r>
                    <w:rPr>
                      <w:rFonts w:hint="default" w:ascii="Times New Roman" w:hAnsi="Times New Roman" w:eastAsia="宋体" w:cs="Times New Roman"/>
                      <w:b w:val="0"/>
                      <w:bCs w:val="0"/>
                      <w:spacing w:val="-6"/>
                      <w:kern w:val="2"/>
                      <w:sz w:val="21"/>
                      <w:szCs w:val="21"/>
                      <w:lang w:val="en-US" w:eastAsia="zh-CN" w:bidi="ar-SA"/>
                    </w:rPr>
                    <w:t>-</w:t>
                  </w:r>
                  <w:r>
                    <w:rPr>
                      <w:rFonts w:hint="eastAsia" w:cs="Times New Roman"/>
                      <w:b w:val="0"/>
                      <w:bCs w:val="0"/>
                      <w:spacing w:val="-6"/>
                      <w:kern w:val="2"/>
                      <w:sz w:val="21"/>
                      <w:szCs w:val="21"/>
                      <w:lang w:val="en-US" w:eastAsia="zh-CN" w:bidi="ar-SA"/>
                    </w:rPr>
                    <w:t>1</w:t>
                  </w:r>
                  <w:r>
                    <w:rPr>
                      <w:rFonts w:hint="default" w:ascii="Times New Roman" w:hAnsi="Times New Roman" w:eastAsia="宋体" w:cs="Times New Roman"/>
                      <w:b w:val="0"/>
                      <w:bCs w:val="0"/>
                      <w:spacing w:val="-6"/>
                      <w:kern w:val="2"/>
                      <w:sz w:val="21"/>
                      <w:szCs w:val="21"/>
                      <w:lang w:val="en-US" w:eastAsia="zh-CN" w:bidi="ar-SA"/>
                    </w:rPr>
                    <w:t>-4</w:t>
                  </w:r>
                </w:p>
              </w:tc>
              <w:tc>
                <w:tcPr>
                  <w:tcW w:w="647" w:type="pct"/>
                  <w:vMerge w:val="restart"/>
                  <w:noWrap w:val="0"/>
                  <w:vAlign w:val="center"/>
                </w:tcPr>
                <w:p w14:paraId="5FEDAC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sz w:val="21"/>
                      <w:szCs w:val="21"/>
                      <w:lang w:eastAsia="zh-CN"/>
                    </w:rPr>
                    <w:t>五日生化需氧量</w:t>
                  </w:r>
                </w:p>
              </w:tc>
              <w:tc>
                <w:tcPr>
                  <w:tcW w:w="833" w:type="pct"/>
                  <w:vMerge w:val="restart"/>
                  <w:noWrap w:val="0"/>
                  <w:vAlign w:val="center"/>
                </w:tcPr>
                <w:p w14:paraId="540299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833" w:type="pct"/>
                  <w:noWrap w:val="0"/>
                  <w:vAlign w:val="center"/>
                </w:tcPr>
                <w:p w14:paraId="0A1AB6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109</w:t>
                  </w:r>
                </w:p>
              </w:tc>
              <w:tc>
                <w:tcPr>
                  <w:tcW w:w="833" w:type="pct"/>
                  <w:vMerge w:val="restart"/>
                  <w:noWrap w:val="0"/>
                  <w:vAlign w:val="center"/>
                </w:tcPr>
                <w:p w14:paraId="1D9DF0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1.40</w:t>
                  </w:r>
                </w:p>
              </w:tc>
              <w:tc>
                <w:tcPr>
                  <w:tcW w:w="833" w:type="pct"/>
                  <w:vMerge w:val="restart"/>
                  <w:noWrap w:val="0"/>
                  <w:vAlign w:val="center"/>
                </w:tcPr>
                <w:p w14:paraId="5F0276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0221B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778D5B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S</w:t>
                  </w:r>
                  <w:r>
                    <w:rPr>
                      <w:rFonts w:hint="eastAsia" w:cs="Times New Roman"/>
                      <w:b w:val="0"/>
                      <w:bCs w:val="0"/>
                      <w:color w:val="000000"/>
                      <w:kern w:val="2"/>
                      <w:sz w:val="21"/>
                      <w:szCs w:val="21"/>
                      <w:lang w:val="en-US" w:eastAsia="zh-CN" w:bidi="ar-SA"/>
                    </w:rPr>
                    <w:t>240530E68</w:t>
                  </w:r>
                  <w:r>
                    <w:rPr>
                      <w:rFonts w:hint="eastAsia" w:ascii="Times New Roman" w:hAnsi="Times New Roman" w:eastAsia="宋体" w:cs="Times New Roman"/>
                      <w:b w:val="0"/>
                      <w:bCs w:val="0"/>
                      <w:color w:val="000000"/>
                      <w:kern w:val="2"/>
                      <w:sz w:val="21"/>
                      <w:szCs w:val="21"/>
                      <w:lang w:val="en-US" w:eastAsia="zh-CN" w:bidi="ar-SA"/>
                    </w:rPr>
                    <w:t>-</w:t>
                  </w:r>
                  <w:r>
                    <w:rPr>
                      <w:rFonts w:hint="eastAsia" w:cs="Times New Roman"/>
                      <w:b w:val="0"/>
                      <w:bCs w:val="0"/>
                      <w:color w:val="000000"/>
                      <w:kern w:val="2"/>
                      <w:sz w:val="21"/>
                      <w:szCs w:val="21"/>
                      <w:lang w:val="en-US" w:eastAsia="zh-CN" w:bidi="ar-SA"/>
                    </w:rPr>
                    <w:t>1</w:t>
                  </w:r>
                  <w:r>
                    <w:rPr>
                      <w:rFonts w:hint="eastAsia" w:ascii="Times New Roman" w:hAnsi="Times New Roman" w:eastAsia="宋体" w:cs="Times New Roman"/>
                      <w:b w:val="0"/>
                      <w:bCs w:val="0"/>
                      <w:color w:val="000000"/>
                      <w:kern w:val="2"/>
                      <w:sz w:val="21"/>
                      <w:szCs w:val="21"/>
                      <w:lang w:val="en-US" w:eastAsia="zh-CN" w:bidi="ar-SA"/>
                    </w:rPr>
                    <w:t>-4p</w:t>
                  </w:r>
                </w:p>
              </w:tc>
              <w:tc>
                <w:tcPr>
                  <w:tcW w:w="647" w:type="pct"/>
                  <w:vMerge w:val="continue"/>
                  <w:noWrap w:val="0"/>
                  <w:vAlign w:val="center"/>
                </w:tcPr>
                <w:p w14:paraId="4183AA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77C290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noWrap w:val="0"/>
                  <w:vAlign w:val="center"/>
                </w:tcPr>
                <w:p w14:paraId="293F5F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106</w:t>
                  </w:r>
                </w:p>
              </w:tc>
              <w:tc>
                <w:tcPr>
                  <w:tcW w:w="833" w:type="pct"/>
                  <w:vMerge w:val="continue"/>
                  <w:noWrap w:val="0"/>
                  <w:vAlign w:val="center"/>
                </w:tcPr>
                <w:p w14:paraId="4EABC2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3A20A0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kern w:val="2"/>
                      <w:sz w:val="21"/>
                      <w:szCs w:val="21"/>
                      <w:lang w:val="en-US" w:eastAsia="zh-CN" w:bidi="ar-SA"/>
                    </w:rPr>
                  </w:pPr>
                </w:p>
              </w:tc>
            </w:tr>
            <w:tr w14:paraId="0EB3B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3C1DB3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pacing w:val="-6"/>
                      <w:kern w:val="2"/>
                      <w:sz w:val="21"/>
                      <w:szCs w:val="21"/>
                      <w:lang w:val="en-US" w:eastAsia="zh-CN" w:bidi="ar-SA"/>
                    </w:rPr>
                  </w:pPr>
                  <w:r>
                    <w:rPr>
                      <w:rFonts w:hint="default" w:ascii="Times New Roman" w:hAnsi="Times New Roman" w:eastAsia="宋体" w:cs="Times New Roman"/>
                      <w:b w:val="0"/>
                      <w:bCs w:val="0"/>
                      <w:spacing w:val="-6"/>
                      <w:kern w:val="2"/>
                      <w:sz w:val="21"/>
                      <w:szCs w:val="21"/>
                      <w:lang w:val="en-US" w:eastAsia="zh-CN" w:bidi="ar-SA"/>
                    </w:rPr>
                    <w:t>S</w:t>
                  </w:r>
                  <w:r>
                    <w:rPr>
                      <w:rFonts w:hint="eastAsia" w:cs="Times New Roman"/>
                      <w:b w:val="0"/>
                      <w:bCs w:val="0"/>
                      <w:spacing w:val="-6"/>
                      <w:kern w:val="2"/>
                      <w:sz w:val="21"/>
                      <w:szCs w:val="21"/>
                      <w:lang w:val="en-US" w:eastAsia="zh-CN" w:bidi="ar-SA"/>
                    </w:rPr>
                    <w:t>240531E68</w:t>
                  </w:r>
                  <w:r>
                    <w:rPr>
                      <w:rFonts w:hint="default" w:ascii="Times New Roman" w:hAnsi="Times New Roman" w:eastAsia="宋体" w:cs="Times New Roman"/>
                      <w:b w:val="0"/>
                      <w:bCs w:val="0"/>
                      <w:spacing w:val="-6"/>
                      <w:kern w:val="2"/>
                      <w:sz w:val="21"/>
                      <w:szCs w:val="21"/>
                      <w:lang w:val="en-US" w:eastAsia="zh-CN" w:bidi="ar-SA"/>
                    </w:rPr>
                    <w:t>-</w:t>
                  </w:r>
                  <w:r>
                    <w:rPr>
                      <w:rFonts w:hint="eastAsia" w:cs="Times New Roman"/>
                      <w:b w:val="0"/>
                      <w:bCs w:val="0"/>
                      <w:spacing w:val="-6"/>
                      <w:kern w:val="2"/>
                      <w:sz w:val="21"/>
                      <w:szCs w:val="21"/>
                      <w:lang w:val="en-US" w:eastAsia="zh-CN" w:bidi="ar-SA"/>
                    </w:rPr>
                    <w:t>1</w:t>
                  </w:r>
                  <w:r>
                    <w:rPr>
                      <w:rFonts w:hint="default" w:ascii="Times New Roman" w:hAnsi="Times New Roman" w:eastAsia="宋体" w:cs="Times New Roman"/>
                      <w:b w:val="0"/>
                      <w:bCs w:val="0"/>
                      <w:spacing w:val="-6"/>
                      <w:kern w:val="2"/>
                      <w:sz w:val="21"/>
                      <w:szCs w:val="21"/>
                      <w:lang w:val="en-US" w:eastAsia="zh-CN" w:bidi="ar-SA"/>
                    </w:rPr>
                    <w:t>-4</w:t>
                  </w:r>
                </w:p>
              </w:tc>
              <w:tc>
                <w:tcPr>
                  <w:tcW w:w="647" w:type="pct"/>
                  <w:vMerge w:val="restart"/>
                  <w:noWrap w:val="0"/>
                  <w:vAlign w:val="center"/>
                </w:tcPr>
                <w:p w14:paraId="694924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sz w:val="21"/>
                      <w:szCs w:val="21"/>
                      <w:lang w:eastAsia="zh-CN"/>
                    </w:rPr>
                    <w:t>五日生化需氧量</w:t>
                  </w:r>
                </w:p>
              </w:tc>
              <w:tc>
                <w:tcPr>
                  <w:tcW w:w="833" w:type="pct"/>
                  <w:vMerge w:val="restart"/>
                  <w:noWrap w:val="0"/>
                  <w:vAlign w:val="center"/>
                </w:tcPr>
                <w:p w14:paraId="2A0CA2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833" w:type="pct"/>
                  <w:noWrap w:val="0"/>
                  <w:vAlign w:val="center"/>
                </w:tcPr>
                <w:p w14:paraId="009FBC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152</w:t>
                  </w:r>
                </w:p>
              </w:tc>
              <w:tc>
                <w:tcPr>
                  <w:tcW w:w="833" w:type="pct"/>
                  <w:vMerge w:val="restart"/>
                  <w:noWrap w:val="0"/>
                  <w:vAlign w:val="center"/>
                </w:tcPr>
                <w:p w14:paraId="47C010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1.33</w:t>
                  </w:r>
                </w:p>
              </w:tc>
              <w:tc>
                <w:tcPr>
                  <w:tcW w:w="833" w:type="pct"/>
                  <w:vMerge w:val="restart"/>
                  <w:noWrap w:val="0"/>
                  <w:vAlign w:val="center"/>
                </w:tcPr>
                <w:p w14:paraId="19EE42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1D9C2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61C0FA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S</w:t>
                  </w:r>
                  <w:r>
                    <w:rPr>
                      <w:rFonts w:hint="eastAsia" w:cs="Times New Roman"/>
                      <w:b w:val="0"/>
                      <w:bCs w:val="0"/>
                      <w:color w:val="000000"/>
                      <w:kern w:val="2"/>
                      <w:sz w:val="21"/>
                      <w:szCs w:val="21"/>
                      <w:lang w:val="en-US" w:eastAsia="zh-CN" w:bidi="ar-SA"/>
                    </w:rPr>
                    <w:t>240531E68</w:t>
                  </w:r>
                  <w:r>
                    <w:rPr>
                      <w:rFonts w:hint="eastAsia" w:ascii="Times New Roman" w:hAnsi="Times New Roman" w:eastAsia="宋体" w:cs="Times New Roman"/>
                      <w:b w:val="0"/>
                      <w:bCs w:val="0"/>
                      <w:color w:val="000000"/>
                      <w:kern w:val="2"/>
                      <w:sz w:val="21"/>
                      <w:szCs w:val="21"/>
                      <w:lang w:val="en-US" w:eastAsia="zh-CN" w:bidi="ar-SA"/>
                    </w:rPr>
                    <w:t>-</w:t>
                  </w:r>
                  <w:r>
                    <w:rPr>
                      <w:rFonts w:hint="eastAsia" w:cs="Times New Roman"/>
                      <w:b w:val="0"/>
                      <w:bCs w:val="0"/>
                      <w:color w:val="000000"/>
                      <w:kern w:val="2"/>
                      <w:sz w:val="21"/>
                      <w:szCs w:val="21"/>
                      <w:lang w:val="en-US" w:eastAsia="zh-CN" w:bidi="ar-SA"/>
                    </w:rPr>
                    <w:t>1</w:t>
                  </w:r>
                  <w:r>
                    <w:rPr>
                      <w:rFonts w:hint="eastAsia" w:ascii="Times New Roman" w:hAnsi="Times New Roman" w:eastAsia="宋体" w:cs="Times New Roman"/>
                      <w:b w:val="0"/>
                      <w:bCs w:val="0"/>
                      <w:color w:val="000000"/>
                      <w:kern w:val="2"/>
                      <w:sz w:val="21"/>
                      <w:szCs w:val="21"/>
                      <w:lang w:val="en-US" w:eastAsia="zh-CN" w:bidi="ar-SA"/>
                    </w:rPr>
                    <w:t>-4p</w:t>
                  </w:r>
                </w:p>
              </w:tc>
              <w:tc>
                <w:tcPr>
                  <w:tcW w:w="647" w:type="pct"/>
                  <w:vMerge w:val="continue"/>
                  <w:noWrap w:val="0"/>
                  <w:vAlign w:val="center"/>
                </w:tcPr>
                <w:p w14:paraId="3EDA2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74908E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noWrap w:val="0"/>
                  <w:vAlign w:val="center"/>
                </w:tcPr>
                <w:p w14:paraId="6209C8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148</w:t>
                  </w:r>
                </w:p>
              </w:tc>
              <w:tc>
                <w:tcPr>
                  <w:tcW w:w="833" w:type="pct"/>
                  <w:vMerge w:val="continue"/>
                  <w:noWrap w:val="0"/>
                  <w:vAlign w:val="center"/>
                </w:tcPr>
                <w:p w14:paraId="083F37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0096A0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kern w:val="2"/>
                      <w:sz w:val="21"/>
                      <w:szCs w:val="21"/>
                      <w:lang w:val="en-US" w:eastAsia="zh-CN" w:bidi="ar-SA"/>
                    </w:rPr>
                  </w:pPr>
                </w:p>
              </w:tc>
            </w:tr>
            <w:tr w14:paraId="5B2F3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136611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pacing w:val="-6"/>
                      <w:kern w:val="2"/>
                      <w:sz w:val="21"/>
                      <w:szCs w:val="21"/>
                      <w:lang w:val="en-US" w:eastAsia="zh-CN" w:bidi="ar-SA"/>
                    </w:rPr>
                  </w:pPr>
                  <w:r>
                    <w:rPr>
                      <w:rFonts w:hint="default" w:ascii="Times New Roman" w:hAnsi="Times New Roman" w:eastAsia="宋体" w:cs="Times New Roman"/>
                      <w:b w:val="0"/>
                      <w:bCs w:val="0"/>
                      <w:spacing w:val="-6"/>
                      <w:kern w:val="2"/>
                      <w:sz w:val="21"/>
                      <w:szCs w:val="21"/>
                      <w:lang w:val="en-US" w:eastAsia="zh-CN" w:bidi="ar-SA"/>
                    </w:rPr>
                    <w:t>S</w:t>
                  </w:r>
                  <w:r>
                    <w:rPr>
                      <w:rFonts w:hint="eastAsia" w:cs="Times New Roman"/>
                      <w:b w:val="0"/>
                      <w:bCs w:val="0"/>
                      <w:spacing w:val="-6"/>
                      <w:kern w:val="2"/>
                      <w:sz w:val="21"/>
                      <w:szCs w:val="21"/>
                      <w:lang w:val="en-US" w:eastAsia="zh-CN" w:bidi="ar-SA"/>
                    </w:rPr>
                    <w:t>240530E68</w:t>
                  </w:r>
                  <w:r>
                    <w:rPr>
                      <w:rFonts w:hint="default" w:ascii="Times New Roman" w:hAnsi="Times New Roman" w:eastAsia="宋体" w:cs="Times New Roman"/>
                      <w:b w:val="0"/>
                      <w:bCs w:val="0"/>
                      <w:spacing w:val="-6"/>
                      <w:kern w:val="2"/>
                      <w:sz w:val="21"/>
                      <w:szCs w:val="21"/>
                      <w:lang w:val="en-US" w:eastAsia="zh-CN" w:bidi="ar-SA"/>
                    </w:rPr>
                    <w:t>-</w:t>
                  </w:r>
                  <w:r>
                    <w:rPr>
                      <w:rFonts w:hint="eastAsia" w:cs="Times New Roman"/>
                      <w:b w:val="0"/>
                      <w:bCs w:val="0"/>
                      <w:spacing w:val="-6"/>
                      <w:kern w:val="2"/>
                      <w:sz w:val="21"/>
                      <w:szCs w:val="21"/>
                      <w:lang w:val="en-US" w:eastAsia="zh-CN" w:bidi="ar-SA"/>
                    </w:rPr>
                    <w:t>2</w:t>
                  </w:r>
                  <w:r>
                    <w:rPr>
                      <w:rFonts w:hint="default" w:ascii="Times New Roman" w:hAnsi="Times New Roman" w:eastAsia="宋体" w:cs="Times New Roman"/>
                      <w:b w:val="0"/>
                      <w:bCs w:val="0"/>
                      <w:spacing w:val="-6"/>
                      <w:kern w:val="2"/>
                      <w:sz w:val="21"/>
                      <w:szCs w:val="21"/>
                      <w:lang w:val="en-US" w:eastAsia="zh-CN" w:bidi="ar-SA"/>
                    </w:rPr>
                    <w:t>-4</w:t>
                  </w:r>
                </w:p>
              </w:tc>
              <w:tc>
                <w:tcPr>
                  <w:tcW w:w="647" w:type="pct"/>
                  <w:vMerge w:val="restart"/>
                  <w:noWrap w:val="0"/>
                  <w:vAlign w:val="center"/>
                </w:tcPr>
                <w:p w14:paraId="51F179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sz w:val="21"/>
                      <w:szCs w:val="21"/>
                      <w:lang w:val="en-US" w:eastAsia="zh-CN"/>
                    </w:rPr>
                    <w:t>阴离子表面活性剂</w:t>
                  </w:r>
                </w:p>
              </w:tc>
              <w:tc>
                <w:tcPr>
                  <w:tcW w:w="833" w:type="pct"/>
                  <w:vMerge w:val="restart"/>
                  <w:noWrap w:val="0"/>
                  <w:vAlign w:val="center"/>
                </w:tcPr>
                <w:p w14:paraId="514BFE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833" w:type="pct"/>
                  <w:noWrap w:val="0"/>
                  <w:vAlign w:val="center"/>
                </w:tcPr>
                <w:p w14:paraId="60696A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0.131</w:t>
                  </w:r>
                </w:p>
              </w:tc>
              <w:tc>
                <w:tcPr>
                  <w:tcW w:w="833" w:type="pct"/>
                  <w:vMerge w:val="restart"/>
                  <w:noWrap w:val="0"/>
                  <w:vAlign w:val="center"/>
                </w:tcPr>
                <w:p w14:paraId="71BE47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4.38</w:t>
                  </w:r>
                </w:p>
              </w:tc>
              <w:tc>
                <w:tcPr>
                  <w:tcW w:w="833" w:type="pct"/>
                  <w:vMerge w:val="restart"/>
                  <w:noWrap w:val="0"/>
                  <w:vAlign w:val="center"/>
                </w:tcPr>
                <w:p w14:paraId="59210A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4F148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0F16E6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S</w:t>
                  </w:r>
                  <w:r>
                    <w:rPr>
                      <w:rFonts w:hint="eastAsia" w:cs="Times New Roman"/>
                      <w:b w:val="0"/>
                      <w:bCs w:val="0"/>
                      <w:color w:val="000000"/>
                      <w:kern w:val="2"/>
                      <w:sz w:val="21"/>
                      <w:szCs w:val="21"/>
                      <w:lang w:val="en-US" w:eastAsia="zh-CN" w:bidi="ar-SA"/>
                    </w:rPr>
                    <w:t>240530E68</w:t>
                  </w:r>
                  <w:r>
                    <w:rPr>
                      <w:rFonts w:hint="eastAsia" w:ascii="Times New Roman" w:hAnsi="Times New Roman" w:eastAsia="宋体" w:cs="Times New Roman"/>
                      <w:b w:val="0"/>
                      <w:bCs w:val="0"/>
                      <w:color w:val="000000"/>
                      <w:kern w:val="2"/>
                      <w:sz w:val="21"/>
                      <w:szCs w:val="21"/>
                      <w:lang w:val="en-US" w:eastAsia="zh-CN" w:bidi="ar-SA"/>
                    </w:rPr>
                    <w:t>-</w:t>
                  </w:r>
                  <w:r>
                    <w:rPr>
                      <w:rFonts w:hint="eastAsia" w:cs="Times New Roman"/>
                      <w:b w:val="0"/>
                      <w:bCs w:val="0"/>
                      <w:color w:val="000000"/>
                      <w:kern w:val="2"/>
                      <w:sz w:val="21"/>
                      <w:szCs w:val="21"/>
                      <w:lang w:val="en-US" w:eastAsia="zh-CN" w:bidi="ar-SA"/>
                    </w:rPr>
                    <w:t>2</w:t>
                  </w:r>
                  <w:r>
                    <w:rPr>
                      <w:rFonts w:hint="eastAsia" w:ascii="Times New Roman" w:hAnsi="Times New Roman" w:eastAsia="宋体" w:cs="Times New Roman"/>
                      <w:b w:val="0"/>
                      <w:bCs w:val="0"/>
                      <w:color w:val="000000"/>
                      <w:kern w:val="2"/>
                      <w:sz w:val="21"/>
                      <w:szCs w:val="21"/>
                      <w:lang w:val="en-US" w:eastAsia="zh-CN" w:bidi="ar-SA"/>
                    </w:rPr>
                    <w:t>-4p</w:t>
                  </w:r>
                </w:p>
              </w:tc>
              <w:tc>
                <w:tcPr>
                  <w:tcW w:w="647" w:type="pct"/>
                  <w:vMerge w:val="continue"/>
                  <w:noWrap w:val="0"/>
                  <w:vAlign w:val="center"/>
                </w:tcPr>
                <w:p w14:paraId="05FF49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68BE0E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noWrap w:val="0"/>
                  <w:vAlign w:val="center"/>
                </w:tcPr>
                <w:p w14:paraId="27C252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0.120</w:t>
                  </w:r>
                </w:p>
              </w:tc>
              <w:tc>
                <w:tcPr>
                  <w:tcW w:w="833" w:type="pct"/>
                  <w:vMerge w:val="continue"/>
                  <w:noWrap w:val="0"/>
                  <w:vAlign w:val="center"/>
                </w:tcPr>
                <w:p w14:paraId="00241C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2C8EFC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kern w:val="2"/>
                      <w:sz w:val="21"/>
                      <w:szCs w:val="21"/>
                      <w:lang w:val="en-US" w:eastAsia="zh-CN" w:bidi="ar-SA"/>
                    </w:rPr>
                  </w:pPr>
                </w:p>
              </w:tc>
            </w:tr>
            <w:tr w14:paraId="28852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3B0670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pacing w:val="-6"/>
                      <w:kern w:val="2"/>
                      <w:sz w:val="21"/>
                      <w:szCs w:val="21"/>
                      <w:lang w:val="en-US" w:eastAsia="zh-CN" w:bidi="ar-SA"/>
                    </w:rPr>
                  </w:pPr>
                  <w:r>
                    <w:rPr>
                      <w:rFonts w:hint="default" w:ascii="Times New Roman" w:hAnsi="Times New Roman" w:eastAsia="宋体" w:cs="Times New Roman"/>
                      <w:b w:val="0"/>
                      <w:bCs w:val="0"/>
                      <w:spacing w:val="-6"/>
                      <w:kern w:val="2"/>
                      <w:sz w:val="21"/>
                      <w:szCs w:val="21"/>
                      <w:lang w:val="en-US" w:eastAsia="zh-CN" w:bidi="ar-SA"/>
                    </w:rPr>
                    <w:t>S</w:t>
                  </w:r>
                  <w:r>
                    <w:rPr>
                      <w:rFonts w:hint="eastAsia" w:cs="Times New Roman"/>
                      <w:b w:val="0"/>
                      <w:bCs w:val="0"/>
                      <w:spacing w:val="-6"/>
                      <w:kern w:val="2"/>
                      <w:sz w:val="21"/>
                      <w:szCs w:val="21"/>
                      <w:lang w:val="en-US" w:eastAsia="zh-CN" w:bidi="ar-SA"/>
                    </w:rPr>
                    <w:t>240531E68</w:t>
                  </w:r>
                  <w:r>
                    <w:rPr>
                      <w:rFonts w:hint="default" w:ascii="Times New Roman" w:hAnsi="Times New Roman" w:eastAsia="宋体" w:cs="Times New Roman"/>
                      <w:b w:val="0"/>
                      <w:bCs w:val="0"/>
                      <w:spacing w:val="-6"/>
                      <w:kern w:val="2"/>
                      <w:sz w:val="21"/>
                      <w:szCs w:val="21"/>
                      <w:lang w:val="en-US" w:eastAsia="zh-CN" w:bidi="ar-SA"/>
                    </w:rPr>
                    <w:t>-</w:t>
                  </w:r>
                  <w:r>
                    <w:rPr>
                      <w:rFonts w:hint="eastAsia" w:cs="Times New Roman"/>
                      <w:b w:val="0"/>
                      <w:bCs w:val="0"/>
                      <w:spacing w:val="-6"/>
                      <w:kern w:val="2"/>
                      <w:sz w:val="21"/>
                      <w:szCs w:val="21"/>
                      <w:lang w:val="en-US" w:eastAsia="zh-CN" w:bidi="ar-SA"/>
                    </w:rPr>
                    <w:t>2</w:t>
                  </w:r>
                  <w:r>
                    <w:rPr>
                      <w:rFonts w:hint="default" w:ascii="Times New Roman" w:hAnsi="Times New Roman" w:eastAsia="宋体" w:cs="Times New Roman"/>
                      <w:b w:val="0"/>
                      <w:bCs w:val="0"/>
                      <w:spacing w:val="-6"/>
                      <w:kern w:val="2"/>
                      <w:sz w:val="21"/>
                      <w:szCs w:val="21"/>
                      <w:lang w:val="en-US" w:eastAsia="zh-CN" w:bidi="ar-SA"/>
                    </w:rPr>
                    <w:t>-4</w:t>
                  </w:r>
                </w:p>
              </w:tc>
              <w:tc>
                <w:tcPr>
                  <w:tcW w:w="647" w:type="pct"/>
                  <w:vMerge w:val="restart"/>
                  <w:noWrap w:val="0"/>
                  <w:vAlign w:val="center"/>
                </w:tcPr>
                <w:p w14:paraId="690543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sz w:val="21"/>
                      <w:szCs w:val="21"/>
                      <w:lang w:val="en-US" w:eastAsia="zh-CN"/>
                    </w:rPr>
                    <w:t>阴离子表面活性剂</w:t>
                  </w:r>
                </w:p>
              </w:tc>
              <w:tc>
                <w:tcPr>
                  <w:tcW w:w="833" w:type="pct"/>
                  <w:vMerge w:val="restart"/>
                  <w:noWrap w:val="0"/>
                  <w:vAlign w:val="center"/>
                </w:tcPr>
                <w:p w14:paraId="3BFB9D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mg/L</w:t>
                  </w:r>
                </w:p>
              </w:tc>
              <w:tc>
                <w:tcPr>
                  <w:tcW w:w="833" w:type="pct"/>
                  <w:noWrap w:val="0"/>
                  <w:vAlign w:val="center"/>
                </w:tcPr>
                <w:p w14:paraId="15CAEF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0.093</w:t>
                  </w:r>
                </w:p>
              </w:tc>
              <w:tc>
                <w:tcPr>
                  <w:tcW w:w="833" w:type="pct"/>
                  <w:vMerge w:val="restart"/>
                  <w:noWrap w:val="0"/>
                  <w:vAlign w:val="center"/>
                </w:tcPr>
                <w:p w14:paraId="1CDFC8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1.64</w:t>
                  </w:r>
                </w:p>
              </w:tc>
              <w:tc>
                <w:tcPr>
                  <w:tcW w:w="833" w:type="pct"/>
                  <w:vMerge w:val="restart"/>
                  <w:noWrap w:val="0"/>
                  <w:vAlign w:val="center"/>
                </w:tcPr>
                <w:p w14:paraId="0626DC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符合</w:t>
                  </w:r>
                </w:p>
              </w:tc>
            </w:tr>
            <w:tr w14:paraId="66B74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noWrap w:val="0"/>
                  <w:vAlign w:val="center"/>
                </w:tcPr>
                <w:p w14:paraId="59A97B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S</w:t>
                  </w:r>
                  <w:r>
                    <w:rPr>
                      <w:rFonts w:hint="eastAsia" w:cs="Times New Roman"/>
                      <w:b w:val="0"/>
                      <w:bCs w:val="0"/>
                      <w:color w:val="000000"/>
                      <w:kern w:val="2"/>
                      <w:sz w:val="21"/>
                      <w:szCs w:val="21"/>
                      <w:lang w:val="en-US" w:eastAsia="zh-CN" w:bidi="ar-SA"/>
                    </w:rPr>
                    <w:t>240531E68</w:t>
                  </w:r>
                  <w:r>
                    <w:rPr>
                      <w:rFonts w:hint="eastAsia" w:ascii="Times New Roman" w:hAnsi="Times New Roman" w:eastAsia="宋体" w:cs="Times New Roman"/>
                      <w:b w:val="0"/>
                      <w:bCs w:val="0"/>
                      <w:color w:val="000000"/>
                      <w:kern w:val="2"/>
                      <w:sz w:val="21"/>
                      <w:szCs w:val="21"/>
                      <w:lang w:val="en-US" w:eastAsia="zh-CN" w:bidi="ar-SA"/>
                    </w:rPr>
                    <w:t>-</w:t>
                  </w:r>
                  <w:r>
                    <w:rPr>
                      <w:rFonts w:hint="eastAsia" w:cs="Times New Roman"/>
                      <w:b w:val="0"/>
                      <w:bCs w:val="0"/>
                      <w:color w:val="000000"/>
                      <w:kern w:val="2"/>
                      <w:sz w:val="21"/>
                      <w:szCs w:val="21"/>
                      <w:lang w:val="en-US" w:eastAsia="zh-CN" w:bidi="ar-SA"/>
                    </w:rPr>
                    <w:t>2</w:t>
                  </w:r>
                  <w:r>
                    <w:rPr>
                      <w:rFonts w:hint="eastAsia" w:ascii="Times New Roman" w:hAnsi="Times New Roman" w:eastAsia="宋体" w:cs="Times New Roman"/>
                      <w:b w:val="0"/>
                      <w:bCs w:val="0"/>
                      <w:color w:val="000000"/>
                      <w:kern w:val="2"/>
                      <w:sz w:val="21"/>
                      <w:szCs w:val="21"/>
                      <w:lang w:val="en-US" w:eastAsia="zh-CN" w:bidi="ar-SA"/>
                    </w:rPr>
                    <w:t>-4p</w:t>
                  </w:r>
                </w:p>
              </w:tc>
              <w:tc>
                <w:tcPr>
                  <w:tcW w:w="647" w:type="pct"/>
                  <w:vMerge w:val="continue"/>
                  <w:noWrap w:val="0"/>
                  <w:vAlign w:val="center"/>
                </w:tcPr>
                <w:p w14:paraId="0E692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6D36D1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noWrap w:val="0"/>
                  <w:vAlign w:val="center"/>
                </w:tcPr>
                <w:p w14:paraId="1D2630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0.090</w:t>
                  </w:r>
                </w:p>
              </w:tc>
              <w:tc>
                <w:tcPr>
                  <w:tcW w:w="833" w:type="pct"/>
                  <w:vMerge w:val="continue"/>
                  <w:noWrap w:val="0"/>
                  <w:vAlign w:val="center"/>
                </w:tcPr>
                <w:p w14:paraId="229291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833" w:type="pct"/>
                  <w:vMerge w:val="continue"/>
                  <w:noWrap w:val="0"/>
                  <w:vAlign w:val="center"/>
                </w:tcPr>
                <w:p w14:paraId="1FEA00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kern w:val="2"/>
                      <w:sz w:val="21"/>
                      <w:szCs w:val="21"/>
                      <w:lang w:val="en-US" w:eastAsia="zh-CN" w:bidi="ar-SA"/>
                    </w:rPr>
                  </w:pPr>
                </w:p>
              </w:tc>
            </w:tr>
          </w:tbl>
          <w:p w14:paraId="44656E7A">
            <w:pPr>
              <w:pStyle w:val="46"/>
              <w:ind w:firstLine="0" w:firstLineChars="0"/>
              <w:rPr>
                <w:rFonts w:ascii="Times New Roman" w:hAnsi="Times New Roman"/>
                <w:b/>
              </w:rPr>
            </w:pPr>
          </w:p>
        </w:tc>
      </w:tr>
      <w:tr w14:paraId="7DCE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05" w:hRule="atLeast"/>
          <w:jc w:val="center"/>
        </w:trPr>
        <w:tc>
          <w:tcPr>
            <w:tcW w:w="9242" w:type="dxa"/>
            <w:tcBorders>
              <w:bottom w:val="single" w:color="auto" w:sz="4" w:space="0"/>
            </w:tcBorders>
          </w:tcPr>
          <w:p w14:paraId="34B382C9">
            <w:pPr>
              <w:pStyle w:val="46"/>
              <w:ind w:firstLine="482"/>
              <w:jc w:val="center"/>
              <w:rPr>
                <w:rFonts w:hint="eastAsia" w:ascii="Times New Roman" w:hAnsi="Times New Roman"/>
                <w:b/>
                <w:kern w:val="2"/>
                <w:sz w:val="24"/>
                <w:szCs w:val="24"/>
                <w:lang w:val="en-US" w:eastAsia="zh-CN"/>
              </w:rPr>
            </w:pPr>
            <w:r>
              <w:rPr>
                <w:rFonts w:hint="eastAsia" w:ascii="Times New Roman" w:hAnsi="Times New Roman"/>
                <w:b/>
                <w:kern w:val="2"/>
                <w:sz w:val="24"/>
                <w:szCs w:val="24"/>
                <w:lang w:val="en-US" w:eastAsia="zh-CN"/>
              </w:rPr>
              <w:t>表5-10标样质控结果表</w:t>
            </w:r>
          </w:p>
          <w:tbl>
            <w:tblPr>
              <w:tblStyle w:val="2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7"/>
              <w:gridCol w:w="1870"/>
              <w:gridCol w:w="1751"/>
              <w:gridCol w:w="1751"/>
              <w:gridCol w:w="1755"/>
            </w:tblGrid>
            <w:tr w14:paraId="10142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1" w:type="pct"/>
                  <w:tcBorders>
                    <w:top w:val="single" w:color="auto" w:sz="12" w:space="0"/>
                  </w:tcBorders>
                  <w:noWrap w:val="0"/>
                  <w:vAlign w:val="center"/>
                </w:tcPr>
                <w:p w14:paraId="5337A3E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检测项目</w:t>
                  </w:r>
                </w:p>
              </w:tc>
              <w:tc>
                <w:tcPr>
                  <w:tcW w:w="1036" w:type="pct"/>
                  <w:tcBorders>
                    <w:top w:val="single" w:color="auto" w:sz="12" w:space="0"/>
                  </w:tcBorders>
                  <w:noWrap w:val="0"/>
                  <w:vAlign w:val="center"/>
                </w:tcPr>
                <w:p w14:paraId="233204C7">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kern w:val="2"/>
                      <w:sz w:val="21"/>
                      <w:szCs w:val="21"/>
                      <w:lang w:val="en-US" w:eastAsia="zh-CN" w:bidi="ar-SA"/>
                    </w:rPr>
                  </w:pPr>
                  <w:r>
                    <w:rPr>
                      <w:rFonts w:hint="eastAsia" w:cs="Times New Roman"/>
                      <w:kern w:val="0"/>
                      <w:sz w:val="21"/>
                      <w:szCs w:val="21"/>
                      <w:lang w:val="en-US" w:eastAsia="zh-CN" w:bidi="ar"/>
                    </w:rPr>
                    <w:t>质</w:t>
                  </w:r>
                  <w:r>
                    <w:rPr>
                      <w:rFonts w:hint="default" w:ascii="Times New Roman" w:hAnsi="Times New Roman" w:eastAsia="宋体" w:cs="Times New Roman"/>
                      <w:kern w:val="0"/>
                      <w:sz w:val="21"/>
                      <w:szCs w:val="21"/>
                      <w:lang w:bidi="ar"/>
                    </w:rPr>
                    <w:t>控样编号</w:t>
                  </w:r>
                  <w:r>
                    <w:rPr>
                      <w:rFonts w:hint="eastAsia" w:cs="Times New Roman"/>
                      <w:kern w:val="0"/>
                      <w:sz w:val="21"/>
                      <w:szCs w:val="21"/>
                      <w:lang w:val="en-US" w:eastAsia="zh-CN" w:bidi="ar"/>
                    </w:rPr>
                    <w:t>/批号</w:t>
                  </w:r>
                </w:p>
              </w:tc>
              <w:tc>
                <w:tcPr>
                  <w:tcW w:w="970" w:type="pct"/>
                  <w:tcBorders>
                    <w:top w:val="single" w:color="auto" w:sz="12" w:space="0"/>
                  </w:tcBorders>
                  <w:noWrap w:val="0"/>
                  <w:vAlign w:val="center"/>
                </w:tcPr>
                <w:p w14:paraId="6F674FBF">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cs="Times New Roman"/>
                      <w:sz w:val="21"/>
                      <w:szCs w:val="21"/>
                      <w:lang w:val="en-US" w:eastAsia="zh-CN"/>
                    </w:rPr>
                  </w:pPr>
                  <w:r>
                    <w:rPr>
                      <w:rFonts w:hint="eastAsia" w:cs="Times New Roman"/>
                      <w:sz w:val="21"/>
                      <w:szCs w:val="21"/>
                      <w:lang w:val="en-US" w:eastAsia="zh-CN"/>
                    </w:rPr>
                    <w:t>标准值</w:t>
                  </w:r>
                </w:p>
                <w:p w14:paraId="1668CDBB">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mg/L</w:t>
                  </w:r>
                </w:p>
              </w:tc>
              <w:tc>
                <w:tcPr>
                  <w:tcW w:w="970" w:type="pct"/>
                  <w:tcBorders>
                    <w:top w:val="single" w:color="auto" w:sz="12" w:space="0"/>
                  </w:tcBorders>
                  <w:noWrap w:val="0"/>
                  <w:vAlign w:val="center"/>
                </w:tcPr>
                <w:p w14:paraId="546C6B26">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cs="Times New Roman"/>
                      <w:sz w:val="21"/>
                      <w:szCs w:val="21"/>
                      <w:lang w:val="en-US" w:eastAsia="zh-CN"/>
                    </w:rPr>
                  </w:pPr>
                  <w:r>
                    <w:rPr>
                      <w:rFonts w:hint="eastAsia" w:cs="Times New Roman"/>
                      <w:sz w:val="21"/>
                      <w:szCs w:val="21"/>
                      <w:lang w:val="en-US" w:eastAsia="zh-CN"/>
                    </w:rPr>
                    <w:t>测定值</w:t>
                  </w:r>
                </w:p>
                <w:p w14:paraId="75B2A351">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mg/L</w:t>
                  </w:r>
                </w:p>
              </w:tc>
              <w:tc>
                <w:tcPr>
                  <w:tcW w:w="970" w:type="pct"/>
                  <w:tcBorders>
                    <w:top w:val="single" w:color="auto" w:sz="12" w:space="0"/>
                  </w:tcBorders>
                  <w:noWrap w:val="0"/>
                  <w:vAlign w:val="center"/>
                </w:tcPr>
                <w:p w14:paraId="0F10F95D">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cs="Times New Roman"/>
                      <w:sz w:val="21"/>
                      <w:szCs w:val="21"/>
                      <w:lang w:val="en-US" w:eastAsia="zh-CN"/>
                    </w:rPr>
                  </w:pPr>
                  <w:r>
                    <w:rPr>
                      <w:rFonts w:hint="eastAsia" w:cs="Times New Roman"/>
                      <w:sz w:val="21"/>
                      <w:szCs w:val="21"/>
                      <w:lang w:val="en-US" w:eastAsia="zh-CN"/>
                    </w:rPr>
                    <w:t>符合性</w:t>
                  </w:r>
                </w:p>
              </w:tc>
            </w:tr>
            <w:tr w14:paraId="7751D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1" w:type="pct"/>
                  <w:noWrap w:val="0"/>
                  <w:vAlign w:val="center"/>
                </w:tcPr>
                <w:p w14:paraId="39AD47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pH</w:t>
                  </w:r>
                </w:p>
              </w:tc>
              <w:tc>
                <w:tcPr>
                  <w:tcW w:w="1036" w:type="pct"/>
                  <w:noWrap w:val="0"/>
                  <w:vAlign w:val="center"/>
                </w:tcPr>
                <w:p w14:paraId="0D95BDD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GSB07-3159-2014</w:t>
                  </w:r>
                </w:p>
                <w:p w14:paraId="7FAA3E2D">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pacing w:val="-6"/>
                      <w:kern w:val="2"/>
                      <w:sz w:val="21"/>
                      <w:szCs w:val="21"/>
                      <w:lang w:val="en-US" w:eastAsia="zh-CN" w:bidi="ar-SA"/>
                    </w:rPr>
                  </w:pPr>
                  <w:r>
                    <w:rPr>
                      <w:rFonts w:hint="eastAsia" w:ascii="Times New Roman" w:hAnsi="Times New Roman" w:eastAsia="宋体" w:cs="Times New Roman"/>
                      <w:color w:val="auto"/>
                      <w:sz w:val="21"/>
                      <w:szCs w:val="21"/>
                      <w:lang w:val="en-US" w:eastAsia="zh-CN"/>
                    </w:rPr>
                    <w:t>2021110</w:t>
                  </w:r>
                </w:p>
              </w:tc>
              <w:tc>
                <w:tcPr>
                  <w:tcW w:w="970" w:type="pct"/>
                  <w:noWrap w:val="0"/>
                  <w:vAlign w:val="center"/>
                </w:tcPr>
                <w:p w14:paraId="0A0FF9F3">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olor w:val="auto"/>
                      <w:sz w:val="21"/>
                      <w:szCs w:val="21"/>
                      <w:lang w:val="en-US" w:eastAsia="zh-CN"/>
                    </w:rPr>
                    <w:t>4.13</w:t>
                  </w:r>
                  <w:r>
                    <w:rPr>
                      <w:rFonts w:hint="eastAsia"/>
                      <w:sz w:val="21"/>
                      <w:szCs w:val="21"/>
                      <w:lang w:val="en-US" w:eastAsia="zh-CN"/>
                    </w:rPr>
                    <w:t>±</w:t>
                  </w:r>
                  <w:r>
                    <w:rPr>
                      <w:rFonts w:hint="default"/>
                      <w:color w:val="auto"/>
                      <w:sz w:val="21"/>
                      <w:szCs w:val="21"/>
                    </w:rPr>
                    <w:t>0</w:t>
                  </w:r>
                  <w:r>
                    <w:rPr>
                      <w:rFonts w:hint="eastAsia"/>
                      <w:color w:val="auto"/>
                      <w:sz w:val="21"/>
                      <w:szCs w:val="21"/>
                      <w:lang w:val="en-US" w:eastAsia="zh-CN"/>
                    </w:rPr>
                    <w:t>.05</w:t>
                  </w:r>
                </w:p>
              </w:tc>
              <w:tc>
                <w:tcPr>
                  <w:tcW w:w="970" w:type="pct"/>
                  <w:noWrap w:val="0"/>
                  <w:vAlign w:val="center"/>
                </w:tcPr>
                <w:p w14:paraId="1C8F2DC7">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4.1</w:t>
                  </w:r>
                </w:p>
              </w:tc>
              <w:tc>
                <w:tcPr>
                  <w:tcW w:w="970" w:type="pct"/>
                  <w:noWrap w:val="0"/>
                  <w:vAlign w:val="center"/>
                </w:tcPr>
                <w:p w14:paraId="78B224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符合</w:t>
                  </w:r>
                </w:p>
              </w:tc>
            </w:tr>
            <w:tr w14:paraId="4D914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1" w:type="pct"/>
                  <w:noWrap w:val="0"/>
                  <w:vAlign w:val="center"/>
                </w:tcPr>
                <w:p w14:paraId="44D48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氨氮</w:t>
                  </w:r>
                </w:p>
              </w:tc>
              <w:tc>
                <w:tcPr>
                  <w:tcW w:w="1036" w:type="pct"/>
                  <w:noWrap w:val="0"/>
                  <w:vAlign w:val="center"/>
                </w:tcPr>
                <w:p w14:paraId="744CAF9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GSB07-3164-2014</w:t>
                  </w:r>
                </w:p>
                <w:p w14:paraId="0632728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2005177</w:t>
                  </w:r>
                </w:p>
              </w:tc>
              <w:tc>
                <w:tcPr>
                  <w:tcW w:w="970" w:type="pct"/>
                  <w:noWrap w:val="0"/>
                  <w:vAlign w:val="center"/>
                </w:tcPr>
                <w:p w14:paraId="1A98C2C2">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color w:val="000000"/>
                      <w:sz w:val="21"/>
                      <w:szCs w:val="21"/>
                      <w:lang w:val="en-US" w:eastAsia="zh-CN"/>
                    </w:rPr>
                    <w:t>3.00</w:t>
                  </w:r>
                  <w:r>
                    <w:rPr>
                      <w:rFonts w:hint="eastAsia" w:ascii="Times New Roman" w:hAnsi="Times New Roman" w:cs="Times New Roman"/>
                      <w:color w:val="000000"/>
                      <w:sz w:val="21"/>
                      <w:szCs w:val="21"/>
                      <w:lang w:val="en-US" w:eastAsia="zh-CN"/>
                    </w:rPr>
                    <w:t>±</w:t>
                  </w:r>
                  <w:r>
                    <w:rPr>
                      <w:rFonts w:hint="eastAsia" w:cs="Times New Roman"/>
                      <w:color w:val="000000"/>
                      <w:sz w:val="21"/>
                      <w:szCs w:val="21"/>
                      <w:lang w:val="en-US" w:eastAsia="zh-CN"/>
                    </w:rPr>
                    <w:t>0.11</w:t>
                  </w:r>
                </w:p>
              </w:tc>
              <w:tc>
                <w:tcPr>
                  <w:tcW w:w="970" w:type="pct"/>
                  <w:noWrap w:val="0"/>
                  <w:vAlign w:val="center"/>
                </w:tcPr>
                <w:p w14:paraId="51DDE3DE">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2.96</w:t>
                  </w:r>
                </w:p>
              </w:tc>
              <w:tc>
                <w:tcPr>
                  <w:tcW w:w="970" w:type="pct"/>
                  <w:noWrap w:val="0"/>
                  <w:vAlign w:val="center"/>
                </w:tcPr>
                <w:p w14:paraId="375735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符合</w:t>
                  </w:r>
                </w:p>
              </w:tc>
            </w:tr>
            <w:tr w14:paraId="4F4E5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1" w:type="pct"/>
                  <w:noWrap w:val="0"/>
                  <w:vAlign w:val="center"/>
                </w:tcPr>
                <w:p w14:paraId="4759A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化学需氧量</w:t>
                  </w:r>
                </w:p>
              </w:tc>
              <w:tc>
                <w:tcPr>
                  <w:tcW w:w="1036" w:type="pct"/>
                  <w:noWrap w:val="0"/>
                  <w:vAlign w:val="center"/>
                </w:tcPr>
                <w:p w14:paraId="6AC109B0">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GSB07-3161-2014</w:t>
                  </w:r>
                </w:p>
                <w:p w14:paraId="189E2C77">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2001185</w:t>
                  </w:r>
                </w:p>
              </w:tc>
              <w:tc>
                <w:tcPr>
                  <w:tcW w:w="970" w:type="pct"/>
                  <w:noWrap w:val="0"/>
                  <w:vAlign w:val="center"/>
                </w:tcPr>
                <w:p w14:paraId="1ECDFF3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125±7</w:t>
                  </w:r>
                </w:p>
              </w:tc>
              <w:tc>
                <w:tcPr>
                  <w:tcW w:w="970" w:type="pct"/>
                  <w:noWrap w:val="0"/>
                  <w:vAlign w:val="center"/>
                </w:tcPr>
                <w:p w14:paraId="6C0F83DF">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128</w:t>
                  </w:r>
                </w:p>
              </w:tc>
              <w:tc>
                <w:tcPr>
                  <w:tcW w:w="970" w:type="pct"/>
                  <w:noWrap w:val="0"/>
                  <w:vAlign w:val="center"/>
                </w:tcPr>
                <w:p w14:paraId="7454B2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符合</w:t>
                  </w:r>
                </w:p>
              </w:tc>
            </w:tr>
            <w:tr w14:paraId="28184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1" w:type="pct"/>
                  <w:noWrap w:val="0"/>
                  <w:vAlign w:val="center"/>
                </w:tcPr>
                <w:p w14:paraId="5A1A8B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化学需氧量</w:t>
                  </w:r>
                </w:p>
              </w:tc>
              <w:tc>
                <w:tcPr>
                  <w:tcW w:w="1036" w:type="pct"/>
                  <w:noWrap w:val="0"/>
                  <w:vAlign w:val="center"/>
                </w:tcPr>
                <w:p w14:paraId="34946C6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GSB07-3161-2014</w:t>
                  </w:r>
                </w:p>
                <w:p w14:paraId="091E495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2001170</w:t>
                  </w:r>
                </w:p>
              </w:tc>
              <w:tc>
                <w:tcPr>
                  <w:tcW w:w="970" w:type="pct"/>
                  <w:noWrap w:val="0"/>
                  <w:vAlign w:val="center"/>
                </w:tcPr>
                <w:p w14:paraId="08F56F03">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48.1±3.3</w:t>
                  </w:r>
                </w:p>
              </w:tc>
              <w:tc>
                <w:tcPr>
                  <w:tcW w:w="970" w:type="pct"/>
                  <w:noWrap w:val="0"/>
                  <w:vAlign w:val="center"/>
                </w:tcPr>
                <w:p w14:paraId="723BF520">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46</w:t>
                  </w:r>
                </w:p>
              </w:tc>
              <w:tc>
                <w:tcPr>
                  <w:tcW w:w="970" w:type="pct"/>
                  <w:noWrap w:val="0"/>
                  <w:vAlign w:val="center"/>
                </w:tcPr>
                <w:p w14:paraId="3628A1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符合</w:t>
                  </w:r>
                </w:p>
              </w:tc>
            </w:tr>
            <w:tr w14:paraId="107C5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1" w:type="pct"/>
                  <w:noWrap w:val="0"/>
                  <w:vAlign w:val="center"/>
                </w:tcPr>
                <w:p w14:paraId="61565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五日生化需氧量</w:t>
                  </w:r>
                </w:p>
              </w:tc>
              <w:tc>
                <w:tcPr>
                  <w:tcW w:w="1036" w:type="pct"/>
                  <w:noWrap w:val="0"/>
                  <w:vAlign w:val="center"/>
                </w:tcPr>
                <w:p w14:paraId="37ECE72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GSB</w:t>
                  </w:r>
                  <w:r>
                    <w:rPr>
                      <w:rFonts w:hint="default" w:ascii="Times New Roman" w:hAnsi="Times New Roman" w:eastAsia="宋体" w:cs="Times New Roman"/>
                      <w:b w:val="0"/>
                      <w:bCs w:val="0"/>
                      <w:color w:val="auto"/>
                      <w:sz w:val="21"/>
                      <w:szCs w:val="21"/>
                      <w:lang w:val="en-US" w:eastAsia="zh-CN"/>
                    </w:rPr>
                    <w:t>07-</w:t>
                  </w:r>
                  <w:r>
                    <w:rPr>
                      <w:rFonts w:hint="eastAsia" w:ascii="Times New Roman" w:hAnsi="Times New Roman" w:eastAsia="宋体" w:cs="Times New Roman"/>
                      <w:color w:val="auto"/>
                      <w:sz w:val="21"/>
                      <w:szCs w:val="21"/>
                      <w:lang w:val="en-US" w:eastAsia="zh-CN"/>
                    </w:rPr>
                    <w:t>316</w:t>
                  </w:r>
                  <w:r>
                    <w:rPr>
                      <w:rFonts w:hint="eastAsia" w:cs="Times New Roman"/>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-20</w:t>
                  </w:r>
                  <w:r>
                    <w:rPr>
                      <w:rFonts w:hint="eastAsia" w:cs="Times New Roman"/>
                      <w:b w:val="0"/>
                      <w:bCs w:val="0"/>
                      <w:color w:val="auto"/>
                      <w:sz w:val="21"/>
                      <w:szCs w:val="21"/>
                      <w:lang w:val="en-US" w:eastAsia="zh-CN"/>
                    </w:rPr>
                    <w:t>14</w:t>
                  </w:r>
                </w:p>
                <w:p w14:paraId="5CCDF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color w:val="auto"/>
                      <w:sz w:val="21"/>
                      <w:szCs w:val="21"/>
                      <w:lang w:val="en-US" w:eastAsia="zh-CN"/>
                    </w:rPr>
                    <w:t>200264</w:t>
                  </w:r>
                </w:p>
              </w:tc>
              <w:tc>
                <w:tcPr>
                  <w:tcW w:w="970" w:type="pct"/>
                  <w:noWrap w:val="0"/>
                  <w:vAlign w:val="center"/>
                </w:tcPr>
                <w:p w14:paraId="073B3CC3">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olor w:val="auto"/>
                      <w:sz w:val="21"/>
                      <w:szCs w:val="21"/>
                      <w:lang w:val="en-US" w:eastAsia="zh-CN"/>
                    </w:rPr>
                    <w:t>119</w:t>
                  </w:r>
                  <w:r>
                    <w:rPr>
                      <w:rFonts w:hint="eastAsia"/>
                      <w:sz w:val="21"/>
                      <w:szCs w:val="21"/>
                      <w:lang w:val="en-US" w:eastAsia="zh-CN"/>
                    </w:rPr>
                    <w:t>±11</w:t>
                  </w:r>
                </w:p>
              </w:tc>
              <w:tc>
                <w:tcPr>
                  <w:tcW w:w="970" w:type="pct"/>
                  <w:noWrap w:val="0"/>
                  <w:vAlign w:val="center"/>
                </w:tcPr>
                <w:p w14:paraId="22F085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 w:val="0"/>
                      <w:bCs w:val="0"/>
                      <w:kern w:val="2"/>
                      <w:sz w:val="21"/>
                      <w:szCs w:val="21"/>
                      <w:lang w:val="en-US" w:eastAsia="zh-CN" w:bidi="ar-SA"/>
                    </w:rPr>
                  </w:pPr>
                  <w:r>
                    <w:rPr>
                      <w:rFonts w:hint="eastAsia" w:cs="Times New Roman"/>
                      <w:b w:val="0"/>
                      <w:bCs w:val="0"/>
                      <w:kern w:val="2"/>
                      <w:sz w:val="21"/>
                      <w:szCs w:val="21"/>
                      <w:lang w:val="en-US" w:eastAsia="zh-CN" w:bidi="ar-SA"/>
                    </w:rPr>
                    <w:t>112</w:t>
                  </w:r>
                </w:p>
              </w:tc>
              <w:tc>
                <w:tcPr>
                  <w:tcW w:w="970" w:type="pct"/>
                  <w:noWrap w:val="0"/>
                  <w:vAlign w:val="center"/>
                </w:tcPr>
                <w:p w14:paraId="4D907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符合</w:t>
                  </w:r>
                </w:p>
              </w:tc>
            </w:tr>
            <w:tr w14:paraId="255D6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1" w:type="pct"/>
                  <w:noWrap w:val="0"/>
                  <w:vAlign w:val="center"/>
                </w:tcPr>
                <w:p w14:paraId="0AC5E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sz w:val="21"/>
                      <w:szCs w:val="21"/>
                      <w:lang w:eastAsia="zh-CN"/>
                    </w:rPr>
                  </w:pPr>
                  <w:r>
                    <w:rPr>
                      <w:rFonts w:hint="eastAsia" w:cs="Times New Roman"/>
                      <w:b w:val="0"/>
                      <w:bCs/>
                      <w:sz w:val="21"/>
                      <w:szCs w:val="21"/>
                      <w:lang w:val="en-US" w:eastAsia="zh-CN"/>
                    </w:rPr>
                    <w:t>阴离子表面活性剂</w:t>
                  </w:r>
                </w:p>
              </w:tc>
              <w:tc>
                <w:tcPr>
                  <w:tcW w:w="1036" w:type="pct"/>
                  <w:noWrap w:val="0"/>
                  <w:vAlign w:val="center"/>
                </w:tcPr>
                <w:p w14:paraId="6B8984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GSB07-1197-2000</w:t>
                  </w:r>
                </w:p>
                <w:p w14:paraId="6D0FF7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204429</w:t>
                  </w:r>
                </w:p>
              </w:tc>
              <w:tc>
                <w:tcPr>
                  <w:tcW w:w="970" w:type="pct"/>
                  <w:noWrap w:val="0"/>
                  <w:vAlign w:val="center"/>
                </w:tcPr>
                <w:p w14:paraId="58A2074E">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0.391</w:t>
                  </w:r>
                  <w:r>
                    <w:rPr>
                      <w:rFonts w:hint="eastAsia"/>
                      <w:sz w:val="21"/>
                      <w:szCs w:val="21"/>
                      <w:lang w:val="en-US" w:eastAsia="zh-CN"/>
                    </w:rPr>
                    <w:t>±0.029</w:t>
                  </w:r>
                </w:p>
              </w:tc>
              <w:tc>
                <w:tcPr>
                  <w:tcW w:w="970" w:type="pct"/>
                  <w:noWrap w:val="0"/>
                  <w:vAlign w:val="center"/>
                </w:tcPr>
                <w:p w14:paraId="013FD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 w:val="0"/>
                      <w:bCs w:val="0"/>
                      <w:kern w:val="2"/>
                      <w:sz w:val="21"/>
                      <w:szCs w:val="21"/>
                      <w:lang w:val="en-US" w:eastAsia="zh-CN" w:bidi="ar-SA"/>
                    </w:rPr>
                  </w:pPr>
                  <w:r>
                    <w:rPr>
                      <w:rFonts w:hint="eastAsia" w:cs="Times New Roman"/>
                      <w:b w:val="0"/>
                      <w:bCs w:val="0"/>
                      <w:kern w:val="2"/>
                      <w:sz w:val="21"/>
                      <w:szCs w:val="21"/>
                      <w:lang w:val="en-US" w:eastAsia="zh-CN" w:bidi="ar-SA"/>
                    </w:rPr>
                    <w:t>0.393</w:t>
                  </w:r>
                </w:p>
              </w:tc>
              <w:tc>
                <w:tcPr>
                  <w:tcW w:w="970" w:type="pct"/>
                  <w:noWrap w:val="0"/>
                  <w:vAlign w:val="center"/>
                </w:tcPr>
                <w:p w14:paraId="526BC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符合</w:t>
                  </w:r>
                </w:p>
              </w:tc>
            </w:tr>
            <w:tr w14:paraId="55FC8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1" w:type="pct"/>
                  <w:noWrap w:val="0"/>
                  <w:vAlign w:val="center"/>
                </w:tcPr>
                <w:p w14:paraId="1F75D640">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备注</w:t>
                  </w:r>
                </w:p>
              </w:tc>
              <w:tc>
                <w:tcPr>
                  <w:tcW w:w="3948" w:type="pct"/>
                  <w:gridSpan w:val="4"/>
                  <w:noWrap w:val="0"/>
                  <w:vAlign w:val="center"/>
                </w:tcPr>
                <w:p w14:paraId="7768719E">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pH单位为无量纲</w:t>
                  </w:r>
                </w:p>
              </w:tc>
            </w:tr>
          </w:tbl>
          <w:p w14:paraId="159963DB">
            <w:pPr>
              <w:pStyle w:val="46"/>
              <w:ind w:firstLine="0" w:firstLineChars="0"/>
              <w:rPr>
                <w:rFonts w:ascii="Times New Roman" w:hAnsi="Times New Roman"/>
                <w:b/>
              </w:rPr>
            </w:pPr>
          </w:p>
        </w:tc>
      </w:tr>
    </w:tbl>
    <w:p w14:paraId="2874CD93">
      <w:pPr>
        <w:pStyle w:val="2"/>
      </w:pPr>
      <w:r>
        <w:t>表六</w:t>
      </w:r>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7DBC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76" w:hRule="atLeast"/>
          <w:jc w:val="center"/>
        </w:trPr>
        <w:tc>
          <w:tcPr>
            <w:tcW w:w="8924" w:type="dxa"/>
          </w:tcPr>
          <w:p w14:paraId="6EFBBCDA">
            <w:pPr>
              <w:spacing w:before="48" w:beforeLines="20"/>
              <w:rPr>
                <w:b/>
                <w:bCs/>
              </w:rPr>
            </w:pPr>
            <w:r>
              <w:rPr>
                <w:b/>
                <w:bCs/>
              </w:rPr>
              <w:t>验收监测内容：</w:t>
            </w:r>
          </w:p>
          <w:p w14:paraId="12E9726C">
            <w:pPr>
              <w:spacing w:before="48" w:beforeLines="20"/>
              <w:rPr>
                <w:b/>
                <w:bCs/>
              </w:rPr>
            </w:pPr>
            <w:r>
              <w:rPr>
                <w:b/>
                <w:bCs/>
              </w:rPr>
              <w:t>（1）废气监测内容</w:t>
            </w:r>
          </w:p>
          <w:p w14:paraId="1D6D698D">
            <w:pPr>
              <w:spacing w:before="48" w:beforeLines="20"/>
              <w:ind w:firstLine="480" w:firstLineChars="200"/>
              <w:rPr>
                <w:rFonts w:eastAsia="仿宋_GB2312"/>
                <w:sz w:val="21"/>
                <w:szCs w:val="21"/>
              </w:rPr>
            </w:pPr>
            <w:r>
              <w:t>本次验收共布设有组织监测点位</w:t>
            </w:r>
            <w:r>
              <w:rPr>
                <w:rFonts w:hint="eastAsia"/>
                <w:lang w:val="en-US" w:eastAsia="zh-CN"/>
              </w:rPr>
              <w:t>1</w:t>
            </w:r>
            <w:r>
              <w:t>个，</w:t>
            </w:r>
            <w:r>
              <w:rPr>
                <w:lang w:val="zh-CN"/>
              </w:rPr>
              <w:t>监测点见表</w:t>
            </w:r>
            <w:r>
              <w:t>6-1</w:t>
            </w:r>
            <w:r>
              <w:rPr>
                <w:lang w:val="zh-CN"/>
              </w:rPr>
              <w:t>，点位置</w:t>
            </w:r>
            <w:r>
              <w:t>详见附图</w:t>
            </w:r>
            <w:r>
              <w:rPr>
                <w:rFonts w:hint="eastAsia"/>
              </w:rPr>
              <w:t>4</w:t>
            </w:r>
            <w:r>
              <w:t>。</w:t>
            </w:r>
          </w:p>
          <w:p w14:paraId="3829C305">
            <w:pPr>
              <w:ind w:firstLine="482"/>
              <w:jc w:val="center"/>
              <w:rPr>
                <w:b/>
              </w:rPr>
            </w:pPr>
            <w:r>
              <w:rPr>
                <w:b/>
              </w:rPr>
              <w:t>表6-1验收有组织废气监测点位一览表</w:t>
            </w:r>
          </w:p>
          <w:tbl>
            <w:tblPr>
              <w:tblStyle w:val="20"/>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91"/>
              <w:gridCol w:w="777"/>
              <w:gridCol w:w="2693"/>
              <w:gridCol w:w="2151"/>
              <w:gridCol w:w="1896"/>
            </w:tblGrid>
            <w:tr w14:paraId="187E1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12" w:hRule="atLeast"/>
                <w:jc w:val="center"/>
              </w:trPr>
              <w:tc>
                <w:tcPr>
                  <w:tcW w:w="1191" w:type="dxa"/>
                  <w:vMerge w:val="restart"/>
                  <w:tcBorders>
                    <w:tl2br w:val="nil"/>
                    <w:tr2bl w:val="nil"/>
                  </w:tcBorders>
                  <w:vAlign w:val="center"/>
                </w:tcPr>
                <w:p w14:paraId="0CB8ED44">
                  <w:pPr>
                    <w:pStyle w:val="45"/>
                    <w:ind w:right="19"/>
                    <w:rPr>
                      <w:rFonts w:eastAsia="宋体"/>
                      <w:color w:val="auto"/>
                    </w:rPr>
                  </w:pPr>
                  <w:r>
                    <w:rPr>
                      <w:rFonts w:hint="eastAsia" w:eastAsia="宋体"/>
                      <w:color w:val="auto"/>
                    </w:rPr>
                    <w:t>污染源</w:t>
                  </w:r>
                </w:p>
              </w:tc>
              <w:tc>
                <w:tcPr>
                  <w:tcW w:w="3470" w:type="dxa"/>
                  <w:gridSpan w:val="2"/>
                  <w:tcBorders>
                    <w:tl2br w:val="nil"/>
                    <w:tr2bl w:val="nil"/>
                  </w:tcBorders>
                  <w:vAlign w:val="center"/>
                </w:tcPr>
                <w:p w14:paraId="62B2030B">
                  <w:pPr>
                    <w:pStyle w:val="45"/>
                    <w:ind w:right="19"/>
                    <w:rPr>
                      <w:rFonts w:eastAsia="宋体"/>
                      <w:color w:val="auto"/>
                    </w:rPr>
                  </w:pPr>
                  <w:r>
                    <w:rPr>
                      <w:rFonts w:hint="eastAsia" w:eastAsia="宋体"/>
                      <w:color w:val="auto"/>
                    </w:rPr>
                    <w:t>监测点位</w:t>
                  </w:r>
                </w:p>
              </w:tc>
              <w:tc>
                <w:tcPr>
                  <w:tcW w:w="2151" w:type="dxa"/>
                  <w:vMerge w:val="restart"/>
                  <w:tcBorders>
                    <w:tl2br w:val="nil"/>
                    <w:tr2bl w:val="nil"/>
                  </w:tcBorders>
                  <w:vAlign w:val="center"/>
                </w:tcPr>
                <w:p w14:paraId="7810F32E">
                  <w:pPr>
                    <w:pStyle w:val="45"/>
                    <w:ind w:right="19"/>
                    <w:rPr>
                      <w:rFonts w:eastAsia="宋体"/>
                      <w:color w:val="auto"/>
                    </w:rPr>
                  </w:pPr>
                  <w:r>
                    <w:rPr>
                      <w:rFonts w:hint="eastAsia" w:eastAsia="宋体"/>
                      <w:color w:val="auto"/>
                    </w:rPr>
                    <w:t>监测因子</w:t>
                  </w:r>
                </w:p>
              </w:tc>
              <w:tc>
                <w:tcPr>
                  <w:tcW w:w="1896" w:type="dxa"/>
                  <w:vMerge w:val="restart"/>
                  <w:tcBorders>
                    <w:tl2br w:val="nil"/>
                    <w:tr2bl w:val="nil"/>
                  </w:tcBorders>
                  <w:vAlign w:val="center"/>
                </w:tcPr>
                <w:p w14:paraId="60F7C9A4">
                  <w:pPr>
                    <w:pStyle w:val="45"/>
                    <w:ind w:right="19"/>
                    <w:rPr>
                      <w:rFonts w:eastAsia="宋体"/>
                      <w:color w:val="auto"/>
                    </w:rPr>
                  </w:pPr>
                  <w:r>
                    <w:rPr>
                      <w:rFonts w:hint="eastAsia" w:eastAsia="宋体"/>
                      <w:color w:val="auto"/>
                    </w:rPr>
                    <w:t>监测频次及监测周期</w:t>
                  </w:r>
                </w:p>
              </w:tc>
            </w:tr>
            <w:tr w14:paraId="50A7E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62" w:hRule="atLeast"/>
                <w:jc w:val="center"/>
              </w:trPr>
              <w:tc>
                <w:tcPr>
                  <w:tcW w:w="1191" w:type="dxa"/>
                  <w:vMerge w:val="continue"/>
                  <w:tcBorders>
                    <w:tl2br w:val="nil"/>
                    <w:tr2bl w:val="nil"/>
                  </w:tcBorders>
                  <w:vAlign w:val="center"/>
                </w:tcPr>
                <w:p w14:paraId="19C21912">
                  <w:pPr>
                    <w:pStyle w:val="45"/>
                    <w:ind w:right="19"/>
                    <w:rPr>
                      <w:rFonts w:eastAsia="宋体"/>
                      <w:color w:val="auto"/>
                    </w:rPr>
                  </w:pPr>
                </w:p>
              </w:tc>
              <w:tc>
                <w:tcPr>
                  <w:tcW w:w="777" w:type="dxa"/>
                  <w:tcBorders>
                    <w:tl2br w:val="nil"/>
                    <w:tr2bl w:val="nil"/>
                  </w:tcBorders>
                  <w:vAlign w:val="center"/>
                </w:tcPr>
                <w:p w14:paraId="723806F0">
                  <w:pPr>
                    <w:pStyle w:val="45"/>
                    <w:ind w:right="19"/>
                    <w:rPr>
                      <w:rFonts w:eastAsia="宋体"/>
                      <w:color w:val="auto"/>
                    </w:rPr>
                  </w:pPr>
                  <w:r>
                    <w:rPr>
                      <w:rFonts w:hint="eastAsia" w:eastAsia="宋体"/>
                      <w:color w:val="auto"/>
                    </w:rPr>
                    <w:t>编号</w:t>
                  </w:r>
                </w:p>
              </w:tc>
              <w:tc>
                <w:tcPr>
                  <w:tcW w:w="2693" w:type="dxa"/>
                  <w:tcBorders>
                    <w:tl2br w:val="nil"/>
                    <w:tr2bl w:val="nil"/>
                  </w:tcBorders>
                  <w:vAlign w:val="center"/>
                </w:tcPr>
                <w:p w14:paraId="5D260451">
                  <w:pPr>
                    <w:pStyle w:val="45"/>
                    <w:ind w:right="19"/>
                    <w:rPr>
                      <w:rFonts w:eastAsia="宋体"/>
                      <w:color w:val="auto"/>
                    </w:rPr>
                  </w:pPr>
                  <w:r>
                    <w:rPr>
                      <w:rFonts w:hint="eastAsia" w:eastAsia="宋体"/>
                      <w:color w:val="auto"/>
                    </w:rPr>
                    <w:t>位置</w:t>
                  </w:r>
                </w:p>
              </w:tc>
              <w:tc>
                <w:tcPr>
                  <w:tcW w:w="2151" w:type="dxa"/>
                  <w:vMerge w:val="continue"/>
                  <w:tcBorders>
                    <w:tl2br w:val="nil"/>
                    <w:tr2bl w:val="nil"/>
                  </w:tcBorders>
                  <w:vAlign w:val="center"/>
                </w:tcPr>
                <w:p w14:paraId="341E6229">
                  <w:pPr>
                    <w:pStyle w:val="45"/>
                    <w:ind w:right="19"/>
                    <w:rPr>
                      <w:rFonts w:eastAsia="宋体"/>
                      <w:color w:val="auto"/>
                    </w:rPr>
                  </w:pPr>
                </w:p>
              </w:tc>
              <w:tc>
                <w:tcPr>
                  <w:tcW w:w="1896" w:type="dxa"/>
                  <w:vMerge w:val="continue"/>
                  <w:tcBorders>
                    <w:tl2br w:val="nil"/>
                    <w:tr2bl w:val="nil"/>
                  </w:tcBorders>
                  <w:vAlign w:val="center"/>
                </w:tcPr>
                <w:p w14:paraId="4C551FE9">
                  <w:pPr>
                    <w:pStyle w:val="45"/>
                    <w:ind w:right="19"/>
                    <w:rPr>
                      <w:rFonts w:eastAsia="宋体"/>
                      <w:color w:val="auto"/>
                    </w:rPr>
                  </w:pPr>
                </w:p>
              </w:tc>
            </w:tr>
            <w:tr w14:paraId="499D7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1191" w:type="dxa"/>
                  <w:vMerge w:val="continue"/>
                  <w:tcBorders>
                    <w:tl2br w:val="nil"/>
                    <w:tr2bl w:val="nil"/>
                  </w:tcBorders>
                  <w:vAlign w:val="center"/>
                </w:tcPr>
                <w:p w14:paraId="03BD2881">
                  <w:pPr>
                    <w:pStyle w:val="33"/>
                    <w:spacing w:line="240" w:lineRule="auto"/>
                    <w:rPr>
                      <w:sz w:val="21"/>
                    </w:rPr>
                  </w:pPr>
                </w:p>
              </w:tc>
              <w:tc>
                <w:tcPr>
                  <w:tcW w:w="777" w:type="dxa"/>
                  <w:tcBorders>
                    <w:tl2br w:val="nil"/>
                    <w:tr2bl w:val="nil"/>
                  </w:tcBorders>
                  <w:vAlign w:val="center"/>
                </w:tcPr>
                <w:p w14:paraId="2B6C66D2">
                  <w:pPr>
                    <w:pStyle w:val="6"/>
                    <w:tabs>
                      <w:tab w:val="left" w:pos="987"/>
                    </w:tabs>
                    <w:spacing w:line="240" w:lineRule="auto"/>
                    <w:ind w:firstLine="0" w:firstLineChars="0"/>
                    <w:jc w:val="center"/>
                    <w:rPr>
                      <w:rFonts w:hint="default" w:eastAsia="宋体"/>
                      <w:szCs w:val="21"/>
                      <w:lang w:val="en-US" w:eastAsia="zh-CN"/>
                    </w:rPr>
                  </w:pPr>
                  <w:r>
                    <w:rPr>
                      <w:rFonts w:hint="eastAsia"/>
                      <w:szCs w:val="21"/>
                      <w:lang w:val="en-US" w:eastAsia="zh-CN"/>
                    </w:rPr>
                    <w:t>Q8</w:t>
                  </w:r>
                </w:p>
              </w:tc>
              <w:tc>
                <w:tcPr>
                  <w:tcW w:w="2693" w:type="dxa"/>
                  <w:tcBorders>
                    <w:tl2br w:val="nil"/>
                    <w:tr2bl w:val="nil"/>
                  </w:tcBorders>
                  <w:vAlign w:val="center"/>
                </w:tcPr>
                <w:p w14:paraId="62670FB8">
                  <w:pPr>
                    <w:pStyle w:val="45"/>
                    <w:ind w:right="19" w:rightChars="8"/>
                    <w:rPr>
                      <w:rFonts w:eastAsia="宋体"/>
                      <w:color w:val="auto"/>
                    </w:rPr>
                  </w:pPr>
                  <w:r>
                    <w:rPr>
                      <w:rFonts w:hint="eastAsia" w:eastAsia="宋体" w:cs="Times New Roman"/>
                      <w:b w:val="0"/>
                      <w:bCs/>
                      <w:sz w:val="21"/>
                      <w:szCs w:val="21"/>
                      <w:highlight w:val="none"/>
                      <w:lang w:eastAsia="zh-CN"/>
                    </w:rPr>
                    <w:t>P1</w:t>
                  </w:r>
                  <w:r>
                    <w:rPr>
                      <w:rFonts w:hint="eastAsia" w:eastAsia="宋体" w:cs="Times New Roman"/>
                      <w:b w:val="0"/>
                      <w:bCs/>
                      <w:sz w:val="21"/>
                      <w:szCs w:val="21"/>
                      <w:highlight w:val="none"/>
                      <w:lang w:val="en-US" w:eastAsia="zh-CN"/>
                    </w:rPr>
                    <w:t>印刷</w:t>
                  </w:r>
                  <w:r>
                    <w:rPr>
                      <w:rFonts w:hint="eastAsia" w:eastAsia="宋体" w:cs="Times New Roman"/>
                      <w:b w:val="0"/>
                      <w:bCs/>
                      <w:sz w:val="21"/>
                      <w:szCs w:val="21"/>
                      <w:highlight w:val="none"/>
                      <w:lang w:eastAsia="zh-CN"/>
                    </w:rPr>
                    <w:t>废气进口</w:t>
                  </w:r>
                </w:p>
              </w:tc>
              <w:tc>
                <w:tcPr>
                  <w:tcW w:w="2151" w:type="dxa"/>
                  <w:vMerge w:val="restart"/>
                  <w:tcBorders>
                    <w:tl2br w:val="nil"/>
                    <w:tr2bl w:val="nil"/>
                  </w:tcBorders>
                  <w:vAlign w:val="center"/>
                </w:tcPr>
                <w:p w14:paraId="010B3B78">
                  <w:pPr>
                    <w:pStyle w:val="45"/>
                    <w:ind w:right="0" w:rightChars="0"/>
                    <w:rPr>
                      <w:rFonts w:hint="default" w:eastAsia="宋体"/>
                      <w:color w:val="auto"/>
                      <w:lang w:val="en-US" w:eastAsia="zh-CN"/>
                    </w:rPr>
                  </w:pPr>
                  <w:r>
                    <w:rPr>
                      <w:rFonts w:hint="eastAsia" w:eastAsia="宋体"/>
                      <w:color w:val="auto"/>
                    </w:rPr>
                    <w:t>非甲烷总烃</w:t>
                  </w:r>
                </w:p>
              </w:tc>
              <w:tc>
                <w:tcPr>
                  <w:tcW w:w="1896" w:type="dxa"/>
                  <w:vMerge w:val="restart"/>
                  <w:tcBorders>
                    <w:tl2br w:val="nil"/>
                    <w:tr2bl w:val="nil"/>
                  </w:tcBorders>
                  <w:vAlign w:val="center"/>
                </w:tcPr>
                <w:p w14:paraId="7120E150">
                  <w:pPr>
                    <w:pStyle w:val="45"/>
                    <w:ind w:right="0" w:rightChars="0"/>
                    <w:rPr>
                      <w:rFonts w:eastAsia="宋体"/>
                      <w:color w:val="auto"/>
                    </w:rPr>
                  </w:pPr>
                  <w:r>
                    <w:rPr>
                      <w:rFonts w:hint="eastAsia" w:eastAsia="宋体"/>
                      <w:color w:val="auto"/>
                    </w:rPr>
                    <w:t>连续监测2天，每天采样4次</w:t>
                  </w:r>
                </w:p>
              </w:tc>
            </w:tr>
            <w:tr w14:paraId="4155B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26" w:hRule="atLeast"/>
                <w:jc w:val="center"/>
              </w:trPr>
              <w:tc>
                <w:tcPr>
                  <w:tcW w:w="1191" w:type="dxa"/>
                  <w:vMerge w:val="continue"/>
                  <w:tcBorders>
                    <w:tl2br w:val="nil"/>
                    <w:tr2bl w:val="nil"/>
                  </w:tcBorders>
                  <w:vAlign w:val="center"/>
                </w:tcPr>
                <w:p w14:paraId="2392A1D6">
                  <w:pPr>
                    <w:pStyle w:val="33"/>
                    <w:spacing w:line="240" w:lineRule="auto"/>
                    <w:rPr>
                      <w:sz w:val="21"/>
                    </w:rPr>
                  </w:pPr>
                </w:p>
              </w:tc>
              <w:tc>
                <w:tcPr>
                  <w:tcW w:w="777" w:type="dxa"/>
                  <w:tcBorders>
                    <w:tl2br w:val="nil"/>
                    <w:tr2bl w:val="nil"/>
                  </w:tcBorders>
                  <w:vAlign w:val="center"/>
                </w:tcPr>
                <w:p w14:paraId="7A16ABA4">
                  <w:pPr>
                    <w:pStyle w:val="6"/>
                    <w:tabs>
                      <w:tab w:val="left" w:pos="987"/>
                    </w:tabs>
                    <w:spacing w:line="240" w:lineRule="auto"/>
                    <w:ind w:firstLine="0" w:firstLineChars="0"/>
                    <w:jc w:val="center"/>
                    <w:rPr>
                      <w:rFonts w:hint="default"/>
                      <w:szCs w:val="21"/>
                      <w:lang w:val="en-US" w:eastAsia="zh-CN"/>
                    </w:rPr>
                  </w:pPr>
                  <w:r>
                    <w:rPr>
                      <w:rFonts w:hint="eastAsia"/>
                      <w:szCs w:val="21"/>
                      <w:lang w:val="en-US" w:eastAsia="zh-CN"/>
                    </w:rPr>
                    <w:t>Q9</w:t>
                  </w:r>
                </w:p>
              </w:tc>
              <w:tc>
                <w:tcPr>
                  <w:tcW w:w="2693" w:type="dxa"/>
                  <w:tcBorders>
                    <w:tl2br w:val="nil"/>
                    <w:tr2bl w:val="nil"/>
                  </w:tcBorders>
                  <w:vAlign w:val="center"/>
                </w:tcPr>
                <w:p w14:paraId="4E00EBD5">
                  <w:pPr>
                    <w:pStyle w:val="45"/>
                    <w:ind w:right="19" w:rightChars="8"/>
                    <w:rPr>
                      <w:rFonts w:hint="eastAsia" w:eastAsia="宋体"/>
                      <w:color w:val="auto"/>
                    </w:rPr>
                  </w:pPr>
                  <w:r>
                    <w:rPr>
                      <w:rFonts w:hint="eastAsia" w:eastAsia="宋体" w:cs="Times New Roman"/>
                      <w:b w:val="0"/>
                      <w:bCs/>
                      <w:sz w:val="21"/>
                      <w:szCs w:val="21"/>
                      <w:highlight w:val="none"/>
                      <w:lang w:eastAsia="zh-CN"/>
                    </w:rPr>
                    <w:t>P1</w:t>
                  </w:r>
                  <w:r>
                    <w:rPr>
                      <w:rFonts w:hint="eastAsia" w:eastAsia="宋体" w:cs="Times New Roman"/>
                      <w:b w:val="0"/>
                      <w:bCs/>
                      <w:sz w:val="21"/>
                      <w:szCs w:val="21"/>
                      <w:highlight w:val="none"/>
                      <w:lang w:val="en-US" w:eastAsia="zh-CN"/>
                    </w:rPr>
                    <w:t>印刷</w:t>
                  </w:r>
                  <w:r>
                    <w:rPr>
                      <w:rFonts w:hint="eastAsia" w:eastAsia="宋体" w:cs="Times New Roman"/>
                      <w:b w:val="0"/>
                      <w:bCs/>
                      <w:sz w:val="21"/>
                      <w:szCs w:val="21"/>
                      <w:highlight w:val="none"/>
                      <w:lang w:eastAsia="zh-CN"/>
                    </w:rPr>
                    <w:t>废气</w:t>
                  </w:r>
                  <w:r>
                    <w:rPr>
                      <w:rFonts w:hint="eastAsia" w:eastAsia="宋体" w:cs="Times New Roman"/>
                      <w:b w:val="0"/>
                      <w:bCs/>
                      <w:sz w:val="21"/>
                      <w:szCs w:val="21"/>
                      <w:highlight w:val="none"/>
                      <w:lang w:val="en-US" w:eastAsia="zh-CN"/>
                    </w:rPr>
                    <w:t>出</w:t>
                  </w:r>
                  <w:r>
                    <w:rPr>
                      <w:rFonts w:hint="eastAsia" w:eastAsia="宋体" w:cs="Times New Roman"/>
                      <w:b w:val="0"/>
                      <w:bCs/>
                      <w:sz w:val="21"/>
                      <w:szCs w:val="21"/>
                      <w:highlight w:val="none"/>
                      <w:lang w:eastAsia="zh-CN"/>
                    </w:rPr>
                    <w:t>口</w:t>
                  </w:r>
                </w:p>
              </w:tc>
              <w:tc>
                <w:tcPr>
                  <w:tcW w:w="2151" w:type="dxa"/>
                  <w:vMerge w:val="continue"/>
                  <w:tcBorders>
                    <w:tl2br w:val="nil"/>
                    <w:tr2bl w:val="nil"/>
                  </w:tcBorders>
                  <w:vAlign w:val="center"/>
                </w:tcPr>
                <w:p w14:paraId="2B8F90DB">
                  <w:pPr>
                    <w:pStyle w:val="45"/>
                    <w:ind w:right="0" w:rightChars="0"/>
                    <w:rPr>
                      <w:rFonts w:hint="eastAsia" w:eastAsia="宋体"/>
                      <w:color w:val="auto"/>
                    </w:rPr>
                  </w:pPr>
                </w:p>
              </w:tc>
              <w:tc>
                <w:tcPr>
                  <w:tcW w:w="1896" w:type="dxa"/>
                  <w:vMerge w:val="continue"/>
                  <w:tcBorders>
                    <w:tl2br w:val="nil"/>
                    <w:tr2bl w:val="nil"/>
                  </w:tcBorders>
                  <w:vAlign w:val="center"/>
                </w:tcPr>
                <w:p w14:paraId="51A6C5FE">
                  <w:pPr>
                    <w:pStyle w:val="45"/>
                    <w:ind w:right="0" w:rightChars="0"/>
                    <w:rPr>
                      <w:rFonts w:hint="eastAsia" w:eastAsia="宋体"/>
                      <w:color w:val="auto"/>
                    </w:rPr>
                  </w:pPr>
                </w:p>
              </w:tc>
            </w:tr>
          </w:tbl>
          <w:p w14:paraId="19453E1D">
            <w:pPr>
              <w:spacing w:before="48" w:beforeLines="20"/>
              <w:ind w:firstLine="480" w:firstLineChars="200"/>
            </w:pPr>
            <w:r>
              <w:t>本次验收共布设</w:t>
            </w:r>
            <w:r>
              <w:rPr>
                <w:rFonts w:hint="eastAsia"/>
              </w:rPr>
              <w:t>无</w:t>
            </w:r>
            <w:r>
              <w:t>组织监测点位</w:t>
            </w:r>
            <w:r>
              <w:rPr>
                <w:rFonts w:hint="eastAsia"/>
              </w:rPr>
              <w:t>5</w:t>
            </w:r>
            <w:r>
              <w:t>个，</w:t>
            </w:r>
            <w:r>
              <w:rPr>
                <w:lang w:val="zh-CN"/>
              </w:rPr>
              <w:t>监测点见表</w:t>
            </w:r>
            <w:r>
              <w:t>6-</w:t>
            </w:r>
            <w:r>
              <w:rPr>
                <w:rFonts w:hint="eastAsia"/>
              </w:rPr>
              <w:t>2</w:t>
            </w:r>
            <w:r>
              <w:rPr>
                <w:lang w:val="zh-CN"/>
              </w:rPr>
              <w:t>，点位置</w:t>
            </w:r>
            <w:r>
              <w:t>详见附图</w:t>
            </w:r>
            <w:r>
              <w:rPr>
                <w:rFonts w:hint="eastAsia"/>
              </w:rPr>
              <w:t>4。</w:t>
            </w:r>
          </w:p>
          <w:p w14:paraId="3CA47FC5">
            <w:pPr>
              <w:ind w:firstLine="482"/>
              <w:jc w:val="center"/>
              <w:rPr>
                <w:b/>
              </w:rPr>
            </w:pPr>
            <w:r>
              <w:rPr>
                <w:b/>
              </w:rPr>
              <w:t>表6</w:t>
            </w:r>
            <w:r>
              <w:rPr>
                <w:rFonts w:hint="eastAsia"/>
                <w:b/>
              </w:rPr>
              <w:t>-2</w:t>
            </w:r>
            <w:r>
              <w:rPr>
                <w:b/>
              </w:rPr>
              <w:t>验收</w:t>
            </w:r>
            <w:r>
              <w:rPr>
                <w:rFonts w:hint="eastAsia"/>
                <w:b/>
              </w:rPr>
              <w:t>无</w:t>
            </w:r>
            <w:r>
              <w:rPr>
                <w:b/>
              </w:rPr>
              <w:t>组织废气监测点位一览表</w:t>
            </w:r>
          </w:p>
          <w:tbl>
            <w:tblPr>
              <w:tblStyle w:val="20"/>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91"/>
              <w:gridCol w:w="918"/>
              <w:gridCol w:w="2514"/>
              <w:gridCol w:w="2189"/>
              <w:gridCol w:w="1896"/>
            </w:tblGrid>
            <w:tr w14:paraId="18417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1191" w:type="dxa"/>
                  <w:vMerge w:val="restart"/>
                  <w:tcBorders>
                    <w:tl2br w:val="nil"/>
                    <w:tr2bl w:val="nil"/>
                  </w:tcBorders>
                  <w:vAlign w:val="center"/>
                </w:tcPr>
                <w:p w14:paraId="63A92E88">
                  <w:pPr>
                    <w:pStyle w:val="45"/>
                    <w:ind w:right="19"/>
                    <w:rPr>
                      <w:rFonts w:eastAsia="宋体"/>
                      <w:color w:val="auto"/>
                    </w:rPr>
                  </w:pPr>
                  <w:r>
                    <w:rPr>
                      <w:rFonts w:eastAsia="宋体"/>
                      <w:color w:val="auto"/>
                    </w:rPr>
                    <w:t>污染源</w:t>
                  </w:r>
                </w:p>
              </w:tc>
              <w:tc>
                <w:tcPr>
                  <w:tcW w:w="3432" w:type="dxa"/>
                  <w:gridSpan w:val="2"/>
                  <w:tcBorders>
                    <w:tl2br w:val="nil"/>
                    <w:tr2bl w:val="nil"/>
                  </w:tcBorders>
                  <w:vAlign w:val="center"/>
                </w:tcPr>
                <w:p w14:paraId="7999CFD9">
                  <w:pPr>
                    <w:pStyle w:val="45"/>
                    <w:ind w:right="0" w:rightChars="0"/>
                    <w:rPr>
                      <w:rFonts w:eastAsia="宋体"/>
                      <w:color w:val="auto"/>
                    </w:rPr>
                  </w:pPr>
                  <w:r>
                    <w:rPr>
                      <w:rFonts w:eastAsia="宋体"/>
                      <w:color w:val="auto"/>
                    </w:rPr>
                    <w:t>监测点位</w:t>
                  </w:r>
                </w:p>
              </w:tc>
              <w:tc>
                <w:tcPr>
                  <w:tcW w:w="2189" w:type="dxa"/>
                  <w:vMerge w:val="restart"/>
                  <w:tcBorders>
                    <w:tl2br w:val="nil"/>
                    <w:tr2bl w:val="nil"/>
                  </w:tcBorders>
                  <w:vAlign w:val="center"/>
                </w:tcPr>
                <w:p w14:paraId="671F3547">
                  <w:pPr>
                    <w:pStyle w:val="45"/>
                    <w:ind w:right="0" w:rightChars="0"/>
                    <w:rPr>
                      <w:rFonts w:eastAsia="宋体"/>
                      <w:color w:val="auto"/>
                    </w:rPr>
                  </w:pPr>
                  <w:r>
                    <w:rPr>
                      <w:rFonts w:eastAsia="宋体"/>
                      <w:color w:val="auto"/>
                    </w:rPr>
                    <w:t>监测因子</w:t>
                  </w:r>
                </w:p>
              </w:tc>
              <w:tc>
                <w:tcPr>
                  <w:tcW w:w="1896" w:type="dxa"/>
                  <w:vMerge w:val="restart"/>
                  <w:tcBorders>
                    <w:tl2br w:val="nil"/>
                    <w:tr2bl w:val="nil"/>
                  </w:tcBorders>
                  <w:vAlign w:val="center"/>
                </w:tcPr>
                <w:p w14:paraId="3E43485E">
                  <w:pPr>
                    <w:pStyle w:val="45"/>
                    <w:ind w:right="0" w:rightChars="0"/>
                    <w:rPr>
                      <w:rFonts w:eastAsia="宋体"/>
                      <w:color w:val="auto"/>
                    </w:rPr>
                  </w:pPr>
                  <w:r>
                    <w:rPr>
                      <w:rFonts w:eastAsia="宋体"/>
                      <w:color w:val="auto"/>
                    </w:rPr>
                    <w:t>监测频次及监测周期</w:t>
                  </w:r>
                </w:p>
              </w:tc>
            </w:tr>
            <w:tr w14:paraId="79D28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1191" w:type="dxa"/>
                  <w:vMerge w:val="continue"/>
                  <w:tcBorders>
                    <w:tl2br w:val="nil"/>
                    <w:tr2bl w:val="nil"/>
                  </w:tcBorders>
                  <w:vAlign w:val="center"/>
                </w:tcPr>
                <w:p w14:paraId="1F9EA348">
                  <w:pPr>
                    <w:pStyle w:val="45"/>
                    <w:ind w:right="19"/>
                    <w:rPr>
                      <w:rFonts w:eastAsia="宋体"/>
                      <w:color w:val="auto"/>
                    </w:rPr>
                  </w:pPr>
                </w:p>
              </w:tc>
              <w:tc>
                <w:tcPr>
                  <w:tcW w:w="918" w:type="dxa"/>
                  <w:tcBorders>
                    <w:tl2br w:val="nil"/>
                    <w:tr2bl w:val="nil"/>
                  </w:tcBorders>
                  <w:vAlign w:val="center"/>
                </w:tcPr>
                <w:p w14:paraId="7CBDDD01">
                  <w:pPr>
                    <w:pStyle w:val="30"/>
                    <w:rPr>
                      <w:color w:val="auto"/>
                    </w:rPr>
                  </w:pPr>
                  <w:r>
                    <w:rPr>
                      <w:color w:val="auto"/>
                    </w:rPr>
                    <w:t>编号</w:t>
                  </w:r>
                </w:p>
              </w:tc>
              <w:tc>
                <w:tcPr>
                  <w:tcW w:w="2514" w:type="dxa"/>
                  <w:tcBorders>
                    <w:tl2br w:val="nil"/>
                    <w:tr2bl w:val="nil"/>
                  </w:tcBorders>
                  <w:vAlign w:val="center"/>
                </w:tcPr>
                <w:p w14:paraId="4DD7750F">
                  <w:pPr>
                    <w:pStyle w:val="30"/>
                    <w:rPr>
                      <w:color w:val="auto"/>
                    </w:rPr>
                  </w:pPr>
                  <w:r>
                    <w:rPr>
                      <w:color w:val="auto"/>
                    </w:rPr>
                    <w:t>位置</w:t>
                  </w:r>
                </w:p>
              </w:tc>
              <w:tc>
                <w:tcPr>
                  <w:tcW w:w="2189" w:type="dxa"/>
                  <w:vMerge w:val="continue"/>
                  <w:tcBorders>
                    <w:tl2br w:val="nil"/>
                    <w:tr2bl w:val="nil"/>
                  </w:tcBorders>
                  <w:vAlign w:val="center"/>
                </w:tcPr>
                <w:p w14:paraId="05EA7270">
                  <w:pPr>
                    <w:pStyle w:val="45"/>
                    <w:ind w:right="0" w:rightChars="0"/>
                    <w:rPr>
                      <w:rFonts w:eastAsia="宋体"/>
                      <w:color w:val="auto"/>
                    </w:rPr>
                  </w:pPr>
                </w:p>
              </w:tc>
              <w:tc>
                <w:tcPr>
                  <w:tcW w:w="1896" w:type="dxa"/>
                  <w:vMerge w:val="continue"/>
                  <w:tcBorders>
                    <w:tl2br w:val="nil"/>
                    <w:tr2bl w:val="nil"/>
                  </w:tcBorders>
                  <w:vAlign w:val="center"/>
                </w:tcPr>
                <w:p w14:paraId="2C5DB1AF">
                  <w:pPr>
                    <w:pStyle w:val="45"/>
                    <w:ind w:right="0" w:rightChars="0"/>
                    <w:rPr>
                      <w:rFonts w:eastAsia="宋体"/>
                      <w:color w:val="auto"/>
                    </w:rPr>
                  </w:pPr>
                </w:p>
              </w:tc>
            </w:tr>
            <w:tr w14:paraId="1E086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1191" w:type="dxa"/>
                  <w:vMerge w:val="restart"/>
                  <w:tcBorders>
                    <w:tl2br w:val="nil"/>
                    <w:tr2bl w:val="nil"/>
                  </w:tcBorders>
                  <w:vAlign w:val="center"/>
                </w:tcPr>
                <w:p w14:paraId="6EE3FC4F">
                  <w:pPr>
                    <w:pStyle w:val="33"/>
                    <w:rPr>
                      <w:sz w:val="21"/>
                    </w:rPr>
                  </w:pPr>
                  <w:r>
                    <w:rPr>
                      <w:rFonts w:hint="eastAsia"/>
                      <w:sz w:val="21"/>
                    </w:rPr>
                    <w:t>生产车间</w:t>
                  </w:r>
                </w:p>
              </w:tc>
              <w:tc>
                <w:tcPr>
                  <w:tcW w:w="918" w:type="dxa"/>
                  <w:tcBorders>
                    <w:tl2br w:val="nil"/>
                    <w:tr2bl w:val="nil"/>
                  </w:tcBorders>
                  <w:vAlign w:val="center"/>
                </w:tcPr>
                <w:p w14:paraId="5CE95530">
                  <w:pPr>
                    <w:pStyle w:val="6"/>
                    <w:tabs>
                      <w:tab w:val="left" w:pos="987"/>
                    </w:tabs>
                    <w:spacing w:line="240" w:lineRule="auto"/>
                    <w:ind w:firstLine="0" w:firstLineChars="0"/>
                    <w:jc w:val="center"/>
                    <w:rPr>
                      <w:rFonts w:hint="default" w:eastAsia="宋体"/>
                      <w:szCs w:val="21"/>
                      <w:lang w:val="en-US" w:eastAsia="zh-CN"/>
                    </w:rPr>
                  </w:pPr>
                  <w:r>
                    <w:rPr>
                      <w:rFonts w:hint="eastAsia"/>
                      <w:szCs w:val="21"/>
                      <w:lang w:val="en-US" w:eastAsia="zh-CN"/>
                    </w:rPr>
                    <w:t>Q1</w:t>
                  </w:r>
                </w:p>
              </w:tc>
              <w:tc>
                <w:tcPr>
                  <w:tcW w:w="2514" w:type="dxa"/>
                  <w:tcBorders>
                    <w:tl2br w:val="nil"/>
                    <w:tr2bl w:val="nil"/>
                  </w:tcBorders>
                  <w:vAlign w:val="center"/>
                </w:tcPr>
                <w:p w14:paraId="6635E2C7">
                  <w:pPr>
                    <w:pStyle w:val="45"/>
                    <w:ind w:right="0" w:rightChars="0"/>
                    <w:rPr>
                      <w:rFonts w:eastAsia="宋体"/>
                      <w:color w:val="auto"/>
                    </w:rPr>
                  </w:pPr>
                  <w:r>
                    <w:rPr>
                      <w:rFonts w:hint="eastAsia" w:eastAsia="宋体"/>
                      <w:color w:val="auto"/>
                    </w:rPr>
                    <w:t>厂界监控点</w:t>
                  </w:r>
                </w:p>
              </w:tc>
              <w:tc>
                <w:tcPr>
                  <w:tcW w:w="2189" w:type="dxa"/>
                  <w:vMerge w:val="restart"/>
                  <w:tcBorders>
                    <w:tl2br w:val="nil"/>
                    <w:tr2bl w:val="nil"/>
                  </w:tcBorders>
                  <w:vAlign w:val="center"/>
                </w:tcPr>
                <w:p w14:paraId="37E2ACF9">
                  <w:pPr>
                    <w:pStyle w:val="45"/>
                    <w:ind w:right="0" w:rightChars="0"/>
                    <w:rPr>
                      <w:rFonts w:hint="eastAsia" w:eastAsia="宋体"/>
                      <w:color w:val="auto"/>
                      <w:lang w:eastAsia="zh-CN"/>
                    </w:rPr>
                  </w:pPr>
                  <w:r>
                    <w:rPr>
                      <w:rFonts w:hint="eastAsia" w:eastAsia="宋体"/>
                      <w:color w:val="auto"/>
                    </w:rPr>
                    <w:t>非甲烷总烃</w:t>
                  </w:r>
                </w:p>
              </w:tc>
              <w:tc>
                <w:tcPr>
                  <w:tcW w:w="1896" w:type="dxa"/>
                  <w:vMerge w:val="restart"/>
                  <w:tcBorders>
                    <w:tl2br w:val="nil"/>
                    <w:tr2bl w:val="nil"/>
                  </w:tcBorders>
                  <w:vAlign w:val="center"/>
                </w:tcPr>
                <w:p w14:paraId="73731A8D">
                  <w:pPr>
                    <w:pStyle w:val="45"/>
                    <w:ind w:right="0" w:rightChars="0"/>
                    <w:rPr>
                      <w:rFonts w:eastAsia="宋体"/>
                      <w:color w:val="auto"/>
                    </w:rPr>
                  </w:pPr>
                  <w:r>
                    <w:rPr>
                      <w:rFonts w:eastAsia="宋体"/>
                      <w:color w:val="auto"/>
                    </w:rPr>
                    <w:t>连续监测2天，每天采样</w:t>
                  </w:r>
                  <w:r>
                    <w:rPr>
                      <w:rFonts w:hint="eastAsia" w:eastAsia="宋体"/>
                      <w:color w:val="auto"/>
                    </w:rPr>
                    <w:t>4</w:t>
                  </w:r>
                  <w:r>
                    <w:rPr>
                      <w:rFonts w:eastAsia="宋体"/>
                      <w:color w:val="auto"/>
                    </w:rPr>
                    <w:t>次</w:t>
                  </w:r>
                </w:p>
              </w:tc>
            </w:tr>
            <w:tr w14:paraId="789B1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1191" w:type="dxa"/>
                  <w:vMerge w:val="continue"/>
                  <w:tcBorders>
                    <w:tl2br w:val="nil"/>
                    <w:tr2bl w:val="nil"/>
                  </w:tcBorders>
                  <w:vAlign w:val="center"/>
                </w:tcPr>
                <w:p w14:paraId="7287EFB1">
                  <w:pPr>
                    <w:pStyle w:val="33"/>
                    <w:rPr>
                      <w:sz w:val="21"/>
                    </w:rPr>
                  </w:pPr>
                </w:p>
              </w:tc>
              <w:tc>
                <w:tcPr>
                  <w:tcW w:w="918" w:type="dxa"/>
                  <w:tcBorders>
                    <w:tl2br w:val="nil"/>
                    <w:tr2bl w:val="nil"/>
                  </w:tcBorders>
                  <w:vAlign w:val="center"/>
                </w:tcPr>
                <w:p w14:paraId="4CE883DC">
                  <w:pPr>
                    <w:pStyle w:val="6"/>
                    <w:tabs>
                      <w:tab w:val="left" w:pos="987"/>
                    </w:tabs>
                    <w:spacing w:line="240" w:lineRule="auto"/>
                    <w:ind w:firstLine="0" w:firstLineChars="0"/>
                    <w:jc w:val="center"/>
                    <w:rPr>
                      <w:rFonts w:hint="default" w:eastAsia="宋体"/>
                      <w:szCs w:val="21"/>
                      <w:lang w:val="en-US" w:eastAsia="zh-CN"/>
                    </w:rPr>
                  </w:pPr>
                  <w:r>
                    <w:rPr>
                      <w:rFonts w:hint="eastAsia"/>
                      <w:szCs w:val="21"/>
                      <w:lang w:val="en-US" w:eastAsia="zh-CN"/>
                    </w:rPr>
                    <w:t>Q2</w:t>
                  </w:r>
                </w:p>
              </w:tc>
              <w:tc>
                <w:tcPr>
                  <w:tcW w:w="2514" w:type="dxa"/>
                  <w:tcBorders>
                    <w:tl2br w:val="nil"/>
                    <w:tr2bl w:val="nil"/>
                  </w:tcBorders>
                  <w:vAlign w:val="center"/>
                </w:tcPr>
                <w:p w14:paraId="05EA1094">
                  <w:pPr>
                    <w:pStyle w:val="45"/>
                    <w:ind w:right="0" w:rightChars="0"/>
                    <w:rPr>
                      <w:rFonts w:eastAsia="宋体"/>
                      <w:color w:val="auto"/>
                    </w:rPr>
                  </w:pPr>
                  <w:r>
                    <w:rPr>
                      <w:rFonts w:hint="eastAsia" w:eastAsia="宋体"/>
                      <w:color w:val="auto"/>
                    </w:rPr>
                    <w:t>厂界监控点</w:t>
                  </w:r>
                </w:p>
              </w:tc>
              <w:tc>
                <w:tcPr>
                  <w:tcW w:w="2189" w:type="dxa"/>
                  <w:vMerge w:val="continue"/>
                  <w:tcBorders>
                    <w:tl2br w:val="nil"/>
                    <w:tr2bl w:val="nil"/>
                  </w:tcBorders>
                  <w:vAlign w:val="center"/>
                </w:tcPr>
                <w:p w14:paraId="002E8FD3">
                  <w:pPr>
                    <w:pStyle w:val="45"/>
                    <w:ind w:right="0" w:rightChars="0"/>
                    <w:rPr>
                      <w:rFonts w:eastAsia="宋体"/>
                      <w:color w:val="auto"/>
                    </w:rPr>
                  </w:pPr>
                </w:p>
              </w:tc>
              <w:tc>
                <w:tcPr>
                  <w:tcW w:w="1896" w:type="dxa"/>
                  <w:vMerge w:val="continue"/>
                  <w:tcBorders>
                    <w:tl2br w:val="nil"/>
                    <w:tr2bl w:val="nil"/>
                  </w:tcBorders>
                  <w:vAlign w:val="center"/>
                </w:tcPr>
                <w:p w14:paraId="1FC96832">
                  <w:pPr>
                    <w:pStyle w:val="45"/>
                    <w:ind w:right="0" w:rightChars="0"/>
                    <w:rPr>
                      <w:rFonts w:eastAsia="宋体"/>
                      <w:color w:val="auto"/>
                    </w:rPr>
                  </w:pPr>
                </w:p>
              </w:tc>
            </w:tr>
            <w:tr w14:paraId="358B5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1191" w:type="dxa"/>
                  <w:vMerge w:val="continue"/>
                  <w:tcBorders>
                    <w:tl2br w:val="nil"/>
                    <w:tr2bl w:val="nil"/>
                  </w:tcBorders>
                  <w:vAlign w:val="center"/>
                </w:tcPr>
                <w:p w14:paraId="64323E35">
                  <w:pPr>
                    <w:pStyle w:val="33"/>
                    <w:rPr>
                      <w:sz w:val="21"/>
                    </w:rPr>
                  </w:pPr>
                </w:p>
              </w:tc>
              <w:tc>
                <w:tcPr>
                  <w:tcW w:w="918" w:type="dxa"/>
                  <w:tcBorders>
                    <w:tl2br w:val="nil"/>
                    <w:tr2bl w:val="nil"/>
                  </w:tcBorders>
                  <w:vAlign w:val="center"/>
                </w:tcPr>
                <w:p w14:paraId="13552C66">
                  <w:pPr>
                    <w:pStyle w:val="6"/>
                    <w:tabs>
                      <w:tab w:val="left" w:pos="987"/>
                    </w:tabs>
                    <w:spacing w:line="240" w:lineRule="auto"/>
                    <w:ind w:firstLine="0" w:firstLineChars="0"/>
                    <w:jc w:val="center"/>
                    <w:rPr>
                      <w:rFonts w:hint="default" w:eastAsia="宋体"/>
                      <w:szCs w:val="21"/>
                      <w:lang w:val="en-US" w:eastAsia="zh-CN"/>
                    </w:rPr>
                  </w:pPr>
                  <w:r>
                    <w:rPr>
                      <w:rFonts w:hint="eastAsia"/>
                      <w:szCs w:val="21"/>
                      <w:lang w:val="en-US" w:eastAsia="zh-CN"/>
                    </w:rPr>
                    <w:t>Q3</w:t>
                  </w:r>
                </w:p>
              </w:tc>
              <w:tc>
                <w:tcPr>
                  <w:tcW w:w="2514" w:type="dxa"/>
                  <w:tcBorders>
                    <w:tl2br w:val="nil"/>
                    <w:tr2bl w:val="nil"/>
                  </w:tcBorders>
                  <w:vAlign w:val="center"/>
                </w:tcPr>
                <w:p w14:paraId="5F01EF20">
                  <w:pPr>
                    <w:pStyle w:val="45"/>
                    <w:ind w:right="0" w:rightChars="0"/>
                    <w:rPr>
                      <w:rFonts w:eastAsia="宋体"/>
                      <w:color w:val="auto"/>
                    </w:rPr>
                  </w:pPr>
                  <w:r>
                    <w:rPr>
                      <w:rFonts w:hint="eastAsia" w:eastAsia="宋体"/>
                      <w:color w:val="auto"/>
                    </w:rPr>
                    <w:t>厂界监控点</w:t>
                  </w:r>
                </w:p>
              </w:tc>
              <w:tc>
                <w:tcPr>
                  <w:tcW w:w="2189" w:type="dxa"/>
                  <w:vMerge w:val="continue"/>
                  <w:tcBorders>
                    <w:tl2br w:val="nil"/>
                    <w:tr2bl w:val="nil"/>
                  </w:tcBorders>
                  <w:vAlign w:val="center"/>
                </w:tcPr>
                <w:p w14:paraId="78A706E9">
                  <w:pPr>
                    <w:pStyle w:val="45"/>
                    <w:ind w:right="0" w:rightChars="0"/>
                    <w:rPr>
                      <w:rFonts w:eastAsia="宋体"/>
                      <w:color w:val="auto"/>
                    </w:rPr>
                  </w:pPr>
                </w:p>
              </w:tc>
              <w:tc>
                <w:tcPr>
                  <w:tcW w:w="1896" w:type="dxa"/>
                  <w:vMerge w:val="continue"/>
                  <w:tcBorders>
                    <w:tl2br w:val="nil"/>
                    <w:tr2bl w:val="nil"/>
                  </w:tcBorders>
                  <w:vAlign w:val="center"/>
                </w:tcPr>
                <w:p w14:paraId="6ECFAB77">
                  <w:pPr>
                    <w:pStyle w:val="45"/>
                    <w:ind w:right="0" w:rightChars="0"/>
                    <w:jc w:val="both"/>
                    <w:rPr>
                      <w:rFonts w:eastAsia="宋体"/>
                      <w:color w:val="auto"/>
                    </w:rPr>
                  </w:pPr>
                </w:p>
              </w:tc>
            </w:tr>
            <w:tr w14:paraId="3F384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1191" w:type="dxa"/>
                  <w:vMerge w:val="continue"/>
                  <w:tcBorders>
                    <w:tl2br w:val="nil"/>
                    <w:tr2bl w:val="nil"/>
                  </w:tcBorders>
                  <w:vAlign w:val="center"/>
                </w:tcPr>
                <w:p w14:paraId="236BACBA">
                  <w:pPr>
                    <w:pStyle w:val="33"/>
                    <w:rPr>
                      <w:sz w:val="21"/>
                    </w:rPr>
                  </w:pPr>
                </w:p>
              </w:tc>
              <w:tc>
                <w:tcPr>
                  <w:tcW w:w="918" w:type="dxa"/>
                  <w:tcBorders>
                    <w:tl2br w:val="nil"/>
                    <w:tr2bl w:val="nil"/>
                  </w:tcBorders>
                  <w:vAlign w:val="center"/>
                </w:tcPr>
                <w:p w14:paraId="1ED26CF8">
                  <w:pPr>
                    <w:pStyle w:val="6"/>
                    <w:tabs>
                      <w:tab w:val="left" w:pos="987"/>
                    </w:tabs>
                    <w:spacing w:line="240" w:lineRule="auto"/>
                    <w:ind w:firstLine="0" w:firstLineChars="0"/>
                    <w:jc w:val="center"/>
                    <w:rPr>
                      <w:rFonts w:hint="default" w:eastAsia="宋体"/>
                      <w:szCs w:val="21"/>
                      <w:lang w:val="en-US" w:eastAsia="zh-CN"/>
                    </w:rPr>
                  </w:pPr>
                  <w:r>
                    <w:rPr>
                      <w:rFonts w:hint="eastAsia"/>
                      <w:szCs w:val="21"/>
                      <w:lang w:val="en-US" w:eastAsia="zh-CN"/>
                    </w:rPr>
                    <w:t>Q4</w:t>
                  </w:r>
                </w:p>
              </w:tc>
              <w:tc>
                <w:tcPr>
                  <w:tcW w:w="2514" w:type="dxa"/>
                  <w:tcBorders>
                    <w:tl2br w:val="nil"/>
                    <w:tr2bl w:val="nil"/>
                  </w:tcBorders>
                  <w:vAlign w:val="center"/>
                </w:tcPr>
                <w:p w14:paraId="04655109">
                  <w:pPr>
                    <w:pStyle w:val="45"/>
                    <w:ind w:right="0" w:rightChars="0"/>
                    <w:rPr>
                      <w:rFonts w:eastAsia="宋体"/>
                      <w:b/>
                      <w:color w:val="auto"/>
                    </w:rPr>
                  </w:pPr>
                  <w:r>
                    <w:rPr>
                      <w:rFonts w:hint="eastAsia" w:eastAsia="宋体"/>
                      <w:color w:val="auto"/>
                    </w:rPr>
                    <w:t>厂界监控点</w:t>
                  </w:r>
                </w:p>
              </w:tc>
              <w:tc>
                <w:tcPr>
                  <w:tcW w:w="2189" w:type="dxa"/>
                  <w:vMerge w:val="continue"/>
                  <w:tcBorders>
                    <w:tl2br w:val="nil"/>
                    <w:tr2bl w:val="nil"/>
                  </w:tcBorders>
                  <w:vAlign w:val="center"/>
                </w:tcPr>
                <w:p w14:paraId="58989D4E">
                  <w:pPr>
                    <w:pStyle w:val="45"/>
                    <w:ind w:right="0" w:rightChars="0"/>
                    <w:rPr>
                      <w:rFonts w:eastAsia="宋体"/>
                      <w:color w:val="auto"/>
                    </w:rPr>
                  </w:pPr>
                </w:p>
              </w:tc>
              <w:tc>
                <w:tcPr>
                  <w:tcW w:w="1896" w:type="dxa"/>
                  <w:vMerge w:val="continue"/>
                  <w:tcBorders>
                    <w:tl2br w:val="nil"/>
                    <w:tr2bl w:val="nil"/>
                  </w:tcBorders>
                  <w:vAlign w:val="center"/>
                </w:tcPr>
                <w:p w14:paraId="18085370">
                  <w:pPr>
                    <w:pStyle w:val="45"/>
                    <w:ind w:right="0" w:rightChars="0"/>
                    <w:jc w:val="both"/>
                    <w:rPr>
                      <w:rFonts w:eastAsia="宋体"/>
                      <w:color w:val="auto"/>
                    </w:rPr>
                  </w:pPr>
                </w:p>
              </w:tc>
            </w:tr>
            <w:tr w14:paraId="6648A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99" w:hRule="exact"/>
                <w:jc w:val="center"/>
              </w:trPr>
              <w:tc>
                <w:tcPr>
                  <w:tcW w:w="1191" w:type="dxa"/>
                  <w:vMerge w:val="continue"/>
                  <w:tcBorders>
                    <w:tl2br w:val="nil"/>
                    <w:tr2bl w:val="nil"/>
                  </w:tcBorders>
                  <w:vAlign w:val="center"/>
                </w:tcPr>
                <w:p w14:paraId="468CB882">
                  <w:pPr>
                    <w:pStyle w:val="33"/>
                    <w:rPr>
                      <w:sz w:val="21"/>
                    </w:rPr>
                  </w:pPr>
                </w:p>
              </w:tc>
              <w:tc>
                <w:tcPr>
                  <w:tcW w:w="918" w:type="dxa"/>
                  <w:tcBorders>
                    <w:tl2br w:val="nil"/>
                    <w:tr2bl w:val="nil"/>
                  </w:tcBorders>
                  <w:vAlign w:val="center"/>
                </w:tcPr>
                <w:p w14:paraId="09F2A73D">
                  <w:pPr>
                    <w:pStyle w:val="6"/>
                    <w:tabs>
                      <w:tab w:val="left" w:pos="987"/>
                    </w:tabs>
                    <w:spacing w:line="240" w:lineRule="auto"/>
                    <w:ind w:firstLine="0" w:firstLineChars="0"/>
                    <w:jc w:val="center"/>
                    <w:rPr>
                      <w:rFonts w:hint="default" w:eastAsia="宋体"/>
                      <w:szCs w:val="21"/>
                      <w:lang w:val="en-US" w:eastAsia="zh-CN"/>
                    </w:rPr>
                  </w:pPr>
                  <w:r>
                    <w:rPr>
                      <w:rFonts w:hint="eastAsia"/>
                      <w:szCs w:val="21"/>
                      <w:lang w:val="en-US" w:eastAsia="zh-CN"/>
                    </w:rPr>
                    <w:t>Q5</w:t>
                  </w:r>
                </w:p>
              </w:tc>
              <w:tc>
                <w:tcPr>
                  <w:tcW w:w="2514" w:type="dxa"/>
                  <w:vMerge w:val="restart"/>
                  <w:tcBorders>
                    <w:tl2br w:val="nil"/>
                    <w:tr2bl w:val="nil"/>
                  </w:tcBorders>
                  <w:vAlign w:val="center"/>
                </w:tcPr>
                <w:p w14:paraId="1D95FABC">
                  <w:pPr>
                    <w:pStyle w:val="45"/>
                    <w:ind w:right="0" w:rightChars="0"/>
                    <w:rPr>
                      <w:rFonts w:eastAsia="宋体"/>
                      <w:color w:val="auto"/>
                    </w:rPr>
                  </w:pPr>
                  <w:r>
                    <w:rPr>
                      <w:rFonts w:hint="eastAsia" w:eastAsia="宋体"/>
                      <w:color w:val="auto"/>
                    </w:rPr>
                    <w:t>厂区内监控点</w:t>
                  </w:r>
                </w:p>
              </w:tc>
              <w:tc>
                <w:tcPr>
                  <w:tcW w:w="2189" w:type="dxa"/>
                  <w:vMerge w:val="restart"/>
                  <w:tcBorders>
                    <w:tl2br w:val="nil"/>
                    <w:tr2bl w:val="nil"/>
                  </w:tcBorders>
                  <w:vAlign w:val="center"/>
                </w:tcPr>
                <w:p w14:paraId="72F6ED3E">
                  <w:pPr>
                    <w:pStyle w:val="45"/>
                    <w:ind w:right="0" w:rightChars="0"/>
                    <w:rPr>
                      <w:rFonts w:eastAsia="宋体"/>
                      <w:color w:val="auto"/>
                    </w:rPr>
                  </w:pPr>
                  <w:r>
                    <w:rPr>
                      <w:rFonts w:hint="eastAsia" w:eastAsia="宋体"/>
                      <w:color w:val="auto"/>
                    </w:rPr>
                    <w:t>非甲烷总烃</w:t>
                  </w:r>
                </w:p>
              </w:tc>
              <w:tc>
                <w:tcPr>
                  <w:tcW w:w="1896" w:type="dxa"/>
                  <w:vMerge w:val="continue"/>
                  <w:tcBorders>
                    <w:tl2br w:val="nil"/>
                    <w:tr2bl w:val="nil"/>
                  </w:tcBorders>
                  <w:vAlign w:val="center"/>
                </w:tcPr>
                <w:p w14:paraId="4AF7737F">
                  <w:pPr>
                    <w:pStyle w:val="45"/>
                    <w:ind w:right="0" w:rightChars="0"/>
                    <w:jc w:val="both"/>
                    <w:rPr>
                      <w:rFonts w:eastAsia="宋体"/>
                      <w:color w:val="auto"/>
                    </w:rPr>
                  </w:pPr>
                </w:p>
              </w:tc>
            </w:tr>
            <w:tr w14:paraId="399D7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1191" w:type="dxa"/>
                  <w:vMerge w:val="continue"/>
                  <w:tcBorders>
                    <w:tl2br w:val="nil"/>
                    <w:tr2bl w:val="nil"/>
                  </w:tcBorders>
                  <w:vAlign w:val="center"/>
                </w:tcPr>
                <w:p w14:paraId="3F124C84">
                  <w:pPr>
                    <w:pStyle w:val="33"/>
                    <w:rPr>
                      <w:sz w:val="21"/>
                    </w:rPr>
                  </w:pPr>
                </w:p>
              </w:tc>
              <w:tc>
                <w:tcPr>
                  <w:tcW w:w="918" w:type="dxa"/>
                  <w:tcBorders>
                    <w:tl2br w:val="nil"/>
                    <w:tr2bl w:val="nil"/>
                  </w:tcBorders>
                  <w:vAlign w:val="center"/>
                </w:tcPr>
                <w:p w14:paraId="66E15955">
                  <w:pPr>
                    <w:pStyle w:val="6"/>
                    <w:tabs>
                      <w:tab w:val="left" w:pos="987"/>
                    </w:tabs>
                    <w:spacing w:line="240" w:lineRule="auto"/>
                    <w:ind w:firstLine="0" w:firstLineChars="0"/>
                    <w:jc w:val="center"/>
                    <w:rPr>
                      <w:rFonts w:hint="default" w:eastAsia="宋体"/>
                      <w:szCs w:val="21"/>
                      <w:lang w:val="en-US" w:eastAsia="zh-CN"/>
                    </w:rPr>
                  </w:pPr>
                  <w:r>
                    <w:rPr>
                      <w:rFonts w:hint="eastAsia"/>
                      <w:szCs w:val="21"/>
                      <w:lang w:val="en-US" w:eastAsia="zh-CN"/>
                    </w:rPr>
                    <w:t>Q6</w:t>
                  </w:r>
                </w:p>
              </w:tc>
              <w:tc>
                <w:tcPr>
                  <w:tcW w:w="2514" w:type="dxa"/>
                  <w:vMerge w:val="continue"/>
                  <w:tcBorders>
                    <w:tl2br w:val="nil"/>
                    <w:tr2bl w:val="nil"/>
                  </w:tcBorders>
                  <w:vAlign w:val="center"/>
                </w:tcPr>
                <w:p w14:paraId="614BF6F8">
                  <w:pPr>
                    <w:pStyle w:val="45"/>
                    <w:ind w:right="0" w:rightChars="0"/>
                    <w:rPr>
                      <w:rFonts w:eastAsia="宋体"/>
                      <w:color w:val="auto"/>
                    </w:rPr>
                  </w:pPr>
                </w:p>
              </w:tc>
              <w:tc>
                <w:tcPr>
                  <w:tcW w:w="2189" w:type="dxa"/>
                  <w:vMerge w:val="continue"/>
                  <w:tcBorders>
                    <w:tl2br w:val="nil"/>
                    <w:tr2bl w:val="nil"/>
                  </w:tcBorders>
                  <w:vAlign w:val="center"/>
                </w:tcPr>
                <w:p w14:paraId="3630770D">
                  <w:pPr>
                    <w:pStyle w:val="45"/>
                    <w:ind w:right="0" w:rightChars="0"/>
                    <w:rPr>
                      <w:rFonts w:eastAsia="宋体"/>
                      <w:color w:val="auto"/>
                    </w:rPr>
                  </w:pPr>
                </w:p>
              </w:tc>
              <w:tc>
                <w:tcPr>
                  <w:tcW w:w="1896" w:type="dxa"/>
                  <w:vMerge w:val="continue"/>
                  <w:tcBorders>
                    <w:tl2br w:val="nil"/>
                    <w:tr2bl w:val="nil"/>
                  </w:tcBorders>
                  <w:vAlign w:val="center"/>
                </w:tcPr>
                <w:p w14:paraId="607B9EFE">
                  <w:pPr>
                    <w:pStyle w:val="45"/>
                    <w:ind w:right="0" w:rightChars="0"/>
                    <w:jc w:val="both"/>
                    <w:rPr>
                      <w:rFonts w:eastAsia="宋体"/>
                      <w:color w:val="auto"/>
                    </w:rPr>
                  </w:pPr>
                </w:p>
              </w:tc>
            </w:tr>
            <w:tr w14:paraId="7AEFD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exact"/>
                <w:jc w:val="center"/>
              </w:trPr>
              <w:tc>
                <w:tcPr>
                  <w:tcW w:w="1191" w:type="dxa"/>
                  <w:vMerge w:val="continue"/>
                  <w:tcBorders>
                    <w:tl2br w:val="nil"/>
                    <w:tr2bl w:val="nil"/>
                  </w:tcBorders>
                  <w:vAlign w:val="center"/>
                </w:tcPr>
                <w:p w14:paraId="1146AE21">
                  <w:pPr>
                    <w:pStyle w:val="33"/>
                    <w:rPr>
                      <w:sz w:val="21"/>
                    </w:rPr>
                  </w:pPr>
                </w:p>
              </w:tc>
              <w:tc>
                <w:tcPr>
                  <w:tcW w:w="918" w:type="dxa"/>
                  <w:tcBorders>
                    <w:tl2br w:val="nil"/>
                    <w:tr2bl w:val="nil"/>
                  </w:tcBorders>
                  <w:vAlign w:val="center"/>
                </w:tcPr>
                <w:p w14:paraId="69442838">
                  <w:pPr>
                    <w:pStyle w:val="6"/>
                    <w:tabs>
                      <w:tab w:val="left" w:pos="987"/>
                    </w:tabs>
                    <w:spacing w:line="240" w:lineRule="auto"/>
                    <w:ind w:firstLine="0" w:firstLineChars="0"/>
                    <w:jc w:val="center"/>
                    <w:rPr>
                      <w:rFonts w:hint="default" w:eastAsia="宋体"/>
                      <w:szCs w:val="21"/>
                      <w:lang w:val="en-US" w:eastAsia="zh-CN"/>
                    </w:rPr>
                  </w:pPr>
                  <w:r>
                    <w:rPr>
                      <w:rFonts w:hint="eastAsia"/>
                      <w:szCs w:val="21"/>
                      <w:lang w:val="en-US" w:eastAsia="zh-CN"/>
                    </w:rPr>
                    <w:t>Q7</w:t>
                  </w:r>
                </w:p>
              </w:tc>
              <w:tc>
                <w:tcPr>
                  <w:tcW w:w="2514" w:type="dxa"/>
                  <w:vMerge w:val="continue"/>
                  <w:tcBorders>
                    <w:tl2br w:val="nil"/>
                    <w:tr2bl w:val="nil"/>
                  </w:tcBorders>
                  <w:vAlign w:val="center"/>
                </w:tcPr>
                <w:p w14:paraId="4A86C475">
                  <w:pPr>
                    <w:pStyle w:val="45"/>
                    <w:ind w:right="0" w:rightChars="0"/>
                    <w:rPr>
                      <w:rFonts w:eastAsia="宋体"/>
                      <w:color w:val="auto"/>
                    </w:rPr>
                  </w:pPr>
                </w:p>
              </w:tc>
              <w:tc>
                <w:tcPr>
                  <w:tcW w:w="2189" w:type="dxa"/>
                  <w:vMerge w:val="continue"/>
                  <w:tcBorders>
                    <w:tl2br w:val="nil"/>
                    <w:tr2bl w:val="nil"/>
                  </w:tcBorders>
                  <w:vAlign w:val="center"/>
                </w:tcPr>
                <w:p w14:paraId="4CBEE87B">
                  <w:pPr>
                    <w:pStyle w:val="45"/>
                    <w:ind w:right="0" w:rightChars="0"/>
                    <w:rPr>
                      <w:rFonts w:eastAsia="宋体"/>
                      <w:color w:val="auto"/>
                    </w:rPr>
                  </w:pPr>
                </w:p>
              </w:tc>
              <w:tc>
                <w:tcPr>
                  <w:tcW w:w="1896" w:type="dxa"/>
                  <w:vMerge w:val="continue"/>
                  <w:tcBorders>
                    <w:tl2br w:val="nil"/>
                    <w:tr2bl w:val="nil"/>
                  </w:tcBorders>
                  <w:vAlign w:val="center"/>
                </w:tcPr>
                <w:p w14:paraId="179EB365">
                  <w:pPr>
                    <w:pStyle w:val="45"/>
                    <w:ind w:right="0" w:rightChars="0"/>
                    <w:jc w:val="both"/>
                    <w:rPr>
                      <w:rFonts w:eastAsia="宋体"/>
                      <w:color w:val="auto"/>
                    </w:rPr>
                  </w:pPr>
                </w:p>
              </w:tc>
            </w:tr>
          </w:tbl>
          <w:p w14:paraId="6F29E4F4">
            <w:pPr>
              <w:spacing w:before="48" w:beforeLines="20"/>
              <w:ind w:firstLine="480" w:firstLineChars="200"/>
            </w:pPr>
          </w:p>
        </w:tc>
      </w:tr>
      <w:tr w14:paraId="05AB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76" w:hRule="atLeast"/>
          <w:jc w:val="center"/>
        </w:trPr>
        <w:tc>
          <w:tcPr>
            <w:tcW w:w="8924" w:type="dxa"/>
          </w:tcPr>
          <w:p w14:paraId="22023D17">
            <w:pPr>
              <w:spacing w:before="48" w:beforeLines="20"/>
              <w:rPr>
                <w:b/>
                <w:bCs/>
              </w:rPr>
            </w:pPr>
            <w:r>
              <w:rPr>
                <w:b/>
                <w:bCs/>
              </w:rPr>
              <w:t>（2）噪声监测内容</w:t>
            </w:r>
          </w:p>
          <w:p w14:paraId="22A18AE5">
            <w:pPr>
              <w:spacing w:before="48" w:beforeLines="20"/>
              <w:ind w:firstLine="480" w:firstLineChars="200"/>
            </w:pPr>
            <w:r>
              <w:t>本次验收共布设4个厂界噪声监测点位，1个周边敏感目标噪声监测点位，</w:t>
            </w:r>
            <w:r>
              <w:rPr>
                <w:lang w:val="zh-CN"/>
              </w:rPr>
              <w:t>监测点见表</w:t>
            </w:r>
            <w:r>
              <w:t>6-</w:t>
            </w:r>
            <w:r>
              <w:rPr>
                <w:rFonts w:hint="eastAsia"/>
              </w:rPr>
              <w:t>3</w:t>
            </w:r>
            <w:r>
              <w:rPr>
                <w:lang w:val="zh-CN"/>
              </w:rPr>
              <w:t>，各点位置</w:t>
            </w:r>
            <w:r>
              <w:t>详见附图</w:t>
            </w:r>
            <w:r>
              <w:rPr>
                <w:rFonts w:hint="eastAsia"/>
              </w:rPr>
              <w:t>4</w:t>
            </w:r>
            <w:r>
              <w:t>。</w:t>
            </w:r>
          </w:p>
          <w:p w14:paraId="49E15636">
            <w:pPr>
              <w:spacing w:line="240" w:lineRule="auto"/>
              <w:ind w:firstLine="482"/>
              <w:jc w:val="center"/>
              <w:rPr>
                <w:b/>
              </w:rPr>
            </w:pPr>
            <w:r>
              <w:rPr>
                <w:b/>
              </w:rPr>
              <w:t>表6-</w:t>
            </w:r>
            <w:r>
              <w:rPr>
                <w:rFonts w:hint="eastAsia"/>
                <w:b/>
              </w:rPr>
              <w:t>3</w:t>
            </w:r>
            <w:r>
              <w:rPr>
                <w:b/>
              </w:rPr>
              <w:t>验收噪声监测点位一览表</w:t>
            </w:r>
          </w:p>
          <w:tbl>
            <w:tblPr>
              <w:tblStyle w:val="20"/>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449"/>
              <w:gridCol w:w="2335"/>
              <w:gridCol w:w="1230"/>
              <w:gridCol w:w="2209"/>
            </w:tblGrid>
            <w:tr w14:paraId="7089F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5" w:type="dxa"/>
                  <w:tcBorders>
                    <w:tl2br w:val="nil"/>
                    <w:tr2bl w:val="nil"/>
                  </w:tcBorders>
                  <w:vAlign w:val="center"/>
                </w:tcPr>
                <w:p w14:paraId="36A74972">
                  <w:pPr>
                    <w:pStyle w:val="6"/>
                    <w:tabs>
                      <w:tab w:val="left" w:pos="987"/>
                    </w:tabs>
                    <w:spacing w:line="240" w:lineRule="auto"/>
                    <w:ind w:firstLine="0" w:firstLineChars="0"/>
                    <w:jc w:val="center"/>
                    <w:rPr>
                      <w:szCs w:val="21"/>
                    </w:rPr>
                  </w:pPr>
                  <w:r>
                    <w:rPr>
                      <w:szCs w:val="21"/>
                    </w:rPr>
                    <w:t>监测性质</w:t>
                  </w:r>
                </w:p>
              </w:tc>
              <w:tc>
                <w:tcPr>
                  <w:tcW w:w="1449" w:type="dxa"/>
                  <w:tcBorders>
                    <w:tl2br w:val="nil"/>
                    <w:tr2bl w:val="nil"/>
                  </w:tcBorders>
                  <w:vAlign w:val="center"/>
                </w:tcPr>
                <w:p w14:paraId="06A43DBE">
                  <w:pPr>
                    <w:pStyle w:val="6"/>
                    <w:tabs>
                      <w:tab w:val="left" w:pos="987"/>
                    </w:tabs>
                    <w:spacing w:line="240" w:lineRule="auto"/>
                    <w:ind w:firstLine="0" w:firstLineChars="0"/>
                    <w:jc w:val="center"/>
                    <w:rPr>
                      <w:szCs w:val="21"/>
                    </w:rPr>
                  </w:pPr>
                  <w:r>
                    <w:rPr>
                      <w:szCs w:val="21"/>
                    </w:rPr>
                    <w:t>监测点位号</w:t>
                  </w:r>
                </w:p>
              </w:tc>
              <w:tc>
                <w:tcPr>
                  <w:tcW w:w="2335" w:type="dxa"/>
                  <w:tcBorders>
                    <w:tl2br w:val="nil"/>
                    <w:tr2bl w:val="nil"/>
                  </w:tcBorders>
                  <w:vAlign w:val="center"/>
                </w:tcPr>
                <w:p w14:paraId="2BF533AD">
                  <w:pPr>
                    <w:pStyle w:val="6"/>
                    <w:tabs>
                      <w:tab w:val="left" w:pos="987"/>
                    </w:tabs>
                    <w:spacing w:line="240" w:lineRule="auto"/>
                    <w:ind w:firstLine="0" w:firstLineChars="0"/>
                    <w:jc w:val="center"/>
                    <w:rPr>
                      <w:szCs w:val="21"/>
                    </w:rPr>
                  </w:pPr>
                  <w:r>
                    <w:rPr>
                      <w:szCs w:val="21"/>
                    </w:rPr>
                    <w:t>监测布点位置</w:t>
                  </w:r>
                </w:p>
              </w:tc>
              <w:tc>
                <w:tcPr>
                  <w:tcW w:w="1230" w:type="dxa"/>
                  <w:tcBorders>
                    <w:tl2br w:val="nil"/>
                    <w:tr2bl w:val="nil"/>
                  </w:tcBorders>
                  <w:vAlign w:val="center"/>
                </w:tcPr>
                <w:p w14:paraId="6A0D058B">
                  <w:pPr>
                    <w:pStyle w:val="6"/>
                    <w:tabs>
                      <w:tab w:val="left" w:pos="987"/>
                    </w:tabs>
                    <w:spacing w:line="240" w:lineRule="auto"/>
                    <w:ind w:firstLine="0" w:firstLineChars="0"/>
                    <w:jc w:val="center"/>
                    <w:rPr>
                      <w:szCs w:val="21"/>
                    </w:rPr>
                  </w:pPr>
                  <w:r>
                    <w:rPr>
                      <w:szCs w:val="21"/>
                    </w:rPr>
                    <w:t>监测因子</w:t>
                  </w:r>
                </w:p>
              </w:tc>
              <w:tc>
                <w:tcPr>
                  <w:tcW w:w="2209" w:type="dxa"/>
                  <w:tcBorders>
                    <w:tl2br w:val="nil"/>
                    <w:tr2bl w:val="nil"/>
                  </w:tcBorders>
                  <w:vAlign w:val="center"/>
                </w:tcPr>
                <w:p w14:paraId="1234CF94">
                  <w:pPr>
                    <w:pStyle w:val="6"/>
                    <w:tabs>
                      <w:tab w:val="left" w:pos="987"/>
                    </w:tabs>
                    <w:spacing w:line="240" w:lineRule="auto"/>
                    <w:ind w:firstLine="0" w:firstLineChars="0"/>
                    <w:jc w:val="center"/>
                    <w:rPr>
                      <w:szCs w:val="21"/>
                    </w:rPr>
                  </w:pPr>
                  <w:r>
                    <w:t>监测频次及监测周期</w:t>
                  </w:r>
                </w:p>
              </w:tc>
            </w:tr>
            <w:tr w14:paraId="0ED65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1485" w:type="dxa"/>
                  <w:vMerge w:val="restart"/>
                  <w:tcBorders>
                    <w:tl2br w:val="nil"/>
                    <w:tr2bl w:val="nil"/>
                  </w:tcBorders>
                  <w:vAlign w:val="center"/>
                </w:tcPr>
                <w:p w14:paraId="5014D76F">
                  <w:pPr>
                    <w:pStyle w:val="6"/>
                    <w:tabs>
                      <w:tab w:val="left" w:pos="987"/>
                    </w:tabs>
                    <w:spacing w:line="240" w:lineRule="auto"/>
                    <w:ind w:firstLine="0" w:firstLineChars="0"/>
                    <w:jc w:val="center"/>
                    <w:rPr>
                      <w:szCs w:val="21"/>
                    </w:rPr>
                  </w:pPr>
                  <w:r>
                    <w:rPr>
                      <w:szCs w:val="21"/>
                    </w:rPr>
                    <w:t>生产车间厂界</w:t>
                  </w:r>
                </w:p>
              </w:tc>
              <w:tc>
                <w:tcPr>
                  <w:tcW w:w="1449" w:type="dxa"/>
                  <w:tcBorders>
                    <w:tl2br w:val="nil"/>
                    <w:tr2bl w:val="nil"/>
                  </w:tcBorders>
                  <w:vAlign w:val="center"/>
                </w:tcPr>
                <w:p w14:paraId="0824C257">
                  <w:pPr>
                    <w:pStyle w:val="6"/>
                    <w:tabs>
                      <w:tab w:val="left" w:pos="987"/>
                    </w:tabs>
                    <w:spacing w:line="240" w:lineRule="auto"/>
                    <w:ind w:firstLine="0" w:firstLineChars="0"/>
                    <w:jc w:val="center"/>
                    <w:rPr>
                      <w:szCs w:val="21"/>
                    </w:rPr>
                  </w:pPr>
                  <w:r>
                    <w:rPr>
                      <w:rFonts w:hint="eastAsia"/>
                      <w:szCs w:val="21"/>
                      <w:lang w:val="en-US" w:eastAsia="zh-CN"/>
                    </w:rPr>
                    <w:t>Z</w:t>
                  </w:r>
                  <w:r>
                    <w:rPr>
                      <w:szCs w:val="21"/>
                    </w:rPr>
                    <w:t>1</w:t>
                  </w:r>
                </w:p>
              </w:tc>
              <w:tc>
                <w:tcPr>
                  <w:tcW w:w="2335" w:type="dxa"/>
                  <w:tcBorders>
                    <w:tl2br w:val="nil"/>
                    <w:tr2bl w:val="nil"/>
                  </w:tcBorders>
                  <w:vAlign w:val="center"/>
                </w:tcPr>
                <w:p w14:paraId="2B9336F0">
                  <w:pPr>
                    <w:keepNext w:val="0"/>
                    <w:keepLines w:val="0"/>
                    <w:widowControl w:val="0"/>
                    <w:suppressLineNumbers w:val="0"/>
                    <w:spacing w:before="0" w:beforeAutospacing="0" w:after="0" w:afterAutospacing="0"/>
                    <w:ind w:left="0" w:leftChars="0" w:right="0" w:rightChars="0"/>
                    <w:jc w:val="center"/>
                    <w:rPr>
                      <w:szCs w:val="21"/>
                    </w:rPr>
                  </w:pPr>
                  <w:r>
                    <w:rPr>
                      <w:rFonts w:hint="eastAsia" w:cs="Times New Roman"/>
                      <w:b w:val="0"/>
                      <w:color w:val="auto"/>
                      <w:kern w:val="2"/>
                      <w:sz w:val="21"/>
                      <w:szCs w:val="21"/>
                      <w:highlight w:val="none"/>
                      <w:lang w:val="en-US" w:eastAsia="zh-CN" w:bidi="ar"/>
                    </w:rPr>
                    <w:t>1号厂房</w:t>
                  </w:r>
                  <w:r>
                    <w:rPr>
                      <w:rFonts w:hint="eastAsia" w:ascii="Times New Roman" w:hAnsi="Times New Roman" w:eastAsia="宋体" w:cs="Times New Roman"/>
                      <w:b w:val="0"/>
                      <w:color w:val="auto"/>
                      <w:kern w:val="2"/>
                      <w:sz w:val="21"/>
                      <w:szCs w:val="21"/>
                      <w:highlight w:val="none"/>
                      <w:lang w:val="en-US" w:eastAsia="zh-CN" w:bidi="ar"/>
                    </w:rPr>
                    <w:t>厂界</w:t>
                  </w:r>
                  <w:r>
                    <w:rPr>
                      <w:rFonts w:hint="eastAsia" w:cs="Times New Roman"/>
                      <w:b w:val="0"/>
                      <w:color w:val="auto"/>
                      <w:kern w:val="2"/>
                      <w:sz w:val="21"/>
                      <w:szCs w:val="21"/>
                      <w:highlight w:val="none"/>
                      <w:lang w:val="en-US" w:eastAsia="zh-CN" w:bidi="ar"/>
                    </w:rPr>
                    <w:t>北</w:t>
                  </w:r>
                  <w:r>
                    <w:rPr>
                      <w:rFonts w:hint="eastAsia" w:ascii="Times New Roman" w:hAnsi="Times New Roman" w:eastAsia="宋体" w:cs="Times New Roman"/>
                      <w:b w:val="0"/>
                      <w:color w:val="auto"/>
                      <w:kern w:val="2"/>
                      <w:sz w:val="21"/>
                      <w:szCs w:val="21"/>
                      <w:highlight w:val="none"/>
                      <w:lang w:val="en-US" w:eastAsia="zh-CN" w:bidi="ar"/>
                    </w:rPr>
                    <w:t>侧外1m</w:t>
                  </w:r>
                </w:p>
              </w:tc>
              <w:tc>
                <w:tcPr>
                  <w:tcW w:w="1230" w:type="dxa"/>
                  <w:vMerge w:val="restart"/>
                  <w:tcBorders>
                    <w:tl2br w:val="nil"/>
                    <w:tr2bl w:val="nil"/>
                  </w:tcBorders>
                  <w:vAlign w:val="center"/>
                </w:tcPr>
                <w:p w14:paraId="574C5F98">
                  <w:pPr>
                    <w:pStyle w:val="6"/>
                    <w:tabs>
                      <w:tab w:val="left" w:pos="987"/>
                    </w:tabs>
                    <w:spacing w:line="240" w:lineRule="auto"/>
                    <w:ind w:firstLine="0" w:firstLineChars="0"/>
                    <w:jc w:val="center"/>
                    <w:rPr>
                      <w:szCs w:val="21"/>
                    </w:rPr>
                  </w:pPr>
                  <w:r>
                    <w:t>测昼夜间Leq</w:t>
                  </w:r>
                </w:p>
              </w:tc>
              <w:tc>
                <w:tcPr>
                  <w:tcW w:w="2209" w:type="dxa"/>
                  <w:vMerge w:val="restart"/>
                  <w:tcBorders>
                    <w:tl2br w:val="nil"/>
                    <w:tr2bl w:val="nil"/>
                  </w:tcBorders>
                  <w:vAlign w:val="center"/>
                </w:tcPr>
                <w:p w14:paraId="107EA2D7">
                  <w:pPr>
                    <w:pStyle w:val="6"/>
                    <w:tabs>
                      <w:tab w:val="left" w:pos="987"/>
                    </w:tabs>
                    <w:spacing w:line="240" w:lineRule="auto"/>
                    <w:ind w:firstLine="0" w:firstLineChars="0"/>
                    <w:jc w:val="center"/>
                    <w:rPr>
                      <w:szCs w:val="21"/>
                    </w:rPr>
                  </w:pPr>
                  <w:r>
                    <w:t>噪声连续监测2日，每天昼间</w:t>
                  </w:r>
                  <w:r>
                    <w:rPr>
                      <w:rFonts w:hint="eastAsia"/>
                    </w:rPr>
                    <w:t>各</w:t>
                  </w:r>
                  <w:r>
                    <w:t>监测</w:t>
                  </w:r>
                  <w:r>
                    <w:rPr>
                      <w:rFonts w:hint="eastAsia"/>
                      <w:lang w:val="en-US" w:eastAsia="zh-CN"/>
                    </w:rPr>
                    <w:t>一</w:t>
                  </w:r>
                  <w:r>
                    <w:t>次，每次连续监测10min</w:t>
                  </w:r>
                </w:p>
              </w:tc>
            </w:tr>
            <w:tr w14:paraId="167F9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5" w:type="dxa"/>
                  <w:vMerge w:val="continue"/>
                  <w:tcBorders>
                    <w:tl2br w:val="nil"/>
                    <w:tr2bl w:val="nil"/>
                  </w:tcBorders>
                  <w:vAlign w:val="center"/>
                </w:tcPr>
                <w:p w14:paraId="59B34716">
                  <w:pPr>
                    <w:pStyle w:val="6"/>
                    <w:tabs>
                      <w:tab w:val="left" w:pos="987"/>
                    </w:tabs>
                    <w:spacing w:line="240" w:lineRule="auto"/>
                    <w:ind w:firstLine="0" w:firstLineChars="0"/>
                    <w:jc w:val="center"/>
                    <w:rPr>
                      <w:szCs w:val="21"/>
                    </w:rPr>
                  </w:pPr>
                </w:p>
              </w:tc>
              <w:tc>
                <w:tcPr>
                  <w:tcW w:w="1449" w:type="dxa"/>
                  <w:tcBorders>
                    <w:tl2br w:val="nil"/>
                    <w:tr2bl w:val="nil"/>
                  </w:tcBorders>
                  <w:vAlign w:val="center"/>
                </w:tcPr>
                <w:p w14:paraId="6031AEBF">
                  <w:pPr>
                    <w:pStyle w:val="6"/>
                    <w:tabs>
                      <w:tab w:val="left" w:pos="987"/>
                    </w:tabs>
                    <w:spacing w:line="240" w:lineRule="auto"/>
                    <w:ind w:firstLine="0" w:firstLineChars="0"/>
                    <w:jc w:val="center"/>
                    <w:rPr>
                      <w:szCs w:val="21"/>
                    </w:rPr>
                  </w:pPr>
                  <w:r>
                    <w:rPr>
                      <w:rFonts w:hint="eastAsia"/>
                      <w:szCs w:val="21"/>
                      <w:lang w:val="en-US" w:eastAsia="zh-CN"/>
                    </w:rPr>
                    <w:t>Z</w:t>
                  </w:r>
                  <w:r>
                    <w:rPr>
                      <w:szCs w:val="21"/>
                    </w:rPr>
                    <w:t>2</w:t>
                  </w:r>
                </w:p>
              </w:tc>
              <w:tc>
                <w:tcPr>
                  <w:tcW w:w="2335" w:type="dxa"/>
                  <w:tcBorders>
                    <w:tl2br w:val="nil"/>
                    <w:tr2bl w:val="nil"/>
                  </w:tcBorders>
                  <w:vAlign w:val="center"/>
                </w:tcPr>
                <w:p w14:paraId="68557EE1">
                  <w:pPr>
                    <w:keepNext w:val="0"/>
                    <w:keepLines w:val="0"/>
                    <w:widowControl w:val="0"/>
                    <w:suppressLineNumbers w:val="0"/>
                    <w:spacing w:before="0" w:beforeAutospacing="0" w:after="0" w:afterAutospacing="0"/>
                    <w:ind w:left="0" w:leftChars="0" w:right="0" w:rightChars="0"/>
                    <w:jc w:val="center"/>
                    <w:rPr>
                      <w:szCs w:val="21"/>
                    </w:rPr>
                  </w:pPr>
                  <w:r>
                    <w:rPr>
                      <w:rFonts w:hint="eastAsia" w:cs="Times New Roman"/>
                      <w:b w:val="0"/>
                      <w:color w:val="auto"/>
                      <w:kern w:val="2"/>
                      <w:sz w:val="21"/>
                      <w:szCs w:val="21"/>
                      <w:highlight w:val="none"/>
                      <w:lang w:val="en-US" w:eastAsia="zh-CN" w:bidi="ar"/>
                    </w:rPr>
                    <w:t>1号厂房</w:t>
                  </w:r>
                  <w:r>
                    <w:rPr>
                      <w:rFonts w:hint="eastAsia" w:ascii="Times New Roman" w:hAnsi="Times New Roman" w:eastAsia="宋体" w:cs="Times New Roman"/>
                      <w:b w:val="0"/>
                      <w:color w:val="auto"/>
                      <w:kern w:val="2"/>
                      <w:sz w:val="21"/>
                      <w:szCs w:val="21"/>
                      <w:highlight w:val="none"/>
                      <w:lang w:val="en-US" w:eastAsia="zh-CN" w:bidi="ar"/>
                    </w:rPr>
                    <w:t>厂界</w:t>
                  </w:r>
                  <w:r>
                    <w:rPr>
                      <w:rFonts w:hint="eastAsia" w:cs="Times New Roman"/>
                      <w:b w:val="0"/>
                      <w:color w:val="auto"/>
                      <w:kern w:val="2"/>
                      <w:sz w:val="21"/>
                      <w:szCs w:val="21"/>
                      <w:highlight w:val="none"/>
                      <w:lang w:val="en-US" w:eastAsia="zh-CN" w:bidi="ar"/>
                    </w:rPr>
                    <w:t>西</w:t>
                  </w:r>
                  <w:r>
                    <w:rPr>
                      <w:rFonts w:hint="eastAsia" w:ascii="Times New Roman" w:hAnsi="Times New Roman" w:eastAsia="宋体" w:cs="Times New Roman"/>
                      <w:b w:val="0"/>
                      <w:color w:val="auto"/>
                      <w:kern w:val="2"/>
                      <w:sz w:val="21"/>
                      <w:szCs w:val="21"/>
                      <w:highlight w:val="none"/>
                      <w:lang w:val="en-US" w:eastAsia="zh-CN" w:bidi="ar"/>
                    </w:rPr>
                    <w:t>侧外1m</w:t>
                  </w:r>
                </w:p>
              </w:tc>
              <w:tc>
                <w:tcPr>
                  <w:tcW w:w="1230" w:type="dxa"/>
                  <w:vMerge w:val="continue"/>
                  <w:tcBorders>
                    <w:tl2br w:val="nil"/>
                    <w:tr2bl w:val="nil"/>
                  </w:tcBorders>
                  <w:vAlign w:val="center"/>
                </w:tcPr>
                <w:p w14:paraId="7B09C57A">
                  <w:pPr>
                    <w:pStyle w:val="6"/>
                    <w:tabs>
                      <w:tab w:val="left" w:pos="987"/>
                    </w:tabs>
                    <w:spacing w:line="240" w:lineRule="auto"/>
                    <w:ind w:firstLine="0" w:firstLineChars="0"/>
                    <w:jc w:val="center"/>
                    <w:rPr>
                      <w:szCs w:val="21"/>
                    </w:rPr>
                  </w:pPr>
                </w:p>
              </w:tc>
              <w:tc>
                <w:tcPr>
                  <w:tcW w:w="2209" w:type="dxa"/>
                  <w:vMerge w:val="continue"/>
                  <w:tcBorders>
                    <w:tl2br w:val="nil"/>
                    <w:tr2bl w:val="nil"/>
                  </w:tcBorders>
                  <w:vAlign w:val="center"/>
                </w:tcPr>
                <w:p w14:paraId="48C88DEB">
                  <w:pPr>
                    <w:pStyle w:val="6"/>
                    <w:tabs>
                      <w:tab w:val="left" w:pos="987"/>
                    </w:tabs>
                    <w:spacing w:line="240" w:lineRule="auto"/>
                    <w:ind w:firstLine="0" w:firstLineChars="0"/>
                    <w:jc w:val="center"/>
                    <w:rPr>
                      <w:szCs w:val="21"/>
                    </w:rPr>
                  </w:pPr>
                </w:p>
              </w:tc>
            </w:tr>
            <w:tr w14:paraId="1E359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485" w:type="dxa"/>
                  <w:vMerge w:val="continue"/>
                  <w:tcBorders>
                    <w:tl2br w:val="nil"/>
                    <w:tr2bl w:val="nil"/>
                  </w:tcBorders>
                  <w:vAlign w:val="center"/>
                </w:tcPr>
                <w:p w14:paraId="42848AD0">
                  <w:pPr>
                    <w:pStyle w:val="6"/>
                    <w:tabs>
                      <w:tab w:val="left" w:pos="987"/>
                    </w:tabs>
                    <w:spacing w:line="240" w:lineRule="auto"/>
                    <w:ind w:firstLine="0" w:firstLineChars="0"/>
                    <w:jc w:val="center"/>
                    <w:rPr>
                      <w:szCs w:val="21"/>
                    </w:rPr>
                  </w:pPr>
                </w:p>
              </w:tc>
              <w:tc>
                <w:tcPr>
                  <w:tcW w:w="1449" w:type="dxa"/>
                  <w:tcBorders>
                    <w:tl2br w:val="nil"/>
                    <w:tr2bl w:val="nil"/>
                  </w:tcBorders>
                  <w:vAlign w:val="center"/>
                </w:tcPr>
                <w:p w14:paraId="6CA84CA6">
                  <w:pPr>
                    <w:pStyle w:val="6"/>
                    <w:tabs>
                      <w:tab w:val="left" w:pos="987"/>
                    </w:tabs>
                    <w:spacing w:line="240" w:lineRule="auto"/>
                    <w:ind w:firstLine="0" w:firstLineChars="0"/>
                    <w:jc w:val="center"/>
                    <w:rPr>
                      <w:szCs w:val="21"/>
                    </w:rPr>
                  </w:pPr>
                  <w:r>
                    <w:rPr>
                      <w:rFonts w:hint="eastAsia"/>
                      <w:szCs w:val="21"/>
                      <w:lang w:val="en-US" w:eastAsia="zh-CN"/>
                    </w:rPr>
                    <w:t>Z</w:t>
                  </w:r>
                  <w:r>
                    <w:rPr>
                      <w:szCs w:val="21"/>
                    </w:rPr>
                    <w:t>3</w:t>
                  </w:r>
                </w:p>
              </w:tc>
              <w:tc>
                <w:tcPr>
                  <w:tcW w:w="2335" w:type="dxa"/>
                  <w:tcBorders>
                    <w:tl2br w:val="nil"/>
                    <w:tr2bl w:val="nil"/>
                  </w:tcBorders>
                  <w:vAlign w:val="center"/>
                </w:tcPr>
                <w:p w14:paraId="5682F4EF">
                  <w:pPr>
                    <w:keepNext w:val="0"/>
                    <w:keepLines w:val="0"/>
                    <w:widowControl w:val="0"/>
                    <w:suppressLineNumbers w:val="0"/>
                    <w:spacing w:before="0" w:beforeAutospacing="0" w:after="0" w:afterAutospacing="0"/>
                    <w:ind w:left="0" w:leftChars="0" w:right="0" w:rightChars="0"/>
                    <w:jc w:val="center"/>
                    <w:rPr>
                      <w:szCs w:val="21"/>
                    </w:rPr>
                  </w:pPr>
                  <w:r>
                    <w:rPr>
                      <w:rFonts w:hint="eastAsia" w:cs="Times New Roman"/>
                      <w:b w:val="0"/>
                      <w:color w:val="auto"/>
                      <w:kern w:val="2"/>
                      <w:sz w:val="21"/>
                      <w:szCs w:val="21"/>
                      <w:highlight w:val="none"/>
                      <w:lang w:val="en-US" w:eastAsia="zh-CN" w:bidi="ar"/>
                    </w:rPr>
                    <w:t>1号厂房</w:t>
                  </w:r>
                  <w:r>
                    <w:rPr>
                      <w:rFonts w:hint="eastAsia" w:ascii="Times New Roman" w:hAnsi="Times New Roman" w:eastAsia="宋体" w:cs="Times New Roman"/>
                      <w:b w:val="0"/>
                      <w:color w:val="auto"/>
                      <w:kern w:val="2"/>
                      <w:sz w:val="21"/>
                      <w:szCs w:val="21"/>
                      <w:highlight w:val="none"/>
                      <w:lang w:val="en-US" w:eastAsia="zh-CN" w:bidi="ar"/>
                    </w:rPr>
                    <w:t>厂界</w:t>
                  </w:r>
                  <w:r>
                    <w:rPr>
                      <w:rFonts w:hint="eastAsia" w:cs="Times New Roman"/>
                      <w:b w:val="0"/>
                      <w:color w:val="auto"/>
                      <w:kern w:val="2"/>
                      <w:sz w:val="21"/>
                      <w:szCs w:val="21"/>
                      <w:highlight w:val="none"/>
                      <w:lang w:val="en-US" w:eastAsia="zh-CN" w:bidi="ar"/>
                    </w:rPr>
                    <w:t>南</w:t>
                  </w:r>
                  <w:r>
                    <w:rPr>
                      <w:rFonts w:hint="eastAsia" w:ascii="Times New Roman" w:hAnsi="Times New Roman" w:eastAsia="宋体" w:cs="Times New Roman"/>
                      <w:b w:val="0"/>
                      <w:color w:val="auto"/>
                      <w:kern w:val="2"/>
                      <w:sz w:val="21"/>
                      <w:szCs w:val="21"/>
                      <w:highlight w:val="none"/>
                      <w:lang w:val="en-US" w:eastAsia="zh-CN" w:bidi="ar"/>
                    </w:rPr>
                    <w:t>侧外1m</w:t>
                  </w:r>
                </w:p>
              </w:tc>
              <w:tc>
                <w:tcPr>
                  <w:tcW w:w="1230" w:type="dxa"/>
                  <w:vMerge w:val="continue"/>
                  <w:tcBorders>
                    <w:tl2br w:val="nil"/>
                    <w:tr2bl w:val="nil"/>
                  </w:tcBorders>
                  <w:vAlign w:val="center"/>
                </w:tcPr>
                <w:p w14:paraId="291DD836">
                  <w:pPr>
                    <w:pStyle w:val="6"/>
                    <w:tabs>
                      <w:tab w:val="left" w:pos="987"/>
                    </w:tabs>
                    <w:spacing w:line="240" w:lineRule="auto"/>
                    <w:ind w:firstLine="0" w:firstLineChars="0"/>
                    <w:jc w:val="center"/>
                    <w:rPr>
                      <w:szCs w:val="21"/>
                    </w:rPr>
                  </w:pPr>
                </w:p>
              </w:tc>
              <w:tc>
                <w:tcPr>
                  <w:tcW w:w="2209" w:type="dxa"/>
                  <w:vMerge w:val="continue"/>
                  <w:tcBorders>
                    <w:tl2br w:val="nil"/>
                    <w:tr2bl w:val="nil"/>
                  </w:tcBorders>
                  <w:vAlign w:val="center"/>
                </w:tcPr>
                <w:p w14:paraId="0C39111F">
                  <w:pPr>
                    <w:pStyle w:val="6"/>
                    <w:tabs>
                      <w:tab w:val="left" w:pos="987"/>
                    </w:tabs>
                    <w:spacing w:line="240" w:lineRule="auto"/>
                    <w:ind w:firstLine="0" w:firstLineChars="0"/>
                    <w:jc w:val="center"/>
                    <w:rPr>
                      <w:szCs w:val="21"/>
                    </w:rPr>
                  </w:pPr>
                </w:p>
              </w:tc>
            </w:tr>
            <w:tr w14:paraId="0B0B9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5" w:type="dxa"/>
                  <w:vMerge w:val="continue"/>
                  <w:tcBorders>
                    <w:tl2br w:val="nil"/>
                    <w:tr2bl w:val="nil"/>
                  </w:tcBorders>
                  <w:vAlign w:val="center"/>
                </w:tcPr>
                <w:p w14:paraId="04DF908C">
                  <w:pPr>
                    <w:pStyle w:val="6"/>
                    <w:tabs>
                      <w:tab w:val="left" w:pos="987"/>
                    </w:tabs>
                    <w:spacing w:line="240" w:lineRule="auto"/>
                    <w:ind w:firstLine="0" w:firstLineChars="0"/>
                    <w:jc w:val="center"/>
                    <w:rPr>
                      <w:szCs w:val="21"/>
                    </w:rPr>
                  </w:pPr>
                </w:p>
              </w:tc>
              <w:tc>
                <w:tcPr>
                  <w:tcW w:w="1449" w:type="dxa"/>
                  <w:tcBorders>
                    <w:tl2br w:val="nil"/>
                    <w:tr2bl w:val="nil"/>
                  </w:tcBorders>
                  <w:vAlign w:val="center"/>
                </w:tcPr>
                <w:p w14:paraId="36F90B38">
                  <w:pPr>
                    <w:pStyle w:val="6"/>
                    <w:tabs>
                      <w:tab w:val="left" w:pos="987"/>
                    </w:tabs>
                    <w:spacing w:line="240" w:lineRule="auto"/>
                    <w:ind w:firstLine="0" w:firstLineChars="0"/>
                    <w:jc w:val="center"/>
                    <w:rPr>
                      <w:szCs w:val="21"/>
                    </w:rPr>
                  </w:pPr>
                  <w:r>
                    <w:rPr>
                      <w:rFonts w:hint="eastAsia"/>
                      <w:szCs w:val="21"/>
                      <w:lang w:val="en-US" w:eastAsia="zh-CN"/>
                    </w:rPr>
                    <w:t>Z</w:t>
                  </w:r>
                  <w:r>
                    <w:rPr>
                      <w:szCs w:val="21"/>
                    </w:rPr>
                    <w:t>4</w:t>
                  </w:r>
                </w:p>
              </w:tc>
              <w:tc>
                <w:tcPr>
                  <w:tcW w:w="2335" w:type="dxa"/>
                  <w:tcBorders>
                    <w:tl2br w:val="nil"/>
                    <w:tr2bl w:val="nil"/>
                  </w:tcBorders>
                  <w:vAlign w:val="center"/>
                </w:tcPr>
                <w:p w14:paraId="3A0A901A">
                  <w:pPr>
                    <w:keepNext w:val="0"/>
                    <w:keepLines w:val="0"/>
                    <w:widowControl w:val="0"/>
                    <w:suppressLineNumbers w:val="0"/>
                    <w:spacing w:before="0" w:beforeAutospacing="0" w:after="0" w:afterAutospacing="0"/>
                    <w:ind w:left="0" w:leftChars="0" w:right="0" w:rightChars="0"/>
                    <w:jc w:val="center"/>
                    <w:rPr>
                      <w:szCs w:val="21"/>
                    </w:rPr>
                  </w:pPr>
                  <w:r>
                    <w:rPr>
                      <w:rFonts w:hint="eastAsia" w:cs="Times New Roman"/>
                      <w:b w:val="0"/>
                      <w:color w:val="auto"/>
                      <w:kern w:val="2"/>
                      <w:sz w:val="21"/>
                      <w:szCs w:val="21"/>
                      <w:highlight w:val="none"/>
                      <w:lang w:val="en-US" w:eastAsia="zh-CN" w:bidi="ar"/>
                    </w:rPr>
                    <w:t>1号厂房</w:t>
                  </w:r>
                  <w:r>
                    <w:rPr>
                      <w:rFonts w:hint="eastAsia" w:ascii="Times New Roman" w:hAnsi="Times New Roman" w:eastAsia="宋体" w:cs="Times New Roman"/>
                      <w:b w:val="0"/>
                      <w:color w:val="auto"/>
                      <w:kern w:val="2"/>
                      <w:sz w:val="21"/>
                      <w:szCs w:val="21"/>
                      <w:highlight w:val="none"/>
                      <w:lang w:val="en-US" w:eastAsia="zh-CN" w:bidi="ar"/>
                    </w:rPr>
                    <w:t>厂界</w:t>
                  </w:r>
                  <w:r>
                    <w:rPr>
                      <w:rFonts w:hint="eastAsia" w:cs="Times New Roman"/>
                      <w:b w:val="0"/>
                      <w:color w:val="auto"/>
                      <w:kern w:val="2"/>
                      <w:sz w:val="21"/>
                      <w:szCs w:val="21"/>
                      <w:highlight w:val="none"/>
                      <w:lang w:val="en-US" w:eastAsia="zh-CN" w:bidi="ar"/>
                    </w:rPr>
                    <w:t>东</w:t>
                  </w:r>
                  <w:r>
                    <w:rPr>
                      <w:rFonts w:hint="eastAsia" w:ascii="Times New Roman" w:hAnsi="Times New Roman" w:eastAsia="宋体" w:cs="Times New Roman"/>
                      <w:b w:val="0"/>
                      <w:color w:val="auto"/>
                      <w:kern w:val="2"/>
                      <w:sz w:val="21"/>
                      <w:szCs w:val="21"/>
                      <w:highlight w:val="none"/>
                      <w:lang w:val="en-US" w:eastAsia="zh-CN" w:bidi="ar"/>
                    </w:rPr>
                    <w:t>侧外1m</w:t>
                  </w:r>
                </w:p>
              </w:tc>
              <w:tc>
                <w:tcPr>
                  <w:tcW w:w="1230" w:type="dxa"/>
                  <w:vMerge w:val="continue"/>
                  <w:tcBorders>
                    <w:tl2br w:val="nil"/>
                    <w:tr2bl w:val="nil"/>
                  </w:tcBorders>
                  <w:vAlign w:val="center"/>
                </w:tcPr>
                <w:p w14:paraId="62C1BC33">
                  <w:pPr>
                    <w:pStyle w:val="6"/>
                    <w:tabs>
                      <w:tab w:val="left" w:pos="987"/>
                    </w:tabs>
                    <w:spacing w:line="240" w:lineRule="auto"/>
                    <w:ind w:firstLine="0" w:firstLineChars="0"/>
                    <w:jc w:val="center"/>
                    <w:rPr>
                      <w:szCs w:val="21"/>
                    </w:rPr>
                  </w:pPr>
                </w:p>
              </w:tc>
              <w:tc>
                <w:tcPr>
                  <w:tcW w:w="2209" w:type="dxa"/>
                  <w:vMerge w:val="continue"/>
                  <w:tcBorders>
                    <w:tl2br w:val="nil"/>
                    <w:tr2bl w:val="nil"/>
                  </w:tcBorders>
                  <w:vAlign w:val="center"/>
                </w:tcPr>
                <w:p w14:paraId="60825A14">
                  <w:pPr>
                    <w:pStyle w:val="6"/>
                    <w:tabs>
                      <w:tab w:val="left" w:pos="987"/>
                    </w:tabs>
                    <w:spacing w:line="240" w:lineRule="auto"/>
                    <w:ind w:firstLine="0" w:firstLineChars="0"/>
                    <w:jc w:val="center"/>
                    <w:rPr>
                      <w:szCs w:val="21"/>
                    </w:rPr>
                  </w:pPr>
                </w:p>
              </w:tc>
            </w:tr>
          </w:tbl>
          <w:p w14:paraId="0F9D2600">
            <w:pPr>
              <w:spacing w:before="48" w:beforeLines="20"/>
              <w:rPr>
                <w:b/>
                <w:bCs/>
              </w:rPr>
            </w:pPr>
            <w:r>
              <w:rPr>
                <w:b/>
                <w:bCs/>
              </w:rPr>
              <w:t>（</w:t>
            </w:r>
            <w:r>
              <w:rPr>
                <w:rFonts w:hint="eastAsia"/>
                <w:b/>
                <w:bCs/>
              </w:rPr>
              <w:t>3</w:t>
            </w:r>
            <w:r>
              <w:rPr>
                <w:b/>
                <w:bCs/>
              </w:rPr>
              <w:t>）</w:t>
            </w:r>
            <w:r>
              <w:rPr>
                <w:rFonts w:hint="eastAsia"/>
                <w:b/>
                <w:bCs/>
              </w:rPr>
              <w:t>废水</w:t>
            </w:r>
            <w:r>
              <w:rPr>
                <w:b/>
                <w:bCs/>
              </w:rPr>
              <w:t>监测内容</w:t>
            </w:r>
          </w:p>
          <w:p w14:paraId="691869DA">
            <w:pPr>
              <w:spacing w:before="48" w:beforeLines="20"/>
              <w:ind w:firstLine="480" w:firstLineChars="200"/>
            </w:pPr>
            <w:r>
              <w:t>本次验收共布设</w:t>
            </w:r>
            <w:r>
              <w:rPr>
                <w:rFonts w:hint="eastAsia"/>
              </w:rPr>
              <w:t>1</w:t>
            </w:r>
            <w:r>
              <w:t>个</w:t>
            </w:r>
            <w:r>
              <w:rPr>
                <w:rFonts w:hint="eastAsia"/>
              </w:rPr>
              <w:t>废水</w:t>
            </w:r>
            <w:r>
              <w:t>监测点位，</w:t>
            </w:r>
            <w:r>
              <w:rPr>
                <w:lang w:val="zh-CN"/>
              </w:rPr>
              <w:t>监测点见表</w:t>
            </w:r>
            <w:r>
              <w:t>6-</w:t>
            </w:r>
            <w:r>
              <w:rPr>
                <w:rFonts w:hint="eastAsia"/>
              </w:rPr>
              <w:t>4</w:t>
            </w:r>
            <w:r>
              <w:rPr>
                <w:lang w:val="zh-CN"/>
              </w:rPr>
              <w:t>，各点位置</w:t>
            </w:r>
            <w:r>
              <w:t>详见附图</w:t>
            </w:r>
            <w:r>
              <w:rPr>
                <w:rFonts w:hint="eastAsia"/>
              </w:rPr>
              <w:t>4</w:t>
            </w:r>
            <w:r>
              <w:t>。</w:t>
            </w:r>
          </w:p>
          <w:p w14:paraId="62571F2D">
            <w:pPr>
              <w:spacing w:line="240" w:lineRule="auto"/>
              <w:ind w:firstLine="482"/>
              <w:jc w:val="center"/>
              <w:rPr>
                <w:b/>
              </w:rPr>
            </w:pPr>
            <w:r>
              <w:rPr>
                <w:b/>
              </w:rPr>
              <w:t>表6-</w:t>
            </w:r>
            <w:r>
              <w:rPr>
                <w:rFonts w:hint="eastAsia"/>
                <w:b/>
              </w:rPr>
              <w:t>4</w:t>
            </w:r>
            <w:r>
              <w:rPr>
                <w:b/>
              </w:rPr>
              <w:t>验收噪声监测点位一览表</w:t>
            </w:r>
          </w:p>
          <w:tbl>
            <w:tblPr>
              <w:tblStyle w:val="20"/>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333"/>
              <w:gridCol w:w="1701"/>
              <w:gridCol w:w="2280"/>
              <w:gridCol w:w="1909"/>
            </w:tblGrid>
            <w:tr w14:paraId="49637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5" w:type="dxa"/>
                  <w:tcBorders>
                    <w:tl2br w:val="nil"/>
                    <w:tr2bl w:val="nil"/>
                  </w:tcBorders>
                  <w:vAlign w:val="center"/>
                </w:tcPr>
                <w:p w14:paraId="5B9A06FE">
                  <w:pPr>
                    <w:pStyle w:val="6"/>
                    <w:tabs>
                      <w:tab w:val="left" w:pos="987"/>
                    </w:tabs>
                    <w:spacing w:line="240" w:lineRule="auto"/>
                    <w:ind w:firstLine="0" w:firstLineChars="0"/>
                    <w:jc w:val="center"/>
                    <w:rPr>
                      <w:szCs w:val="21"/>
                    </w:rPr>
                  </w:pPr>
                  <w:bookmarkStart w:id="5" w:name="_GoBack"/>
                  <w:r>
                    <w:rPr>
                      <w:szCs w:val="21"/>
                    </w:rPr>
                    <w:t>监测性质</w:t>
                  </w:r>
                </w:p>
              </w:tc>
              <w:tc>
                <w:tcPr>
                  <w:tcW w:w="1333" w:type="dxa"/>
                  <w:tcBorders>
                    <w:tl2br w:val="nil"/>
                    <w:tr2bl w:val="nil"/>
                  </w:tcBorders>
                  <w:vAlign w:val="center"/>
                </w:tcPr>
                <w:p w14:paraId="12BB0BFD">
                  <w:pPr>
                    <w:pStyle w:val="6"/>
                    <w:tabs>
                      <w:tab w:val="left" w:pos="987"/>
                    </w:tabs>
                    <w:spacing w:line="240" w:lineRule="auto"/>
                    <w:ind w:firstLine="0" w:firstLineChars="0"/>
                    <w:jc w:val="center"/>
                    <w:rPr>
                      <w:szCs w:val="21"/>
                    </w:rPr>
                  </w:pPr>
                  <w:r>
                    <w:rPr>
                      <w:szCs w:val="21"/>
                    </w:rPr>
                    <w:t>监测点位号</w:t>
                  </w:r>
                </w:p>
              </w:tc>
              <w:tc>
                <w:tcPr>
                  <w:tcW w:w="1701" w:type="dxa"/>
                  <w:tcBorders>
                    <w:tl2br w:val="nil"/>
                    <w:tr2bl w:val="nil"/>
                  </w:tcBorders>
                  <w:vAlign w:val="center"/>
                </w:tcPr>
                <w:p w14:paraId="0A0D31B7">
                  <w:pPr>
                    <w:pStyle w:val="6"/>
                    <w:tabs>
                      <w:tab w:val="left" w:pos="987"/>
                    </w:tabs>
                    <w:spacing w:line="240" w:lineRule="auto"/>
                    <w:ind w:firstLine="0" w:firstLineChars="0"/>
                    <w:jc w:val="center"/>
                    <w:rPr>
                      <w:szCs w:val="21"/>
                    </w:rPr>
                  </w:pPr>
                  <w:r>
                    <w:rPr>
                      <w:szCs w:val="21"/>
                    </w:rPr>
                    <w:t>监测布点位置</w:t>
                  </w:r>
                </w:p>
              </w:tc>
              <w:tc>
                <w:tcPr>
                  <w:tcW w:w="2280" w:type="dxa"/>
                  <w:tcBorders>
                    <w:tl2br w:val="nil"/>
                    <w:tr2bl w:val="nil"/>
                  </w:tcBorders>
                  <w:vAlign w:val="center"/>
                </w:tcPr>
                <w:p w14:paraId="7D57A37A">
                  <w:pPr>
                    <w:pStyle w:val="6"/>
                    <w:tabs>
                      <w:tab w:val="left" w:pos="987"/>
                    </w:tabs>
                    <w:spacing w:line="240" w:lineRule="auto"/>
                    <w:ind w:firstLine="0" w:firstLineChars="0"/>
                    <w:jc w:val="center"/>
                    <w:rPr>
                      <w:szCs w:val="21"/>
                    </w:rPr>
                  </w:pPr>
                  <w:r>
                    <w:rPr>
                      <w:szCs w:val="21"/>
                    </w:rPr>
                    <w:t>监测因子</w:t>
                  </w:r>
                </w:p>
              </w:tc>
              <w:tc>
                <w:tcPr>
                  <w:tcW w:w="1909" w:type="dxa"/>
                  <w:tcBorders>
                    <w:tl2br w:val="nil"/>
                    <w:tr2bl w:val="nil"/>
                  </w:tcBorders>
                  <w:vAlign w:val="center"/>
                </w:tcPr>
                <w:p w14:paraId="3B618309">
                  <w:pPr>
                    <w:pStyle w:val="6"/>
                    <w:tabs>
                      <w:tab w:val="left" w:pos="987"/>
                    </w:tabs>
                    <w:spacing w:line="240" w:lineRule="auto"/>
                    <w:ind w:firstLine="0" w:firstLineChars="0"/>
                    <w:jc w:val="center"/>
                    <w:rPr>
                      <w:szCs w:val="21"/>
                    </w:rPr>
                  </w:pPr>
                  <w:r>
                    <w:t>监测频次及监测周期</w:t>
                  </w:r>
                </w:p>
              </w:tc>
            </w:tr>
            <w:tr w14:paraId="232AF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5" w:type="dxa"/>
                  <w:tcBorders>
                    <w:tl2br w:val="nil"/>
                    <w:tr2bl w:val="nil"/>
                  </w:tcBorders>
                  <w:vAlign w:val="center"/>
                </w:tcPr>
                <w:p w14:paraId="095364BC">
                  <w:pPr>
                    <w:pStyle w:val="6"/>
                    <w:tabs>
                      <w:tab w:val="left" w:pos="987"/>
                    </w:tabs>
                    <w:spacing w:line="240" w:lineRule="auto"/>
                    <w:ind w:firstLine="0" w:firstLineChars="0"/>
                    <w:jc w:val="center"/>
                    <w:rPr>
                      <w:szCs w:val="21"/>
                    </w:rPr>
                  </w:pPr>
                  <w:r>
                    <w:rPr>
                      <w:rFonts w:hint="eastAsia"/>
                      <w:szCs w:val="21"/>
                    </w:rPr>
                    <w:t>生活污水排放口</w:t>
                  </w:r>
                </w:p>
              </w:tc>
              <w:tc>
                <w:tcPr>
                  <w:tcW w:w="1333" w:type="dxa"/>
                  <w:tcBorders>
                    <w:tl2br w:val="nil"/>
                    <w:tr2bl w:val="nil"/>
                  </w:tcBorders>
                  <w:vAlign w:val="center"/>
                </w:tcPr>
                <w:p w14:paraId="7C276090">
                  <w:pPr>
                    <w:pStyle w:val="6"/>
                    <w:tabs>
                      <w:tab w:val="left" w:pos="987"/>
                    </w:tabs>
                    <w:spacing w:line="240" w:lineRule="auto"/>
                    <w:ind w:firstLine="0" w:firstLineChars="0"/>
                    <w:jc w:val="center"/>
                    <w:rPr>
                      <w:szCs w:val="21"/>
                    </w:rPr>
                  </w:pPr>
                  <w:r>
                    <w:rPr>
                      <w:rFonts w:hint="eastAsia"/>
                      <w:szCs w:val="21"/>
                      <w:lang w:val="en-US" w:eastAsia="zh-CN"/>
                    </w:rPr>
                    <w:t>S</w:t>
                  </w:r>
                  <w:r>
                    <w:rPr>
                      <w:rFonts w:hint="eastAsia"/>
                      <w:szCs w:val="21"/>
                    </w:rPr>
                    <w:t>1</w:t>
                  </w:r>
                </w:p>
              </w:tc>
              <w:tc>
                <w:tcPr>
                  <w:tcW w:w="1701" w:type="dxa"/>
                  <w:tcBorders>
                    <w:tl2br w:val="nil"/>
                    <w:tr2bl w:val="nil"/>
                  </w:tcBorders>
                  <w:vAlign w:val="center"/>
                </w:tcPr>
                <w:p w14:paraId="24401D43">
                  <w:pPr>
                    <w:pStyle w:val="6"/>
                    <w:tabs>
                      <w:tab w:val="left" w:pos="987"/>
                    </w:tabs>
                    <w:spacing w:line="240" w:lineRule="auto"/>
                    <w:ind w:firstLine="0" w:firstLineChars="0"/>
                    <w:jc w:val="center"/>
                    <w:rPr>
                      <w:szCs w:val="21"/>
                    </w:rPr>
                  </w:pPr>
                  <w:r>
                    <w:rPr>
                      <w:rFonts w:hint="eastAsia"/>
                      <w:szCs w:val="21"/>
                    </w:rPr>
                    <w:t>生活污水总排口</w:t>
                  </w:r>
                </w:p>
              </w:tc>
              <w:tc>
                <w:tcPr>
                  <w:tcW w:w="2280" w:type="dxa"/>
                  <w:tcBorders>
                    <w:tl2br w:val="nil"/>
                    <w:tr2bl w:val="nil"/>
                  </w:tcBorders>
                  <w:vAlign w:val="center"/>
                </w:tcPr>
                <w:p w14:paraId="7748DAE8">
                  <w:pPr>
                    <w:pStyle w:val="6"/>
                    <w:tabs>
                      <w:tab w:val="left" w:pos="987"/>
                    </w:tabs>
                    <w:spacing w:line="240" w:lineRule="auto"/>
                    <w:ind w:firstLine="0" w:firstLineChars="0"/>
                    <w:jc w:val="center"/>
                    <w:rPr>
                      <w:szCs w:val="21"/>
                    </w:rPr>
                  </w:pPr>
                  <w:r>
                    <w:rPr>
                      <w:rFonts w:hint="eastAsia"/>
                    </w:rPr>
                    <w:t>pH、悬浮物、化学需氧量、五日生化需氧量、氨氮</w:t>
                  </w:r>
                </w:p>
              </w:tc>
              <w:tc>
                <w:tcPr>
                  <w:tcW w:w="1909" w:type="dxa"/>
                  <w:vMerge w:val="restart"/>
                  <w:tcBorders>
                    <w:tl2br w:val="nil"/>
                    <w:tr2bl w:val="nil"/>
                  </w:tcBorders>
                  <w:vAlign w:val="center"/>
                </w:tcPr>
                <w:p w14:paraId="5DDB7C0A">
                  <w:pPr>
                    <w:pStyle w:val="6"/>
                    <w:tabs>
                      <w:tab w:val="left" w:pos="987"/>
                    </w:tabs>
                    <w:spacing w:line="240" w:lineRule="auto"/>
                    <w:ind w:firstLine="0" w:firstLineChars="0"/>
                    <w:jc w:val="center"/>
                    <w:rPr>
                      <w:szCs w:val="21"/>
                    </w:rPr>
                  </w:pPr>
                  <w:r>
                    <w:t>连续监测2日，每天</w:t>
                  </w:r>
                  <w:r>
                    <w:rPr>
                      <w:rFonts w:hint="eastAsia"/>
                    </w:rPr>
                    <w:t>采样4次</w:t>
                  </w:r>
                </w:p>
              </w:tc>
            </w:tr>
            <w:tr w14:paraId="3D4CE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5" w:type="dxa"/>
                  <w:tcBorders>
                    <w:tl2br w:val="nil"/>
                    <w:tr2bl w:val="nil"/>
                  </w:tcBorders>
                  <w:vAlign w:val="center"/>
                </w:tcPr>
                <w:p w14:paraId="6A7D2264">
                  <w:pPr>
                    <w:pStyle w:val="6"/>
                    <w:tabs>
                      <w:tab w:val="left" w:pos="987"/>
                    </w:tabs>
                    <w:spacing w:line="240" w:lineRule="auto"/>
                    <w:ind w:firstLine="0" w:firstLineChars="0"/>
                    <w:jc w:val="center"/>
                    <w:rPr>
                      <w:rFonts w:hint="default" w:eastAsia="宋体"/>
                      <w:szCs w:val="21"/>
                      <w:lang w:val="en-US" w:eastAsia="zh-CN"/>
                    </w:rPr>
                  </w:pPr>
                  <w:r>
                    <w:rPr>
                      <w:rFonts w:hint="eastAsia"/>
                      <w:szCs w:val="21"/>
                      <w:lang w:val="en-US" w:eastAsia="zh-CN"/>
                    </w:rPr>
                    <w:t>生产废水排放口</w:t>
                  </w:r>
                </w:p>
              </w:tc>
              <w:tc>
                <w:tcPr>
                  <w:tcW w:w="1333" w:type="dxa"/>
                  <w:tcBorders>
                    <w:tl2br w:val="nil"/>
                    <w:tr2bl w:val="nil"/>
                  </w:tcBorders>
                  <w:vAlign w:val="center"/>
                </w:tcPr>
                <w:p w14:paraId="57D45FA4">
                  <w:pPr>
                    <w:pStyle w:val="6"/>
                    <w:tabs>
                      <w:tab w:val="left" w:pos="987"/>
                    </w:tabs>
                    <w:spacing w:line="240" w:lineRule="auto"/>
                    <w:ind w:firstLine="0" w:firstLineChars="0"/>
                    <w:jc w:val="center"/>
                    <w:rPr>
                      <w:rFonts w:hint="default"/>
                      <w:szCs w:val="21"/>
                      <w:lang w:val="en-US" w:eastAsia="zh-CN"/>
                    </w:rPr>
                  </w:pPr>
                  <w:r>
                    <w:rPr>
                      <w:rFonts w:hint="eastAsia"/>
                      <w:szCs w:val="21"/>
                      <w:lang w:val="en-US" w:eastAsia="zh-CN"/>
                    </w:rPr>
                    <w:t>S2</w:t>
                  </w:r>
                </w:p>
              </w:tc>
              <w:tc>
                <w:tcPr>
                  <w:tcW w:w="1701" w:type="dxa"/>
                  <w:tcBorders>
                    <w:tl2br w:val="nil"/>
                    <w:tr2bl w:val="nil"/>
                  </w:tcBorders>
                  <w:vAlign w:val="center"/>
                </w:tcPr>
                <w:p w14:paraId="09695A9F">
                  <w:pPr>
                    <w:pStyle w:val="6"/>
                    <w:tabs>
                      <w:tab w:val="left" w:pos="987"/>
                    </w:tabs>
                    <w:spacing w:line="240" w:lineRule="auto"/>
                    <w:ind w:firstLine="0" w:firstLineChars="0"/>
                    <w:jc w:val="center"/>
                    <w:rPr>
                      <w:rFonts w:hint="default" w:eastAsia="宋体"/>
                      <w:szCs w:val="21"/>
                      <w:lang w:val="en-US" w:eastAsia="zh-CN"/>
                    </w:rPr>
                  </w:pPr>
                  <w:r>
                    <w:rPr>
                      <w:rFonts w:hint="eastAsia"/>
                      <w:szCs w:val="21"/>
                      <w:lang w:val="en-US" w:eastAsia="zh-CN"/>
                    </w:rPr>
                    <w:t>生产废水总排口</w:t>
                  </w:r>
                </w:p>
              </w:tc>
              <w:tc>
                <w:tcPr>
                  <w:tcW w:w="2280" w:type="dxa"/>
                  <w:tcBorders>
                    <w:tl2br w:val="nil"/>
                    <w:tr2bl w:val="nil"/>
                  </w:tcBorders>
                  <w:vAlign w:val="center"/>
                </w:tcPr>
                <w:p w14:paraId="3911925D">
                  <w:pPr>
                    <w:pStyle w:val="6"/>
                    <w:tabs>
                      <w:tab w:val="left" w:pos="987"/>
                    </w:tabs>
                    <w:spacing w:line="240" w:lineRule="auto"/>
                    <w:ind w:firstLine="0" w:firstLineChars="0"/>
                    <w:jc w:val="center"/>
                    <w:rPr>
                      <w:rFonts w:hint="eastAsia"/>
                    </w:rPr>
                  </w:pPr>
                  <w:r>
                    <w:rPr>
                      <w:rFonts w:hint="eastAsia"/>
                    </w:rPr>
                    <w:t>pH</w:t>
                  </w:r>
                  <w:r>
                    <w:rPr>
                      <w:rFonts w:hint="eastAsia"/>
                      <w:lang w:eastAsia="zh-CN"/>
                    </w:rPr>
                    <w:t>、</w:t>
                  </w:r>
                  <w:r>
                    <w:rPr>
                      <w:rFonts w:hint="eastAsia"/>
                    </w:rPr>
                    <w:t>悬浮物</w:t>
                  </w:r>
                  <w:r>
                    <w:rPr>
                      <w:rFonts w:hint="eastAsia"/>
                      <w:lang w:eastAsia="zh-CN"/>
                    </w:rPr>
                    <w:t>、</w:t>
                  </w:r>
                  <w:r>
                    <w:rPr>
                      <w:rFonts w:hint="eastAsia"/>
                    </w:rPr>
                    <w:t>氨氮</w:t>
                  </w:r>
                  <w:r>
                    <w:rPr>
                      <w:rFonts w:hint="eastAsia"/>
                      <w:lang w:eastAsia="zh-CN"/>
                    </w:rPr>
                    <w:t>、</w:t>
                  </w:r>
                  <w:r>
                    <w:rPr>
                      <w:rFonts w:hint="eastAsia"/>
                    </w:rPr>
                    <w:t>化学需氧量</w:t>
                  </w:r>
                  <w:r>
                    <w:rPr>
                      <w:rFonts w:hint="eastAsia"/>
                      <w:lang w:eastAsia="zh-CN"/>
                    </w:rPr>
                    <w:t>、</w:t>
                  </w:r>
                  <w:r>
                    <w:rPr>
                      <w:rFonts w:hint="eastAsia"/>
                    </w:rPr>
                    <w:t>石油类</w:t>
                  </w:r>
                  <w:r>
                    <w:rPr>
                      <w:rFonts w:hint="eastAsia"/>
                      <w:lang w:eastAsia="zh-CN"/>
                    </w:rPr>
                    <w:t>、</w:t>
                  </w:r>
                  <w:r>
                    <w:rPr>
                      <w:rFonts w:hint="eastAsia"/>
                    </w:rPr>
                    <w:t>阴离子表面活性剂</w:t>
                  </w:r>
                </w:p>
              </w:tc>
              <w:tc>
                <w:tcPr>
                  <w:tcW w:w="1909" w:type="dxa"/>
                  <w:vMerge w:val="continue"/>
                  <w:tcBorders>
                    <w:tl2br w:val="nil"/>
                    <w:tr2bl w:val="nil"/>
                  </w:tcBorders>
                  <w:vAlign w:val="center"/>
                </w:tcPr>
                <w:p w14:paraId="5461BAA0">
                  <w:pPr>
                    <w:pStyle w:val="6"/>
                    <w:tabs>
                      <w:tab w:val="left" w:pos="987"/>
                    </w:tabs>
                    <w:spacing w:line="240" w:lineRule="auto"/>
                    <w:ind w:firstLine="0" w:firstLineChars="0"/>
                    <w:jc w:val="center"/>
                  </w:pPr>
                </w:p>
              </w:tc>
            </w:tr>
            <w:bookmarkEnd w:id="5"/>
          </w:tbl>
          <w:p w14:paraId="673F2D63">
            <w:pPr>
              <w:spacing w:before="48" w:beforeLines="20"/>
              <w:ind w:firstLine="480" w:firstLineChars="200"/>
            </w:pPr>
          </w:p>
        </w:tc>
      </w:tr>
    </w:tbl>
    <w:p w14:paraId="491AB073">
      <w:pPr>
        <w:pStyle w:val="2"/>
      </w:pPr>
      <w:r>
        <w:t>表七</w:t>
      </w:r>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0BE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07" w:hRule="atLeast"/>
          <w:jc w:val="center"/>
        </w:trPr>
        <w:tc>
          <w:tcPr>
            <w:tcW w:w="8924" w:type="dxa"/>
          </w:tcPr>
          <w:p w14:paraId="11D88C55">
            <w:pPr>
              <w:spacing w:before="48" w:beforeLines="20"/>
              <w:rPr>
                <w:b/>
                <w:bCs/>
              </w:rPr>
            </w:pPr>
            <w:r>
              <w:rPr>
                <w:b/>
                <w:bCs/>
              </w:rPr>
              <w:t>验收监测期间生产工况记录：</w:t>
            </w:r>
          </w:p>
          <w:p w14:paraId="4937A20D">
            <w:pPr>
              <w:spacing w:line="341" w:lineRule="auto"/>
              <w:ind w:firstLine="480" w:firstLineChars="200"/>
              <w:rPr>
                <w:color w:val="auto"/>
              </w:rPr>
            </w:pPr>
            <w:r>
              <w:rPr>
                <w:rFonts w:hint="eastAsia"/>
                <w:color w:val="auto"/>
              </w:rPr>
              <w:t>202</w:t>
            </w:r>
            <w:r>
              <w:rPr>
                <w:rFonts w:hint="eastAsia"/>
                <w:color w:val="auto"/>
                <w:lang w:val="en-US" w:eastAsia="zh-CN"/>
              </w:rPr>
              <w:t>4</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30</w:t>
            </w:r>
            <w:r>
              <w:rPr>
                <w:rFonts w:hint="eastAsia"/>
                <w:color w:val="auto"/>
              </w:rPr>
              <w:t>日~202</w:t>
            </w:r>
            <w:r>
              <w:rPr>
                <w:rFonts w:hint="eastAsia"/>
                <w:color w:val="auto"/>
                <w:lang w:val="en-US" w:eastAsia="zh-CN"/>
              </w:rPr>
              <w:t>4</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31</w:t>
            </w:r>
            <w:r>
              <w:rPr>
                <w:color w:val="auto"/>
              </w:rPr>
              <w:t>环境检测期间，项目正常生产，其中</w:t>
            </w:r>
            <w:r>
              <w:rPr>
                <w:rFonts w:hint="eastAsia"/>
                <w:color w:val="auto"/>
                <w:lang w:val="en-US" w:eastAsia="zh-CN"/>
              </w:rPr>
              <w:t>5</w:t>
            </w:r>
            <w:r>
              <w:rPr>
                <w:rFonts w:hint="eastAsia"/>
                <w:color w:val="auto"/>
              </w:rPr>
              <w:t>月</w:t>
            </w:r>
            <w:r>
              <w:rPr>
                <w:rFonts w:hint="eastAsia"/>
                <w:color w:val="auto"/>
                <w:lang w:val="en-US" w:eastAsia="zh-CN"/>
              </w:rPr>
              <w:t>30</w:t>
            </w:r>
            <w:r>
              <w:rPr>
                <w:rFonts w:hint="eastAsia"/>
                <w:color w:val="auto"/>
              </w:rPr>
              <w:t>日</w:t>
            </w:r>
            <w:r>
              <w:rPr>
                <w:rFonts w:hint="eastAsia"/>
                <w:lang w:val="en-US" w:eastAsia="zh-CN"/>
              </w:rPr>
              <w:t>生产车载盖板玻璃2000片</w:t>
            </w:r>
            <w:r>
              <w:rPr>
                <w:color w:val="auto"/>
              </w:rPr>
              <w:t>，达设计产能</w:t>
            </w:r>
            <w:r>
              <w:rPr>
                <w:rFonts w:hint="eastAsia"/>
                <w:color w:val="auto"/>
              </w:rPr>
              <w:t>8</w:t>
            </w:r>
            <w:r>
              <w:rPr>
                <w:rFonts w:hint="eastAsia"/>
                <w:color w:val="auto"/>
                <w:lang w:val="en-US" w:eastAsia="zh-CN"/>
              </w:rPr>
              <w:t>7</w:t>
            </w:r>
            <w:r>
              <w:rPr>
                <w:rFonts w:hint="eastAsia"/>
                <w:color w:val="auto"/>
              </w:rPr>
              <w:t>.0</w:t>
            </w:r>
            <w:r>
              <w:rPr>
                <w:color w:val="auto"/>
              </w:rPr>
              <w:t>%；</w:t>
            </w:r>
            <w:r>
              <w:rPr>
                <w:rFonts w:hint="eastAsia"/>
                <w:color w:val="auto"/>
                <w:lang w:val="en-US" w:eastAsia="zh-CN"/>
              </w:rPr>
              <w:t>5</w:t>
            </w:r>
            <w:r>
              <w:rPr>
                <w:rFonts w:hint="eastAsia"/>
                <w:color w:val="auto"/>
              </w:rPr>
              <w:t>月</w:t>
            </w:r>
            <w:r>
              <w:rPr>
                <w:rFonts w:hint="eastAsia"/>
                <w:color w:val="auto"/>
                <w:lang w:val="en-US" w:eastAsia="zh-CN"/>
              </w:rPr>
              <w:t>31</w:t>
            </w:r>
            <w:r>
              <w:rPr>
                <w:rFonts w:hint="eastAsia"/>
                <w:color w:val="auto"/>
              </w:rPr>
              <w:t>日</w:t>
            </w:r>
            <w:r>
              <w:rPr>
                <w:rFonts w:hint="eastAsia"/>
                <w:lang w:val="en-US" w:eastAsia="zh-CN"/>
              </w:rPr>
              <w:t>生产车载盖板玻璃1600片</w:t>
            </w:r>
            <w:r>
              <w:rPr>
                <w:color w:val="auto"/>
              </w:rPr>
              <w:t>，达设计产能</w:t>
            </w:r>
            <w:r>
              <w:rPr>
                <w:rFonts w:hint="eastAsia"/>
                <w:color w:val="auto"/>
                <w:lang w:val="en-US" w:eastAsia="zh-CN"/>
              </w:rPr>
              <w:t>70</w:t>
            </w:r>
            <w:r>
              <w:rPr>
                <w:rFonts w:hint="eastAsia"/>
                <w:color w:val="auto"/>
              </w:rPr>
              <w:t>.0</w:t>
            </w:r>
            <w:r>
              <w:rPr>
                <w:color w:val="auto"/>
              </w:rPr>
              <w:t>%。</w:t>
            </w:r>
          </w:p>
          <w:p w14:paraId="34169498">
            <w:pPr>
              <w:spacing w:before="48" w:beforeLines="20"/>
              <w:ind w:firstLine="480"/>
              <w:rPr>
                <w:b/>
                <w:bCs/>
                <w:color w:val="auto"/>
              </w:rPr>
            </w:pPr>
            <w:r>
              <w:rPr>
                <w:b/>
                <w:bCs/>
                <w:color w:val="auto"/>
              </w:rPr>
              <w:t>（1）废气监测结果</w:t>
            </w:r>
          </w:p>
          <w:p w14:paraId="4CDE96A1">
            <w:pPr>
              <w:tabs>
                <w:tab w:val="left" w:pos="829"/>
              </w:tabs>
              <w:spacing w:before="48" w:beforeLines="20"/>
              <w:ind w:firstLine="480" w:firstLineChars="200"/>
            </w:pPr>
            <w:r>
              <w:t>有组织排放废气检测结果</w:t>
            </w:r>
            <w:r>
              <w:rPr>
                <w:rFonts w:hint="eastAsia"/>
              </w:rPr>
              <w:t>见表7-1。无组织废气监测结果见表7-2。</w:t>
            </w:r>
          </w:p>
        </w:tc>
      </w:tr>
    </w:tbl>
    <w:p w14:paraId="2B47AE33">
      <w:pPr>
        <w:sectPr>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pPr>
    </w:p>
    <w:p w14:paraId="4FBB0BD8">
      <w:pPr>
        <w:tabs>
          <w:tab w:val="left" w:pos="829"/>
        </w:tabs>
        <w:spacing w:before="48" w:beforeLines="20" w:line="240" w:lineRule="auto"/>
        <w:ind w:firstLine="482" w:firstLineChars="200"/>
        <w:jc w:val="center"/>
        <w:rPr>
          <w:b/>
        </w:rPr>
      </w:pPr>
      <w:r>
        <w:rPr>
          <w:b/>
        </w:rPr>
        <w:t>表7-</w:t>
      </w:r>
      <w:r>
        <w:rPr>
          <w:rFonts w:hint="eastAsia"/>
          <w:b/>
        </w:rPr>
        <w:t>1</w:t>
      </w:r>
      <w:r>
        <w:rPr>
          <w:b/>
          <w:bCs/>
        </w:rPr>
        <w:t>有组织排放废气</w:t>
      </w:r>
      <w:r>
        <w:rPr>
          <w:b/>
        </w:rPr>
        <w:t>检测结果</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44"/>
        <w:gridCol w:w="1071"/>
        <w:gridCol w:w="1165"/>
        <w:gridCol w:w="1166"/>
        <w:gridCol w:w="737"/>
        <w:gridCol w:w="987"/>
        <w:gridCol w:w="987"/>
        <w:gridCol w:w="987"/>
        <w:gridCol w:w="992"/>
      </w:tblGrid>
      <w:tr w14:paraId="282D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restart"/>
            <w:noWrap w:val="0"/>
            <w:vAlign w:val="center"/>
          </w:tcPr>
          <w:p w14:paraId="36645A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r>
              <w:rPr>
                <w:rFonts w:hint="default" w:ascii="Times New Roman" w:hAnsi="Times New Roman" w:cs="Times New Roman"/>
                <w:b w:val="0"/>
                <w:color w:val="000000"/>
                <w:sz w:val="21"/>
                <w:szCs w:val="21"/>
                <w:lang w:bidi="ar"/>
              </w:rPr>
              <w:t>采样日期</w:t>
            </w:r>
          </w:p>
        </w:tc>
        <w:tc>
          <w:tcPr>
            <w:tcW w:w="586" w:type="pct"/>
            <w:vMerge w:val="restart"/>
            <w:noWrap w:val="0"/>
            <w:vAlign w:val="center"/>
          </w:tcPr>
          <w:p w14:paraId="681B33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r>
              <w:rPr>
                <w:rFonts w:hint="default" w:ascii="Times New Roman" w:hAnsi="Times New Roman" w:cs="Times New Roman"/>
                <w:b w:val="0"/>
                <w:color w:val="000000"/>
                <w:sz w:val="21"/>
                <w:szCs w:val="21"/>
                <w:lang w:bidi="ar"/>
              </w:rPr>
              <w:t>采样点位</w:t>
            </w:r>
          </w:p>
        </w:tc>
        <w:tc>
          <w:tcPr>
            <w:tcW w:w="1275" w:type="pct"/>
            <w:gridSpan w:val="2"/>
            <w:vMerge w:val="restart"/>
            <w:noWrap w:val="0"/>
            <w:vAlign w:val="center"/>
          </w:tcPr>
          <w:p w14:paraId="07043E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r>
              <w:rPr>
                <w:rFonts w:hint="default" w:ascii="Times New Roman" w:hAnsi="Times New Roman" w:cs="Times New Roman"/>
                <w:b w:val="0"/>
                <w:color w:val="000000"/>
                <w:sz w:val="21"/>
                <w:szCs w:val="21"/>
                <w:lang w:bidi="ar"/>
              </w:rPr>
              <w:t>检测项目</w:t>
            </w:r>
          </w:p>
        </w:tc>
        <w:tc>
          <w:tcPr>
            <w:tcW w:w="403" w:type="pct"/>
            <w:vMerge w:val="restart"/>
            <w:noWrap w:val="0"/>
            <w:vAlign w:val="center"/>
          </w:tcPr>
          <w:p w14:paraId="36647C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r>
              <w:rPr>
                <w:rFonts w:hint="default" w:ascii="Times New Roman" w:hAnsi="Times New Roman" w:cs="Times New Roman"/>
                <w:b w:val="0"/>
                <w:color w:val="000000"/>
                <w:sz w:val="21"/>
                <w:szCs w:val="21"/>
                <w:lang w:bidi="ar"/>
              </w:rPr>
              <w:t>单位</w:t>
            </w:r>
          </w:p>
        </w:tc>
        <w:tc>
          <w:tcPr>
            <w:tcW w:w="2162" w:type="pct"/>
            <w:gridSpan w:val="4"/>
            <w:noWrap w:val="0"/>
            <w:vAlign w:val="center"/>
          </w:tcPr>
          <w:p w14:paraId="0387A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color w:val="000000"/>
                <w:sz w:val="21"/>
                <w:szCs w:val="21"/>
                <w:lang w:eastAsia="zh-CN" w:bidi="ar"/>
              </w:rPr>
            </w:pPr>
            <w:r>
              <w:rPr>
                <w:rFonts w:hint="default" w:ascii="Times New Roman" w:hAnsi="Times New Roman" w:cs="Times New Roman"/>
                <w:b w:val="0"/>
                <w:color w:val="000000"/>
                <w:sz w:val="21"/>
                <w:szCs w:val="21"/>
                <w:lang w:bidi="ar"/>
              </w:rPr>
              <w:t>检测</w:t>
            </w:r>
            <w:r>
              <w:rPr>
                <w:rFonts w:hint="eastAsia" w:ascii="Times New Roman" w:hAnsi="Times New Roman" w:cs="Times New Roman"/>
                <w:b w:val="0"/>
                <w:color w:val="000000"/>
                <w:sz w:val="21"/>
                <w:szCs w:val="21"/>
                <w:lang w:val="en-US" w:eastAsia="zh-CN" w:bidi="ar"/>
              </w:rPr>
              <w:t>数据</w:t>
            </w:r>
          </w:p>
        </w:tc>
      </w:tr>
      <w:tr w14:paraId="162E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continue"/>
            <w:tcBorders>
              <w:bottom w:val="single" w:color="auto" w:sz="4" w:space="0"/>
            </w:tcBorders>
            <w:noWrap w:val="0"/>
            <w:vAlign w:val="center"/>
          </w:tcPr>
          <w:p w14:paraId="40B5F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p>
        </w:tc>
        <w:tc>
          <w:tcPr>
            <w:tcW w:w="586" w:type="pct"/>
            <w:vMerge w:val="continue"/>
            <w:tcBorders>
              <w:bottom w:val="single" w:color="auto" w:sz="4" w:space="0"/>
            </w:tcBorders>
            <w:noWrap w:val="0"/>
            <w:vAlign w:val="center"/>
          </w:tcPr>
          <w:p w14:paraId="1EDC9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p>
        </w:tc>
        <w:tc>
          <w:tcPr>
            <w:tcW w:w="1275" w:type="pct"/>
            <w:gridSpan w:val="2"/>
            <w:vMerge w:val="continue"/>
            <w:noWrap w:val="0"/>
            <w:vAlign w:val="center"/>
          </w:tcPr>
          <w:p w14:paraId="1B2094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p>
        </w:tc>
        <w:tc>
          <w:tcPr>
            <w:tcW w:w="403" w:type="pct"/>
            <w:vMerge w:val="continue"/>
            <w:noWrap w:val="0"/>
            <w:vAlign w:val="center"/>
          </w:tcPr>
          <w:p w14:paraId="3EC12E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p>
        </w:tc>
        <w:tc>
          <w:tcPr>
            <w:tcW w:w="540" w:type="pct"/>
            <w:noWrap w:val="0"/>
            <w:vAlign w:val="center"/>
          </w:tcPr>
          <w:p w14:paraId="2A210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r>
              <w:rPr>
                <w:rFonts w:hint="default" w:ascii="Times New Roman" w:hAnsi="Times New Roman" w:cs="Times New Roman"/>
                <w:b w:val="0"/>
                <w:color w:val="000000"/>
                <w:sz w:val="21"/>
                <w:szCs w:val="21"/>
                <w:lang w:bidi="ar"/>
              </w:rPr>
              <w:t>1</w:t>
            </w:r>
          </w:p>
        </w:tc>
        <w:tc>
          <w:tcPr>
            <w:tcW w:w="540" w:type="pct"/>
            <w:noWrap w:val="0"/>
            <w:vAlign w:val="center"/>
          </w:tcPr>
          <w:p w14:paraId="650B24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r>
              <w:rPr>
                <w:rFonts w:hint="default" w:ascii="Times New Roman" w:hAnsi="Times New Roman" w:cs="Times New Roman"/>
                <w:b w:val="0"/>
                <w:color w:val="000000"/>
                <w:sz w:val="21"/>
                <w:szCs w:val="21"/>
                <w:lang w:bidi="ar"/>
              </w:rPr>
              <w:t>2</w:t>
            </w:r>
          </w:p>
        </w:tc>
        <w:tc>
          <w:tcPr>
            <w:tcW w:w="540" w:type="pct"/>
            <w:noWrap w:val="0"/>
            <w:vAlign w:val="center"/>
          </w:tcPr>
          <w:p w14:paraId="2CA00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r>
              <w:rPr>
                <w:rFonts w:hint="default" w:ascii="Times New Roman" w:hAnsi="Times New Roman" w:cs="Times New Roman"/>
                <w:b w:val="0"/>
                <w:color w:val="000000"/>
                <w:sz w:val="21"/>
                <w:szCs w:val="21"/>
                <w:lang w:bidi="ar"/>
              </w:rPr>
              <w:t>3</w:t>
            </w:r>
          </w:p>
        </w:tc>
        <w:tc>
          <w:tcPr>
            <w:tcW w:w="542" w:type="pct"/>
            <w:noWrap w:val="0"/>
            <w:vAlign w:val="center"/>
          </w:tcPr>
          <w:p w14:paraId="61171D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r>
              <w:rPr>
                <w:rFonts w:hint="default" w:ascii="Times New Roman" w:hAnsi="Times New Roman" w:cs="Times New Roman"/>
                <w:b w:val="0"/>
                <w:color w:val="000000"/>
                <w:sz w:val="21"/>
                <w:szCs w:val="21"/>
                <w:lang w:bidi="ar"/>
              </w:rPr>
              <w:t>均值</w:t>
            </w:r>
          </w:p>
        </w:tc>
      </w:tr>
      <w:tr w14:paraId="2AEE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restart"/>
            <w:tcBorders>
              <w:top w:val="single" w:color="auto" w:sz="4" w:space="0"/>
              <w:left w:val="single" w:color="auto" w:sz="4" w:space="0"/>
            </w:tcBorders>
            <w:noWrap w:val="0"/>
            <w:vAlign w:val="center"/>
          </w:tcPr>
          <w:p w14:paraId="6A8F32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
              </w:rPr>
            </w:pPr>
            <w:r>
              <w:rPr>
                <w:rFonts w:hint="eastAsia" w:cs="Times New Roman"/>
                <w:b w:val="0"/>
                <w:bCs/>
                <w:sz w:val="21"/>
                <w:szCs w:val="21"/>
                <w:highlight w:val="none"/>
                <w:lang w:val="en-US" w:eastAsia="zh-CN"/>
              </w:rPr>
              <w:t>2024.5.30</w:t>
            </w:r>
          </w:p>
        </w:tc>
        <w:tc>
          <w:tcPr>
            <w:tcW w:w="586" w:type="pct"/>
            <w:vMerge w:val="restart"/>
            <w:tcBorders>
              <w:top w:val="single" w:color="auto" w:sz="4" w:space="0"/>
              <w:bottom w:val="single" w:color="auto" w:sz="4" w:space="0"/>
              <w:right w:val="single" w:color="auto" w:sz="4" w:space="0"/>
            </w:tcBorders>
            <w:noWrap w:val="0"/>
            <w:vAlign w:val="center"/>
          </w:tcPr>
          <w:p w14:paraId="65EB81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color w:val="000000"/>
                <w:sz w:val="21"/>
                <w:szCs w:val="21"/>
                <w:lang w:val="en-US" w:bidi="ar"/>
              </w:rPr>
            </w:pPr>
            <w:r>
              <w:rPr>
                <w:rFonts w:hint="eastAsia" w:cs="Times New Roman"/>
                <w:b w:val="0"/>
                <w:bCs/>
                <w:sz w:val="21"/>
                <w:szCs w:val="21"/>
                <w:highlight w:val="none"/>
                <w:lang w:val="en-US" w:eastAsia="zh-CN"/>
              </w:rPr>
              <w:t>Q8DA001排气筒进口</w:t>
            </w:r>
          </w:p>
        </w:tc>
        <w:tc>
          <w:tcPr>
            <w:tcW w:w="637" w:type="pct"/>
            <w:vMerge w:val="restart"/>
            <w:tcBorders>
              <w:left w:val="single" w:color="auto" w:sz="4" w:space="0"/>
            </w:tcBorders>
            <w:noWrap w:val="0"/>
            <w:vAlign w:val="center"/>
          </w:tcPr>
          <w:p w14:paraId="35D65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color w:val="000000"/>
                <w:sz w:val="21"/>
                <w:szCs w:val="21"/>
                <w:lang w:eastAsia="zh-CN" w:bidi="ar"/>
              </w:rPr>
            </w:pPr>
            <w:r>
              <w:rPr>
                <w:rFonts w:hint="eastAsia" w:ascii="Times New Roman" w:hAnsi="Times New Roman" w:cs="Times New Roman"/>
                <w:b w:val="0"/>
                <w:color w:val="000000"/>
                <w:sz w:val="21"/>
                <w:szCs w:val="21"/>
                <w:lang w:eastAsia="zh-CN" w:bidi="ar"/>
              </w:rPr>
              <w:t>非甲烷总烃</w:t>
            </w:r>
          </w:p>
        </w:tc>
        <w:tc>
          <w:tcPr>
            <w:tcW w:w="637" w:type="pct"/>
            <w:tcBorders>
              <w:left w:val="single" w:color="auto" w:sz="4" w:space="0"/>
            </w:tcBorders>
            <w:noWrap w:val="0"/>
            <w:vAlign w:val="center"/>
          </w:tcPr>
          <w:p w14:paraId="5308D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r>
              <w:rPr>
                <w:rFonts w:hint="default" w:ascii="Times New Roman" w:hAnsi="Times New Roman" w:cs="Times New Roman"/>
                <w:b w:val="0"/>
                <w:color w:val="000000"/>
                <w:sz w:val="21"/>
                <w:szCs w:val="21"/>
                <w:lang w:bidi="ar"/>
              </w:rPr>
              <w:t>标干流量</w:t>
            </w:r>
          </w:p>
        </w:tc>
        <w:tc>
          <w:tcPr>
            <w:tcW w:w="403" w:type="pct"/>
            <w:noWrap w:val="0"/>
            <w:vAlign w:val="center"/>
          </w:tcPr>
          <w:p w14:paraId="4614D9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sz w:val="21"/>
                <w:szCs w:val="21"/>
                <w:lang w:bidi="ar"/>
              </w:rPr>
            </w:pPr>
            <w:r>
              <w:rPr>
                <w:rFonts w:hint="default" w:ascii="Times New Roman" w:hAnsi="Times New Roman" w:cs="Times New Roman"/>
                <w:b w:val="0"/>
                <w:color w:val="000000"/>
                <w:sz w:val="21"/>
                <w:szCs w:val="21"/>
                <w:lang w:bidi="ar"/>
              </w:rPr>
              <w:t>m</w:t>
            </w:r>
            <w:r>
              <w:rPr>
                <w:rFonts w:hint="default" w:ascii="Times New Roman" w:hAnsi="Times New Roman" w:cs="Times New Roman"/>
                <w:b w:val="0"/>
                <w:color w:val="000000"/>
                <w:sz w:val="21"/>
                <w:szCs w:val="21"/>
                <w:vertAlign w:val="superscript"/>
                <w:lang w:bidi="ar"/>
              </w:rPr>
              <w:t>3</w:t>
            </w:r>
            <w:r>
              <w:rPr>
                <w:rFonts w:hint="default" w:ascii="Times New Roman" w:hAnsi="Times New Roman" w:cs="Times New Roman"/>
                <w:b w:val="0"/>
                <w:color w:val="000000"/>
                <w:sz w:val="21"/>
                <w:szCs w:val="21"/>
                <w:lang w:bidi="ar"/>
              </w:rPr>
              <w:t>/h</w:t>
            </w:r>
          </w:p>
        </w:tc>
        <w:tc>
          <w:tcPr>
            <w:tcW w:w="540" w:type="pct"/>
            <w:noWrap w:val="0"/>
            <w:vAlign w:val="center"/>
          </w:tcPr>
          <w:p w14:paraId="171300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8785</w:t>
            </w:r>
          </w:p>
        </w:tc>
        <w:tc>
          <w:tcPr>
            <w:tcW w:w="540" w:type="pct"/>
            <w:noWrap w:val="0"/>
            <w:vAlign w:val="center"/>
          </w:tcPr>
          <w:p w14:paraId="5591FA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8440</w:t>
            </w:r>
          </w:p>
        </w:tc>
        <w:tc>
          <w:tcPr>
            <w:tcW w:w="540" w:type="pct"/>
            <w:noWrap w:val="0"/>
            <w:vAlign w:val="center"/>
          </w:tcPr>
          <w:p w14:paraId="3F5AE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8495</w:t>
            </w:r>
          </w:p>
        </w:tc>
        <w:tc>
          <w:tcPr>
            <w:tcW w:w="542" w:type="pct"/>
            <w:noWrap w:val="0"/>
            <w:vAlign w:val="center"/>
          </w:tcPr>
          <w:p w14:paraId="127633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8573</w:t>
            </w:r>
          </w:p>
        </w:tc>
      </w:tr>
      <w:tr w14:paraId="2812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continue"/>
            <w:tcBorders>
              <w:left w:val="single" w:color="auto" w:sz="4" w:space="0"/>
            </w:tcBorders>
            <w:noWrap w:val="0"/>
            <w:vAlign w:val="center"/>
          </w:tcPr>
          <w:p w14:paraId="55C4B5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auto"/>
                <w:sz w:val="21"/>
                <w:szCs w:val="21"/>
                <w:lang w:bidi="ar"/>
              </w:rPr>
            </w:pPr>
          </w:p>
        </w:tc>
        <w:tc>
          <w:tcPr>
            <w:tcW w:w="586" w:type="pct"/>
            <w:vMerge w:val="continue"/>
            <w:tcBorders>
              <w:top w:val="single" w:color="auto" w:sz="4" w:space="0"/>
              <w:bottom w:val="single" w:color="auto" w:sz="4" w:space="0"/>
              <w:right w:val="single" w:color="auto" w:sz="4" w:space="0"/>
            </w:tcBorders>
            <w:noWrap w:val="0"/>
            <w:vAlign w:val="center"/>
          </w:tcPr>
          <w:p w14:paraId="1A996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p>
        </w:tc>
        <w:tc>
          <w:tcPr>
            <w:tcW w:w="637" w:type="pct"/>
            <w:vMerge w:val="continue"/>
            <w:tcBorders>
              <w:left w:val="single" w:color="auto" w:sz="4" w:space="0"/>
            </w:tcBorders>
            <w:noWrap w:val="0"/>
            <w:vAlign w:val="center"/>
          </w:tcPr>
          <w:p w14:paraId="5F7437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color w:val="000000"/>
                <w:sz w:val="21"/>
                <w:szCs w:val="21"/>
                <w:lang w:eastAsia="zh-CN" w:bidi="ar"/>
              </w:rPr>
            </w:pPr>
          </w:p>
        </w:tc>
        <w:tc>
          <w:tcPr>
            <w:tcW w:w="637" w:type="pct"/>
            <w:tcBorders>
              <w:left w:val="single" w:color="auto" w:sz="4" w:space="0"/>
            </w:tcBorders>
            <w:noWrap w:val="0"/>
            <w:vAlign w:val="center"/>
          </w:tcPr>
          <w:p w14:paraId="0CF59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r>
              <w:rPr>
                <w:rFonts w:hint="eastAsia" w:ascii="Times New Roman" w:hAnsi="Times New Roman" w:cs="Times New Roman"/>
                <w:b w:val="0"/>
                <w:color w:val="000000"/>
                <w:sz w:val="21"/>
                <w:szCs w:val="21"/>
                <w:lang w:eastAsia="zh-CN" w:bidi="ar"/>
              </w:rPr>
              <w:t>实测</w:t>
            </w:r>
            <w:r>
              <w:rPr>
                <w:rFonts w:hint="default" w:ascii="Times New Roman" w:hAnsi="Times New Roman" w:cs="Times New Roman"/>
                <w:b w:val="0"/>
                <w:color w:val="000000"/>
                <w:sz w:val="21"/>
                <w:szCs w:val="21"/>
                <w:lang w:bidi="ar"/>
              </w:rPr>
              <w:t>浓度</w:t>
            </w:r>
          </w:p>
        </w:tc>
        <w:tc>
          <w:tcPr>
            <w:tcW w:w="403" w:type="pct"/>
            <w:noWrap w:val="0"/>
            <w:vAlign w:val="center"/>
          </w:tcPr>
          <w:p w14:paraId="58AFD5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r>
              <w:rPr>
                <w:rFonts w:hint="default" w:ascii="Times New Roman" w:hAnsi="Times New Roman" w:cs="Times New Roman"/>
                <w:b w:val="0"/>
                <w:color w:val="000000"/>
                <w:sz w:val="21"/>
                <w:szCs w:val="21"/>
                <w:lang w:bidi="ar"/>
              </w:rPr>
              <w:t>mg/m</w:t>
            </w:r>
            <w:r>
              <w:rPr>
                <w:rFonts w:hint="default" w:ascii="Times New Roman" w:hAnsi="Times New Roman" w:cs="Times New Roman"/>
                <w:b w:val="0"/>
                <w:color w:val="000000"/>
                <w:sz w:val="21"/>
                <w:szCs w:val="21"/>
                <w:vertAlign w:val="superscript"/>
                <w:lang w:bidi="ar"/>
              </w:rPr>
              <w:t>3</w:t>
            </w:r>
          </w:p>
        </w:tc>
        <w:tc>
          <w:tcPr>
            <w:tcW w:w="540" w:type="pct"/>
            <w:noWrap w:val="0"/>
            <w:vAlign w:val="center"/>
          </w:tcPr>
          <w:p w14:paraId="4C4D8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10.2</w:t>
            </w:r>
          </w:p>
        </w:tc>
        <w:tc>
          <w:tcPr>
            <w:tcW w:w="540" w:type="pct"/>
            <w:noWrap w:val="0"/>
            <w:vAlign w:val="center"/>
          </w:tcPr>
          <w:p w14:paraId="7FA09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7.24</w:t>
            </w:r>
          </w:p>
        </w:tc>
        <w:tc>
          <w:tcPr>
            <w:tcW w:w="540" w:type="pct"/>
            <w:noWrap w:val="0"/>
            <w:vAlign w:val="center"/>
          </w:tcPr>
          <w:p w14:paraId="45A895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8.61</w:t>
            </w:r>
          </w:p>
        </w:tc>
        <w:tc>
          <w:tcPr>
            <w:tcW w:w="542" w:type="pct"/>
            <w:noWrap w:val="0"/>
            <w:vAlign w:val="center"/>
          </w:tcPr>
          <w:p w14:paraId="56CE8C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8.68</w:t>
            </w:r>
          </w:p>
        </w:tc>
      </w:tr>
      <w:tr w14:paraId="0F4A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continue"/>
            <w:tcBorders>
              <w:left w:val="single" w:color="auto" w:sz="4" w:space="0"/>
            </w:tcBorders>
            <w:noWrap w:val="0"/>
            <w:vAlign w:val="center"/>
          </w:tcPr>
          <w:p w14:paraId="12D3F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auto"/>
                <w:sz w:val="21"/>
                <w:szCs w:val="21"/>
                <w:lang w:bidi="ar"/>
              </w:rPr>
            </w:pPr>
          </w:p>
        </w:tc>
        <w:tc>
          <w:tcPr>
            <w:tcW w:w="586" w:type="pct"/>
            <w:vMerge w:val="continue"/>
            <w:tcBorders>
              <w:top w:val="single" w:color="auto" w:sz="4" w:space="0"/>
              <w:bottom w:val="single" w:color="auto" w:sz="4" w:space="0"/>
              <w:right w:val="single" w:color="auto" w:sz="4" w:space="0"/>
            </w:tcBorders>
            <w:noWrap w:val="0"/>
            <w:vAlign w:val="center"/>
          </w:tcPr>
          <w:p w14:paraId="232E63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p>
        </w:tc>
        <w:tc>
          <w:tcPr>
            <w:tcW w:w="637" w:type="pct"/>
            <w:vMerge w:val="continue"/>
            <w:tcBorders>
              <w:left w:val="single" w:color="auto" w:sz="4" w:space="0"/>
            </w:tcBorders>
            <w:noWrap w:val="0"/>
            <w:vAlign w:val="center"/>
          </w:tcPr>
          <w:p w14:paraId="3A9B81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p>
        </w:tc>
        <w:tc>
          <w:tcPr>
            <w:tcW w:w="637" w:type="pct"/>
            <w:tcBorders>
              <w:left w:val="single" w:color="auto" w:sz="4" w:space="0"/>
            </w:tcBorders>
            <w:noWrap w:val="0"/>
            <w:vAlign w:val="center"/>
          </w:tcPr>
          <w:p w14:paraId="350298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r>
              <w:rPr>
                <w:rFonts w:hint="default" w:ascii="Times New Roman" w:hAnsi="Times New Roman" w:cs="Times New Roman"/>
                <w:b w:val="0"/>
                <w:color w:val="000000"/>
                <w:sz w:val="21"/>
                <w:szCs w:val="21"/>
                <w:lang w:bidi="ar"/>
              </w:rPr>
              <w:t>排放速率</w:t>
            </w:r>
          </w:p>
        </w:tc>
        <w:tc>
          <w:tcPr>
            <w:tcW w:w="403" w:type="pct"/>
            <w:noWrap w:val="0"/>
            <w:vAlign w:val="center"/>
          </w:tcPr>
          <w:p w14:paraId="755704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sz w:val="21"/>
                <w:szCs w:val="21"/>
                <w:lang w:bidi="ar"/>
              </w:rPr>
            </w:pPr>
            <w:r>
              <w:rPr>
                <w:rFonts w:hint="default" w:ascii="Times New Roman" w:hAnsi="Times New Roman" w:cs="Times New Roman"/>
                <w:b w:val="0"/>
                <w:color w:val="000000"/>
                <w:sz w:val="21"/>
                <w:szCs w:val="21"/>
                <w:lang w:bidi="ar"/>
              </w:rPr>
              <w:t>kg/h</w:t>
            </w:r>
          </w:p>
        </w:tc>
        <w:tc>
          <w:tcPr>
            <w:tcW w:w="540" w:type="pct"/>
            <w:noWrap w:val="0"/>
            <w:vAlign w:val="center"/>
          </w:tcPr>
          <w:p w14:paraId="5D27C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0.090</w:t>
            </w:r>
          </w:p>
        </w:tc>
        <w:tc>
          <w:tcPr>
            <w:tcW w:w="540" w:type="pct"/>
            <w:noWrap w:val="0"/>
            <w:vAlign w:val="center"/>
          </w:tcPr>
          <w:p w14:paraId="6A42E9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0.061</w:t>
            </w:r>
          </w:p>
        </w:tc>
        <w:tc>
          <w:tcPr>
            <w:tcW w:w="540" w:type="pct"/>
            <w:noWrap w:val="0"/>
            <w:vAlign w:val="center"/>
          </w:tcPr>
          <w:p w14:paraId="0A5B46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0.073</w:t>
            </w:r>
          </w:p>
        </w:tc>
        <w:tc>
          <w:tcPr>
            <w:tcW w:w="542" w:type="pct"/>
            <w:noWrap w:val="0"/>
            <w:vAlign w:val="center"/>
          </w:tcPr>
          <w:p w14:paraId="0A01D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0.075</w:t>
            </w:r>
          </w:p>
        </w:tc>
      </w:tr>
      <w:tr w14:paraId="0D5B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continue"/>
            <w:tcBorders>
              <w:left w:val="single" w:color="auto" w:sz="4" w:space="0"/>
            </w:tcBorders>
            <w:noWrap w:val="0"/>
            <w:vAlign w:val="center"/>
          </w:tcPr>
          <w:p w14:paraId="48C0C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auto"/>
                <w:sz w:val="21"/>
                <w:szCs w:val="21"/>
                <w:lang w:bidi="ar"/>
              </w:rPr>
            </w:pPr>
          </w:p>
        </w:tc>
        <w:tc>
          <w:tcPr>
            <w:tcW w:w="586" w:type="pct"/>
            <w:vMerge w:val="restart"/>
            <w:tcBorders>
              <w:top w:val="single" w:color="auto" w:sz="4" w:space="0"/>
              <w:right w:val="single" w:color="auto" w:sz="4" w:space="0"/>
            </w:tcBorders>
            <w:noWrap w:val="0"/>
            <w:vAlign w:val="center"/>
          </w:tcPr>
          <w:p w14:paraId="562A49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color w:val="000000"/>
                <w:sz w:val="21"/>
                <w:szCs w:val="21"/>
                <w:lang w:bidi="ar"/>
              </w:rPr>
            </w:pPr>
            <w:r>
              <w:rPr>
                <w:rFonts w:hint="eastAsia" w:cs="Times New Roman"/>
                <w:b w:val="0"/>
                <w:bCs/>
                <w:sz w:val="21"/>
                <w:szCs w:val="21"/>
                <w:highlight w:val="none"/>
                <w:lang w:val="en-US" w:eastAsia="zh-CN"/>
              </w:rPr>
              <w:t>Q9DA001排气筒出口</w:t>
            </w:r>
          </w:p>
        </w:tc>
        <w:tc>
          <w:tcPr>
            <w:tcW w:w="637" w:type="pct"/>
            <w:vMerge w:val="restart"/>
            <w:tcBorders>
              <w:left w:val="single" w:color="auto" w:sz="4" w:space="0"/>
            </w:tcBorders>
            <w:noWrap w:val="0"/>
            <w:vAlign w:val="center"/>
          </w:tcPr>
          <w:p w14:paraId="34B72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color w:val="000000"/>
                <w:kern w:val="2"/>
                <w:sz w:val="21"/>
                <w:szCs w:val="21"/>
                <w:lang w:val="en-US" w:eastAsia="zh-CN" w:bidi="ar"/>
              </w:rPr>
            </w:pPr>
            <w:r>
              <w:rPr>
                <w:rFonts w:hint="eastAsia" w:ascii="Times New Roman" w:hAnsi="Times New Roman" w:cs="Times New Roman"/>
                <w:b w:val="0"/>
                <w:color w:val="000000"/>
                <w:sz w:val="21"/>
                <w:szCs w:val="21"/>
                <w:lang w:eastAsia="zh-CN" w:bidi="ar"/>
              </w:rPr>
              <w:t>非甲烷总烃</w:t>
            </w:r>
          </w:p>
        </w:tc>
        <w:tc>
          <w:tcPr>
            <w:tcW w:w="637" w:type="pct"/>
            <w:tcBorders>
              <w:left w:val="single" w:color="auto" w:sz="4" w:space="0"/>
            </w:tcBorders>
            <w:noWrap w:val="0"/>
            <w:vAlign w:val="center"/>
          </w:tcPr>
          <w:p w14:paraId="3C0E2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kern w:val="2"/>
                <w:sz w:val="21"/>
                <w:szCs w:val="21"/>
                <w:lang w:val="en-US" w:eastAsia="zh-CN" w:bidi="ar"/>
              </w:rPr>
            </w:pPr>
            <w:r>
              <w:rPr>
                <w:rFonts w:hint="default" w:ascii="Times New Roman" w:hAnsi="Times New Roman" w:cs="Times New Roman"/>
                <w:b w:val="0"/>
                <w:color w:val="000000"/>
                <w:sz w:val="21"/>
                <w:szCs w:val="21"/>
                <w:lang w:bidi="ar"/>
              </w:rPr>
              <w:t>标干流量</w:t>
            </w:r>
          </w:p>
        </w:tc>
        <w:tc>
          <w:tcPr>
            <w:tcW w:w="403" w:type="pct"/>
            <w:noWrap w:val="0"/>
            <w:vAlign w:val="center"/>
          </w:tcPr>
          <w:p w14:paraId="60202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kern w:val="2"/>
                <w:sz w:val="21"/>
                <w:szCs w:val="21"/>
                <w:lang w:val="en-US" w:eastAsia="zh-CN" w:bidi="ar"/>
              </w:rPr>
            </w:pPr>
            <w:r>
              <w:rPr>
                <w:rFonts w:hint="default" w:ascii="Times New Roman" w:hAnsi="Times New Roman" w:cs="Times New Roman"/>
                <w:b w:val="0"/>
                <w:color w:val="000000"/>
                <w:sz w:val="21"/>
                <w:szCs w:val="21"/>
                <w:lang w:bidi="ar"/>
              </w:rPr>
              <w:t>m</w:t>
            </w:r>
            <w:r>
              <w:rPr>
                <w:rFonts w:hint="default" w:ascii="Times New Roman" w:hAnsi="Times New Roman" w:cs="Times New Roman"/>
                <w:b w:val="0"/>
                <w:color w:val="000000"/>
                <w:sz w:val="21"/>
                <w:szCs w:val="21"/>
                <w:vertAlign w:val="superscript"/>
                <w:lang w:bidi="ar"/>
              </w:rPr>
              <w:t>3</w:t>
            </w:r>
            <w:r>
              <w:rPr>
                <w:rFonts w:hint="default" w:ascii="Times New Roman" w:hAnsi="Times New Roman" w:cs="Times New Roman"/>
                <w:b w:val="0"/>
                <w:color w:val="000000"/>
                <w:sz w:val="21"/>
                <w:szCs w:val="21"/>
                <w:lang w:bidi="ar"/>
              </w:rPr>
              <w:t>/h</w:t>
            </w:r>
          </w:p>
        </w:tc>
        <w:tc>
          <w:tcPr>
            <w:tcW w:w="540" w:type="pct"/>
            <w:noWrap w:val="0"/>
            <w:vAlign w:val="center"/>
          </w:tcPr>
          <w:p w14:paraId="7FC66B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10769</w:t>
            </w:r>
          </w:p>
        </w:tc>
        <w:tc>
          <w:tcPr>
            <w:tcW w:w="540" w:type="pct"/>
            <w:noWrap w:val="0"/>
            <w:vAlign w:val="center"/>
          </w:tcPr>
          <w:p w14:paraId="5DEC9B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10560</w:t>
            </w:r>
          </w:p>
        </w:tc>
        <w:tc>
          <w:tcPr>
            <w:tcW w:w="540" w:type="pct"/>
            <w:noWrap w:val="0"/>
            <w:vAlign w:val="center"/>
          </w:tcPr>
          <w:p w14:paraId="0307B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10311</w:t>
            </w:r>
          </w:p>
        </w:tc>
        <w:tc>
          <w:tcPr>
            <w:tcW w:w="542" w:type="pct"/>
            <w:noWrap w:val="0"/>
            <w:vAlign w:val="center"/>
          </w:tcPr>
          <w:p w14:paraId="1BDE7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10547</w:t>
            </w:r>
          </w:p>
        </w:tc>
      </w:tr>
      <w:tr w14:paraId="4308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continue"/>
            <w:tcBorders>
              <w:left w:val="single" w:color="auto" w:sz="4" w:space="0"/>
            </w:tcBorders>
            <w:noWrap w:val="0"/>
            <w:vAlign w:val="center"/>
          </w:tcPr>
          <w:p w14:paraId="788451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auto"/>
                <w:sz w:val="21"/>
                <w:szCs w:val="21"/>
                <w:lang w:bidi="ar"/>
              </w:rPr>
            </w:pPr>
          </w:p>
        </w:tc>
        <w:tc>
          <w:tcPr>
            <w:tcW w:w="586" w:type="pct"/>
            <w:vMerge w:val="continue"/>
            <w:tcBorders>
              <w:right w:val="single" w:color="auto" w:sz="4" w:space="0"/>
            </w:tcBorders>
            <w:noWrap w:val="0"/>
            <w:vAlign w:val="center"/>
          </w:tcPr>
          <w:p w14:paraId="4E8F17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p>
        </w:tc>
        <w:tc>
          <w:tcPr>
            <w:tcW w:w="637" w:type="pct"/>
            <w:vMerge w:val="continue"/>
            <w:tcBorders>
              <w:left w:val="single" w:color="auto" w:sz="4" w:space="0"/>
            </w:tcBorders>
            <w:noWrap w:val="0"/>
            <w:vAlign w:val="center"/>
          </w:tcPr>
          <w:p w14:paraId="6EF10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color w:val="000000"/>
                <w:kern w:val="2"/>
                <w:sz w:val="21"/>
                <w:szCs w:val="21"/>
                <w:lang w:val="en-US" w:eastAsia="zh-CN" w:bidi="ar"/>
              </w:rPr>
            </w:pPr>
          </w:p>
        </w:tc>
        <w:tc>
          <w:tcPr>
            <w:tcW w:w="637" w:type="pct"/>
            <w:tcBorders>
              <w:left w:val="single" w:color="auto" w:sz="4" w:space="0"/>
            </w:tcBorders>
            <w:noWrap w:val="0"/>
            <w:vAlign w:val="center"/>
          </w:tcPr>
          <w:p w14:paraId="581882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kern w:val="2"/>
                <w:sz w:val="21"/>
                <w:szCs w:val="21"/>
                <w:lang w:val="en-US" w:eastAsia="zh-CN" w:bidi="ar"/>
              </w:rPr>
            </w:pPr>
            <w:r>
              <w:rPr>
                <w:rFonts w:hint="eastAsia" w:ascii="Times New Roman" w:hAnsi="Times New Roman" w:cs="Times New Roman"/>
                <w:b w:val="0"/>
                <w:color w:val="000000"/>
                <w:sz w:val="21"/>
                <w:szCs w:val="21"/>
                <w:lang w:eastAsia="zh-CN" w:bidi="ar"/>
              </w:rPr>
              <w:t>实测</w:t>
            </w:r>
            <w:r>
              <w:rPr>
                <w:rFonts w:hint="default" w:ascii="Times New Roman" w:hAnsi="Times New Roman" w:cs="Times New Roman"/>
                <w:b w:val="0"/>
                <w:color w:val="000000"/>
                <w:sz w:val="21"/>
                <w:szCs w:val="21"/>
                <w:lang w:bidi="ar"/>
              </w:rPr>
              <w:t>浓度</w:t>
            </w:r>
          </w:p>
        </w:tc>
        <w:tc>
          <w:tcPr>
            <w:tcW w:w="403" w:type="pct"/>
            <w:noWrap w:val="0"/>
            <w:vAlign w:val="center"/>
          </w:tcPr>
          <w:p w14:paraId="1E78D6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kern w:val="2"/>
                <w:sz w:val="21"/>
                <w:szCs w:val="21"/>
                <w:lang w:val="en-US" w:eastAsia="zh-CN" w:bidi="ar"/>
              </w:rPr>
            </w:pPr>
            <w:r>
              <w:rPr>
                <w:rFonts w:hint="default" w:ascii="Times New Roman" w:hAnsi="Times New Roman" w:cs="Times New Roman"/>
                <w:b w:val="0"/>
                <w:color w:val="000000"/>
                <w:sz w:val="21"/>
                <w:szCs w:val="21"/>
                <w:lang w:bidi="ar"/>
              </w:rPr>
              <w:t>mg/m</w:t>
            </w:r>
            <w:r>
              <w:rPr>
                <w:rFonts w:hint="default" w:ascii="Times New Roman" w:hAnsi="Times New Roman" w:cs="Times New Roman"/>
                <w:b w:val="0"/>
                <w:color w:val="000000"/>
                <w:sz w:val="21"/>
                <w:szCs w:val="21"/>
                <w:vertAlign w:val="superscript"/>
                <w:lang w:bidi="ar"/>
              </w:rPr>
              <w:t>3</w:t>
            </w:r>
          </w:p>
        </w:tc>
        <w:tc>
          <w:tcPr>
            <w:tcW w:w="540" w:type="pct"/>
            <w:noWrap w:val="0"/>
            <w:vAlign w:val="center"/>
          </w:tcPr>
          <w:p w14:paraId="6D184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1.98</w:t>
            </w:r>
          </w:p>
        </w:tc>
        <w:tc>
          <w:tcPr>
            <w:tcW w:w="540" w:type="pct"/>
            <w:noWrap w:val="0"/>
            <w:vAlign w:val="center"/>
          </w:tcPr>
          <w:p w14:paraId="24908D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2.41</w:t>
            </w:r>
          </w:p>
        </w:tc>
        <w:tc>
          <w:tcPr>
            <w:tcW w:w="540" w:type="pct"/>
            <w:noWrap w:val="0"/>
            <w:vAlign w:val="center"/>
          </w:tcPr>
          <w:p w14:paraId="0ECD6C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2.00</w:t>
            </w:r>
          </w:p>
        </w:tc>
        <w:tc>
          <w:tcPr>
            <w:tcW w:w="542" w:type="pct"/>
            <w:noWrap w:val="0"/>
            <w:vAlign w:val="center"/>
          </w:tcPr>
          <w:p w14:paraId="019FB7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2.13</w:t>
            </w:r>
          </w:p>
        </w:tc>
      </w:tr>
      <w:tr w14:paraId="4C8A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continue"/>
            <w:tcBorders>
              <w:left w:val="single" w:color="auto" w:sz="4" w:space="0"/>
            </w:tcBorders>
            <w:noWrap w:val="0"/>
            <w:vAlign w:val="center"/>
          </w:tcPr>
          <w:p w14:paraId="2A0CB0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auto"/>
                <w:sz w:val="21"/>
                <w:szCs w:val="21"/>
                <w:lang w:bidi="ar"/>
              </w:rPr>
            </w:pPr>
          </w:p>
        </w:tc>
        <w:tc>
          <w:tcPr>
            <w:tcW w:w="586" w:type="pct"/>
            <w:vMerge w:val="continue"/>
            <w:tcBorders>
              <w:bottom w:val="single" w:color="auto" w:sz="4" w:space="0"/>
              <w:right w:val="single" w:color="auto" w:sz="4" w:space="0"/>
            </w:tcBorders>
            <w:noWrap w:val="0"/>
            <w:vAlign w:val="center"/>
          </w:tcPr>
          <w:p w14:paraId="6FEE6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p>
        </w:tc>
        <w:tc>
          <w:tcPr>
            <w:tcW w:w="637" w:type="pct"/>
            <w:vMerge w:val="continue"/>
            <w:tcBorders>
              <w:left w:val="single" w:color="auto" w:sz="4" w:space="0"/>
            </w:tcBorders>
            <w:noWrap w:val="0"/>
            <w:vAlign w:val="center"/>
          </w:tcPr>
          <w:p w14:paraId="30AED2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bidi="ar"/>
              </w:rPr>
            </w:pPr>
          </w:p>
        </w:tc>
        <w:tc>
          <w:tcPr>
            <w:tcW w:w="637" w:type="pct"/>
            <w:tcBorders>
              <w:left w:val="single" w:color="auto" w:sz="4" w:space="0"/>
            </w:tcBorders>
            <w:noWrap w:val="0"/>
            <w:vAlign w:val="center"/>
          </w:tcPr>
          <w:p w14:paraId="2D1EA3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kern w:val="2"/>
                <w:sz w:val="21"/>
                <w:szCs w:val="21"/>
                <w:lang w:val="en-US" w:eastAsia="zh-CN" w:bidi="ar"/>
              </w:rPr>
            </w:pPr>
            <w:r>
              <w:rPr>
                <w:rFonts w:hint="default" w:ascii="Times New Roman" w:hAnsi="Times New Roman" w:cs="Times New Roman"/>
                <w:b w:val="0"/>
                <w:color w:val="000000"/>
                <w:sz w:val="21"/>
                <w:szCs w:val="21"/>
                <w:lang w:bidi="ar"/>
              </w:rPr>
              <w:t>排放速率</w:t>
            </w:r>
          </w:p>
        </w:tc>
        <w:tc>
          <w:tcPr>
            <w:tcW w:w="403" w:type="pct"/>
            <w:noWrap w:val="0"/>
            <w:vAlign w:val="center"/>
          </w:tcPr>
          <w:p w14:paraId="31A6B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kern w:val="2"/>
                <w:sz w:val="21"/>
                <w:szCs w:val="21"/>
                <w:lang w:val="en-US" w:eastAsia="zh-CN" w:bidi="ar"/>
              </w:rPr>
            </w:pPr>
            <w:r>
              <w:rPr>
                <w:rFonts w:hint="default" w:ascii="Times New Roman" w:hAnsi="Times New Roman" w:cs="Times New Roman"/>
                <w:b w:val="0"/>
                <w:color w:val="000000"/>
                <w:sz w:val="21"/>
                <w:szCs w:val="21"/>
                <w:lang w:bidi="ar"/>
              </w:rPr>
              <w:t>kg/h</w:t>
            </w:r>
          </w:p>
        </w:tc>
        <w:tc>
          <w:tcPr>
            <w:tcW w:w="540" w:type="pct"/>
            <w:noWrap w:val="0"/>
            <w:vAlign w:val="center"/>
          </w:tcPr>
          <w:p w14:paraId="6EB292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0.021</w:t>
            </w:r>
          </w:p>
        </w:tc>
        <w:tc>
          <w:tcPr>
            <w:tcW w:w="540" w:type="pct"/>
            <w:noWrap w:val="0"/>
            <w:vAlign w:val="center"/>
          </w:tcPr>
          <w:p w14:paraId="3B58C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0.025</w:t>
            </w:r>
          </w:p>
        </w:tc>
        <w:tc>
          <w:tcPr>
            <w:tcW w:w="540" w:type="pct"/>
            <w:noWrap w:val="0"/>
            <w:vAlign w:val="center"/>
          </w:tcPr>
          <w:p w14:paraId="5AA836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0.021</w:t>
            </w:r>
          </w:p>
        </w:tc>
        <w:tc>
          <w:tcPr>
            <w:tcW w:w="542" w:type="pct"/>
            <w:noWrap w:val="0"/>
            <w:vAlign w:val="center"/>
          </w:tcPr>
          <w:p w14:paraId="2DAE34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0.022</w:t>
            </w:r>
          </w:p>
        </w:tc>
      </w:tr>
      <w:tr w14:paraId="0065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restart"/>
            <w:tcBorders>
              <w:left w:val="single" w:color="auto" w:sz="4" w:space="0"/>
            </w:tcBorders>
            <w:noWrap w:val="0"/>
            <w:vAlign w:val="center"/>
          </w:tcPr>
          <w:p w14:paraId="2273F4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color w:val="auto"/>
                <w:kern w:val="2"/>
                <w:sz w:val="21"/>
                <w:szCs w:val="21"/>
                <w:lang w:val="en-US" w:eastAsia="zh-CN" w:bidi="ar"/>
              </w:rPr>
            </w:pPr>
            <w:r>
              <w:rPr>
                <w:rFonts w:hint="eastAsia" w:cs="Times New Roman"/>
                <w:b w:val="0"/>
                <w:bCs/>
                <w:sz w:val="21"/>
                <w:szCs w:val="21"/>
                <w:highlight w:val="none"/>
                <w:lang w:val="en-US" w:eastAsia="zh-CN"/>
              </w:rPr>
              <w:t>2024.5.31</w:t>
            </w:r>
          </w:p>
        </w:tc>
        <w:tc>
          <w:tcPr>
            <w:tcW w:w="586" w:type="pct"/>
            <w:vMerge w:val="restart"/>
            <w:tcBorders>
              <w:top w:val="single" w:color="auto" w:sz="4" w:space="0"/>
              <w:right w:val="single" w:color="auto" w:sz="4" w:space="0"/>
            </w:tcBorders>
            <w:noWrap w:val="0"/>
            <w:vAlign w:val="center"/>
          </w:tcPr>
          <w:p w14:paraId="58EB70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color w:val="000000"/>
                <w:kern w:val="2"/>
                <w:sz w:val="21"/>
                <w:szCs w:val="21"/>
                <w:lang w:val="en-US" w:eastAsia="zh-CN" w:bidi="ar"/>
              </w:rPr>
            </w:pPr>
            <w:r>
              <w:rPr>
                <w:rFonts w:hint="eastAsia" w:cs="Times New Roman"/>
                <w:b w:val="0"/>
                <w:bCs/>
                <w:sz w:val="21"/>
                <w:szCs w:val="21"/>
                <w:highlight w:val="none"/>
                <w:lang w:val="en-US" w:eastAsia="zh-CN"/>
              </w:rPr>
              <w:t>Q8DA001排气筒进口</w:t>
            </w:r>
          </w:p>
        </w:tc>
        <w:tc>
          <w:tcPr>
            <w:tcW w:w="637" w:type="pct"/>
            <w:vMerge w:val="restart"/>
            <w:tcBorders>
              <w:left w:val="single" w:color="auto" w:sz="4" w:space="0"/>
            </w:tcBorders>
            <w:noWrap w:val="0"/>
            <w:vAlign w:val="center"/>
          </w:tcPr>
          <w:p w14:paraId="407C9F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color w:val="000000"/>
                <w:sz w:val="21"/>
                <w:szCs w:val="21"/>
                <w:lang w:eastAsia="zh-CN" w:bidi="ar"/>
              </w:rPr>
            </w:pPr>
            <w:r>
              <w:rPr>
                <w:rFonts w:hint="eastAsia" w:ascii="Times New Roman" w:hAnsi="Times New Roman" w:cs="Times New Roman"/>
                <w:b w:val="0"/>
                <w:color w:val="000000"/>
                <w:sz w:val="21"/>
                <w:szCs w:val="21"/>
                <w:lang w:eastAsia="zh-CN" w:bidi="ar"/>
              </w:rPr>
              <w:t>非甲烷总烃</w:t>
            </w:r>
          </w:p>
        </w:tc>
        <w:tc>
          <w:tcPr>
            <w:tcW w:w="637" w:type="pct"/>
            <w:tcBorders>
              <w:left w:val="single" w:color="auto" w:sz="4" w:space="0"/>
            </w:tcBorders>
            <w:noWrap w:val="0"/>
            <w:vAlign w:val="center"/>
          </w:tcPr>
          <w:p w14:paraId="0ACCC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kern w:val="2"/>
                <w:sz w:val="21"/>
                <w:szCs w:val="21"/>
                <w:lang w:val="en-US" w:eastAsia="zh-CN" w:bidi="ar"/>
              </w:rPr>
            </w:pPr>
            <w:r>
              <w:rPr>
                <w:rFonts w:hint="default" w:ascii="Times New Roman" w:hAnsi="Times New Roman" w:cs="Times New Roman"/>
                <w:b w:val="0"/>
                <w:color w:val="000000"/>
                <w:sz w:val="21"/>
                <w:szCs w:val="21"/>
                <w:lang w:bidi="ar"/>
              </w:rPr>
              <w:t>标干流量</w:t>
            </w:r>
          </w:p>
        </w:tc>
        <w:tc>
          <w:tcPr>
            <w:tcW w:w="403" w:type="pct"/>
            <w:noWrap w:val="0"/>
            <w:vAlign w:val="center"/>
          </w:tcPr>
          <w:p w14:paraId="6DEBF2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kern w:val="2"/>
                <w:sz w:val="21"/>
                <w:szCs w:val="21"/>
                <w:lang w:val="en-US" w:eastAsia="zh-CN" w:bidi="ar"/>
              </w:rPr>
            </w:pPr>
            <w:r>
              <w:rPr>
                <w:rFonts w:hint="default" w:ascii="Times New Roman" w:hAnsi="Times New Roman" w:cs="Times New Roman"/>
                <w:b w:val="0"/>
                <w:color w:val="000000"/>
                <w:sz w:val="21"/>
                <w:szCs w:val="21"/>
                <w:lang w:bidi="ar"/>
              </w:rPr>
              <w:t>m</w:t>
            </w:r>
            <w:r>
              <w:rPr>
                <w:rFonts w:hint="default" w:ascii="Times New Roman" w:hAnsi="Times New Roman" w:cs="Times New Roman"/>
                <w:b w:val="0"/>
                <w:color w:val="000000"/>
                <w:sz w:val="21"/>
                <w:szCs w:val="21"/>
                <w:vertAlign w:val="superscript"/>
                <w:lang w:bidi="ar"/>
              </w:rPr>
              <w:t>3</w:t>
            </w:r>
            <w:r>
              <w:rPr>
                <w:rFonts w:hint="default" w:ascii="Times New Roman" w:hAnsi="Times New Roman" w:cs="Times New Roman"/>
                <w:b w:val="0"/>
                <w:color w:val="000000"/>
                <w:sz w:val="21"/>
                <w:szCs w:val="21"/>
                <w:lang w:bidi="ar"/>
              </w:rPr>
              <w:t>/h</w:t>
            </w:r>
          </w:p>
        </w:tc>
        <w:tc>
          <w:tcPr>
            <w:tcW w:w="540" w:type="pct"/>
            <w:noWrap w:val="0"/>
            <w:vAlign w:val="center"/>
          </w:tcPr>
          <w:p w14:paraId="60060F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9077</w:t>
            </w:r>
          </w:p>
        </w:tc>
        <w:tc>
          <w:tcPr>
            <w:tcW w:w="540" w:type="pct"/>
            <w:noWrap w:val="0"/>
            <w:vAlign w:val="center"/>
          </w:tcPr>
          <w:p w14:paraId="1E5526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8953</w:t>
            </w:r>
          </w:p>
        </w:tc>
        <w:tc>
          <w:tcPr>
            <w:tcW w:w="540" w:type="pct"/>
            <w:noWrap w:val="0"/>
            <w:vAlign w:val="center"/>
          </w:tcPr>
          <w:p w14:paraId="0B5990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8830</w:t>
            </w:r>
          </w:p>
        </w:tc>
        <w:tc>
          <w:tcPr>
            <w:tcW w:w="542" w:type="pct"/>
            <w:noWrap w:val="0"/>
            <w:vAlign w:val="center"/>
          </w:tcPr>
          <w:p w14:paraId="69A8D2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8953</w:t>
            </w:r>
          </w:p>
        </w:tc>
      </w:tr>
      <w:tr w14:paraId="1A6A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continue"/>
            <w:tcBorders>
              <w:left w:val="single" w:color="auto" w:sz="4" w:space="0"/>
            </w:tcBorders>
            <w:noWrap w:val="0"/>
            <w:vAlign w:val="center"/>
          </w:tcPr>
          <w:p w14:paraId="5C77A6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p>
        </w:tc>
        <w:tc>
          <w:tcPr>
            <w:tcW w:w="586" w:type="pct"/>
            <w:vMerge w:val="continue"/>
            <w:tcBorders>
              <w:right w:val="single" w:color="auto" w:sz="4" w:space="0"/>
            </w:tcBorders>
            <w:noWrap w:val="0"/>
            <w:vAlign w:val="center"/>
          </w:tcPr>
          <w:p w14:paraId="03A6E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sz w:val="21"/>
                <w:szCs w:val="21"/>
                <w:lang w:val="en-US" w:eastAsia="zh-CN" w:bidi="ar"/>
              </w:rPr>
            </w:pPr>
          </w:p>
        </w:tc>
        <w:tc>
          <w:tcPr>
            <w:tcW w:w="637" w:type="pct"/>
            <w:vMerge w:val="continue"/>
            <w:tcBorders>
              <w:left w:val="single" w:color="auto" w:sz="4" w:space="0"/>
            </w:tcBorders>
            <w:noWrap w:val="0"/>
            <w:vAlign w:val="center"/>
          </w:tcPr>
          <w:p w14:paraId="674640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color w:val="000000"/>
                <w:sz w:val="21"/>
                <w:szCs w:val="21"/>
                <w:lang w:eastAsia="zh-CN" w:bidi="ar"/>
              </w:rPr>
            </w:pPr>
          </w:p>
        </w:tc>
        <w:tc>
          <w:tcPr>
            <w:tcW w:w="637" w:type="pct"/>
            <w:tcBorders>
              <w:left w:val="single" w:color="auto" w:sz="4" w:space="0"/>
            </w:tcBorders>
            <w:noWrap w:val="0"/>
            <w:vAlign w:val="center"/>
          </w:tcPr>
          <w:p w14:paraId="7C35F3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color w:val="000000"/>
                <w:kern w:val="2"/>
                <w:sz w:val="21"/>
                <w:szCs w:val="21"/>
                <w:lang w:val="en-US" w:eastAsia="zh-CN" w:bidi="ar"/>
              </w:rPr>
            </w:pPr>
            <w:r>
              <w:rPr>
                <w:rFonts w:hint="eastAsia" w:ascii="Times New Roman" w:hAnsi="Times New Roman" w:cs="Times New Roman"/>
                <w:b w:val="0"/>
                <w:color w:val="000000"/>
                <w:sz w:val="21"/>
                <w:szCs w:val="21"/>
                <w:lang w:eastAsia="zh-CN" w:bidi="ar"/>
              </w:rPr>
              <w:t>实测</w:t>
            </w:r>
            <w:r>
              <w:rPr>
                <w:rFonts w:hint="default" w:ascii="Times New Roman" w:hAnsi="Times New Roman" w:cs="Times New Roman"/>
                <w:b w:val="0"/>
                <w:color w:val="000000"/>
                <w:sz w:val="21"/>
                <w:szCs w:val="21"/>
                <w:lang w:bidi="ar"/>
              </w:rPr>
              <w:t>浓度</w:t>
            </w:r>
          </w:p>
        </w:tc>
        <w:tc>
          <w:tcPr>
            <w:tcW w:w="403" w:type="pct"/>
            <w:noWrap w:val="0"/>
            <w:vAlign w:val="center"/>
          </w:tcPr>
          <w:p w14:paraId="78BBC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color w:val="000000"/>
                <w:kern w:val="2"/>
                <w:sz w:val="21"/>
                <w:szCs w:val="21"/>
                <w:lang w:val="en-US" w:eastAsia="zh-CN" w:bidi="ar"/>
              </w:rPr>
            </w:pPr>
            <w:r>
              <w:rPr>
                <w:rFonts w:hint="default" w:ascii="Times New Roman" w:hAnsi="Times New Roman" w:cs="Times New Roman"/>
                <w:b w:val="0"/>
                <w:color w:val="000000"/>
                <w:sz w:val="21"/>
                <w:szCs w:val="21"/>
                <w:lang w:bidi="ar"/>
              </w:rPr>
              <w:t>mg/m</w:t>
            </w:r>
            <w:r>
              <w:rPr>
                <w:rFonts w:hint="default" w:ascii="Times New Roman" w:hAnsi="Times New Roman" w:cs="Times New Roman"/>
                <w:b w:val="0"/>
                <w:color w:val="000000"/>
                <w:sz w:val="21"/>
                <w:szCs w:val="21"/>
                <w:vertAlign w:val="superscript"/>
                <w:lang w:bidi="ar"/>
              </w:rPr>
              <w:t>3</w:t>
            </w:r>
          </w:p>
        </w:tc>
        <w:tc>
          <w:tcPr>
            <w:tcW w:w="540" w:type="pct"/>
            <w:noWrap w:val="0"/>
            <w:vAlign w:val="center"/>
          </w:tcPr>
          <w:p w14:paraId="12D979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12.2</w:t>
            </w:r>
          </w:p>
        </w:tc>
        <w:tc>
          <w:tcPr>
            <w:tcW w:w="540" w:type="pct"/>
            <w:noWrap w:val="0"/>
            <w:vAlign w:val="center"/>
          </w:tcPr>
          <w:p w14:paraId="1F325A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10.8</w:t>
            </w:r>
          </w:p>
        </w:tc>
        <w:tc>
          <w:tcPr>
            <w:tcW w:w="540" w:type="pct"/>
            <w:noWrap w:val="0"/>
            <w:vAlign w:val="center"/>
          </w:tcPr>
          <w:p w14:paraId="0A97A4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10.1</w:t>
            </w:r>
          </w:p>
        </w:tc>
        <w:tc>
          <w:tcPr>
            <w:tcW w:w="542" w:type="pct"/>
            <w:noWrap w:val="0"/>
            <w:vAlign w:val="center"/>
          </w:tcPr>
          <w:p w14:paraId="03D009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11.0</w:t>
            </w:r>
          </w:p>
        </w:tc>
      </w:tr>
      <w:tr w14:paraId="78B8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continue"/>
            <w:tcBorders>
              <w:left w:val="single" w:color="auto" w:sz="4" w:space="0"/>
            </w:tcBorders>
            <w:noWrap w:val="0"/>
            <w:vAlign w:val="center"/>
          </w:tcPr>
          <w:p w14:paraId="073C8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p>
        </w:tc>
        <w:tc>
          <w:tcPr>
            <w:tcW w:w="586" w:type="pct"/>
            <w:vMerge w:val="continue"/>
            <w:tcBorders>
              <w:right w:val="single" w:color="auto" w:sz="4" w:space="0"/>
            </w:tcBorders>
            <w:noWrap w:val="0"/>
            <w:vAlign w:val="center"/>
          </w:tcPr>
          <w:p w14:paraId="3719BC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sz w:val="21"/>
                <w:szCs w:val="21"/>
                <w:lang w:val="en-US" w:eastAsia="zh-CN" w:bidi="ar"/>
              </w:rPr>
            </w:pPr>
          </w:p>
        </w:tc>
        <w:tc>
          <w:tcPr>
            <w:tcW w:w="637" w:type="pct"/>
            <w:vMerge w:val="continue"/>
            <w:tcBorders>
              <w:left w:val="single" w:color="auto" w:sz="4" w:space="0"/>
            </w:tcBorders>
            <w:noWrap w:val="0"/>
            <w:vAlign w:val="center"/>
          </w:tcPr>
          <w:p w14:paraId="648F66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color w:val="000000"/>
                <w:sz w:val="21"/>
                <w:szCs w:val="21"/>
                <w:lang w:bidi="ar"/>
              </w:rPr>
            </w:pPr>
          </w:p>
        </w:tc>
        <w:tc>
          <w:tcPr>
            <w:tcW w:w="637" w:type="pct"/>
            <w:tcBorders>
              <w:left w:val="single" w:color="auto" w:sz="4" w:space="0"/>
            </w:tcBorders>
            <w:noWrap w:val="0"/>
            <w:vAlign w:val="center"/>
          </w:tcPr>
          <w:p w14:paraId="55AEB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color w:val="000000"/>
                <w:kern w:val="2"/>
                <w:sz w:val="21"/>
                <w:szCs w:val="21"/>
                <w:lang w:val="en-US" w:eastAsia="zh-CN" w:bidi="ar"/>
              </w:rPr>
            </w:pPr>
            <w:r>
              <w:rPr>
                <w:rFonts w:hint="default" w:ascii="Times New Roman" w:hAnsi="Times New Roman" w:cs="Times New Roman"/>
                <w:b w:val="0"/>
                <w:color w:val="000000"/>
                <w:sz w:val="21"/>
                <w:szCs w:val="21"/>
                <w:lang w:bidi="ar"/>
              </w:rPr>
              <w:t>排放速率</w:t>
            </w:r>
          </w:p>
        </w:tc>
        <w:tc>
          <w:tcPr>
            <w:tcW w:w="403" w:type="pct"/>
            <w:noWrap w:val="0"/>
            <w:vAlign w:val="center"/>
          </w:tcPr>
          <w:p w14:paraId="0BFA2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kern w:val="2"/>
                <w:sz w:val="21"/>
                <w:szCs w:val="21"/>
                <w:lang w:val="en-US" w:eastAsia="zh-CN" w:bidi="ar"/>
              </w:rPr>
            </w:pPr>
            <w:r>
              <w:rPr>
                <w:rFonts w:hint="default" w:ascii="Times New Roman" w:hAnsi="Times New Roman" w:cs="Times New Roman"/>
                <w:b w:val="0"/>
                <w:color w:val="000000"/>
                <w:sz w:val="21"/>
                <w:szCs w:val="21"/>
                <w:lang w:bidi="ar"/>
              </w:rPr>
              <w:t>kg/h</w:t>
            </w:r>
          </w:p>
        </w:tc>
        <w:tc>
          <w:tcPr>
            <w:tcW w:w="540" w:type="pct"/>
            <w:noWrap w:val="0"/>
            <w:vAlign w:val="center"/>
          </w:tcPr>
          <w:p w14:paraId="1B1F1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0.11</w:t>
            </w:r>
          </w:p>
        </w:tc>
        <w:tc>
          <w:tcPr>
            <w:tcW w:w="540" w:type="pct"/>
            <w:noWrap w:val="0"/>
            <w:vAlign w:val="center"/>
          </w:tcPr>
          <w:p w14:paraId="1B935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0.097</w:t>
            </w:r>
          </w:p>
        </w:tc>
        <w:tc>
          <w:tcPr>
            <w:tcW w:w="540" w:type="pct"/>
            <w:noWrap w:val="0"/>
            <w:vAlign w:val="center"/>
          </w:tcPr>
          <w:p w14:paraId="25776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0.089</w:t>
            </w:r>
          </w:p>
        </w:tc>
        <w:tc>
          <w:tcPr>
            <w:tcW w:w="542" w:type="pct"/>
            <w:noWrap w:val="0"/>
            <w:vAlign w:val="center"/>
          </w:tcPr>
          <w:p w14:paraId="006FE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0.099</w:t>
            </w:r>
          </w:p>
        </w:tc>
      </w:tr>
      <w:tr w14:paraId="3986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continue"/>
            <w:tcBorders>
              <w:left w:val="single" w:color="auto" w:sz="4" w:space="0"/>
            </w:tcBorders>
            <w:noWrap w:val="0"/>
            <w:vAlign w:val="center"/>
          </w:tcPr>
          <w:p w14:paraId="4A2A0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p>
        </w:tc>
        <w:tc>
          <w:tcPr>
            <w:tcW w:w="586" w:type="pct"/>
            <w:vMerge w:val="restart"/>
            <w:tcBorders>
              <w:right w:val="single" w:color="auto" w:sz="4" w:space="0"/>
            </w:tcBorders>
            <w:noWrap w:val="0"/>
            <w:vAlign w:val="center"/>
          </w:tcPr>
          <w:p w14:paraId="10A705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color w:val="000000"/>
                <w:sz w:val="21"/>
                <w:szCs w:val="21"/>
                <w:lang w:val="en-US" w:eastAsia="zh-CN" w:bidi="ar"/>
              </w:rPr>
            </w:pPr>
            <w:r>
              <w:rPr>
                <w:rFonts w:hint="eastAsia" w:cs="Times New Roman"/>
                <w:b w:val="0"/>
                <w:bCs/>
                <w:sz w:val="21"/>
                <w:szCs w:val="21"/>
                <w:highlight w:val="none"/>
                <w:lang w:val="en-US" w:eastAsia="zh-CN"/>
              </w:rPr>
              <w:t>Q9DA001排气筒出口</w:t>
            </w:r>
          </w:p>
        </w:tc>
        <w:tc>
          <w:tcPr>
            <w:tcW w:w="637" w:type="pct"/>
            <w:vMerge w:val="restart"/>
            <w:tcBorders>
              <w:left w:val="single" w:color="auto" w:sz="4" w:space="0"/>
            </w:tcBorders>
            <w:noWrap w:val="0"/>
            <w:vAlign w:val="center"/>
          </w:tcPr>
          <w:p w14:paraId="46504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color w:val="000000"/>
                <w:kern w:val="2"/>
                <w:sz w:val="21"/>
                <w:szCs w:val="21"/>
                <w:lang w:val="en-US" w:eastAsia="zh-CN" w:bidi="ar"/>
              </w:rPr>
            </w:pPr>
            <w:r>
              <w:rPr>
                <w:rFonts w:hint="eastAsia" w:ascii="Times New Roman" w:hAnsi="Times New Roman" w:cs="Times New Roman"/>
                <w:b w:val="0"/>
                <w:color w:val="000000"/>
                <w:sz w:val="21"/>
                <w:szCs w:val="21"/>
                <w:lang w:eastAsia="zh-CN" w:bidi="ar"/>
              </w:rPr>
              <w:t>非甲烷总烃</w:t>
            </w:r>
          </w:p>
        </w:tc>
        <w:tc>
          <w:tcPr>
            <w:tcW w:w="637" w:type="pct"/>
            <w:tcBorders>
              <w:left w:val="single" w:color="auto" w:sz="4" w:space="0"/>
            </w:tcBorders>
            <w:noWrap w:val="0"/>
            <w:vAlign w:val="center"/>
          </w:tcPr>
          <w:p w14:paraId="7B2FB2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kern w:val="2"/>
                <w:sz w:val="21"/>
                <w:szCs w:val="21"/>
                <w:lang w:val="en-US" w:eastAsia="zh-CN" w:bidi="ar"/>
              </w:rPr>
            </w:pPr>
            <w:r>
              <w:rPr>
                <w:rFonts w:hint="default" w:ascii="Times New Roman" w:hAnsi="Times New Roman" w:cs="Times New Roman"/>
                <w:b w:val="0"/>
                <w:color w:val="000000"/>
                <w:sz w:val="21"/>
                <w:szCs w:val="21"/>
                <w:lang w:bidi="ar"/>
              </w:rPr>
              <w:t>标干流量</w:t>
            </w:r>
          </w:p>
        </w:tc>
        <w:tc>
          <w:tcPr>
            <w:tcW w:w="403" w:type="pct"/>
            <w:noWrap w:val="0"/>
            <w:vAlign w:val="center"/>
          </w:tcPr>
          <w:p w14:paraId="358195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kern w:val="2"/>
                <w:sz w:val="21"/>
                <w:szCs w:val="21"/>
                <w:lang w:val="en-US" w:eastAsia="zh-CN" w:bidi="ar"/>
              </w:rPr>
            </w:pPr>
            <w:r>
              <w:rPr>
                <w:rFonts w:hint="default" w:ascii="Times New Roman" w:hAnsi="Times New Roman" w:cs="Times New Roman"/>
                <w:b w:val="0"/>
                <w:color w:val="000000"/>
                <w:sz w:val="21"/>
                <w:szCs w:val="21"/>
                <w:lang w:bidi="ar"/>
              </w:rPr>
              <w:t>m</w:t>
            </w:r>
            <w:r>
              <w:rPr>
                <w:rFonts w:hint="default" w:ascii="Times New Roman" w:hAnsi="Times New Roman" w:cs="Times New Roman"/>
                <w:b w:val="0"/>
                <w:color w:val="000000"/>
                <w:sz w:val="21"/>
                <w:szCs w:val="21"/>
                <w:vertAlign w:val="superscript"/>
                <w:lang w:bidi="ar"/>
              </w:rPr>
              <w:t>3</w:t>
            </w:r>
            <w:r>
              <w:rPr>
                <w:rFonts w:hint="default" w:ascii="Times New Roman" w:hAnsi="Times New Roman" w:cs="Times New Roman"/>
                <w:b w:val="0"/>
                <w:color w:val="000000"/>
                <w:sz w:val="21"/>
                <w:szCs w:val="21"/>
                <w:lang w:bidi="ar"/>
              </w:rPr>
              <w:t>/h</w:t>
            </w:r>
          </w:p>
        </w:tc>
        <w:tc>
          <w:tcPr>
            <w:tcW w:w="540" w:type="pct"/>
            <w:noWrap w:val="0"/>
            <w:vAlign w:val="center"/>
          </w:tcPr>
          <w:p w14:paraId="470891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13679</w:t>
            </w:r>
          </w:p>
        </w:tc>
        <w:tc>
          <w:tcPr>
            <w:tcW w:w="540" w:type="pct"/>
            <w:noWrap w:val="0"/>
            <w:vAlign w:val="center"/>
          </w:tcPr>
          <w:p w14:paraId="039981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13751</w:t>
            </w:r>
          </w:p>
        </w:tc>
        <w:tc>
          <w:tcPr>
            <w:tcW w:w="540" w:type="pct"/>
            <w:noWrap w:val="0"/>
            <w:vAlign w:val="center"/>
          </w:tcPr>
          <w:p w14:paraId="410A78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13921</w:t>
            </w:r>
          </w:p>
        </w:tc>
        <w:tc>
          <w:tcPr>
            <w:tcW w:w="542" w:type="pct"/>
            <w:noWrap w:val="0"/>
            <w:vAlign w:val="center"/>
          </w:tcPr>
          <w:p w14:paraId="4A5B0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13784</w:t>
            </w:r>
          </w:p>
        </w:tc>
      </w:tr>
      <w:tr w14:paraId="25F3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continue"/>
            <w:tcBorders>
              <w:left w:val="single" w:color="auto" w:sz="4" w:space="0"/>
            </w:tcBorders>
            <w:noWrap w:val="0"/>
            <w:vAlign w:val="center"/>
          </w:tcPr>
          <w:p w14:paraId="0B08D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p>
        </w:tc>
        <w:tc>
          <w:tcPr>
            <w:tcW w:w="586" w:type="pct"/>
            <w:vMerge w:val="continue"/>
            <w:tcBorders>
              <w:right w:val="single" w:color="auto" w:sz="4" w:space="0"/>
            </w:tcBorders>
            <w:noWrap w:val="0"/>
            <w:vAlign w:val="center"/>
          </w:tcPr>
          <w:p w14:paraId="294C1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sz w:val="21"/>
                <w:szCs w:val="21"/>
                <w:lang w:val="en-US" w:eastAsia="zh-CN" w:bidi="ar"/>
              </w:rPr>
            </w:pPr>
          </w:p>
        </w:tc>
        <w:tc>
          <w:tcPr>
            <w:tcW w:w="637" w:type="pct"/>
            <w:vMerge w:val="continue"/>
            <w:tcBorders>
              <w:left w:val="single" w:color="auto" w:sz="4" w:space="0"/>
            </w:tcBorders>
            <w:noWrap w:val="0"/>
            <w:vAlign w:val="center"/>
          </w:tcPr>
          <w:p w14:paraId="51E5D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color w:val="000000"/>
                <w:kern w:val="2"/>
                <w:sz w:val="21"/>
                <w:szCs w:val="21"/>
                <w:lang w:val="en-US" w:eastAsia="zh-CN" w:bidi="ar"/>
              </w:rPr>
            </w:pPr>
          </w:p>
        </w:tc>
        <w:tc>
          <w:tcPr>
            <w:tcW w:w="637" w:type="pct"/>
            <w:tcBorders>
              <w:left w:val="single" w:color="auto" w:sz="4" w:space="0"/>
            </w:tcBorders>
            <w:noWrap w:val="0"/>
            <w:vAlign w:val="center"/>
          </w:tcPr>
          <w:p w14:paraId="09246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kern w:val="2"/>
                <w:sz w:val="21"/>
                <w:szCs w:val="21"/>
                <w:lang w:val="en-US" w:eastAsia="zh-CN" w:bidi="ar"/>
              </w:rPr>
            </w:pPr>
            <w:r>
              <w:rPr>
                <w:rFonts w:hint="eastAsia" w:ascii="Times New Roman" w:hAnsi="Times New Roman" w:cs="Times New Roman"/>
                <w:b w:val="0"/>
                <w:color w:val="000000"/>
                <w:sz w:val="21"/>
                <w:szCs w:val="21"/>
                <w:lang w:eastAsia="zh-CN" w:bidi="ar"/>
              </w:rPr>
              <w:t>实测</w:t>
            </w:r>
            <w:r>
              <w:rPr>
                <w:rFonts w:hint="default" w:ascii="Times New Roman" w:hAnsi="Times New Roman" w:cs="Times New Roman"/>
                <w:b w:val="0"/>
                <w:color w:val="000000"/>
                <w:sz w:val="21"/>
                <w:szCs w:val="21"/>
                <w:lang w:bidi="ar"/>
              </w:rPr>
              <w:t>浓度</w:t>
            </w:r>
          </w:p>
        </w:tc>
        <w:tc>
          <w:tcPr>
            <w:tcW w:w="403" w:type="pct"/>
            <w:noWrap w:val="0"/>
            <w:vAlign w:val="center"/>
          </w:tcPr>
          <w:p w14:paraId="747C02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kern w:val="2"/>
                <w:sz w:val="21"/>
                <w:szCs w:val="21"/>
                <w:lang w:val="en-US" w:eastAsia="zh-CN" w:bidi="ar"/>
              </w:rPr>
            </w:pPr>
            <w:r>
              <w:rPr>
                <w:rFonts w:hint="default" w:ascii="Times New Roman" w:hAnsi="Times New Roman" w:cs="Times New Roman"/>
                <w:b w:val="0"/>
                <w:color w:val="000000"/>
                <w:sz w:val="21"/>
                <w:szCs w:val="21"/>
                <w:lang w:bidi="ar"/>
              </w:rPr>
              <w:t>mg/m</w:t>
            </w:r>
            <w:r>
              <w:rPr>
                <w:rFonts w:hint="default" w:ascii="Times New Roman" w:hAnsi="Times New Roman" w:cs="Times New Roman"/>
                <w:b w:val="0"/>
                <w:color w:val="000000"/>
                <w:sz w:val="21"/>
                <w:szCs w:val="21"/>
                <w:vertAlign w:val="superscript"/>
                <w:lang w:bidi="ar"/>
              </w:rPr>
              <w:t>3</w:t>
            </w:r>
          </w:p>
        </w:tc>
        <w:tc>
          <w:tcPr>
            <w:tcW w:w="540" w:type="pct"/>
            <w:noWrap w:val="0"/>
            <w:vAlign w:val="center"/>
          </w:tcPr>
          <w:p w14:paraId="6E99C7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2.61</w:t>
            </w:r>
          </w:p>
        </w:tc>
        <w:tc>
          <w:tcPr>
            <w:tcW w:w="540" w:type="pct"/>
            <w:noWrap w:val="0"/>
            <w:vAlign w:val="center"/>
          </w:tcPr>
          <w:p w14:paraId="52333E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2.58</w:t>
            </w:r>
          </w:p>
        </w:tc>
        <w:tc>
          <w:tcPr>
            <w:tcW w:w="540" w:type="pct"/>
            <w:noWrap w:val="0"/>
            <w:vAlign w:val="center"/>
          </w:tcPr>
          <w:p w14:paraId="2EEC1A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2.04</w:t>
            </w:r>
          </w:p>
        </w:tc>
        <w:tc>
          <w:tcPr>
            <w:tcW w:w="542" w:type="pct"/>
            <w:noWrap w:val="0"/>
            <w:vAlign w:val="center"/>
          </w:tcPr>
          <w:p w14:paraId="0BE44E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2.41</w:t>
            </w:r>
          </w:p>
        </w:tc>
      </w:tr>
      <w:tr w14:paraId="0A19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1" w:type="pct"/>
            <w:vMerge w:val="continue"/>
            <w:tcBorders>
              <w:left w:val="single" w:color="auto" w:sz="4" w:space="0"/>
            </w:tcBorders>
            <w:noWrap w:val="0"/>
            <w:vAlign w:val="center"/>
          </w:tcPr>
          <w:p w14:paraId="46785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sz w:val="21"/>
                <w:szCs w:val="21"/>
                <w:lang w:val="en-US" w:eastAsia="zh-CN" w:bidi="ar"/>
              </w:rPr>
            </w:pPr>
          </w:p>
        </w:tc>
        <w:tc>
          <w:tcPr>
            <w:tcW w:w="586" w:type="pct"/>
            <w:vMerge w:val="continue"/>
            <w:tcBorders>
              <w:right w:val="single" w:color="auto" w:sz="4" w:space="0"/>
            </w:tcBorders>
            <w:noWrap w:val="0"/>
            <w:vAlign w:val="center"/>
          </w:tcPr>
          <w:p w14:paraId="7E3E70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sz w:val="21"/>
                <w:szCs w:val="21"/>
                <w:lang w:val="en-US" w:eastAsia="zh-CN" w:bidi="ar"/>
              </w:rPr>
            </w:pPr>
          </w:p>
        </w:tc>
        <w:tc>
          <w:tcPr>
            <w:tcW w:w="637" w:type="pct"/>
            <w:vMerge w:val="continue"/>
            <w:tcBorders>
              <w:left w:val="single" w:color="auto" w:sz="4" w:space="0"/>
            </w:tcBorders>
            <w:noWrap w:val="0"/>
            <w:vAlign w:val="center"/>
          </w:tcPr>
          <w:p w14:paraId="00BBE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color w:val="000000"/>
                <w:sz w:val="21"/>
                <w:szCs w:val="21"/>
                <w:lang w:bidi="ar"/>
              </w:rPr>
            </w:pPr>
          </w:p>
        </w:tc>
        <w:tc>
          <w:tcPr>
            <w:tcW w:w="637" w:type="pct"/>
            <w:tcBorders>
              <w:left w:val="single" w:color="auto" w:sz="4" w:space="0"/>
            </w:tcBorders>
            <w:noWrap w:val="0"/>
            <w:vAlign w:val="center"/>
          </w:tcPr>
          <w:p w14:paraId="7FD79D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kern w:val="2"/>
                <w:sz w:val="21"/>
                <w:szCs w:val="21"/>
                <w:lang w:val="en-US" w:eastAsia="zh-CN" w:bidi="ar"/>
              </w:rPr>
            </w:pPr>
            <w:r>
              <w:rPr>
                <w:rFonts w:hint="default" w:ascii="Times New Roman" w:hAnsi="Times New Roman" w:cs="Times New Roman"/>
                <w:b w:val="0"/>
                <w:color w:val="000000"/>
                <w:sz w:val="21"/>
                <w:szCs w:val="21"/>
                <w:lang w:bidi="ar"/>
              </w:rPr>
              <w:t>排放速率</w:t>
            </w:r>
          </w:p>
        </w:tc>
        <w:tc>
          <w:tcPr>
            <w:tcW w:w="403" w:type="pct"/>
            <w:noWrap w:val="0"/>
            <w:vAlign w:val="center"/>
          </w:tcPr>
          <w:p w14:paraId="0E5722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kern w:val="2"/>
                <w:sz w:val="21"/>
                <w:szCs w:val="21"/>
                <w:lang w:val="en-US" w:eastAsia="zh-CN" w:bidi="ar"/>
              </w:rPr>
            </w:pPr>
            <w:r>
              <w:rPr>
                <w:rFonts w:hint="default" w:ascii="Times New Roman" w:hAnsi="Times New Roman" w:cs="Times New Roman"/>
                <w:b w:val="0"/>
                <w:color w:val="000000"/>
                <w:sz w:val="21"/>
                <w:szCs w:val="21"/>
                <w:lang w:bidi="ar"/>
              </w:rPr>
              <w:t>kg/h</w:t>
            </w:r>
          </w:p>
        </w:tc>
        <w:tc>
          <w:tcPr>
            <w:tcW w:w="540" w:type="pct"/>
            <w:noWrap w:val="0"/>
            <w:vAlign w:val="center"/>
          </w:tcPr>
          <w:p w14:paraId="6894E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0.036</w:t>
            </w:r>
          </w:p>
        </w:tc>
        <w:tc>
          <w:tcPr>
            <w:tcW w:w="540" w:type="pct"/>
            <w:noWrap w:val="0"/>
            <w:vAlign w:val="center"/>
          </w:tcPr>
          <w:p w14:paraId="52D75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0.035</w:t>
            </w:r>
          </w:p>
        </w:tc>
        <w:tc>
          <w:tcPr>
            <w:tcW w:w="540" w:type="pct"/>
            <w:noWrap w:val="0"/>
            <w:vAlign w:val="center"/>
          </w:tcPr>
          <w:p w14:paraId="4DC77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0.028</w:t>
            </w:r>
          </w:p>
        </w:tc>
        <w:tc>
          <w:tcPr>
            <w:tcW w:w="542" w:type="pct"/>
            <w:noWrap w:val="0"/>
            <w:vAlign w:val="center"/>
          </w:tcPr>
          <w:p w14:paraId="562CCA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color w:val="000000"/>
                <w:sz w:val="21"/>
                <w:szCs w:val="21"/>
                <w:lang w:val="en-US" w:eastAsia="zh-CN" w:bidi="ar"/>
              </w:rPr>
            </w:pPr>
            <w:r>
              <w:rPr>
                <w:rFonts w:hint="eastAsia" w:ascii="Times New Roman" w:hAnsi="Times New Roman" w:cs="Times New Roman"/>
                <w:b w:val="0"/>
                <w:color w:val="000000"/>
                <w:sz w:val="21"/>
                <w:szCs w:val="21"/>
                <w:lang w:val="en-US" w:eastAsia="zh-CN" w:bidi="ar"/>
              </w:rPr>
              <w:t>0.033</w:t>
            </w:r>
          </w:p>
        </w:tc>
      </w:tr>
    </w:tbl>
    <w:p w14:paraId="45FBFF64">
      <w:pPr>
        <w:pStyle w:val="15"/>
      </w:pPr>
    </w:p>
    <w:p w14:paraId="0E1F81B7">
      <w:pPr>
        <w:tabs>
          <w:tab w:val="left" w:pos="829"/>
        </w:tabs>
        <w:spacing w:before="48" w:beforeLines="20"/>
        <w:ind w:firstLine="482" w:firstLineChars="200"/>
        <w:jc w:val="center"/>
        <w:rPr>
          <w:b/>
        </w:rPr>
        <w:sectPr>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pPr>
    </w:p>
    <w:p w14:paraId="41C5451F">
      <w:pPr>
        <w:tabs>
          <w:tab w:val="left" w:pos="829"/>
        </w:tabs>
        <w:spacing w:before="48" w:beforeLines="20"/>
        <w:ind w:firstLine="482" w:firstLineChars="200"/>
        <w:jc w:val="center"/>
        <w:rPr>
          <w:b/>
        </w:rPr>
      </w:pPr>
      <w:r>
        <w:rPr>
          <w:b/>
        </w:rPr>
        <w:t>表7-</w:t>
      </w:r>
      <w:r>
        <w:rPr>
          <w:rFonts w:hint="eastAsia"/>
          <w:b/>
        </w:rPr>
        <w:t>2</w:t>
      </w:r>
      <w:r>
        <w:rPr>
          <w:rFonts w:hint="eastAsia"/>
          <w:b/>
          <w:bCs/>
        </w:rPr>
        <w:t>无</w:t>
      </w:r>
      <w:r>
        <w:rPr>
          <w:b/>
          <w:bCs/>
        </w:rPr>
        <w:t>组织排放废气</w:t>
      </w:r>
      <w:r>
        <w:rPr>
          <w:b/>
        </w:rPr>
        <w:t>检测结果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40"/>
        <w:gridCol w:w="1486"/>
        <w:gridCol w:w="1175"/>
        <w:gridCol w:w="810"/>
        <w:gridCol w:w="905"/>
        <w:gridCol w:w="905"/>
        <w:gridCol w:w="905"/>
        <w:gridCol w:w="905"/>
        <w:gridCol w:w="905"/>
      </w:tblGrid>
      <w:tr w14:paraId="37037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pct"/>
            <w:vMerge w:val="restart"/>
            <w:noWrap w:val="0"/>
            <w:vAlign w:val="center"/>
          </w:tcPr>
          <w:p w14:paraId="2F457F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eastAsia"/>
                <w:b w:val="0"/>
                <w:spacing w:val="-6"/>
                <w:sz w:val="21"/>
                <w:szCs w:val="21"/>
                <w:lang w:val="en-US" w:eastAsia="zh-CN"/>
              </w:rPr>
              <w:t>采样日期</w:t>
            </w:r>
          </w:p>
        </w:tc>
        <w:tc>
          <w:tcPr>
            <w:tcW w:w="813" w:type="pct"/>
            <w:vMerge w:val="restart"/>
            <w:noWrap w:val="0"/>
            <w:vAlign w:val="center"/>
          </w:tcPr>
          <w:p w14:paraId="42EF5CC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eastAsia"/>
                <w:b w:val="0"/>
                <w:spacing w:val="-6"/>
                <w:sz w:val="21"/>
                <w:szCs w:val="21"/>
                <w:lang w:eastAsia="zh-CN"/>
              </w:rPr>
              <w:t>采样点位</w:t>
            </w:r>
          </w:p>
        </w:tc>
        <w:tc>
          <w:tcPr>
            <w:tcW w:w="643" w:type="pct"/>
            <w:vMerge w:val="restart"/>
            <w:noWrap w:val="0"/>
            <w:vAlign w:val="center"/>
          </w:tcPr>
          <w:p w14:paraId="7CC991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z w:val="21"/>
                <w:szCs w:val="21"/>
                <w:highlight w:val="none"/>
                <w:vertAlign w:val="baseline"/>
                <w:lang w:val="en-US" w:eastAsia="zh-CN"/>
              </w:rPr>
              <w:t>检测项目</w:t>
            </w:r>
          </w:p>
        </w:tc>
        <w:tc>
          <w:tcPr>
            <w:tcW w:w="443" w:type="pct"/>
            <w:vMerge w:val="restart"/>
            <w:noWrap w:val="0"/>
            <w:vAlign w:val="center"/>
          </w:tcPr>
          <w:p w14:paraId="67CD0C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单位</w:t>
            </w:r>
          </w:p>
        </w:tc>
        <w:tc>
          <w:tcPr>
            <w:tcW w:w="2475" w:type="pct"/>
            <w:gridSpan w:val="5"/>
            <w:noWrap w:val="0"/>
            <w:vAlign w:val="center"/>
          </w:tcPr>
          <w:p w14:paraId="34AB592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b w:val="0"/>
                <w:spacing w:val="-6"/>
                <w:sz w:val="21"/>
                <w:szCs w:val="21"/>
              </w:rPr>
            </w:pPr>
            <w:r>
              <w:rPr>
                <w:rFonts w:hint="eastAsia"/>
                <w:b w:val="0"/>
                <w:spacing w:val="-6"/>
                <w:sz w:val="21"/>
                <w:szCs w:val="21"/>
              </w:rPr>
              <w:t>检测</w:t>
            </w:r>
            <w:r>
              <w:rPr>
                <w:rFonts w:hint="eastAsia"/>
                <w:b w:val="0"/>
                <w:bCs/>
                <w:spacing w:val="-6"/>
                <w:sz w:val="21"/>
                <w:szCs w:val="21"/>
                <w:lang w:val="en-US" w:eastAsia="zh-CN"/>
              </w:rPr>
              <w:t>数据</w:t>
            </w:r>
          </w:p>
        </w:tc>
      </w:tr>
      <w:tr w14:paraId="453C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7" w:hRule="atLeast"/>
          <w:jc w:val="center"/>
        </w:trPr>
        <w:tc>
          <w:tcPr>
            <w:tcW w:w="624" w:type="pct"/>
            <w:vMerge w:val="continue"/>
            <w:noWrap w:val="0"/>
            <w:vAlign w:val="center"/>
          </w:tcPr>
          <w:p w14:paraId="52360A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813" w:type="pct"/>
            <w:vMerge w:val="continue"/>
            <w:noWrap w:val="0"/>
            <w:vAlign w:val="center"/>
          </w:tcPr>
          <w:p w14:paraId="159BE3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643" w:type="pct"/>
            <w:vMerge w:val="continue"/>
            <w:noWrap w:val="0"/>
            <w:vAlign w:val="center"/>
          </w:tcPr>
          <w:p w14:paraId="786A9C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43" w:type="pct"/>
            <w:vMerge w:val="continue"/>
            <w:noWrap w:val="0"/>
            <w:vAlign w:val="center"/>
          </w:tcPr>
          <w:p w14:paraId="51D090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95" w:type="pct"/>
            <w:noWrap w:val="0"/>
            <w:vAlign w:val="center"/>
          </w:tcPr>
          <w:p w14:paraId="6B4959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color w:val="000000"/>
                <w:kern w:val="2"/>
                <w:sz w:val="21"/>
                <w:szCs w:val="21"/>
                <w:highlight w:val="none"/>
                <w:lang w:val="en-US" w:eastAsia="zh-CN"/>
              </w:rPr>
              <w:t>1</w:t>
            </w:r>
          </w:p>
        </w:tc>
        <w:tc>
          <w:tcPr>
            <w:tcW w:w="495" w:type="pct"/>
            <w:noWrap w:val="0"/>
            <w:vAlign w:val="center"/>
          </w:tcPr>
          <w:p w14:paraId="69051C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color w:val="000000"/>
                <w:kern w:val="2"/>
                <w:sz w:val="21"/>
                <w:szCs w:val="21"/>
                <w:highlight w:val="none"/>
                <w:lang w:val="en-US" w:eastAsia="zh-CN"/>
              </w:rPr>
              <w:t>2</w:t>
            </w:r>
          </w:p>
        </w:tc>
        <w:tc>
          <w:tcPr>
            <w:tcW w:w="495" w:type="pct"/>
            <w:noWrap w:val="0"/>
            <w:vAlign w:val="center"/>
          </w:tcPr>
          <w:p w14:paraId="11881B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rPr>
            </w:pPr>
            <w:r>
              <w:rPr>
                <w:rFonts w:hint="eastAsia" w:ascii="Times New Roman" w:hAnsi="Times New Roman" w:eastAsia="宋体" w:cs="Times New Roman"/>
                <w:b w:val="0"/>
                <w:color w:val="000000"/>
                <w:kern w:val="2"/>
                <w:sz w:val="21"/>
                <w:szCs w:val="21"/>
                <w:highlight w:val="none"/>
                <w:lang w:val="en-US" w:eastAsia="zh-CN"/>
              </w:rPr>
              <w:t>3</w:t>
            </w:r>
          </w:p>
        </w:tc>
        <w:tc>
          <w:tcPr>
            <w:tcW w:w="495" w:type="pct"/>
            <w:noWrap w:val="0"/>
            <w:vAlign w:val="center"/>
          </w:tcPr>
          <w:p w14:paraId="2D0597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color w:val="000000"/>
                <w:kern w:val="2"/>
                <w:sz w:val="21"/>
                <w:szCs w:val="21"/>
                <w:highlight w:val="none"/>
                <w:lang w:val="en-US" w:eastAsia="zh-CN" w:bidi="ar"/>
              </w:rPr>
              <w:t>4</w:t>
            </w:r>
          </w:p>
        </w:tc>
        <w:tc>
          <w:tcPr>
            <w:tcW w:w="495" w:type="pct"/>
            <w:noWrap w:val="0"/>
            <w:vAlign w:val="center"/>
          </w:tcPr>
          <w:p w14:paraId="69936F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rPr>
            </w:pPr>
            <w:r>
              <w:rPr>
                <w:rFonts w:hint="eastAsia" w:ascii="Times New Roman" w:hAnsi="Times New Roman" w:eastAsia="宋体" w:cs="Times New Roman"/>
                <w:b w:val="0"/>
                <w:color w:val="000000"/>
                <w:kern w:val="2"/>
                <w:sz w:val="21"/>
                <w:szCs w:val="21"/>
                <w:highlight w:val="none"/>
                <w:lang w:val="en-US" w:eastAsia="zh-CN"/>
              </w:rPr>
              <w:t>最大值</w:t>
            </w:r>
          </w:p>
        </w:tc>
      </w:tr>
      <w:tr w14:paraId="2B14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pct"/>
            <w:vMerge w:val="restart"/>
            <w:noWrap w:val="0"/>
            <w:vAlign w:val="center"/>
          </w:tcPr>
          <w:p w14:paraId="6F603F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bCs/>
                <w:sz w:val="21"/>
                <w:szCs w:val="21"/>
                <w:highlight w:val="none"/>
                <w:lang w:val="en-US" w:eastAsia="zh-CN"/>
              </w:rPr>
              <w:t>2024.5.30</w:t>
            </w:r>
          </w:p>
        </w:tc>
        <w:tc>
          <w:tcPr>
            <w:tcW w:w="813" w:type="pct"/>
            <w:noWrap w:val="0"/>
            <w:vAlign w:val="center"/>
          </w:tcPr>
          <w:p w14:paraId="646F7CC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Q1厂界上风向</w:t>
            </w:r>
          </w:p>
        </w:tc>
        <w:tc>
          <w:tcPr>
            <w:tcW w:w="643" w:type="pct"/>
            <w:vMerge w:val="restart"/>
            <w:noWrap w:val="0"/>
            <w:vAlign w:val="center"/>
          </w:tcPr>
          <w:p w14:paraId="786AEC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color w:val="000000"/>
                <w:kern w:val="2"/>
                <w:sz w:val="21"/>
                <w:szCs w:val="21"/>
                <w:highlight w:val="none"/>
                <w:lang w:val="en-US" w:eastAsia="zh-CN" w:bidi="ar"/>
              </w:rPr>
              <w:t>非甲烷总烃</w:t>
            </w:r>
          </w:p>
        </w:tc>
        <w:tc>
          <w:tcPr>
            <w:tcW w:w="443" w:type="pct"/>
            <w:vMerge w:val="restart"/>
            <w:noWrap w:val="0"/>
            <w:vAlign w:val="center"/>
          </w:tcPr>
          <w:p w14:paraId="7640F2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495" w:type="pct"/>
            <w:noWrap w:val="0"/>
            <w:vAlign w:val="center"/>
          </w:tcPr>
          <w:p w14:paraId="074494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0.50</w:t>
            </w:r>
          </w:p>
        </w:tc>
        <w:tc>
          <w:tcPr>
            <w:tcW w:w="495" w:type="pct"/>
            <w:noWrap w:val="0"/>
            <w:vAlign w:val="center"/>
          </w:tcPr>
          <w:p w14:paraId="064533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0.44</w:t>
            </w:r>
          </w:p>
        </w:tc>
        <w:tc>
          <w:tcPr>
            <w:tcW w:w="495" w:type="pct"/>
            <w:noWrap w:val="0"/>
            <w:vAlign w:val="center"/>
          </w:tcPr>
          <w:p w14:paraId="22430C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0.36</w:t>
            </w:r>
          </w:p>
        </w:tc>
        <w:tc>
          <w:tcPr>
            <w:tcW w:w="495" w:type="pct"/>
            <w:noWrap w:val="0"/>
            <w:vAlign w:val="center"/>
          </w:tcPr>
          <w:p w14:paraId="22F3B2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0.46</w:t>
            </w:r>
          </w:p>
        </w:tc>
        <w:tc>
          <w:tcPr>
            <w:tcW w:w="495" w:type="pct"/>
            <w:vMerge w:val="restart"/>
            <w:noWrap w:val="0"/>
            <w:vAlign w:val="center"/>
          </w:tcPr>
          <w:p w14:paraId="6690A3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0.75</w:t>
            </w:r>
          </w:p>
        </w:tc>
      </w:tr>
      <w:tr w14:paraId="7318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pct"/>
            <w:vMerge w:val="continue"/>
            <w:noWrap w:val="0"/>
            <w:vAlign w:val="center"/>
          </w:tcPr>
          <w:p w14:paraId="6DB8D7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auto"/>
                <w:kern w:val="2"/>
                <w:sz w:val="21"/>
                <w:szCs w:val="21"/>
                <w:highlight w:val="none"/>
                <w:lang w:val="en-US" w:eastAsia="zh-CN" w:bidi="ar"/>
              </w:rPr>
            </w:pPr>
          </w:p>
        </w:tc>
        <w:tc>
          <w:tcPr>
            <w:tcW w:w="813" w:type="pct"/>
            <w:noWrap w:val="0"/>
            <w:vAlign w:val="center"/>
          </w:tcPr>
          <w:p w14:paraId="5E9506D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Q2厂界下风向</w:t>
            </w:r>
          </w:p>
        </w:tc>
        <w:tc>
          <w:tcPr>
            <w:tcW w:w="643" w:type="pct"/>
            <w:vMerge w:val="continue"/>
            <w:noWrap w:val="0"/>
            <w:vAlign w:val="center"/>
          </w:tcPr>
          <w:p w14:paraId="68469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43" w:type="pct"/>
            <w:vMerge w:val="continue"/>
            <w:noWrap w:val="0"/>
            <w:vAlign w:val="center"/>
          </w:tcPr>
          <w:p w14:paraId="658206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95" w:type="pct"/>
            <w:noWrap w:val="0"/>
            <w:vAlign w:val="center"/>
          </w:tcPr>
          <w:p w14:paraId="0D68A6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0.62</w:t>
            </w:r>
          </w:p>
        </w:tc>
        <w:tc>
          <w:tcPr>
            <w:tcW w:w="495" w:type="pct"/>
            <w:noWrap w:val="0"/>
            <w:vAlign w:val="center"/>
          </w:tcPr>
          <w:p w14:paraId="79EEC3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0.54</w:t>
            </w:r>
          </w:p>
        </w:tc>
        <w:tc>
          <w:tcPr>
            <w:tcW w:w="495" w:type="pct"/>
            <w:noWrap w:val="0"/>
            <w:vAlign w:val="center"/>
          </w:tcPr>
          <w:p w14:paraId="6BAAB1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0.52</w:t>
            </w:r>
          </w:p>
        </w:tc>
        <w:tc>
          <w:tcPr>
            <w:tcW w:w="495" w:type="pct"/>
            <w:noWrap w:val="0"/>
            <w:vAlign w:val="center"/>
          </w:tcPr>
          <w:p w14:paraId="2EC7ED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0.67</w:t>
            </w:r>
          </w:p>
        </w:tc>
        <w:tc>
          <w:tcPr>
            <w:tcW w:w="495" w:type="pct"/>
            <w:vMerge w:val="continue"/>
            <w:noWrap w:val="0"/>
            <w:vAlign w:val="center"/>
          </w:tcPr>
          <w:p w14:paraId="16FBA6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p>
        </w:tc>
      </w:tr>
      <w:tr w14:paraId="0CC7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pct"/>
            <w:vMerge w:val="continue"/>
            <w:noWrap w:val="0"/>
            <w:vAlign w:val="center"/>
          </w:tcPr>
          <w:p w14:paraId="69D4B0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auto"/>
                <w:kern w:val="2"/>
                <w:sz w:val="21"/>
                <w:szCs w:val="21"/>
                <w:highlight w:val="none"/>
                <w:lang w:val="en-US" w:eastAsia="zh-CN" w:bidi="ar"/>
              </w:rPr>
            </w:pPr>
          </w:p>
        </w:tc>
        <w:tc>
          <w:tcPr>
            <w:tcW w:w="813" w:type="pct"/>
            <w:noWrap w:val="0"/>
            <w:vAlign w:val="center"/>
          </w:tcPr>
          <w:p w14:paraId="650F28E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Q3厂界下风向</w:t>
            </w:r>
          </w:p>
        </w:tc>
        <w:tc>
          <w:tcPr>
            <w:tcW w:w="643" w:type="pct"/>
            <w:vMerge w:val="continue"/>
            <w:noWrap w:val="0"/>
            <w:vAlign w:val="center"/>
          </w:tcPr>
          <w:p w14:paraId="331A7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43" w:type="pct"/>
            <w:vMerge w:val="continue"/>
            <w:noWrap w:val="0"/>
            <w:vAlign w:val="center"/>
          </w:tcPr>
          <w:p w14:paraId="546A75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95" w:type="pct"/>
            <w:noWrap w:val="0"/>
            <w:vAlign w:val="center"/>
          </w:tcPr>
          <w:p w14:paraId="67214C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0.70</w:t>
            </w:r>
          </w:p>
        </w:tc>
        <w:tc>
          <w:tcPr>
            <w:tcW w:w="495" w:type="pct"/>
            <w:noWrap w:val="0"/>
            <w:vAlign w:val="center"/>
          </w:tcPr>
          <w:p w14:paraId="70B710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0.66</w:t>
            </w:r>
          </w:p>
        </w:tc>
        <w:tc>
          <w:tcPr>
            <w:tcW w:w="495" w:type="pct"/>
            <w:noWrap w:val="0"/>
            <w:vAlign w:val="center"/>
          </w:tcPr>
          <w:p w14:paraId="055846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0.75</w:t>
            </w:r>
          </w:p>
        </w:tc>
        <w:tc>
          <w:tcPr>
            <w:tcW w:w="495" w:type="pct"/>
            <w:noWrap w:val="0"/>
            <w:vAlign w:val="center"/>
          </w:tcPr>
          <w:p w14:paraId="5F5131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0.63</w:t>
            </w:r>
          </w:p>
        </w:tc>
        <w:tc>
          <w:tcPr>
            <w:tcW w:w="495" w:type="pct"/>
            <w:vMerge w:val="continue"/>
            <w:noWrap w:val="0"/>
            <w:vAlign w:val="center"/>
          </w:tcPr>
          <w:p w14:paraId="1D216C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p>
        </w:tc>
      </w:tr>
      <w:tr w14:paraId="51E5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pct"/>
            <w:vMerge w:val="continue"/>
            <w:noWrap w:val="0"/>
            <w:vAlign w:val="center"/>
          </w:tcPr>
          <w:p w14:paraId="37FC53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auto"/>
                <w:kern w:val="2"/>
                <w:sz w:val="21"/>
                <w:szCs w:val="21"/>
                <w:highlight w:val="none"/>
                <w:lang w:val="en-US" w:eastAsia="zh-CN" w:bidi="ar"/>
              </w:rPr>
            </w:pPr>
          </w:p>
        </w:tc>
        <w:tc>
          <w:tcPr>
            <w:tcW w:w="813" w:type="pct"/>
            <w:noWrap w:val="0"/>
            <w:vAlign w:val="center"/>
          </w:tcPr>
          <w:p w14:paraId="14C3582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Q4厂界下风向</w:t>
            </w:r>
          </w:p>
        </w:tc>
        <w:tc>
          <w:tcPr>
            <w:tcW w:w="643" w:type="pct"/>
            <w:vMerge w:val="continue"/>
            <w:noWrap w:val="0"/>
            <w:vAlign w:val="center"/>
          </w:tcPr>
          <w:p w14:paraId="4137A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43" w:type="pct"/>
            <w:vMerge w:val="continue"/>
            <w:noWrap w:val="0"/>
            <w:vAlign w:val="center"/>
          </w:tcPr>
          <w:p w14:paraId="7444E0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95" w:type="pct"/>
            <w:noWrap w:val="0"/>
            <w:vAlign w:val="center"/>
          </w:tcPr>
          <w:p w14:paraId="043C7D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0.71</w:t>
            </w:r>
          </w:p>
        </w:tc>
        <w:tc>
          <w:tcPr>
            <w:tcW w:w="495" w:type="pct"/>
            <w:noWrap w:val="0"/>
            <w:vAlign w:val="center"/>
          </w:tcPr>
          <w:p w14:paraId="48C228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0.55</w:t>
            </w:r>
          </w:p>
        </w:tc>
        <w:tc>
          <w:tcPr>
            <w:tcW w:w="495" w:type="pct"/>
            <w:noWrap w:val="0"/>
            <w:vAlign w:val="center"/>
          </w:tcPr>
          <w:p w14:paraId="27F7BD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0.62</w:t>
            </w:r>
          </w:p>
        </w:tc>
        <w:tc>
          <w:tcPr>
            <w:tcW w:w="495" w:type="pct"/>
            <w:noWrap w:val="0"/>
            <w:vAlign w:val="center"/>
          </w:tcPr>
          <w:p w14:paraId="436128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0.67</w:t>
            </w:r>
          </w:p>
        </w:tc>
        <w:tc>
          <w:tcPr>
            <w:tcW w:w="495" w:type="pct"/>
            <w:vMerge w:val="continue"/>
            <w:noWrap w:val="0"/>
            <w:vAlign w:val="center"/>
          </w:tcPr>
          <w:p w14:paraId="113561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p>
        </w:tc>
      </w:tr>
      <w:tr w14:paraId="67C7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pct"/>
            <w:vMerge w:val="restart"/>
            <w:noWrap w:val="0"/>
            <w:vAlign w:val="center"/>
          </w:tcPr>
          <w:p w14:paraId="37DFE9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bCs/>
                <w:sz w:val="21"/>
                <w:szCs w:val="21"/>
                <w:highlight w:val="none"/>
                <w:lang w:val="en-US" w:eastAsia="zh-CN"/>
              </w:rPr>
              <w:t>2024.5.31</w:t>
            </w:r>
          </w:p>
        </w:tc>
        <w:tc>
          <w:tcPr>
            <w:tcW w:w="813" w:type="pct"/>
            <w:noWrap w:val="0"/>
            <w:vAlign w:val="center"/>
          </w:tcPr>
          <w:p w14:paraId="5EAA020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Q1厂界上风向</w:t>
            </w:r>
          </w:p>
        </w:tc>
        <w:tc>
          <w:tcPr>
            <w:tcW w:w="643" w:type="pct"/>
            <w:vMerge w:val="restart"/>
            <w:noWrap w:val="0"/>
            <w:vAlign w:val="center"/>
          </w:tcPr>
          <w:p w14:paraId="1A3739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color w:val="000000"/>
                <w:kern w:val="2"/>
                <w:sz w:val="21"/>
                <w:szCs w:val="21"/>
                <w:highlight w:val="none"/>
                <w:lang w:val="en-US" w:eastAsia="zh-CN" w:bidi="ar"/>
              </w:rPr>
              <w:t>非甲烷总烃</w:t>
            </w:r>
          </w:p>
        </w:tc>
        <w:tc>
          <w:tcPr>
            <w:tcW w:w="443" w:type="pct"/>
            <w:vMerge w:val="restart"/>
            <w:noWrap w:val="0"/>
            <w:vAlign w:val="center"/>
          </w:tcPr>
          <w:p w14:paraId="094898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495" w:type="pct"/>
            <w:noWrap w:val="0"/>
            <w:vAlign w:val="center"/>
          </w:tcPr>
          <w:p w14:paraId="4356A3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0.53</w:t>
            </w:r>
          </w:p>
        </w:tc>
        <w:tc>
          <w:tcPr>
            <w:tcW w:w="495" w:type="pct"/>
            <w:noWrap w:val="0"/>
            <w:vAlign w:val="center"/>
          </w:tcPr>
          <w:p w14:paraId="4F89FF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0.43</w:t>
            </w:r>
          </w:p>
        </w:tc>
        <w:tc>
          <w:tcPr>
            <w:tcW w:w="495" w:type="pct"/>
            <w:noWrap w:val="0"/>
            <w:vAlign w:val="center"/>
          </w:tcPr>
          <w:p w14:paraId="5812532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0.50</w:t>
            </w:r>
          </w:p>
        </w:tc>
        <w:tc>
          <w:tcPr>
            <w:tcW w:w="495" w:type="pct"/>
            <w:noWrap w:val="0"/>
            <w:vAlign w:val="center"/>
          </w:tcPr>
          <w:p w14:paraId="13AFD6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0.44</w:t>
            </w:r>
          </w:p>
        </w:tc>
        <w:tc>
          <w:tcPr>
            <w:tcW w:w="495" w:type="pct"/>
            <w:vMerge w:val="restart"/>
            <w:noWrap w:val="0"/>
            <w:vAlign w:val="center"/>
          </w:tcPr>
          <w:p w14:paraId="677A69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0.80</w:t>
            </w:r>
          </w:p>
        </w:tc>
      </w:tr>
      <w:tr w14:paraId="4950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pct"/>
            <w:vMerge w:val="continue"/>
            <w:noWrap w:val="0"/>
            <w:vAlign w:val="center"/>
          </w:tcPr>
          <w:p w14:paraId="611EFF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813" w:type="pct"/>
            <w:noWrap w:val="0"/>
            <w:vAlign w:val="center"/>
          </w:tcPr>
          <w:p w14:paraId="50FFF43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Q2厂界下风向</w:t>
            </w:r>
          </w:p>
        </w:tc>
        <w:tc>
          <w:tcPr>
            <w:tcW w:w="643" w:type="pct"/>
            <w:vMerge w:val="continue"/>
            <w:noWrap w:val="0"/>
            <w:vAlign w:val="center"/>
          </w:tcPr>
          <w:p w14:paraId="12736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43" w:type="pct"/>
            <w:vMerge w:val="continue"/>
            <w:noWrap w:val="0"/>
            <w:vAlign w:val="center"/>
          </w:tcPr>
          <w:p w14:paraId="19C376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95" w:type="pct"/>
            <w:noWrap w:val="0"/>
            <w:vAlign w:val="center"/>
          </w:tcPr>
          <w:p w14:paraId="521BE9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0.63</w:t>
            </w:r>
          </w:p>
        </w:tc>
        <w:tc>
          <w:tcPr>
            <w:tcW w:w="495" w:type="pct"/>
            <w:noWrap w:val="0"/>
            <w:vAlign w:val="center"/>
          </w:tcPr>
          <w:p w14:paraId="7DD91C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0.68</w:t>
            </w:r>
          </w:p>
        </w:tc>
        <w:tc>
          <w:tcPr>
            <w:tcW w:w="495" w:type="pct"/>
            <w:noWrap w:val="0"/>
            <w:vAlign w:val="center"/>
          </w:tcPr>
          <w:p w14:paraId="563FA8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0.78</w:t>
            </w:r>
          </w:p>
        </w:tc>
        <w:tc>
          <w:tcPr>
            <w:tcW w:w="495" w:type="pct"/>
            <w:noWrap w:val="0"/>
            <w:vAlign w:val="center"/>
          </w:tcPr>
          <w:p w14:paraId="60C500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0.58</w:t>
            </w:r>
          </w:p>
        </w:tc>
        <w:tc>
          <w:tcPr>
            <w:tcW w:w="495" w:type="pct"/>
            <w:vMerge w:val="continue"/>
            <w:noWrap w:val="0"/>
            <w:vAlign w:val="center"/>
          </w:tcPr>
          <w:p w14:paraId="6C2408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p>
        </w:tc>
      </w:tr>
      <w:tr w14:paraId="7080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pct"/>
            <w:vMerge w:val="continue"/>
            <w:noWrap w:val="0"/>
            <w:vAlign w:val="center"/>
          </w:tcPr>
          <w:p w14:paraId="2CCC53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813" w:type="pct"/>
            <w:noWrap w:val="0"/>
            <w:vAlign w:val="center"/>
          </w:tcPr>
          <w:p w14:paraId="19FB2BB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Q3厂界下风向</w:t>
            </w:r>
          </w:p>
        </w:tc>
        <w:tc>
          <w:tcPr>
            <w:tcW w:w="643" w:type="pct"/>
            <w:vMerge w:val="continue"/>
            <w:noWrap w:val="0"/>
            <w:vAlign w:val="center"/>
          </w:tcPr>
          <w:p w14:paraId="7B1506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43" w:type="pct"/>
            <w:vMerge w:val="continue"/>
            <w:noWrap w:val="0"/>
            <w:vAlign w:val="center"/>
          </w:tcPr>
          <w:p w14:paraId="22DCA3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95" w:type="pct"/>
            <w:noWrap w:val="0"/>
            <w:vAlign w:val="center"/>
          </w:tcPr>
          <w:p w14:paraId="22EA65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0.60</w:t>
            </w:r>
          </w:p>
        </w:tc>
        <w:tc>
          <w:tcPr>
            <w:tcW w:w="495" w:type="pct"/>
            <w:noWrap w:val="0"/>
            <w:vAlign w:val="center"/>
          </w:tcPr>
          <w:p w14:paraId="0B11ACC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0.74</w:t>
            </w:r>
          </w:p>
        </w:tc>
        <w:tc>
          <w:tcPr>
            <w:tcW w:w="495" w:type="pct"/>
            <w:noWrap w:val="0"/>
            <w:vAlign w:val="center"/>
          </w:tcPr>
          <w:p w14:paraId="40A2D7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0.70</w:t>
            </w:r>
          </w:p>
        </w:tc>
        <w:tc>
          <w:tcPr>
            <w:tcW w:w="495" w:type="pct"/>
            <w:noWrap w:val="0"/>
            <w:vAlign w:val="center"/>
          </w:tcPr>
          <w:p w14:paraId="4F320E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0.80</w:t>
            </w:r>
          </w:p>
        </w:tc>
        <w:tc>
          <w:tcPr>
            <w:tcW w:w="495" w:type="pct"/>
            <w:vMerge w:val="continue"/>
            <w:noWrap w:val="0"/>
            <w:vAlign w:val="center"/>
          </w:tcPr>
          <w:p w14:paraId="0DF196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p>
        </w:tc>
      </w:tr>
      <w:tr w14:paraId="0609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pct"/>
            <w:vMerge w:val="continue"/>
            <w:noWrap w:val="0"/>
            <w:vAlign w:val="center"/>
          </w:tcPr>
          <w:p w14:paraId="1E713B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813" w:type="pct"/>
            <w:noWrap w:val="0"/>
            <w:vAlign w:val="center"/>
          </w:tcPr>
          <w:p w14:paraId="2ACEAE8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Q4厂界下风向</w:t>
            </w:r>
          </w:p>
        </w:tc>
        <w:tc>
          <w:tcPr>
            <w:tcW w:w="643" w:type="pct"/>
            <w:vMerge w:val="continue"/>
            <w:noWrap w:val="0"/>
            <w:vAlign w:val="center"/>
          </w:tcPr>
          <w:p w14:paraId="2EA7F2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43" w:type="pct"/>
            <w:vMerge w:val="continue"/>
            <w:noWrap w:val="0"/>
            <w:vAlign w:val="center"/>
          </w:tcPr>
          <w:p w14:paraId="2C72EF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95" w:type="pct"/>
            <w:noWrap w:val="0"/>
            <w:vAlign w:val="center"/>
          </w:tcPr>
          <w:p w14:paraId="7CF293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0.71</w:t>
            </w:r>
          </w:p>
        </w:tc>
        <w:tc>
          <w:tcPr>
            <w:tcW w:w="495" w:type="pct"/>
            <w:noWrap w:val="0"/>
            <w:vAlign w:val="center"/>
          </w:tcPr>
          <w:p w14:paraId="354C6B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0.58</w:t>
            </w:r>
          </w:p>
        </w:tc>
        <w:tc>
          <w:tcPr>
            <w:tcW w:w="495" w:type="pct"/>
            <w:noWrap w:val="0"/>
            <w:vAlign w:val="center"/>
          </w:tcPr>
          <w:p w14:paraId="683D1F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0.66</w:t>
            </w:r>
          </w:p>
        </w:tc>
        <w:tc>
          <w:tcPr>
            <w:tcW w:w="495" w:type="pct"/>
            <w:noWrap w:val="0"/>
            <w:vAlign w:val="center"/>
          </w:tcPr>
          <w:p w14:paraId="20E962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0.75</w:t>
            </w:r>
          </w:p>
        </w:tc>
        <w:tc>
          <w:tcPr>
            <w:tcW w:w="495" w:type="pct"/>
            <w:vMerge w:val="continue"/>
            <w:noWrap w:val="0"/>
            <w:vAlign w:val="center"/>
          </w:tcPr>
          <w:p w14:paraId="59D4CE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p>
        </w:tc>
      </w:tr>
    </w:tbl>
    <w:p w14:paraId="7FF14C46">
      <w:pPr>
        <w:pStyle w:val="15"/>
      </w:pPr>
    </w:p>
    <w:p w14:paraId="6E8B8AC3">
      <w:pPr>
        <w:tabs>
          <w:tab w:val="left" w:pos="829"/>
        </w:tabs>
        <w:spacing w:before="48" w:beforeLines="20"/>
        <w:ind w:firstLine="482" w:firstLineChars="200"/>
        <w:jc w:val="center"/>
        <w:rPr>
          <w:b/>
        </w:rPr>
        <w:sectPr>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pPr>
    </w:p>
    <w:p w14:paraId="048E40DF">
      <w:pPr>
        <w:tabs>
          <w:tab w:val="left" w:pos="829"/>
        </w:tabs>
        <w:spacing w:before="48" w:beforeLines="20"/>
        <w:ind w:firstLine="482" w:firstLineChars="200"/>
        <w:jc w:val="center"/>
        <w:rPr>
          <w:rFonts w:hint="eastAsia"/>
          <w:b/>
        </w:rPr>
      </w:pPr>
      <w:r>
        <w:rPr>
          <w:b/>
        </w:rPr>
        <w:t>表7-</w:t>
      </w:r>
      <w:r>
        <w:rPr>
          <w:rFonts w:hint="eastAsia"/>
          <w:b/>
        </w:rPr>
        <w:t>2</w:t>
      </w:r>
      <w:r>
        <w:rPr>
          <w:rFonts w:hint="eastAsia"/>
          <w:b/>
          <w:bCs/>
        </w:rPr>
        <w:t>无</w:t>
      </w:r>
      <w:r>
        <w:rPr>
          <w:b/>
          <w:bCs/>
        </w:rPr>
        <w:t>组织排放废气</w:t>
      </w:r>
      <w:r>
        <w:rPr>
          <w:b/>
        </w:rPr>
        <w:t>检测结果</w:t>
      </w:r>
      <w:r>
        <w:rPr>
          <w:rFonts w:hint="eastAsia"/>
          <w:b/>
        </w:rPr>
        <w:t>（续）</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23"/>
        <w:gridCol w:w="1621"/>
        <w:gridCol w:w="1172"/>
        <w:gridCol w:w="737"/>
        <w:gridCol w:w="894"/>
        <w:gridCol w:w="894"/>
        <w:gridCol w:w="894"/>
        <w:gridCol w:w="894"/>
        <w:gridCol w:w="907"/>
      </w:tblGrid>
      <w:tr w14:paraId="6ADE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5" w:type="pct"/>
            <w:vMerge w:val="restart"/>
            <w:noWrap w:val="0"/>
            <w:vAlign w:val="center"/>
          </w:tcPr>
          <w:p w14:paraId="124B369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eastAsia"/>
                <w:b w:val="0"/>
                <w:spacing w:val="-6"/>
                <w:sz w:val="21"/>
                <w:szCs w:val="21"/>
                <w:lang w:val="en-US" w:eastAsia="zh-CN"/>
              </w:rPr>
              <w:t>采样日期</w:t>
            </w:r>
          </w:p>
        </w:tc>
        <w:tc>
          <w:tcPr>
            <w:tcW w:w="887" w:type="pct"/>
            <w:vMerge w:val="restart"/>
            <w:noWrap w:val="0"/>
            <w:vAlign w:val="center"/>
          </w:tcPr>
          <w:p w14:paraId="630120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eastAsia"/>
                <w:b w:val="0"/>
                <w:spacing w:val="-6"/>
                <w:sz w:val="21"/>
                <w:szCs w:val="21"/>
                <w:lang w:eastAsia="zh-CN"/>
              </w:rPr>
              <w:t>采样点位</w:t>
            </w:r>
          </w:p>
        </w:tc>
        <w:tc>
          <w:tcPr>
            <w:tcW w:w="641" w:type="pct"/>
            <w:vMerge w:val="restart"/>
            <w:noWrap w:val="0"/>
            <w:vAlign w:val="center"/>
          </w:tcPr>
          <w:p w14:paraId="0EBAE87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z w:val="21"/>
                <w:szCs w:val="21"/>
                <w:highlight w:val="none"/>
                <w:vertAlign w:val="baseline"/>
                <w:lang w:val="en-US" w:eastAsia="zh-CN"/>
              </w:rPr>
              <w:t>检测项目</w:t>
            </w:r>
          </w:p>
        </w:tc>
        <w:tc>
          <w:tcPr>
            <w:tcW w:w="403" w:type="pct"/>
            <w:vMerge w:val="restart"/>
            <w:noWrap w:val="0"/>
            <w:vAlign w:val="center"/>
          </w:tcPr>
          <w:p w14:paraId="224A53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单位</w:t>
            </w:r>
          </w:p>
        </w:tc>
        <w:tc>
          <w:tcPr>
            <w:tcW w:w="2452" w:type="pct"/>
            <w:gridSpan w:val="5"/>
            <w:noWrap w:val="0"/>
            <w:vAlign w:val="center"/>
          </w:tcPr>
          <w:p w14:paraId="271954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eastAsia"/>
                <w:b w:val="0"/>
                <w:spacing w:val="-6"/>
                <w:sz w:val="21"/>
                <w:szCs w:val="21"/>
              </w:rPr>
              <w:t>检测</w:t>
            </w:r>
            <w:r>
              <w:rPr>
                <w:rFonts w:hint="eastAsia"/>
                <w:b w:val="0"/>
                <w:bCs/>
                <w:spacing w:val="-6"/>
                <w:sz w:val="21"/>
                <w:szCs w:val="21"/>
                <w:lang w:val="en-US" w:eastAsia="zh-CN"/>
              </w:rPr>
              <w:t>数据</w:t>
            </w:r>
          </w:p>
        </w:tc>
      </w:tr>
      <w:tr w14:paraId="3D08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5" w:type="pct"/>
            <w:vMerge w:val="continue"/>
            <w:noWrap w:val="0"/>
            <w:vAlign w:val="center"/>
          </w:tcPr>
          <w:p w14:paraId="7978A7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887" w:type="pct"/>
            <w:vMerge w:val="continue"/>
            <w:noWrap w:val="0"/>
            <w:vAlign w:val="center"/>
          </w:tcPr>
          <w:p w14:paraId="1F7D775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641" w:type="pct"/>
            <w:vMerge w:val="continue"/>
            <w:noWrap w:val="0"/>
            <w:vAlign w:val="center"/>
          </w:tcPr>
          <w:p w14:paraId="0243CD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03" w:type="pct"/>
            <w:vMerge w:val="continue"/>
            <w:noWrap w:val="0"/>
            <w:vAlign w:val="center"/>
          </w:tcPr>
          <w:p w14:paraId="6AC8DF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89" w:type="pct"/>
            <w:noWrap w:val="0"/>
            <w:vAlign w:val="center"/>
          </w:tcPr>
          <w:p w14:paraId="7675DC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color w:val="000000"/>
                <w:kern w:val="2"/>
                <w:sz w:val="21"/>
                <w:szCs w:val="21"/>
                <w:highlight w:val="none"/>
                <w:lang w:val="en-US" w:eastAsia="zh-CN"/>
              </w:rPr>
              <w:t>1</w:t>
            </w:r>
          </w:p>
        </w:tc>
        <w:tc>
          <w:tcPr>
            <w:tcW w:w="489" w:type="pct"/>
            <w:noWrap w:val="0"/>
            <w:vAlign w:val="center"/>
          </w:tcPr>
          <w:p w14:paraId="4B790C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color w:val="000000"/>
                <w:kern w:val="2"/>
                <w:sz w:val="21"/>
                <w:szCs w:val="21"/>
                <w:highlight w:val="none"/>
                <w:lang w:val="en-US" w:eastAsia="zh-CN"/>
              </w:rPr>
              <w:t>2</w:t>
            </w:r>
          </w:p>
        </w:tc>
        <w:tc>
          <w:tcPr>
            <w:tcW w:w="489" w:type="pct"/>
            <w:noWrap w:val="0"/>
            <w:vAlign w:val="center"/>
          </w:tcPr>
          <w:p w14:paraId="2E41D6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rPr>
            </w:pPr>
            <w:r>
              <w:rPr>
                <w:rFonts w:hint="eastAsia" w:ascii="Times New Roman" w:hAnsi="Times New Roman" w:eastAsia="宋体" w:cs="Times New Roman"/>
                <w:b w:val="0"/>
                <w:color w:val="000000"/>
                <w:kern w:val="2"/>
                <w:sz w:val="21"/>
                <w:szCs w:val="21"/>
                <w:highlight w:val="none"/>
                <w:lang w:val="en-US" w:eastAsia="zh-CN"/>
              </w:rPr>
              <w:t>3</w:t>
            </w:r>
          </w:p>
        </w:tc>
        <w:tc>
          <w:tcPr>
            <w:tcW w:w="489" w:type="pct"/>
            <w:noWrap w:val="0"/>
            <w:vAlign w:val="center"/>
          </w:tcPr>
          <w:p w14:paraId="53DB54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rPr>
            </w:pPr>
            <w:r>
              <w:rPr>
                <w:rFonts w:hint="eastAsia" w:ascii="Times New Roman" w:hAnsi="Times New Roman" w:eastAsia="宋体" w:cs="Times New Roman"/>
                <w:b w:val="0"/>
                <w:color w:val="000000"/>
                <w:kern w:val="2"/>
                <w:sz w:val="21"/>
                <w:szCs w:val="21"/>
                <w:highlight w:val="none"/>
                <w:lang w:val="en-US" w:eastAsia="zh-CN"/>
              </w:rPr>
              <w:t>4</w:t>
            </w:r>
          </w:p>
        </w:tc>
        <w:tc>
          <w:tcPr>
            <w:tcW w:w="493" w:type="pct"/>
            <w:noWrap w:val="0"/>
            <w:vAlign w:val="center"/>
          </w:tcPr>
          <w:p w14:paraId="6F46B7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rPr>
              <w:t>最大值</w:t>
            </w:r>
          </w:p>
        </w:tc>
      </w:tr>
      <w:tr w14:paraId="469E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5" w:type="pct"/>
            <w:vMerge w:val="restart"/>
            <w:noWrap w:val="0"/>
            <w:vAlign w:val="center"/>
          </w:tcPr>
          <w:p w14:paraId="6A3897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bCs/>
                <w:sz w:val="21"/>
                <w:szCs w:val="21"/>
                <w:highlight w:val="none"/>
                <w:lang w:val="en-US" w:eastAsia="zh-CN"/>
              </w:rPr>
              <w:t>2024.5.30</w:t>
            </w:r>
          </w:p>
        </w:tc>
        <w:tc>
          <w:tcPr>
            <w:tcW w:w="887" w:type="pct"/>
            <w:noWrap w:val="0"/>
            <w:vAlign w:val="center"/>
          </w:tcPr>
          <w:p w14:paraId="1C7EFAC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Q5厂区内监控点</w:t>
            </w:r>
          </w:p>
        </w:tc>
        <w:tc>
          <w:tcPr>
            <w:tcW w:w="641" w:type="pct"/>
            <w:vMerge w:val="restart"/>
            <w:noWrap w:val="0"/>
            <w:vAlign w:val="center"/>
          </w:tcPr>
          <w:p w14:paraId="3BC7CE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color w:val="000000"/>
                <w:kern w:val="2"/>
                <w:sz w:val="21"/>
                <w:szCs w:val="21"/>
                <w:highlight w:val="none"/>
                <w:lang w:val="en-US" w:eastAsia="zh-CN" w:bidi="ar"/>
              </w:rPr>
              <w:t>非甲烷总烃</w:t>
            </w:r>
          </w:p>
        </w:tc>
        <w:tc>
          <w:tcPr>
            <w:tcW w:w="403" w:type="pct"/>
            <w:vMerge w:val="restart"/>
            <w:noWrap w:val="0"/>
            <w:vAlign w:val="center"/>
          </w:tcPr>
          <w:p w14:paraId="0539C2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489" w:type="pct"/>
            <w:noWrap w:val="0"/>
            <w:vAlign w:val="center"/>
          </w:tcPr>
          <w:p w14:paraId="066570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0.81</w:t>
            </w:r>
          </w:p>
        </w:tc>
        <w:tc>
          <w:tcPr>
            <w:tcW w:w="489" w:type="pct"/>
            <w:noWrap w:val="0"/>
            <w:vAlign w:val="center"/>
          </w:tcPr>
          <w:p w14:paraId="430381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0.99</w:t>
            </w:r>
          </w:p>
        </w:tc>
        <w:tc>
          <w:tcPr>
            <w:tcW w:w="489" w:type="pct"/>
            <w:noWrap w:val="0"/>
            <w:vAlign w:val="center"/>
          </w:tcPr>
          <w:p w14:paraId="4443D9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1.09</w:t>
            </w:r>
          </w:p>
        </w:tc>
        <w:tc>
          <w:tcPr>
            <w:tcW w:w="489" w:type="pct"/>
            <w:noWrap w:val="0"/>
            <w:vAlign w:val="center"/>
          </w:tcPr>
          <w:p w14:paraId="111D17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1.17</w:t>
            </w:r>
          </w:p>
        </w:tc>
        <w:tc>
          <w:tcPr>
            <w:tcW w:w="493" w:type="pct"/>
            <w:vMerge w:val="restart"/>
            <w:noWrap w:val="0"/>
            <w:vAlign w:val="center"/>
          </w:tcPr>
          <w:p w14:paraId="6C82F1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1.40</w:t>
            </w:r>
          </w:p>
        </w:tc>
      </w:tr>
      <w:tr w14:paraId="384F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5" w:type="pct"/>
            <w:vMerge w:val="continue"/>
            <w:noWrap w:val="0"/>
            <w:vAlign w:val="center"/>
          </w:tcPr>
          <w:p w14:paraId="089BA8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auto"/>
                <w:kern w:val="2"/>
                <w:sz w:val="21"/>
                <w:szCs w:val="21"/>
                <w:highlight w:val="none"/>
                <w:lang w:val="en-US" w:eastAsia="zh-CN" w:bidi="ar"/>
              </w:rPr>
            </w:pPr>
          </w:p>
        </w:tc>
        <w:tc>
          <w:tcPr>
            <w:tcW w:w="887" w:type="pct"/>
            <w:noWrap w:val="0"/>
            <w:vAlign w:val="center"/>
          </w:tcPr>
          <w:p w14:paraId="38C225E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Q6厂区内监控点</w:t>
            </w:r>
          </w:p>
        </w:tc>
        <w:tc>
          <w:tcPr>
            <w:tcW w:w="641" w:type="pct"/>
            <w:vMerge w:val="continue"/>
            <w:noWrap w:val="0"/>
            <w:vAlign w:val="center"/>
          </w:tcPr>
          <w:p w14:paraId="20ED6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03" w:type="pct"/>
            <w:vMerge w:val="continue"/>
            <w:noWrap w:val="0"/>
            <w:vAlign w:val="center"/>
          </w:tcPr>
          <w:p w14:paraId="70EB2E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89" w:type="pct"/>
            <w:noWrap w:val="0"/>
            <w:vAlign w:val="center"/>
          </w:tcPr>
          <w:p w14:paraId="42424EC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1.12</w:t>
            </w:r>
          </w:p>
        </w:tc>
        <w:tc>
          <w:tcPr>
            <w:tcW w:w="489" w:type="pct"/>
            <w:noWrap w:val="0"/>
            <w:vAlign w:val="center"/>
          </w:tcPr>
          <w:p w14:paraId="7C64F85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1.05</w:t>
            </w:r>
          </w:p>
        </w:tc>
        <w:tc>
          <w:tcPr>
            <w:tcW w:w="489" w:type="pct"/>
            <w:noWrap w:val="0"/>
            <w:vAlign w:val="center"/>
          </w:tcPr>
          <w:p w14:paraId="1424CF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0.89</w:t>
            </w:r>
          </w:p>
        </w:tc>
        <w:tc>
          <w:tcPr>
            <w:tcW w:w="489" w:type="pct"/>
            <w:noWrap w:val="0"/>
            <w:vAlign w:val="center"/>
          </w:tcPr>
          <w:p w14:paraId="241E2E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1.01</w:t>
            </w:r>
          </w:p>
        </w:tc>
        <w:tc>
          <w:tcPr>
            <w:tcW w:w="493" w:type="pct"/>
            <w:vMerge w:val="continue"/>
            <w:noWrap w:val="0"/>
            <w:vAlign w:val="center"/>
          </w:tcPr>
          <w:p w14:paraId="2AF174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p>
        </w:tc>
      </w:tr>
      <w:tr w14:paraId="7370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5" w:type="pct"/>
            <w:vMerge w:val="continue"/>
            <w:noWrap w:val="0"/>
            <w:vAlign w:val="center"/>
          </w:tcPr>
          <w:p w14:paraId="2A02D8E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auto"/>
                <w:kern w:val="2"/>
                <w:sz w:val="21"/>
                <w:szCs w:val="21"/>
                <w:highlight w:val="none"/>
                <w:lang w:val="en-US" w:eastAsia="zh-CN" w:bidi="ar"/>
              </w:rPr>
            </w:pPr>
          </w:p>
        </w:tc>
        <w:tc>
          <w:tcPr>
            <w:tcW w:w="887" w:type="pct"/>
            <w:noWrap w:val="0"/>
            <w:vAlign w:val="center"/>
          </w:tcPr>
          <w:p w14:paraId="7BF2E43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Q7厂区内监控点</w:t>
            </w:r>
          </w:p>
        </w:tc>
        <w:tc>
          <w:tcPr>
            <w:tcW w:w="641" w:type="pct"/>
            <w:vMerge w:val="continue"/>
            <w:noWrap w:val="0"/>
            <w:vAlign w:val="center"/>
          </w:tcPr>
          <w:p w14:paraId="4CE961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03" w:type="pct"/>
            <w:vMerge w:val="continue"/>
            <w:noWrap w:val="0"/>
            <w:vAlign w:val="center"/>
          </w:tcPr>
          <w:p w14:paraId="488924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89" w:type="pct"/>
            <w:noWrap w:val="0"/>
            <w:vAlign w:val="center"/>
          </w:tcPr>
          <w:p w14:paraId="072327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1.33</w:t>
            </w:r>
          </w:p>
        </w:tc>
        <w:tc>
          <w:tcPr>
            <w:tcW w:w="489" w:type="pct"/>
            <w:noWrap w:val="0"/>
            <w:vAlign w:val="center"/>
          </w:tcPr>
          <w:p w14:paraId="4CECC2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1.03</w:t>
            </w:r>
          </w:p>
        </w:tc>
        <w:tc>
          <w:tcPr>
            <w:tcW w:w="489" w:type="pct"/>
            <w:noWrap w:val="0"/>
            <w:vAlign w:val="center"/>
          </w:tcPr>
          <w:p w14:paraId="01A7645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1.40</w:t>
            </w:r>
          </w:p>
        </w:tc>
        <w:tc>
          <w:tcPr>
            <w:tcW w:w="489" w:type="pct"/>
            <w:noWrap w:val="0"/>
            <w:vAlign w:val="center"/>
          </w:tcPr>
          <w:p w14:paraId="39FE2D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1.13</w:t>
            </w:r>
          </w:p>
        </w:tc>
        <w:tc>
          <w:tcPr>
            <w:tcW w:w="493" w:type="pct"/>
            <w:vMerge w:val="continue"/>
            <w:noWrap w:val="0"/>
            <w:vAlign w:val="center"/>
          </w:tcPr>
          <w:p w14:paraId="29C90C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p>
        </w:tc>
      </w:tr>
      <w:tr w14:paraId="6437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5" w:type="pct"/>
            <w:vMerge w:val="restart"/>
            <w:noWrap w:val="0"/>
            <w:vAlign w:val="center"/>
          </w:tcPr>
          <w:p w14:paraId="1C83D1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bCs/>
                <w:sz w:val="21"/>
                <w:szCs w:val="21"/>
                <w:highlight w:val="none"/>
                <w:lang w:val="en-US" w:eastAsia="zh-CN"/>
              </w:rPr>
              <w:t>2024.5.31</w:t>
            </w:r>
          </w:p>
        </w:tc>
        <w:tc>
          <w:tcPr>
            <w:tcW w:w="887" w:type="pct"/>
            <w:noWrap w:val="0"/>
            <w:vAlign w:val="center"/>
          </w:tcPr>
          <w:p w14:paraId="6C2E024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Q5厂区内监控点</w:t>
            </w:r>
          </w:p>
        </w:tc>
        <w:tc>
          <w:tcPr>
            <w:tcW w:w="641" w:type="pct"/>
            <w:vMerge w:val="restart"/>
            <w:noWrap w:val="0"/>
            <w:vAlign w:val="center"/>
          </w:tcPr>
          <w:p w14:paraId="2E1374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color w:val="000000"/>
                <w:kern w:val="2"/>
                <w:sz w:val="21"/>
                <w:szCs w:val="21"/>
                <w:highlight w:val="none"/>
                <w:lang w:val="en-US" w:eastAsia="zh-CN" w:bidi="ar"/>
              </w:rPr>
              <w:t>非甲烷总烃</w:t>
            </w:r>
          </w:p>
        </w:tc>
        <w:tc>
          <w:tcPr>
            <w:tcW w:w="403" w:type="pct"/>
            <w:vMerge w:val="restart"/>
            <w:noWrap w:val="0"/>
            <w:vAlign w:val="center"/>
          </w:tcPr>
          <w:p w14:paraId="1DBB61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489" w:type="pct"/>
            <w:noWrap w:val="0"/>
            <w:vAlign w:val="center"/>
          </w:tcPr>
          <w:p w14:paraId="488DEC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1.08</w:t>
            </w:r>
          </w:p>
        </w:tc>
        <w:tc>
          <w:tcPr>
            <w:tcW w:w="489" w:type="pct"/>
            <w:noWrap w:val="0"/>
            <w:vAlign w:val="center"/>
          </w:tcPr>
          <w:p w14:paraId="765F06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0.87</w:t>
            </w:r>
          </w:p>
        </w:tc>
        <w:tc>
          <w:tcPr>
            <w:tcW w:w="489" w:type="pct"/>
            <w:noWrap w:val="0"/>
            <w:vAlign w:val="center"/>
          </w:tcPr>
          <w:p w14:paraId="391F79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1.22</w:t>
            </w:r>
          </w:p>
        </w:tc>
        <w:tc>
          <w:tcPr>
            <w:tcW w:w="489" w:type="pct"/>
            <w:noWrap w:val="0"/>
            <w:vAlign w:val="center"/>
          </w:tcPr>
          <w:p w14:paraId="6A5CB8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1.12</w:t>
            </w:r>
          </w:p>
        </w:tc>
        <w:tc>
          <w:tcPr>
            <w:tcW w:w="493" w:type="pct"/>
            <w:vMerge w:val="restart"/>
            <w:noWrap w:val="0"/>
            <w:vAlign w:val="center"/>
          </w:tcPr>
          <w:p w14:paraId="0B57B1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1.42</w:t>
            </w:r>
          </w:p>
        </w:tc>
      </w:tr>
      <w:tr w14:paraId="36A9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5" w:type="pct"/>
            <w:vMerge w:val="continue"/>
            <w:noWrap w:val="0"/>
            <w:vAlign w:val="center"/>
          </w:tcPr>
          <w:p w14:paraId="2F62CE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887" w:type="pct"/>
            <w:noWrap w:val="0"/>
            <w:vAlign w:val="center"/>
          </w:tcPr>
          <w:p w14:paraId="1E80663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Q6厂区内监控点</w:t>
            </w:r>
          </w:p>
        </w:tc>
        <w:tc>
          <w:tcPr>
            <w:tcW w:w="641" w:type="pct"/>
            <w:vMerge w:val="continue"/>
            <w:noWrap w:val="0"/>
            <w:vAlign w:val="center"/>
          </w:tcPr>
          <w:p w14:paraId="187E07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03" w:type="pct"/>
            <w:vMerge w:val="continue"/>
            <w:noWrap w:val="0"/>
            <w:vAlign w:val="center"/>
          </w:tcPr>
          <w:p w14:paraId="17B567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89" w:type="pct"/>
            <w:noWrap w:val="0"/>
            <w:vAlign w:val="center"/>
          </w:tcPr>
          <w:p w14:paraId="4AB9C4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1.10</w:t>
            </w:r>
          </w:p>
        </w:tc>
        <w:tc>
          <w:tcPr>
            <w:tcW w:w="489" w:type="pct"/>
            <w:noWrap w:val="0"/>
            <w:vAlign w:val="center"/>
          </w:tcPr>
          <w:p w14:paraId="709F07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1.00</w:t>
            </w:r>
          </w:p>
        </w:tc>
        <w:tc>
          <w:tcPr>
            <w:tcW w:w="489" w:type="pct"/>
            <w:noWrap w:val="0"/>
            <w:vAlign w:val="center"/>
          </w:tcPr>
          <w:p w14:paraId="679B15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1.35</w:t>
            </w:r>
          </w:p>
        </w:tc>
        <w:tc>
          <w:tcPr>
            <w:tcW w:w="489" w:type="pct"/>
            <w:noWrap w:val="0"/>
            <w:vAlign w:val="center"/>
          </w:tcPr>
          <w:p w14:paraId="2DF282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1.22</w:t>
            </w:r>
          </w:p>
        </w:tc>
        <w:tc>
          <w:tcPr>
            <w:tcW w:w="493" w:type="pct"/>
            <w:vMerge w:val="continue"/>
            <w:noWrap w:val="0"/>
            <w:vAlign w:val="center"/>
          </w:tcPr>
          <w:p w14:paraId="64D22F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p>
        </w:tc>
      </w:tr>
      <w:tr w14:paraId="2003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5" w:type="pct"/>
            <w:vMerge w:val="continue"/>
            <w:noWrap w:val="0"/>
            <w:vAlign w:val="center"/>
          </w:tcPr>
          <w:p w14:paraId="0AFD2A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887" w:type="pct"/>
            <w:noWrap w:val="0"/>
            <w:vAlign w:val="center"/>
          </w:tcPr>
          <w:p w14:paraId="7C4D059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bCs/>
                <w:spacing w:val="-6"/>
                <w:sz w:val="21"/>
                <w:szCs w:val="21"/>
                <w:lang w:val="en-US" w:eastAsia="zh-CN"/>
              </w:rPr>
              <w:t>Q7厂区内监控点</w:t>
            </w:r>
          </w:p>
        </w:tc>
        <w:tc>
          <w:tcPr>
            <w:tcW w:w="641" w:type="pct"/>
            <w:vMerge w:val="continue"/>
            <w:noWrap w:val="0"/>
            <w:vAlign w:val="center"/>
          </w:tcPr>
          <w:p w14:paraId="63C63D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03" w:type="pct"/>
            <w:vMerge w:val="continue"/>
            <w:noWrap w:val="0"/>
            <w:vAlign w:val="center"/>
          </w:tcPr>
          <w:p w14:paraId="36D734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489" w:type="pct"/>
            <w:noWrap w:val="0"/>
            <w:vAlign w:val="center"/>
          </w:tcPr>
          <w:p w14:paraId="2D6DF9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1.42</w:t>
            </w:r>
          </w:p>
        </w:tc>
        <w:tc>
          <w:tcPr>
            <w:tcW w:w="489" w:type="pct"/>
            <w:noWrap w:val="0"/>
            <w:vAlign w:val="center"/>
          </w:tcPr>
          <w:p w14:paraId="2E2D42C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000000"/>
                <w:kern w:val="2"/>
                <w:sz w:val="21"/>
                <w:szCs w:val="21"/>
                <w:highlight w:val="none"/>
                <w:lang w:val="en-US" w:eastAsia="zh-CN" w:bidi="ar"/>
              </w:rPr>
              <w:t>1.14</w:t>
            </w:r>
          </w:p>
        </w:tc>
        <w:tc>
          <w:tcPr>
            <w:tcW w:w="489" w:type="pct"/>
            <w:noWrap w:val="0"/>
            <w:vAlign w:val="center"/>
          </w:tcPr>
          <w:p w14:paraId="1C0402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1.02</w:t>
            </w:r>
          </w:p>
        </w:tc>
        <w:tc>
          <w:tcPr>
            <w:tcW w:w="489" w:type="pct"/>
            <w:noWrap w:val="0"/>
            <w:vAlign w:val="center"/>
          </w:tcPr>
          <w:p w14:paraId="35ABA5E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1.09</w:t>
            </w:r>
          </w:p>
        </w:tc>
        <w:tc>
          <w:tcPr>
            <w:tcW w:w="493" w:type="pct"/>
            <w:vMerge w:val="continue"/>
            <w:noWrap w:val="0"/>
            <w:vAlign w:val="center"/>
          </w:tcPr>
          <w:p w14:paraId="19A2EA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p>
        </w:tc>
      </w:tr>
    </w:tbl>
    <w:p w14:paraId="20B7D71E">
      <w:pPr>
        <w:pStyle w:val="15"/>
        <w:rPr>
          <w:rFonts w:hint="eastAsia"/>
        </w:rPr>
      </w:pPr>
    </w:p>
    <w:p w14:paraId="5BBE33EB">
      <w:pPr>
        <w:pStyle w:val="9"/>
        <w:sectPr>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pPr>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97B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07" w:hRule="atLeast"/>
          <w:jc w:val="center"/>
        </w:trPr>
        <w:tc>
          <w:tcPr>
            <w:tcW w:w="8924" w:type="dxa"/>
          </w:tcPr>
          <w:p w14:paraId="5F1C5AC1">
            <w:pPr>
              <w:tabs>
                <w:tab w:val="left" w:pos="829"/>
              </w:tabs>
              <w:spacing w:before="48" w:beforeLines="20"/>
              <w:ind w:firstLine="480" w:firstLineChars="200"/>
              <w:rPr>
                <w:rFonts w:hint="default" w:ascii="Times New Roman" w:hAnsi="Times New Roman" w:cs="Times New Roman"/>
                <w:lang w:val="en-US" w:eastAsia="zh-CN"/>
              </w:rPr>
            </w:pPr>
            <w:r>
              <w:rPr>
                <w:rFonts w:hint="default" w:ascii="Times New Roman" w:hAnsi="Times New Roman" w:cs="Times New Roman"/>
              </w:rPr>
              <w:t>验收监测期间，在满足工况的条件下，项目</w:t>
            </w:r>
            <w:r>
              <w:rPr>
                <w:rFonts w:hint="eastAsia" w:cs="Times New Roman"/>
                <w:lang w:val="en-US" w:eastAsia="zh-CN"/>
              </w:rPr>
              <w:t>印刷</w:t>
            </w:r>
            <w:r>
              <w:rPr>
                <w:rFonts w:hint="default" w:ascii="Times New Roman" w:hAnsi="Times New Roman" w:cs="Times New Roman"/>
              </w:rPr>
              <w:t>有机废气非甲烷总烃浓度范围为</w:t>
            </w:r>
            <w:r>
              <w:rPr>
                <w:rFonts w:hint="eastAsia" w:cs="Times New Roman"/>
                <w:lang w:val="en-US" w:eastAsia="zh-CN"/>
              </w:rPr>
              <w:t>1.98-2.61</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，非甲烷总烃可达到《印刷行业挥发性有机物排放标准》（DB35/1784-2018）表1标准</w:t>
            </w:r>
            <w:r>
              <w:rPr>
                <w:rFonts w:hint="default" w:ascii="Times New Roman" w:hAnsi="Times New Roman" w:cs="Times New Roman"/>
                <w:lang w:val="en-US" w:eastAsia="zh-CN"/>
              </w:rPr>
              <w:t>。</w:t>
            </w:r>
            <w:r>
              <w:rPr>
                <w:rFonts w:hint="eastAsia" w:cs="Times New Roman"/>
                <w:lang w:val="en-US" w:eastAsia="zh-CN"/>
              </w:rPr>
              <w:t>废气处理效率约60%。</w:t>
            </w:r>
          </w:p>
          <w:p w14:paraId="756DA9F5">
            <w:pPr>
              <w:tabs>
                <w:tab w:val="left" w:pos="829"/>
              </w:tabs>
              <w:spacing w:before="48" w:beforeLines="20"/>
              <w:ind w:firstLine="480" w:firstLineChars="200"/>
              <w:rPr>
                <w:rFonts w:hint="default" w:ascii="Times New Roman" w:hAnsi="Times New Roman" w:eastAsia="宋体" w:cs="Times New Roman"/>
                <w:lang w:val="en-US" w:eastAsia="zh-CN"/>
              </w:rPr>
            </w:pPr>
            <w:r>
              <w:rPr>
                <w:rFonts w:hint="default" w:ascii="Times New Roman" w:hAnsi="Times New Roman" w:cs="Times New Roman"/>
              </w:rPr>
              <w:t>验收监测期间，在满足工况的条件下，项目无组织排放的非甲烷总烃厂界监控点最大浓度为</w:t>
            </w:r>
            <w:r>
              <w:rPr>
                <w:rFonts w:hint="eastAsia" w:cs="Times New Roman"/>
                <w:lang w:val="en-US" w:eastAsia="zh-CN"/>
              </w:rPr>
              <w:t>0.80</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lang w:eastAsia="zh-CN"/>
              </w:rPr>
              <w:t>；</w:t>
            </w:r>
            <w:r>
              <w:rPr>
                <w:rFonts w:hint="default" w:ascii="Times New Roman" w:hAnsi="Times New Roman" w:cs="Times New Roman"/>
              </w:rPr>
              <w:t>非甲烷总烃厂区内监控点最大浓度为</w:t>
            </w:r>
            <w:r>
              <w:rPr>
                <w:rFonts w:hint="eastAsia" w:cs="Times New Roman"/>
                <w:lang w:val="en-US" w:eastAsia="zh-CN"/>
              </w:rPr>
              <w:t>1.42</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，非甲烷总烃可达到《印刷行业挥发性有机物排放标准》（DB35/1784-2018）表</w:t>
            </w:r>
            <w:r>
              <w:rPr>
                <w:rFonts w:hint="eastAsia" w:cs="Times New Roman"/>
                <w:lang w:val="en-US" w:eastAsia="zh-CN"/>
              </w:rPr>
              <w:t>2、表3</w:t>
            </w:r>
            <w:r>
              <w:rPr>
                <w:rFonts w:hint="default" w:ascii="Times New Roman" w:hAnsi="Times New Roman" w:cs="Times New Roman"/>
              </w:rPr>
              <w:t>标准</w:t>
            </w:r>
            <w:r>
              <w:rPr>
                <w:rFonts w:hint="default" w:ascii="Times New Roman" w:hAnsi="Times New Roman" w:cs="Times New Roman"/>
                <w:lang w:eastAsia="zh-CN"/>
              </w:rPr>
              <w:t>，</w:t>
            </w:r>
            <w:r>
              <w:rPr>
                <w:rFonts w:hint="default" w:ascii="Times New Roman" w:hAnsi="Times New Roman" w:cs="Times New Roman"/>
                <w:lang w:val="en-US" w:eastAsia="zh-CN"/>
              </w:rPr>
              <w:t>同时可达到</w:t>
            </w:r>
            <w:r>
              <w:rPr>
                <w:rFonts w:hint="default" w:ascii="Times New Roman" w:hAnsi="Times New Roman" w:cs="Times New Roman"/>
              </w:rPr>
              <w:t>《挥发性有机物无组织排放控制标准》(GB37822-2019)中附录A表A.1标准限值</w:t>
            </w:r>
            <w:r>
              <w:rPr>
                <w:rFonts w:hint="default" w:ascii="Times New Roman" w:hAnsi="Times New Roman" w:cs="Times New Roman"/>
                <w:lang w:eastAsia="zh-CN"/>
              </w:rPr>
              <w:t>。</w:t>
            </w:r>
          </w:p>
        </w:tc>
      </w:tr>
    </w:tbl>
    <w:p w14:paraId="5118C5ED">
      <w:pPr>
        <w:sectPr>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pPr>
    </w:p>
    <w:tbl>
      <w:tblPr>
        <w:tblStyle w:val="2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14:paraId="6A1D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29" w:hRule="atLeast"/>
          <w:jc w:val="center"/>
        </w:trPr>
        <w:tc>
          <w:tcPr>
            <w:tcW w:w="9638" w:type="dxa"/>
          </w:tcPr>
          <w:p w14:paraId="3C3056FE">
            <w:pPr>
              <w:spacing w:before="48" w:beforeLines="20"/>
              <w:ind w:firstLine="480"/>
              <w:rPr>
                <w:b/>
                <w:bCs/>
              </w:rPr>
            </w:pPr>
            <w:r>
              <w:rPr>
                <w:b/>
                <w:bCs/>
              </w:rPr>
              <w:t>（</w:t>
            </w:r>
            <w:r>
              <w:rPr>
                <w:rFonts w:hint="eastAsia"/>
                <w:b/>
                <w:bCs/>
              </w:rPr>
              <w:t>2</w:t>
            </w:r>
            <w:r>
              <w:rPr>
                <w:b/>
                <w:bCs/>
              </w:rPr>
              <w:t>）</w:t>
            </w:r>
            <w:r>
              <w:rPr>
                <w:rFonts w:hint="eastAsia"/>
                <w:b/>
                <w:bCs/>
              </w:rPr>
              <w:t>噪声</w:t>
            </w:r>
            <w:r>
              <w:rPr>
                <w:b/>
                <w:bCs/>
              </w:rPr>
              <w:t>监测结果</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1634"/>
              <w:gridCol w:w="1545"/>
              <w:gridCol w:w="1961"/>
              <w:gridCol w:w="1961"/>
            </w:tblGrid>
            <w:tr w14:paraId="6BCD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7" w:type="dxa"/>
                  <w:vMerge w:val="restart"/>
                  <w:noWrap w:val="0"/>
                  <w:vAlign w:val="center"/>
                </w:tcPr>
                <w:p w14:paraId="0FC66F89">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highlight w:val="none"/>
                      <w:lang w:val="en-US" w:eastAsia="zh-CN" w:bidi="ar"/>
                    </w:rPr>
                  </w:pPr>
                  <w:r>
                    <w:rPr>
                      <w:rFonts w:hint="default" w:ascii="Times New Roman" w:hAnsi="Times New Roman" w:eastAsia="宋体" w:cs="Times New Roman"/>
                      <w:b w:val="0"/>
                      <w:kern w:val="2"/>
                      <w:sz w:val="21"/>
                      <w:szCs w:val="21"/>
                      <w:lang w:val="en-US" w:eastAsia="zh-CN" w:bidi="ar"/>
                    </w:rPr>
                    <w:t>检测点位</w:t>
                  </w:r>
                </w:p>
              </w:tc>
              <w:tc>
                <w:tcPr>
                  <w:tcW w:w="1634" w:type="dxa"/>
                  <w:vMerge w:val="restart"/>
                  <w:noWrap w:val="0"/>
                  <w:vAlign w:val="center"/>
                </w:tcPr>
                <w:p w14:paraId="4C3F346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color w:val="000000"/>
                      <w:kern w:val="2"/>
                      <w:sz w:val="21"/>
                      <w:szCs w:val="21"/>
                      <w:highlight w:val="none"/>
                      <w:lang w:val="en-US" w:eastAsia="zh-CN" w:bidi="ar"/>
                    </w:rPr>
                    <w:t>检测时段</w:t>
                  </w:r>
                </w:p>
              </w:tc>
              <w:tc>
                <w:tcPr>
                  <w:tcW w:w="1545" w:type="dxa"/>
                  <w:vMerge w:val="restart"/>
                  <w:noWrap w:val="0"/>
                  <w:vAlign w:val="center"/>
                </w:tcPr>
                <w:p w14:paraId="3D32450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color w:val="000000"/>
                      <w:kern w:val="2"/>
                      <w:sz w:val="21"/>
                      <w:szCs w:val="21"/>
                      <w:highlight w:val="none"/>
                      <w:lang w:val="en-US" w:eastAsia="zh-CN" w:bidi="ar"/>
                    </w:rPr>
                    <w:t>单位</w:t>
                  </w:r>
                </w:p>
              </w:tc>
              <w:tc>
                <w:tcPr>
                  <w:tcW w:w="3922" w:type="dxa"/>
                  <w:gridSpan w:val="2"/>
                  <w:noWrap w:val="0"/>
                  <w:vAlign w:val="center"/>
                </w:tcPr>
                <w:p w14:paraId="74BE3342">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highlight w:val="none"/>
                      <w:lang w:val="en-US" w:eastAsia="zh-CN" w:bidi="ar"/>
                    </w:rPr>
                  </w:pPr>
                  <w:r>
                    <w:rPr>
                      <w:rFonts w:hint="eastAsia" w:ascii="Times New Roman" w:hAnsi="Times New Roman" w:eastAsia="宋体" w:cs="Times New Roman"/>
                      <w:b w:val="0"/>
                      <w:color w:val="000000"/>
                      <w:kern w:val="2"/>
                      <w:sz w:val="21"/>
                      <w:szCs w:val="21"/>
                      <w:highlight w:val="none"/>
                      <w:lang w:val="en-US" w:eastAsia="zh-CN" w:bidi="ar"/>
                    </w:rPr>
                    <w:t>检测数据</w:t>
                  </w:r>
                  <w:r>
                    <w:rPr>
                      <w:rFonts w:hint="eastAsia" w:ascii="Times New Roman" w:hAnsi="Times New Roman" w:eastAsia="宋体" w:cs="Times New Roman"/>
                      <w:b w:val="0"/>
                      <w:sz w:val="21"/>
                      <w:szCs w:val="21"/>
                      <w:lang w:val="en-US" w:eastAsia="zh-CN"/>
                    </w:rPr>
                    <w:t>（L</w:t>
                  </w:r>
                  <w:r>
                    <w:rPr>
                      <w:rFonts w:hint="eastAsia" w:ascii="Times New Roman" w:hAnsi="Times New Roman" w:eastAsia="宋体" w:cs="Times New Roman"/>
                      <w:b w:val="0"/>
                      <w:sz w:val="21"/>
                      <w:szCs w:val="21"/>
                      <w:vertAlign w:val="subscript"/>
                      <w:lang w:val="en-US" w:eastAsia="zh-CN"/>
                    </w:rPr>
                    <w:t>eq</w:t>
                  </w:r>
                  <w:r>
                    <w:rPr>
                      <w:rFonts w:hint="eastAsia" w:ascii="Times New Roman" w:hAnsi="Times New Roman" w:eastAsia="宋体" w:cs="Times New Roman"/>
                      <w:b w:val="0"/>
                      <w:sz w:val="21"/>
                      <w:szCs w:val="21"/>
                      <w:lang w:val="en-US" w:eastAsia="zh-CN"/>
                    </w:rPr>
                    <w:t>）</w:t>
                  </w:r>
                </w:p>
              </w:tc>
            </w:tr>
            <w:tr w14:paraId="0033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7" w:type="dxa"/>
                  <w:vMerge w:val="continue"/>
                  <w:noWrap w:val="0"/>
                  <w:vAlign w:val="center"/>
                </w:tcPr>
                <w:p w14:paraId="7DD42EDB">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000000"/>
                      <w:kern w:val="2"/>
                      <w:sz w:val="21"/>
                      <w:szCs w:val="21"/>
                      <w:highlight w:val="none"/>
                      <w:lang w:val="en-US" w:eastAsia="zh-CN" w:bidi="ar"/>
                    </w:rPr>
                  </w:pPr>
                </w:p>
              </w:tc>
              <w:tc>
                <w:tcPr>
                  <w:tcW w:w="1634" w:type="dxa"/>
                  <w:vMerge w:val="continue"/>
                  <w:noWrap w:val="0"/>
                  <w:vAlign w:val="center"/>
                </w:tcPr>
                <w:p w14:paraId="074858A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highlight w:val="none"/>
                      <w:lang w:val="en-US" w:eastAsia="zh-CN" w:bidi="ar"/>
                    </w:rPr>
                  </w:pPr>
                </w:p>
              </w:tc>
              <w:tc>
                <w:tcPr>
                  <w:tcW w:w="1545" w:type="dxa"/>
                  <w:vMerge w:val="continue"/>
                  <w:noWrap w:val="0"/>
                  <w:vAlign w:val="center"/>
                </w:tcPr>
                <w:p w14:paraId="4A3639A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highlight w:val="none"/>
                      <w:lang w:val="en-US" w:eastAsia="zh-CN" w:bidi="ar"/>
                    </w:rPr>
                  </w:pPr>
                </w:p>
              </w:tc>
              <w:tc>
                <w:tcPr>
                  <w:tcW w:w="1961" w:type="dxa"/>
                  <w:noWrap w:val="0"/>
                  <w:vAlign w:val="center"/>
                </w:tcPr>
                <w:p w14:paraId="1AE1B3D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kern w:val="2"/>
                      <w:sz w:val="21"/>
                      <w:szCs w:val="21"/>
                      <w:lang w:val="en-US" w:eastAsia="zh-CN" w:bidi="ar"/>
                    </w:rPr>
                  </w:pPr>
                  <w:r>
                    <w:rPr>
                      <w:rFonts w:hint="eastAsia" w:cs="Times New Roman"/>
                      <w:b w:val="0"/>
                      <w:kern w:val="2"/>
                      <w:sz w:val="21"/>
                      <w:szCs w:val="21"/>
                      <w:lang w:val="en-US" w:eastAsia="zh-CN" w:bidi="ar"/>
                    </w:rPr>
                    <w:t>2024.5.30</w:t>
                  </w:r>
                </w:p>
              </w:tc>
              <w:tc>
                <w:tcPr>
                  <w:tcW w:w="1961" w:type="dxa"/>
                  <w:noWrap w:val="0"/>
                  <w:vAlign w:val="center"/>
                </w:tcPr>
                <w:p w14:paraId="5027E83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kern w:val="2"/>
                      <w:sz w:val="21"/>
                      <w:szCs w:val="21"/>
                      <w:lang w:val="en-US" w:eastAsia="zh-CN" w:bidi="ar"/>
                    </w:rPr>
                    <w:t>2024.5.31</w:t>
                  </w:r>
                </w:p>
              </w:tc>
            </w:tr>
            <w:tr w14:paraId="49E78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7" w:type="dxa"/>
                  <w:noWrap w:val="0"/>
                  <w:vAlign w:val="center"/>
                </w:tcPr>
                <w:p w14:paraId="3010F1E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color w:val="auto"/>
                      <w:kern w:val="2"/>
                      <w:sz w:val="21"/>
                      <w:szCs w:val="21"/>
                      <w:highlight w:val="none"/>
                      <w:lang w:val="en-US" w:eastAsia="zh-CN" w:bidi="ar"/>
                    </w:rPr>
                    <w:t>Z1厂界北侧外1m</w:t>
                  </w:r>
                </w:p>
              </w:tc>
              <w:tc>
                <w:tcPr>
                  <w:tcW w:w="1634" w:type="dxa"/>
                  <w:vMerge w:val="restart"/>
                  <w:noWrap w:val="0"/>
                  <w:vAlign w:val="center"/>
                </w:tcPr>
                <w:p w14:paraId="2A38648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ascii="Times New Roman" w:hAnsi="Times New Roman" w:eastAsia="宋体" w:cs="Times New Roman"/>
                      <w:b w:val="0"/>
                      <w:color w:val="auto"/>
                      <w:kern w:val="2"/>
                      <w:sz w:val="21"/>
                      <w:szCs w:val="21"/>
                      <w:highlight w:val="none"/>
                      <w:lang w:val="en-US" w:eastAsia="zh-CN" w:bidi="ar"/>
                    </w:rPr>
                    <w:t>昼间</w:t>
                  </w:r>
                </w:p>
              </w:tc>
              <w:tc>
                <w:tcPr>
                  <w:tcW w:w="1545" w:type="dxa"/>
                  <w:vMerge w:val="restart"/>
                  <w:noWrap w:val="0"/>
                  <w:vAlign w:val="center"/>
                </w:tcPr>
                <w:p w14:paraId="1C780968">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auto"/>
                      <w:kern w:val="2"/>
                      <w:sz w:val="21"/>
                      <w:szCs w:val="21"/>
                      <w:highlight w:val="none"/>
                      <w:lang w:val="en-US" w:eastAsia="zh-CN" w:bidi="ar"/>
                    </w:rPr>
                  </w:pPr>
                  <w:r>
                    <w:rPr>
                      <w:rFonts w:hint="default" w:ascii="Times New Roman" w:hAnsi="Times New Roman" w:eastAsia="宋体" w:cs="Times New Roman"/>
                      <w:b w:val="0"/>
                      <w:bCs/>
                      <w:sz w:val="21"/>
                      <w:szCs w:val="21"/>
                      <w:lang w:val="en-US" w:eastAsia="zh-CN"/>
                    </w:rPr>
                    <w:t>dB</w:t>
                  </w:r>
                  <w:r>
                    <w:rPr>
                      <w:rFonts w:hint="eastAsia" w:ascii="Times New Roman" w:hAnsi="Times New Roman" w:eastAsia="宋体" w:cs="Times New Roman"/>
                      <w:b w:val="0"/>
                      <w:bCs/>
                      <w:sz w:val="21"/>
                      <w:szCs w:val="21"/>
                      <w:lang w:val="en-US" w:eastAsia="zh-CN"/>
                    </w:rPr>
                    <w:t>（</w:t>
                  </w:r>
                  <w:r>
                    <w:rPr>
                      <w:rFonts w:hint="default" w:ascii="Times New Roman" w:hAnsi="Times New Roman" w:eastAsia="宋体" w:cs="Times New Roman"/>
                      <w:b w:val="0"/>
                      <w:bCs/>
                      <w:sz w:val="21"/>
                      <w:szCs w:val="21"/>
                      <w:lang w:val="en-US" w:eastAsia="zh-CN"/>
                    </w:rPr>
                    <w:t>A</w:t>
                  </w:r>
                  <w:r>
                    <w:rPr>
                      <w:rFonts w:hint="eastAsia" w:ascii="Times New Roman" w:hAnsi="Times New Roman" w:eastAsia="宋体" w:cs="Times New Roman"/>
                      <w:b w:val="0"/>
                      <w:bCs/>
                      <w:sz w:val="21"/>
                      <w:szCs w:val="21"/>
                      <w:lang w:val="en-US" w:eastAsia="zh-CN"/>
                    </w:rPr>
                    <w:t>）</w:t>
                  </w:r>
                </w:p>
              </w:tc>
              <w:tc>
                <w:tcPr>
                  <w:tcW w:w="1961" w:type="dxa"/>
                  <w:noWrap w:val="0"/>
                  <w:vAlign w:val="center"/>
                </w:tcPr>
                <w:p w14:paraId="17CE211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color w:val="auto"/>
                      <w:kern w:val="2"/>
                      <w:sz w:val="21"/>
                      <w:szCs w:val="21"/>
                      <w:highlight w:val="none"/>
                      <w:lang w:val="en-US" w:eastAsia="zh-CN" w:bidi="ar"/>
                    </w:rPr>
                    <w:t>64.0</w:t>
                  </w:r>
                </w:p>
              </w:tc>
              <w:tc>
                <w:tcPr>
                  <w:tcW w:w="1961" w:type="dxa"/>
                  <w:noWrap w:val="0"/>
                  <w:vAlign w:val="center"/>
                </w:tcPr>
                <w:p w14:paraId="59A4DA4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color w:val="auto"/>
                      <w:kern w:val="2"/>
                      <w:sz w:val="21"/>
                      <w:szCs w:val="21"/>
                      <w:highlight w:val="none"/>
                      <w:lang w:val="en-US" w:eastAsia="zh-CN" w:bidi="ar"/>
                    </w:rPr>
                    <w:t>63.8</w:t>
                  </w:r>
                </w:p>
              </w:tc>
            </w:tr>
            <w:tr w14:paraId="14F6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7" w:type="dxa"/>
                  <w:noWrap w:val="0"/>
                  <w:vAlign w:val="center"/>
                </w:tcPr>
                <w:p w14:paraId="7698A5F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color w:val="auto"/>
                      <w:kern w:val="2"/>
                      <w:sz w:val="21"/>
                      <w:szCs w:val="21"/>
                      <w:highlight w:val="none"/>
                      <w:lang w:val="en-US" w:eastAsia="zh-CN" w:bidi="ar"/>
                    </w:rPr>
                    <w:t>Z2厂界西侧外1m</w:t>
                  </w:r>
                </w:p>
              </w:tc>
              <w:tc>
                <w:tcPr>
                  <w:tcW w:w="1634" w:type="dxa"/>
                  <w:vMerge w:val="continue"/>
                  <w:noWrap w:val="0"/>
                  <w:vAlign w:val="center"/>
                </w:tcPr>
                <w:p w14:paraId="32C96F90">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auto"/>
                      <w:kern w:val="2"/>
                      <w:sz w:val="21"/>
                      <w:szCs w:val="21"/>
                      <w:highlight w:val="none"/>
                      <w:lang w:val="en-US" w:eastAsia="zh-CN" w:bidi="ar"/>
                    </w:rPr>
                  </w:pPr>
                </w:p>
              </w:tc>
              <w:tc>
                <w:tcPr>
                  <w:tcW w:w="1545" w:type="dxa"/>
                  <w:vMerge w:val="continue"/>
                  <w:noWrap w:val="0"/>
                  <w:vAlign w:val="center"/>
                </w:tcPr>
                <w:p w14:paraId="7B65774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sz w:val="21"/>
                      <w:szCs w:val="21"/>
                      <w:lang w:val="en-US" w:eastAsia="zh-CN"/>
                    </w:rPr>
                  </w:pPr>
                </w:p>
              </w:tc>
              <w:tc>
                <w:tcPr>
                  <w:tcW w:w="1961" w:type="dxa"/>
                  <w:noWrap w:val="0"/>
                  <w:vAlign w:val="center"/>
                </w:tcPr>
                <w:p w14:paraId="2C6B515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color w:val="auto"/>
                      <w:kern w:val="2"/>
                      <w:sz w:val="21"/>
                      <w:szCs w:val="21"/>
                      <w:highlight w:val="none"/>
                      <w:lang w:val="en-US" w:eastAsia="zh-CN" w:bidi="ar"/>
                    </w:rPr>
                    <w:t>59.7</w:t>
                  </w:r>
                </w:p>
              </w:tc>
              <w:tc>
                <w:tcPr>
                  <w:tcW w:w="1961" w:type="dxa"/>
                  <w:noWrap w:val="0"/>
                  <w:vAlign w:val="center"/>
                </w:tcPr>
                <w:p w14:paraId="1609992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color w:val="auto"/>
                      <w:kern w:val="2"/>
                      <w:sz w:val="21"/>
                      <w:szCs w:val="21"/>
                      <w:highlight w:val="none"/>
                      <w:lang w:val="en-US" w:eastAsia="zh-CN" w:bidi="ar"/>
                    </w:rPr>
                    <w:t>60.6</w:t>
                  </w:r>
                </w:p>
              </w:tc>
            </w:tr>
            <w:tr w14:paraId="1421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7" w:type="dxa"/>
                  <w:noWrap w:val="0"/>
                  <w:vAlign w:val="center"/>
                </w:tcPr>
                <w:p w14:paraId="2F8DA21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color w:val="auto"/>
                      <w:kern w:val="2"/>
                      <w:sz w:val="21"/>
                      <w:szCs w:val="21"/>
                      <w:highlight w:val="none"/>
                      <w:lang w:val="en-US" w:eastAsia="zh-CN" w:bidi="ar"/>
                    </w:rPr>
                    <w:t>Z3厂界南侧外1m</w:t>
                  </w:r>
                </w:p>
              </w:tc>
              <w:tc>
                <w:tcPr>
                  <w:tcW w:w="1634" w:type="dxa"/>
                  <w:vMerge w:val="continue"/>
                  <w:noWrap w:val="0"/>
                  <w:vAlign w:val="center"/>
                </w:tcPr>
                <w:p w14:paraId="17987DA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 w:val="0"/>
                      <w:color w:val="auto"/>
                      <w:kern w:val="2"/>
                      <w:sz w:val="21"/>
                      <w:szCs w:val="21"/>
                      <w:highlight w:val="none"/>
                      <w:lang w:val="en-US" w:eastAsia="zh-CN" w:bidi="ar"/>
                    </w:rPr>
                  </w:pPr>
                </w:p>
              </w:tc>
              <w:tc>
                <w:tcPr>
                  <w:tcW w:w="1545" w:type="dxa"/>
                  <w:vMerge w:val="continue"/>
                  <w:noWrap w:val="0"/>
                  <w:vAlign w:val="center"/>
                </w:tcPr>
                <w:p w14:paraId="4295988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sz w:val="21"/>
                      <w:szCs w:val="21"/>
                      <w:lang w:val="en-US" w:eastAsia="zh-CN"/>
                    </w:rPr>
                  </w:pPr>
                </w:p>
              </w:tc>
              <w:tc>
                <w:tcPr>
                  <w:tcW w:w="1961" w:type="dxa"/>
                  <w:noWrap w:val="0"/>
                  <w:vAlign w:val="center"/>
                </w:tcPr>
                <w:p w14:paraId="77411C6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color w:val="auto"/>
                      <w:kern w:val="2"/>
                      <w:sz w:val="21"/>
                      <w:szCs w:val="21"/>
                      <w:highlight w:val="none"/>
                      <w:lang w:val="en-US" w:eastAsia="zh-CN" w:bidi="ar"/>
                    </w:rPr>
                    <w:t>61.7</w:t>
                  </w:r>
                </w:p>
              </w:tc>
              <w:tc>
                <w:tcPr>
                  <w:tcW w:w="1961" w:type="dxa"/>
                  <w:noWrap w:val="0"/>
                  <w:vAlign w:val="center"/>
                </w:tcPr>
                <w:p w14:paraId="327E9D8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color w:val="auto"/>
                      <w:kern w:val="2"/>
                      <w:sz w:val="21"/>
                      <w:szCs w:val="21"/>
                      <w:highlight w:val="none"/>
                      <w:lang w:val="en-US" w:eastAsia="zh-CN" w:bidi="ar"/>
                    </w:rPr>
                    <w:t>61.0</w:t>
                  </w:r>
                </w:p>
              </w:tc>
            </w:tr>
            <w:tr w14:paraId="7C5D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7" w:type="dxa"/>
                  <w:noWrap w:val="0"/>
                  <w:vAlign w:val="center"/>
                </w:tcPr>
                <w:p w14:paraId="1A34953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000000"/>
                      <w:kern w:val="2"/>
                      <w:sz w:val="21"/>
                      <w:szCs w:val="21"/>
                      <w:highlight w:val="none"/>
                      <w:lang w:val="en-US" w:eastAsia="zh-CN" w:bidi="ar"/>
                    </w:rPr>
                  </w:pPr>
                  <w:r>
                    <w:rPr>
                      <w:rFonts w:hint="eastAsia" w:cs="Times New Roman"/>
                      <w:b w:val="0"/>
                      <w:color w:val="auto"/>
                      <w:kern w:val="2"/>
                      <w:sz w:val="21"/>
                      <w:szCs w:val="21"/>
                      <w:highlight w:val="none"/>
                      <w:lang w:val="en-US" w:eastAsia="zh-CN" w:bidi="ar"/>
                    </w:rPr>
                    <w:t>Z4厂界东侧外1m</w:t>
                  </w:r>
                </w:p>
              </w:tc>
              <w:tc>
                <w:tcPr>
                  <w:tcW w:w="1634" w:type="dxa"/>
                  <w:vMerge w:val="continue"/>
                  <w:noWrap w:val="0"/>
                  <w:vAlign w:val="center"/>
                </w:tcPr>
                <w:p w14:paraId="5EF2223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p>
              </w:tc>
              <w:tc>
                <w:tcPr>
                  <w:tcW w:w="1545" w:type="dxa"/>
                  <w:vMerge w:val="continue"/>
                  <w:noWrap w:val="0"/>
                  <w:vAlign w:val="center"/>
                </w:tcPr>
                <w:p w14:paraId="3C8892A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p>
              </w:tc>
              <w:tc>
                <w:tcPr>
                  <w:tcW w:w="1961" w:type="dxa"/>
                  <w:noWrap w:val="0"/>
                  <w:vAlign w:val="center"/>
                </w:tcPr>
                <w:p w14:paraId="44C0BD4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color w:val="auto"/>
                      <w:kern w:val="2"/>
                      <w:sz w:val="21"/>
                      <w:szCs w:val="21"/>
                      <w:highlight w:val="none"/>
                      <w:lang w:val="en-US" w:eastAsia="zh-CN" w:bidi="ar"/>
                    </w:rPr>
                    <w:t>63.3</w:t>
                  </w:r>
                </w:p>
              </w:tc>
              <w:tc>
                <w:tcPr>
                  <w:tcW w:w="1961" w:type="dxa"/>
                  <w:noWrap w:val="0"/>
                  <w:vAlign w:val="center"/>
                </w:tcPr>
                <w:p w14:paraId="5AAF857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color w:val="auto"/>
                      <w:kern w:val="2"/>
                      <w:sz w:val="21"/>
                      <w:szCs w:val="21"/>
                      <w:highlight w:val="none"/>
                      <w:lang w:val="en-US" w:eastAsia="zh-CN" w:bidi="ar"/>
                    </w:rPr>
                    <w:t>64.2</w:t>
                  </w:r>
                </w:p>
              </w:tc>
            </w:tr>
          </w:tbl>
          <w:p w14:paraId="6153DA3A">
            <w:pPr>
              <w:ind w:firstLine="480" w:firstLineChars="200"/>
            </w:pPr>
            <w:r>
              <w:rPr>
                <w:rFonts w:hint="eastAsia"/>
              </w:rPr>
              <w:t>在验收监测期间，满足工况的条件下，项目昼间噪声监测结果为</w:t>
            </w:r>
            <w:r>
              <w:rPr>
                <w:rFonts w:hint="eastAsia"/>
                <w:lang w:val="en-US" w:eastAsia="zh-CN"/>
              </w:rPr>
              <w:t>60.6~64.2</w:t>
            </w:r>
            <w:r>
              <w:t>dB（A）</w:t>
            </w:r>
            <w:r>
              <w:rPr>
                <w:rFonts w:hint="eastAsia"/>
              </w:rPr>
              <w:t>，可达到《工业企业厂界环境噪声排放标准》(GB12348-2008)中的</w:t>
            </w:r>
            <w:r>
              <w:rPr>
                <w:rFonts w:hint="eastAsia"/>
                <w:lang w:val="en-US" w:eastAsia="zh-CN"/>
              </w:rPr>
              <w:t>3</w:t>
            </w:r>
            <w:r>
              <w:rPr>
                <w:rFonts w:hint="eastAsia"/>
              </w:rPr>
              <w:t>类标准限值。</w:t>
            </w:r>
          </w:p>
        </w:tc>
      </w:tr>
      <w:tr w14:paraId="4296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29" w:hRule="atLeast"/>
          <w:jc w:val="center"/>
        </w:trPr>
        <w:tc>
          <w:tcPr>
            <w:tcW w:w="9638" w:type="dxa"/>
          </w:tcPr>
          <w:p w14:paraId="0235D5CE">
            <w:pPr>
              <w:spacing w:before="48" w:beforeLines="20"/>
              <w:ind w:firstLine="480"/>
              <w:rPr>
                <w:b/>
                <w:bCs/>
              </w:rPr>
            </w:pPr>
            <w:r>
              <w:rPr>
                <w:b/>
                <w:bCs/>
              </w:rPr>
              <w:t>（</w:t>
            </w:r>
            <w:r>
              <w:rPr>
                <w:rFonts w:hint="eastAsia"/>
                <w:b/>
                <w:bCs/>
                <w:lang w:val="en-US" w:eastAsia="zh-CN"/>
              </w:rPr>
              <w:t>3</w:t>
            </w:r>
            <w:r>
              <w:rPr>
                <w:b/>
                <w:bCs/>
              </w:rPr>
              <w:t>）</w:t>
            </w:r>
            <w:r>
              <w:rPr>
                <w:rFonts w:hint="eastAsia"/>
                <w:b/>
                <w:bCs/>
                <w:lang w:val="en-US" w:eastAsia="zh-CN"/>
              </w:rPr>
              <w:t>废水</w:t>
            </w:r>
            <w:r>
              <w:rPr>
                <w:b/>
                <w:bCs/>
              </w:rPr>
              <w:t>监测结果</w:t>
            </w:r>
          </w:p>
          <w:tbl>
            <w:tblPr>
              <w:tblStyle w:val="21"/>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16"/>
              <w:gridCol w:w="945"/>
              <w:gridCol w:w="1770"/>
              <w:gridCol w:w="705"/>
              <w:gridCol w:w="1006"/>
              <w:gridCol w:w="1006"/>
              <w:gridCol w:w="1006"/>
              <w:gridCol w:w="1006"/>
              <w:gridCol w:w="1008"/>
            </w:tblGrid>
            <w:tr w14:paraId="2790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restart"/>
                  <w:noWrap w:val="0"/>
                  <w:vAlign w:val="center"/>
                </w:tcPr>
                <w:p w14:paraId="494666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sz w:val="21"/>
                      <w:szCs w:val="21"/>
                      <w:highlight w:val="none"/>
                      <w:vertAlign w:val="baseline"/>
                      <w:lang w:val="en-US" w:eastAsia="zh-CN"/>
                    </w:rPr>
                  </w:pPr>
                  <w:r>
                    <w:rPr>
                      <w:rFonts w:hint="eastAsia" w:ascii="Times New Roman" w:hAnsi="Times New Roman" w:cs="Times New Roman"/>
                      <w:b w:val="0"/>
                      <w:spacing w:val="-6"/>
                      <w:sz w:val="21"/>
                      <w:szCs w:val="21"/>
                      <w:lang w:val="en-US" w:eastAsia="zh-CN"/>
                    </w:rPr>
                    <w:t>采样日期</w:t>
                  </w:r>
                </w:p>
              </w:tc>
              <w:tc>
                <w:tcPr>
                  <w:tcW w:w="945" w:type="dxa"/>
                  <w:vMerge w:val="restart"/>
                  <w:noWrap w:val="0"/>
                  <w:vAlign w:val="center"/>
                </w:tcPr>
                <w:p w14:paraId="31C165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sz w:val="21"/>
                      <w:szCs w:val="21"/>
                      <w:highlight w:val="none"/>
                      <w:vertAlign w:val="baseline"/>
                      <w:lang w:val="en-US" w:eastAsia="zh-CN"/>
                    </w:rPr>
                  </w:pPr>
                  <w:r>
                    <w:rPr>
                      <w:rFonts w:hint="eastAsia" w:ascii="Times New Roman" w:hAnsi="Times New Roman" w:cs="Times New Roman"/>
                      <w:b w:val="0"/>
                      <w:spacing w:val="-6"/>
                      <w:sz w:val="21"/>
                      <w:szCs w:val="21"/>
                      <w:lang w:eastAsia="zh-CN"/>
                    </w:rPr>
                    <w:t>采样点位</w:t>
                  </w:r>
                </w:p>
              </w:tc>
              <w:tc>
                <w:tcPr>
                  <w:tcW w:w="1770" w:type="dxa"/>
                  <w:vMerge w:val="restart"/>
                  <w:noWrap w:val="0"/>
                  <w:vAlign w:val="center"/>
                </w:tcPr>
                <w:p w14:paraId="113376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检测项目</w:t>
                  </w:r>
                </w:p>
              </w:tc>
              <w:tc>
                <w:tcPr>
                  <w:tcW w:w="705" w:type="dxa"/>
                  <w:vMerge w:val="restart"/>
                  <w:noWrap w:val="0"/>
                  <w:vAlign w:val="center"/>
                </w:tcPr>
                <w:p w14:paraId="463940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单位</w:t>
                  </w:r>
                </w:p>
              </w:tc>
              <w:tc>
                <w:tcPr>
                  <w:tcW w:w="5032" w:type="dxa"/>
                  <w:gridSpan w:val="5"/>
                  <w:noWrap w:val="0"/>
                  <w:vAlign w:val="center"/>
                </w:tcPr>
                <w:p w14:paraId="754F9A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cs="Times New Roman"/>
                      <w:b w:val="0"/>
                      <w:spacing w:val="-6"/>
                      <w:sz w:val="21"/>
                      <w:szCs w:val="21"/>
                    </w:rPr>
                  </w:pPr>
                  <w:r>
                    <w:rPr>
                      <w:rFonts w:hint="eastAsia" w:ascii="Times New Roman" w:hAnsi="Times New Roman" w:cs="Times New Roman"/>
                      <w:b w:val="0"/>
                      <w:spacing w:val="-6"/>
                      <w:sz w:val="21"/>
                      <w:szCs w:val="21"/>
                    </w:rPr>
                    <w:t>检测</w:t>
                  </w:r>
                  <w:r>
                    <w:rPr>
                      <w:rFonts w:hint="eastAsia" w:ascii="Times New Roman" w:hAnsi="Times New Roman" w:cs="Times New Roman"/>
                      <w:b w:val="0"/>
                      <w:spacing w:val="-6"/>
                      <w:sz w:val="21"/>
                      <w:szCs w:val="21"/>
                      <w:lang w:val="en-US" w:eastAsia="zh-CN"/>
                    </w:rPr>
                    <w:t>数据</w:t>
                  </w:r>
                </w:p>
              </w:tc>
            </w:tr>
            <w:tr w14:paraId="26A6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0FDE48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bCs/>
                      <w:sz w:val="21"/>
                      <w:szCs w:val="21"/>
                      <w:highlight w:val="none"/>
                      <w:vertAlign w:val="baseline"/>
                      <w:lang w:val="en-US" w:eastAsia="zh-CN"/>
                    </w:rPr>
                  </w:pPr>
                </w:p>
              </w:tc>
              <w:tc>
                <w:tcPr>
                  <w:tcW w:w="945" w:type="dxa"/>
                  <w:vMerge w:val="continue"/>
                  <w:noWrap w:val="0"/>
                  <w:vAlign w:val="center"/>
                </w:tcPr>
                <w:p w14:paraId="1C50F3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bCs/>
                      <w:sz w:val="21"/>
                      <w:szCs w:val="21"/>
                      <w:highlight w:val="none"/>
                      <w:vertAlign w:val="baseline"/>
                      <w:lang w:val="en-US" w:eastAsia="zh-CN"/>
                    </w:rPr>
                  </w:pPr>
                </w:p>
              </w:tc>
              <w:tc>
                <w:tcPr>
                  <w:tcW w:w="1770" w:type="dxa"/>
                  <w:vMerge w:val="continue"/>
                  <w:noWrap w:val="0"/>
                  <w:vAlign w:val="center"/>
                </w:tcPr>
                <w:p w14:paraId="17EBC5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p>
              </w:tc>
              <w:tc>
                <w:tcPr>
                  <w:tcW w:w="705" w:type="dxa"/>
                  <w:vMerge w:val="continue"/>
                  <w:noWrap w:val="0"/>
                  <w:vAlign w:val="center"/>
                </w:tcPr>
                <w:p w14:paraId="40FD81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bCs/>
                      <w:sz w:val="21"/>
                      <w:szCs w:val="21"/>
                      <w:highlight w:val="none"/>
                      <w:vertAlign w:val="baseline"/>
                      <w:lang w:val="en-US" w:eastAsia="zh-CN"/>
                    </w:rPr>
                  </w:pPr>
                </w:p>
              </w:tc>
              <w:tc>
                <w:tcPr>
                  <w:tcW w:w="1006" w:type="dxa"/>
                  <w:noWrap w:val="0"/>
                  <w:vAlign w:val="center"/>
                </w:tcPr>
                <w:p w14:paraId="04A8DA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1</w:t>
                  </w:r>
                </w:p>
              </w:tc>
              <w:tc>
                <w:tcPr>
                  <w:tcW w:w="1006" w:type="dxa"/>
                  <w:noWrap w:val="0"/>
                  <w:vAlign w:val="center"/>
                </w:tcPr>
                <w:p w14:paraId="5226D6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2</w:t>
                  </w:r>
                </w:p>
              </w:tc>
              <w:tc>
                <w:tcPr>
                  <w:tcW w:w="1006" w:type="dxa"/>
                  <w:noWrap w:val="0"/>
                  <w:vAlign w:val="center"/>
                </w:tcPr>
                <w:p w14:paraId="641F9B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3</w:t>
                  </w:r>
                </w:p>
              </w:tc>
              <w:tc>
                <w:tcPr>
                  <w:tcW w:w="1006" w:type="dxa"/>
                  <w:noWrap w:val="0"/>
                  <w:vAlign w:val="center"/>
                </w:tcPr>
                <w:p w14:paraId="116225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4</w:t>
                  </w:r>
                </w:p>
              </w:tc>
              <w:tc>
                <w:tcPr>
                  <w:tcW w:w="1008" w:type="dxa"/>
                  <w:noWrap w:val="0"/>
                  <w:vAlign w:val="center"/>
                </w:tcPr>
                <w:p w14:paraId="132488A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均值/范围</w:t>
                  </w:r>
                </w:p>
              </w:tc>
            </w:tr>
            <w:tr w14:paraId="503D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restart"/>
                  <w:noWrap w:val="0"/>
                  <w:vAlign w:val="center"/>
                </w:tcPr>
                <w:p w14:paraId="41405C7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bCs/>
                      <w:sz w:val="21"/>
                      <w:szCs w:val="21"/>
                      <w:highlight w:val="none"/>
                      <w:lang w:val="en-US" w:eastAsia="zh-CN"/>
                    </w:rPr>
                    <w:t>2024.5.30</w:t>
                  </w:r>
                </w:p>
              </w:tc>
              <w:tc>
                <w:tcPr>
                  <w:tcW w:w="945" w:type="dxa"/>
                  <w:vMerge w:val="restart"/>
                  <w:noWrap w:val="0"/>
                  <w:vAlign w:val="center"/>
                </w:tcPr>
                <w:p w14:paraId="7C1DD754">
                  <w:pPr>
                    <w:keepNext w:val="0"/>
                    <w:keepLines w:val="0"/>
                    <w:suppressLineNumbers w:val="0"/>
                    <w:spacing w:before="0" w:beforeAutospacing="0" w:after="0" w:afterAutospacing="0"/>
                    <w:ind w:left="0" w:leftChars="0" w:right="0" w:rightChars="0"/>
                    <w:jc w:val="center"/>
                    <w:rPr>
                      <w:rFonts w:hint="default"/>
                      <w:lang w:val="en-US" w:eastAsia="zh-CN"/>
                    </w:rPr>
                  </w:pPr>
                  <w:r>
                    <w:rPr>
                      <w:rFonts w:hint="eastAsia" w:cs="Times New Roman"/>
                      <w:b w:val="0"/>
                      <w:bCs/>
                      <w:sz w:val="21"/>
                      <w:szCs w:val="21"/>
                      <w:highlight w:val="none"/>
                      <w:lang w:val="en-US" w:eastAsia="zh-CN"/>
                    </w:rPr>
                    <w:t>S1生活污水</w:t>
                  </w:r>
                  <w:r>
                    <w:rPr>
                      <w:rFonts w:hint="eastAsia" w:cs="Times New Roman"/>
                      <w:b w:val="0"/>
                      <w:bCs/>
                      <w:sz w:val="21"/>
                      <w:szCs w:val="21"/>
                      <w:highlight w:val="none"/>
                      <w:lang w:eastAsia="zh-CN"/>
                    </w:rPr>
                    <w:t>总排口</w:t>
                  </w:r>
                </w:p>
              </w:tc>
              <w:tc>
                <w:tcPr>
                  <w:tcW w:w="1770" w:type="dxa"/>
                  <w:noWrap w:val="0"/>
                  <w:vAlign w:val="center"/>
                </w:tcPr>
                <w:p w14:paraId="163FE56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color w:val="000000"/>
                      <w:sz w:val="21"/>
                      <w:szCs w:val="21"/>
                    </w:rPr>
                    <w:t>pH</w:t>
                  </w:r>
                </w:p>
              </w:tc>
              <w:tc>
                <w:tcPr>
                  <w:tcW w:w="705" w:type="dxa"/>
                  <w:noWrap w:val="0"/>
                  <w:vAlign w:val="center"/>
                </w:tcPr>
                <w:p w14:paraId="4911B2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无量纲</w:t>
                  </w:r>
                </w:p>
              </w:tc>
              <w:tc>
                <w:tcPr>
                  <w:tcW w:w="1006" w:type="dxa"/>
                  <w:noWrap w:val="0"/>
                  <w:vAlign w:val="center"/>
                </w:tcPr>
                <w:p w14:paraId="729B37B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8.0</w:t>
                  </w:r>
                </w:p>
              </w:tc>
              <w:tc>
                <w:tcPr>
                  <w:tcW w:w="1006" w:type="dxa"/>
                  <w:noWrap w:val="0"/>
                  <w:vAlign w:val="center"/>
                </w:tcPr>
                <w:p w14:paraId="148F280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7.8</w:t>
                  </w:r>
                </w:p>
              </w:tc>
              <w:tc>
                <w:tcPr>
                  <w:tcW w:w="1006" w:type="dxa"/>
                  <w:noWrap w:val="0"/>
                  <w:vAlign w:val="center"/>
                </w:tcPr>
                <w:p w14:paraId="7E65A01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7.7</w:t>
                  </w:r>
                </w:p>
              </w:tc>
              <w:tc>
                <w:tcPr>
                  <w:tcW w:w="1006" w:type="dxa"/>
                  <w:noWrap w:val="0"/>
                  <w:vAlign w:val="center"/>
                </w:tcPr>
                <w:p w14:paraId="0112B10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7.6</w:t>
                  </w:r>
                </w:p>
              </w:tc>
              <w:tc>
                <w:tcPr>
                  <w:tcW w:w="1008" w:type="dxa"/>
                  <w:noWrap w:val="0"/>
                  <w:vAlign w:val="center"/>
                </w:tcPr>
                <w:p w14:paraId="5E6C602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7.6~8.0</w:t>
                  </w:r>
                </w:p>
              </w:tc>
            </w:tr>
            <w:tr w14:paraId="0F40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0D4E5B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auto"/>
                      <w:spacing w:val="-6"/>
                      <w:sz w:val="21"/>
                      <w:szCs w:val="21"/>
                      <w:lang w:val="en-US" w:eastAsia="zh-CN"/>
                    </w:rPr>
                  </w:pPr>
                </w:p>
              </w:tc>
              <w:tc>
                <w:tcPr>
                  <w:tcW w:w="945" w:type="dxa"/>
                  <w:vMerge w:val="continue"/>
                  <w:noWrap w:val="0"/>
                  <w:vAlign w:val="center"/>
                </w:tcPr>
                <w:p w14:paraId="58AF594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color w:val="000000"/>
                      <w:spacing w:val="-6"/>
                      <w:sz w:val="21"/>
                      <w:szCs w:val="21"/>
                      <w:lang w:val="en-US" w:eastAsia="zh-CN"/>
                    </w:rPr>
                  </w:pPr>
                </w:p>
              </w:tc>
              <w:tc>
                <w:tcPr>
                  <w:tcW w:w="1770" w:type="dxa"/>
                  <w:noWrap w:val="0"/>
                  <w:vAlign w:val="center"/>
                </w:tcPr>
                <w:p w14:paraId="1B5F81B3">
                  <w:pPr>
                    <w:keepNext w:val="0"/>
                    <w:keepLines w:val="0"/>
                    <w:suppressLineNumbers w:val="0"/>
                    <w:spacing w:before="0" w:beforeAutospacing="0" w:after="0" w:afterAutospacing="0"/>
                    <w:ind w:left="0" w:right="0"/>
                    <w:jc w:val="center"/>
                    <w:rPr>
                      <w:rFonts w:hint="default" w:ascii="Times New Roman" w:hAnsi="Times New Roman" w:cs="Times New Roman"/>
                      <w:b w:val="0"/>
                      <w:spacing w:val="-6"/>
                      <w:kern w:val="2"/>
                      <w:sz w:val="21"/>
                      <w:szCs w:val="21"/>
                      <w:lang w:val="en-US" w:eastAsia="zh-CN" w:bidi="ar"/>
                    </w:rPr>
                  </w:pPr>
                  <w:r>
                    <w:rPr>
                      <w:rFonts w:hint="eastAsia" w:ascii="Times New Roman" w:hAnsi="Times New Roman" w:eastAsia="宋体" w:cs="Times New Roman"/>
                      <w:b w:val="0"/>
                      <w:color w:val="000000"/>
                      <w:kern w:val="2"/>
                      <w:sz w:val="21"/>
                      <w:szCs w:val="21"/>
                      <w:highlight w:val="none"/>
                      <w:lang w:val="en-US" w:eastAsia="zh-CN"/>
                    </w:rPr>
                    <w:t>悬浮物</w:t>
                  </w:r>
                </w:p>
              </w:tc>
              <w:tc>
                <w:tcPr>
                  <w:tcW w:w="705" w:type="dxa"/>
                  <w:noWrap w:val="0"/>
                  <w:vAlign w:val="center"/>
                </w:tcPr>
                <w:p w14:paraId="5C2AC9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7B471D0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57</w:t>
                  </w:r>
                </w:p>
              </w:tc>
              <w:tc>
                <w:tcPr>
                  <w:tcW w:w="1006" w:type="dxa"/>
                  <w:noWrap w:val="0"/>
                  <w:vAlign w:val="center"/>
                </w:tcPr>
                <w:p w14:paraId="2419B9D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63</w:t>
                  </w:r>
                </w:p>
              </w:tc>
              <w:tc>
                <w:tcPr>
                  <w:tcW w:w="1006" w:type="dxa"/>
                  <w:noWrap w:val="0"/>
                  <w:vAlign w:val="center"/>
                </w:tcPr>
                <w:p w14:paraId="4A4959B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59</w:t>
                  </w:r>
                </w:p>
              </w:tc>
              <w:tc>
                <w:tcPr>
                  <w:tcW w:w="1006" w:type="dxa"/>
                  <w:noWrap w:val="0"/>
                  <w:vAlign w:val="center"/>
                </w:tcPr>
                <w:p w14:paraId="70BE5C2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55</w:t>
                  </w:r>
                </w:p>
              </w:tc>
              <w:tc>
                <w:tcPr>
                  <w:tcW w:w="1008" w:type="dxa"/>
                  <w:noWrap w:val="0"/>
                  <w:vAlign w:val="center"/>
                </w:tcPr>
                <w:p w14:paraId="426FEA0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58</w:t>
                  </w:r>
                </w:p>
              </w:tc>
            </w:tr>
            <w:tr w14:paraId="272B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5D7BF0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auto"/>
                      <w:spacing w:val="-6"/>
                      <w:sz w:val="21"/>
                      <w:szCs w:val="21"/>
                      <w:lang w:val="en-US" w:eastAsia="zh-CN"/>
                    </w:rPr>
                  </w:pPr>
                </w:p>
              </w:tc>
              <w:tc>
                <w:tcPr>
                  <w:tcW w:w="945" w:type="dxa"/>
                  <w:vMerge w:val="continue"/>
                  <w:noWrap w:val="0"/>
                  <w:vAlign w:val="center"/>
                </w:tcPr>
                <w:p w14:paraId="1034B4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color w:val="000000"/>
                      <w:spacing w:val="-6"/>
                      <w:sz w:val="21"/>
                      <w:szCs w:val="21"/>
                      <w:lang w:val="en-US" w:eastAsia="zh-CN"/>
                    </w:rPr>
                  </w:pPr>
                </w:p>
              </w:tc>
              <w:tc>
                <w:tcPr>
                  <w:tcW w:w="1770" w:type="dxa"/>
                  <w:noWrap w:val="0"/>
                  <w:vAlign w:val="center"/>
                </w:tcPr>
                <w:p w14:paraId="24B0DA7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氨氮</w:t>
                  </w:r>
                </w:p>
              </w:tc>
              <w:tc>
                <w:tcPr>
                  <w:tcW w:w="705" w:type="dxa"/>
                  <w:noWrap w:val="0"/>
                  <w:vAlign w:val="center"/>
                </w:tcPr>
                <w:p w14:paraId="0AAFB3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3BEF13A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40.3</w:t>
                  </w:r>
                </w:p>
              </w:tc>
              <w:tc>
                <w:tcPr>
                  <w:tcW w:w="1006" w:type="dxa"/>
                  <w:noWrap w:val="0"/>
                  <w:vAlign w:val="center"/>
                </w:tcPr>
                <w:p w14:paraId="3510FF0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38.6</w:t>
                  </w:r>
                </w:p>
              </w:tc>
              <w:tc>
                <w:tcPr>
                  <w:tcW w:w="1006" w:type="dxa"/>
                  <w:noWrap w:val="0"/>
                  <w:vAlign w:val="center"/>
                </w:tcPr>
                <w:p w14:paraId="6E17A67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39.1</w:t>
                  </w:r>
                </w:p>
              </w:tc>
              <w:tc>
                <w:tcPr>
                  <w:tcW w:w="1006" w:type="dxa"/>
                  <w:noWrap w:val="0"/>
                  <w:vAlign w:val="center"/>
                </w:tcPr>
                <w:p w14:paraId="1FF28B9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40.8</w:t>
                  </w:r>
                </w:p>
              </w:tc>
              <w:tc>
                <w:tcPr>
                  <w:tcW w:w="1008" w:type="dxa"/>
                  <w:noWrap w:val="0"/>
                  <w:vAlign w:val="center"/>
                </w:tcPr>
                <w:p w14:paraId="0B0DFDF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39.7</w:t>
                  </w:r>
                </w:p>
              </w:tc>
            </w:tr>
            <w:tr w14:paraId="4768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4223F62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auto"/>
                      <w:spacing w:val="-6"/>
                      <w:sz w:val="21"/>
                      <w:szCs w:val="21"/>
                      <w:lang w:val="en-US" w:eastAsia="zh-CN"/>
                    </w:rPr>
                  </w:pPr>
                </w:p>
              </w:tc>
              <w:tc>
                <w:tcPr>
                  <w:tcW w:w="945" w:type="dxa"/>
                  <w:vMerge w:val="continue"/>
                  <w:noWrap w:val="0"/>
                  <w:vAlign w:val="center"/>
                </w:tcPr>
                <w:p w14:paraId="79DDCD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color w:val="000000"/>
                      <w:spacing w:val="-6"/>
                      <w:sz w:val="21"/>
                      <w:szCs w:val="21"/>
                      <w:lang w:val="en-US" w:eastAsia="zh-CN"/>
                    </w:rPr>
                  </w:pPr>
                </w:p>
              </w:tc>
              <w:tc>
                <w:tcPr>
                  <w:tcW w:w="1770" w:type="dxa"/>
                  <w:noWrap w:val="0"/>
                  <w:vAlign w:val="center"/>
                </w:tcPr>
                <w:p w14:paraId="72DBF8D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sz w:val="21"/>
                      <w:szCs w:val="21"/>
                      <w:lang w:eastAsia="zh-CN"/>
                    </w:rPr>
                    <w:t>化学需氧量</w:t>
                  </w:r>
                </w:p>
              </w:tc>
              <w:tc>
                <w:tcPr>
                  <w:tcW w:w="705" w:type="dxa"/>
                  <w:noWrap w:val="0"/>
                  <w:vAlign w:val="center"/>
                </w:tcPr>
                <w:p w14:paraId="54CD530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071D4C1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271</w:t>
                  </w:r>
                </w:p>
              </w:tc>
              <w:tc>
                <w:tcPr>
                  <w:tcW w:w="1006" w:type="dxa"/>
                  <w:noWrap w:val="0"/>
                  <w:vAlign w:val="center"/>
                </w:tcPr>
                <w:p w14:paraId="6B7D86E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201</w:t>
                  </w:r>
                </w:p>
              </w:tc>
              <w:tc>
                <w:tcPr>
                  <w:tcW w:w="1006" w:type="dxa"/>
                  <w:noWrap w:val="0"/>
                  <w:vAlign w:val="center"/>
                </w:tcPr>
                <w:p w14:paraId="5745209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173</w:t>
                  </w:r>
                </w:p>
              </w:tc>
              <w:tc>
                <w:tcPr>
                  <w:tcW w:w="1006" w:type="dxa"/>
                  <w:noWrap w:val="0"/>
                  <w:vAlign w:val="center"/>
                </w:tcPr>
                <w:p w14:paraId="036F64B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230</w:t>
                  </w:r>
                </w:p>
              </w:tc>
              <w:tc>
                <w:tcPr>
                  <w:tcW w:w="1008" w:type="dxa"/>
                  <w:noWrap w:val="0"/>
                  <w:vAlign w:val="center"/>
                </w:tcPr>
                <w:p w14:paraId="0C2064B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219</w:t>
                  </w:r>
                </w:p>
              </w:tc>
            </w:tr>
            <w:tr w14:paraId="2B3F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5CD55A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auto"/>
                      <w:spacing w:val="-6"/>
                      <w:sz w:val="21"/>
                      <w:szCs w:val="21"/>
                      <w:lang w:val="en-US" w:eastAsia="zh-CN"/>
                    </w:rPr>
                  </w:pPr>
                </w:p>
              </w:tc>
              <w:tc>
                <w:tcPr>
                  <w:tcW w:w="945" w:type="dxa"/>
                  <w:vMerge w:val="continue"/>
                  <w:noWrap w:val="0"/>
                  <w:vAlign w:val="center"/>
                </w:tcPr>
                <w:p w14:paraId="0D1B73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color w:val="000000"/>
                      <w:spacing w:val="-6"/>
                      <w:sz w:val="21"/>
                      <w:szCs w:val="21"/>
                      <w:lang w:val="en-US" w:eastAsia="zh-CN"/>
                    </w:rPr>
                  </w:pPr>
                </w:p>
              </w:tc>
              <w:tc>
                <w:tcPr>
                  <w:tcW w:w="1770" w:type="dxa"/>
                  <w:noWrap w:val="0"/>
                  <w:vAlign w:val="center"/>
                </w:tcPr>
                <w:p w14:paraId="4B8AA6E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spacing w:val="-6"/>
                      <w:sz w:val="21"/>
                      <w:szCs w:val="21"/>
                      <w:lang w:val="en-US" w:eastAsia="zh-CN"/>
                    </w:rPr>
                    <w:t>五日生化需氧量</w:t>
                  </w:r>
                </w:p>
              </w:tc>
              <w:tc>
                <w:tcPr>
                  <w:tcW w:w="705" w:type="dxa"/>
                  <w:noWrap w:val="0"/>
                  <w:vAlign w:val="center"/>
                </w:tcPr>
                <w:p w14:paraId="7015DB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3497C54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122</w:t>
                  </w:r>
                </w:p>
              </w:tc>
              <w:tc>
                <w:tcPr>
                  <w:tcW w:w="1006" w:type="dxa"/>
                  <w:noWrap w:val="0"/>
                  <w:vAlign w:val="center"/>
                </w:tcPr>
                <w:p w14:paraId="1554156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90.6</w:t>
                  </w:r>
                </w:p>
              </w:tc>
              <w:tc>
                <w:tcPr>
                  <w:tcW w:w="1006" w:type="dxa"/>
                  <w:noWrap w:val="0"/>
                  <w:vAlign w:val="center"/>
                </w:tcPr>
                <w:p w14:paraId="519E81F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82.6</w:t>
                  </w:r>
                </w:p>
              </w:tc>
              <w:tc>
                <w:tcPr>
                  <w:tcW w:w="1006" w:type="dxa"/>
                  <w:noWrap w:val="0"/>
                  <w:vAlign w:val="center"/>
                </w:tcPr>
                <w:p w14:paraId="2618CEF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108</w:t>
                  </w:r>
                </w:p>
              </w:tc>
              <w:tc>
                <w:tcPr>
                  <w:tcW w:w="1008" w:type="dxa"/>
                  <w:noWrap w:val="0"/>
                  <w:vAlign w:val="center"/>
                </w:tcPr>
                <w:p w14:paraId="7E74564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101</w:t>
                  </w:r>
                </w:p>
              </w:tc>
            </w:tr>
            <w:tr w14:paraId="29AE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0C4601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
                    </w:rPr>
                  </w:pPr>
                </w:p>
              </w:tc>
              <w:tc>
                <w:tcPr>
                  <w:tcW w:w="945" w:type="dxa"/>
                  <w:vMerge w:val="restart"/>
                  <w:noWrap w:val="0"/>
                  <w:vAlign w:val="center"/>
                </w:tcPr>
                <w:p w14:paraId="0F0AC34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color w:val="000000"/>
                      <w:spacing w:val="-6"/>
                      <w:sz w:val="21"/>
                      <w:szCs w:val="21"/>
                      <w:lang w:val="en-US" w:eastAsia="zh-CN"/>
                    </w:rPr>
                  </w:pPr>
                  <w:r>
                    <w:rPr>
                      <w:rFonts w:hint="eastAsia" w:cs="Times New Roman"/>
                      <w:b w:val="0"/>
                      <w:bCs/>
                      <w:sz w:val="21"/>
                      <w:szCs w:val="21"/>
                      <w:highlight w:val="none"/>
                      <w:lang w:val="en-US" w:eastAsia="zh-CN"/>
                    </w:rPr>
                    <w:t>S2生产废水排放口</w:t>
                  </w:r>
                </w:p>
              </w:tc>
              <w:tc>
                <w:tcPr>
                  <w:tcW w:w="1770" w:type="dxa"/>
                  <w:noWrap w:val="0"/>
                  <w:vAlign w:val="center"/>
                </w:tcPr>
                <w:p w14:paraId="7DDBA93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color w:val="000000"/>
                      <w:sz w:val="21"/>
                      <w:szCs w:val="21"/>
                    </w:rPr>
                    <w:t>pH</w:t>
                  </w:r>
                </w:p>
              </w:tc>
              <w:tc>
                <w:tcPr>
                  <w:tcW w:w="705" w:type="dxa"/>
                  <w:noWrap w:val="0"/>
                  <w:vAlign w:val="center"/>
                </w:tcPr>
                <w:p w14:paraId="6CA8C1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无量纲</w:t>
                  </w:r>
                </w:p>
              </w:tc>
              <w:tc>
                <w:tcPr>
                  <w:tcW w:w="1006" w:type="dxa"/>
                  <w:noWrap w:val="0"/>
                  <w:vAlign w:val="center"/>
                </w:tcPr>
                <w:p w14:paraId="2FCD496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7.5</w:t>
                  </w:r>
                </w:p>
              </w:tc>
              <w:tc>
                <w:tcPr>
                  <w:tcW w:w="1006" w:type="dxa"/>
                  <w:noWrap w:val="0"/>
                  <w:vAlign w:val="center"/>
                </w:tcPr>
                <w:p w14:paraId="170FD75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7.4</w:t>
                  </w:r>
                </w:p>
              </w:tc>
              <w:tc>
                <w:tcPr>
                  <w:tcW w:w="1006" w:type="dxa"/>
                  <w:noWrap w:val="0"/>
                  <w:vAlign w:val="center"/>
                </w:tcPr>
                <w:p w14:paraId="19F37D7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7.6</w:t>
                  </w:r>
                </w:p>
              </w:tc>
              <w:tc>
                <w:tcPr>
                  <w:tcW w:w="1006" w:type="dxa"/>
                  <w:noWrap w:val="0"/>
                  <w:vAlign w:val="center"/>
                </w:tcPr>
                <w:p w14:paraId="208D63E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7.5</w:t>
                  </w:r>
                </w:p>
              </w:tc>
              <w:tc>
                <w:tcPr>
                  <w:tcW w:w="1008" w:type="dxa"/>
                  <w:noWrap w:val="0"/>
                  <w:vAlign w:val="center"/>
                </w:tcPr>
                <w:p w14:paraId="4BAC555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7.4~7.6</w:t>
                  </w:r>
                </w:p>
              </w:tc>
            </w:tr>
            <w:tr w14:paraId="3A2B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160558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945" w:type="dxa"/>
                  <w:vMerge w:val="continue"/>
                  <w:noWrap w:val="0"/>
                  <w:vAlign w:val="center"/>
                </w:tcPr>
                <w:p w14:paraId="696E29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000000"/>
                      <w:spacing w:val="-6"/>
                      <w:sz w:val="21"/>
                      <w:szCs w:val="21"/>
                      <w:lang w:val="en-US" w:eastAsia="zh-CN"/>
                    </w:rPr>
                  </w:pPr>
                </w:p>
              </w:tc>
              <w:tc>
                <w:tcPr>
                  <w:tcW w:w="1770" w:type="dxa"/>
                  <w:noWrap w:val="0"/>
                  <w:vAlign w:val="center"/>
                </w:tcPr>
                <w:p w14:paraId="576D3CC6">
                  <w:pPr>
                    <w:keepNext w:val="0"/>
                    <w:keepLines w:val="0"/>
                    <w:suppressLineNumbers w:val="0"/>
                    <w:spacing w:before="0" w:beforeAutospacing="0" w:after="0" w:afterAutospacing="0"/>
                    <w:ind w:left="0" w:right="0"/>
                    <w:jc w:val="center"/>
                    <w:rPr>
                      <w:rFonts w:hint="default" w:ascii="Times New Roman" w:hAnsi="Times New Roman" w:cs="Times New Roman"/>
                      <w:b w:val="0"/>
                      <w:spacing w:val="-6"/>
                      <w:kern w:val="2"/>
                      <w:sz w:val="21"/>
                      <w:szCs w:val="21"/>
                      <w:lang w:val="en-US" w:eastAsia="zh-CN" w:bidi="ar"/>
                    </w:rPr>
                  </w:pPr>
                  <w:r>
                    <w:rPr>
                      <w:rFonts w:hint="eastAsia" w:ascii="Times New Roman" w:hAnsi="Times New Roman" w:eastAsia="宋体" w:cs="Times New Roman"/>
                      <w:b w:val="0"/>
                      <w:color w:val="000000"/>
                      <w:kern w:val="2"/>
                      <w:sz w:val="21"/>
                      <w:szCs w:val="21"/>
                      <w:highlight w:val="none"/>
                      <w:lang w:val="en-US" w:eastAsia="zh-CN"/>
                    </w:rPr>
                    <w:t>悬浮物</w:t>
                  </w:r>
                </w:p>
              </w:tc>
              <w:tc>
                <w:tcPr>
                  <w:tcW w:w="705" w:type="dxa"/>
                  <w:noWrap w:val="0"/>
                  <w:vAlign w:val="center"/>
                </w:tcPr>
                <w:p w14:paraId="0B1D99F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6497106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53</w:t>
                  </w:r>
                </w:p>
              </w:tc>
              <w:tc>
                <w:tcPr>
                  <w:tcW w:w="1006" w:type="dxa"/>
                  <w:noWrap w:val="0"/>
                  <w:vAlign w:val="center"/>
                </w:tcPr>
                <w:p w14:paraId="073EFA0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57</w:t>
                  </w:r>
                </w:p>
              </w:tc>
              <w:tc>
                <w:tcPr>
                  <w:tcW w:w="1006" w:type="dxa"/>
                  <w:noWrap w:val="0"/>
                  <w:vAlign w:val="center"/>
                </w:tcPr>
                <w:p w14:paraId="457569A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50</w:t>
                  </w:r>
                </w:p>
              </w:tc>
              <w:tc>
                <w:tcPr>
                  <w:tcW w:w="1006" w:type="dxa"/>
                  <w:noWrap w:val="0"/>
                  <w:vAlign w:val="center"/>
                </w:tcPr>
                <w:p w14:paraId="6B86009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51</w:t>
                  </w:r>
                </w:p>
              </w:tc>
              <w:tc>
                <w:tcPr>
                  <w:tcW w:w="1008" w:type="dxa"/>
                  <w:noWrap w:val="0"/>
                  <w:vAlign w:val="center"/>
                </w:tcPr>
                <w:p w14:paraId="3D2EA0E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53</w:t>
                  </w:r>
                </w:p>
              </w:tc>
            </w:tr>
            <w:tr w14:paraId="0808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6B7055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945" w:type="dxa"/>
                  <w:vMerge w:val="continue"/>
                  <w:noWrap w:val="0"/>
                  <w:vAlign w:val="center"/>
                </w:tcPr>
                <w:p w14:paraId="5F9DCF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000000"/>
                      <w:spacing w:val="-6"/>
                      <w:sz w:val="21"/>
                      <w:szCs w:val="21"/>
                      <w:lang w:val="en-US" w:eastAsia="zh-CN"/>
                    </w:rPr>
                  </w:pPr>
                </w:p>
              </w:tc>
              <w:tc>
                <w:tcPr>
                  <w:tcW w:w="1770" w:type="dxa"/>
                  <w:noWrap w:val="0"/>
                  <w:vAlign w:val="center"/>
                </w:tcPr>
                <w:p w14:paraId="6C590EF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氨氮</w:t>
                  </w:r>
                </w:p>
              </w:tc>
              <w:tc>
                <w:tcPr>
                  <w:tcW w:w="705" w:type="dxa"/>
                  <w:noWrap w:val="0"/>
                  <w:vAlign w:val="center"/>
                </w:tcPr>
                <w:p w14:paraId="36558F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4C8A5B8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0.594</w:t>
                  </w:r>
                </w:p>
              </w:tc>
              <w:tc>
                <w:tcPr>
                  <w:tcW w:w="1006" w:type="dxa"/>
                  <w:noWrap w:val="0"/>
                  <w:vAlign w:val="center"/>
                </w:tcPr>
                <w:p w14:paraId="1BB766E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0.599</w:t>
                  </w:r>
                </w:p>
              </w:tc>
              <w:tc>
                <w:tcPr>
                  <w:tcW w:w="1006" w:type="dxa"/>
                  <w:noWrap w:val="0"/>
                  <w:vAlign w:val="center"/>
                </w:tcPr>
                <w:p w14:paraId="662BA22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0.546</w:t>
                  </w:r>
                </w:p>
              </w:tc>
              <w:tc>
                <w:tcPr>
                  <w:tcW w:w="1006" w:type="dxa"/>
                  <w:noWrap w:val="0"/>
                  <w:vAlign w:val="center"/>
                </w:tcPr>
                <w:p w14:paraId="342C9D0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0.562</w:t>
                  </w:r>
                </w:p>
              </w:tc>
              <w:tc>
                <w:tcPr>
                  <w:tcW w:w="1008" w:type="dxa"/>
                  <w:noWrap w:val="0"/>
                  <w:vAlign w:val="center"/>
                </w:tcPr>
                <w:p w14:paraId="23E432B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0.575</w:t>
                  </w:r>
                </w:p>
              </w:tc>
            </w:tr>
            <w:tr w14:paraId="7261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39718F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945" w:type="dxa"/>
                  <w:vMerge w:val="continue"/>
                  <w:noWrap w:val="0"/>
                  <w:vAlign w:val="center"/>
                </w:tcPr>
                <w:p w14:paraId="73D394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000000"/>
                      <w:spacing w:val="-6"/>
                      <w:sz w:val="21"/>
                      <w:szCs w:val="21"/>
                      <w:lang w:val="en-US" w:eastAsia="zh-CN"/>
                    </w:rPr>
                  </w:pPr>
                </w:p>
              </w:tc>
              <w:tc>
                <w:tcPr>
                  <w:tcW w:w="1770" w:type="dxa"/>
                  <w:noWrap w:val="0"/>
                  <w:vAlign w:val="center"/>
                </w:tcPr>
                <w:p w14:paraId="4FE3E62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sz w:val="21"/>
                      <w:szCs w:val="21"/>
                      <w:lang w:eastAsia="zh-CN"/>
                    </w:rPr>
                    <w:t>化学需氧量</w:t>
                  </w:r>
                </w:p>
              </w:tc>
              <w:tc>
                <w:tcPr>
                  <w:tcW w:w="705" w:type="dxa"/>
                  <w:noWrap w:val="0"/>
                  <w:vAlign w:val="center"/>
                </w:tcPr>
                <w:p w14:paraId="586C0F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581B2A0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31</w:t>
                  </w:r>
                </w:p>
              </w:tc>
              <w:tc>
                <w:tcPr>
                  <w:tcW w:w="1006" w:type="dxa"/>
                  <w:noWrap w:val="0"/>
                  <w:vAlign w:val="center"/>
                </w:tcPr>
                <w:p w14:paraId="3D176DE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38</w:t>
                  </w:r>
                </w:p>
              </w:tc>
              <w:tc>
                <w:tcPr>
                  <w:tcW w:w="1006" w:type="dxa"/>
                  <w:noWrap w:val="0"/>
                  <w:vAlign w:val="center"/>
                </w:tcPr>
                <w:p w14:paraId="65B29AA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41</w:t>
                  </w:r>
                </w:p>
              </w:tc>
              <w:tc>
                <w:tcPr>
                  <w:tcW w:w="1006" w:type="dxa"/>
                  <w:noWrap w:val="0"/>
                  <w:vAlign w:val="center"/>
                </w:tcPr>
                <w:p w14:paraId="7776887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32</w:t>
                  </w:r>
                </w:p>
              </w:tc>
              <w:tc>
                <w:tcPr>
                  <w:tcW w:w="1008" w:type="dxa"/>
                  <w:noWrap w:val="0"/>
                  <w:vAlign w:val="center"/>
                </w:tcPr>
                <w:p w14:paraId="4F03730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36</w:t>
                  </w:r>
                </w:p>
              </w:tc>
            </w:tr>
            <w:tr w14:paraId="6AB5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23F382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945" w:type="dxa"/>
                  <w:vMerge w:val="continue"/>
                  <w:noWrap w:val="0"/>
                  <w:vAlign w:val="center"/>
                </w:tcPr>
                <w:p w14:paraId="7BCD14C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000000"/>
                      <w:spacing w:val="-6"/>
                      <w:sz w:val="21"/>
                      <w:szCs w:val="21"/>
                      <w:lang w:val="en-US" w:eastAsia="zh-CN"/>
                    </w:rPr>
                  </w:pPr>
                </w:p>
              </w:tc>
              <w:tc>
                <w:tcPr>
                  <w:tcW w:w="1770" w:type="dxa"/>
                  <w:noWrap w:val="0"/>
                  <w:vAlign w:val="center"/>
                </w:tcPr>
                <w:p w14:paraId="67F516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石油类</w:t>
                  </w:r>
                </w:p>
              </w:tc>
              <w:tc>
                <w:tcPr>
                  <w:tcW w:w="705" w:type="dxa"/>
                  <w:noWrap w:val="0"/>
                  <w:vAlign w:val="center"/>
                </w:tcPr>
                <w:p w14:paraId="1D1509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1F0C2F6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&lt;0.06</w:t>
                  </w:r>
                </w:p>
              </w:tc>
              <w:tc>
                <w:tcPr>
                  <w:tcW w:w="1006" w:type="dxa"/>
                  <w:noWrap w:val="0"/>
                  <w:vAlign w:val="center"/>
                </w:tcPr>
                <w:p w14:paraId="114C504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&lt;0.06</w:t>
                  </w:r>
                </w:p>
              </w:tc>
              <w:tc>
                <w:tcPr>
                  <w:tcW w:w="1006" w:type="dxa"/>
                  <w:noWrap w:val="0"/>
                  <w:vAlign w:val="center"/>
                </w:tcPr>
                <w:p w14:paraId="382F9C4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&lt;0.06</w:t>
                  </w:r>
                </w:p>
              </w:tc>
              <w:tc>
                <w:tcPr>
                  <w:tcW w:w="1006" w:type="dxa"/>
                  <w:noWrap w:val="0"/>
                  <w:vAlign w:val="center"/>
                </w:tcPr>
                <w:p w14:paraId="2F5BD80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&lt;0.06</w:t>
                  </w:r>
                </w:p>
              </w:tc>
              <w:tc>
                <w:tcPr>
                  <w:tcW w:w="1008" w:type="dxa"/>
                  <w:noWrap w:val="0"/>
                  <w:vAlign w:val="center"/>
                </w:tcPr>
                <w:p w14:paraId="536B82B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w:t>
                  </w:r>
                </w:p>
              </w:tc>
            </w:tr>
            <w:tr w14:paraId="27AB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178675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945" w:type="dxa"/>
                  <w:vMerge w:val="continue"/>
                  <w:noWrap w:val="0"/>
                  <w:vAlign w:val="center"/>
                </w:tcPr>
                <w:p w14:paraId="4A27CC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000000"/>
                      <w:spacing w:val="-6"/>
                      <w:sz w:val="21"/>
                      <w:szCs w:val="21"/>
                      <w:lang w:val="en-US" w:eastAsia="zh-CN"/>
                    </w:rPr>
                  </w:pPr>
                </w:p>
              </w:tc>
              <w:tc>
                <w:tcPr>
                  <w:tcW w:w="1770" w:type="dxa"/>
                  <w:noWrap w:val="0"/>
                  <w:vAlign w:val="center"/>
                </w:tcPr>
                <w:p w14:paraId="5D6BF0D1">
                  <w:pPr>
                    <w:keepNext w:val="0"/>
                    <w:keepLines w:val="0"/>
                    <w:widowControl/>
                    <w:suppressLineNumbers w:val="0"/>
                    <w:spacing w:before="0" w:beforeAutospacing="0" w:after="0" w:afterAutospacing="0"/>
                    <w:ind w:left="0" w:right="0"/>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阴离子表面活性剂</w:t>
                  </w:r>
                </w:p>
              </w:tc>
              <w:tc>
                <w:tcPr>
                  <w:tcW w:w="705" w:type="dxa"/>
                  <w:noWrap w:val="0"/>
                  <w:vAlign w:val="center"/>
                </w:tcPr>
                <w:p w14:paraId="359377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511FDA3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0.108</w:t>
                  </w:r>
                </w:p>
              </w:tc>
              <w:tc>
                <w:tcPr>
                  <w:tcW w:w="1006" w:type="dxa"/>
                  <w:noWrap w:val="0"/>
                  <w:vAlign w:val="center"/>
                </w:tcPr>
                <w:p w14:paraId="7B9E2AC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0.114</w:t>
                  </w:r>
                </w:p>
              </w:tc>
              <w:tc>
                <w:tcPr>
                  <w:tcW w:w="1006" w:type="dxa"/>
                  <w:noWrap w:val="0"/>
                  <w:vAlign w:val="center"/>
                </w:tcPr>
                <w:p w14:paraId="0F04B2C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0.131</w:t>
                  </w:r>
                </w:p>
              </w:tc>
              <w:tc>
                <w:tcPr>
                  <w:tcW w:w="1006" w:type="dxa"/>
                  <w:noWrap w:val="0"/>
                  <w:vAlign w:val="center"/>
                </w:tcPr>
                <w:p w14:paraId="2252C54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0.126</w:t>
                  </w:r>
                </w:p>
              </w:tc>
              <w:tc>
                <w:tcPr>
                  <w:tcW w:w="1008" w:type="dxa"/>
                  <w:noWrap w:val="0"/>
                  <w:vAlign w:val="center"/>
                </w:tcPr>
                <w:p w14:paraId="5C203DD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0.120</w:t>
                  </w:r>
                </w:p>
              </w:tc>
            </w:tr>
            <w:tr w14:paraId="7D49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restart"/>
                  <w:noWrap w:val="0"/>
                  <w:vAlign w:val="center"/>
                </w:tcPr>
                <w:p w14:paraId="7915DB9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2"/>
                      <w:sz w:val="21"/>
                      <w:szCs w:val="21"/>
                      <w:highlight w:val="none"/>
                      <w:lang w:val="en-US" w:eastAsia="zh-CN" w:bidi="ar"/>
                    </w:rPr>
                  </w:pPr>
                  <w:r>
                    <w:rPr>
                      <w:rFonts w:hint="eastAsia" w:cs="Times New Roman"/>
                      <w:b w:val="0"/>
                      <w:bCs/>
                      <w:sz w:val="21"/>
                      <w:szCs w:val="21"/>
                      <w:highlight w:val="none"/>
                      <w:lang w:val="en-US" w:eastAsia="zh-CN"/>
                    </w:rPr>
                    <w:t>2024.5.31</w:t>
                  </w:r>
                </w:p>
              </w:tc>
              <w:tc>
                <w:tcPr>
                  <w:tcW w:w="945" w:type="dxa"/>
                  <w:vMerge w:val="restart"/>
                  <w:noWrap w:val="0"/>
                  <w:vAlign w:val="center"/>
                </w:tcPr>
                <w:p w14:paraId="68D74698">
                  <w:pPr>
                    <w:keepNext w:val="0"/>
                    <w:keepLines w:val="0"/>
                    <w:suppressLineNumbers w:val="0"/>
                    <w:spacing w:before="0" w:beforeAutospacing="0" w:after="0" w:afterAutospacing="0"/>
                    <w:ind w:left="0" w:leftChars="0" w:right="0" w:rightChars="0"/>
                    <w:jc w:val="center"/>
                    <w:rPr>
                      <w:rFonts w:hint="default"/>
                      <w:lang w:val="en-US" w:eastAsia="zh-CN"/>
                    </w:rPr>
                  </w:pPr>
                  <w:r>
                    <w:rPr>
                      <w:rFonts w:hint="eastAsia" w:cs="Times New Roman"/>
                      <w:b w:val="0"/>
                      <w:bCs/>
                      <w:sz w:val="21"/>
                      <w:szCs w:val="21"/>
                      <w:highlight w:val="none"/>
                      <w:lang w:val="en-US" w:eastAsia="zh-CN"/>
                    </w:rPr>
                    <w:t>S1生活污水</w:t>
                  </w:r>
                  <w:r>
                    <w:rPr>
                      <w:rFonts w:hint="eastAsia" w:cs="Times New Roman"/>
                      <w:b w:val="0"/>
                      <w:bCs/>
                      <w:sz w:val="21"/>
                      <w:szCs w:val="21"/>
                      <w:highlight w:val="none"/>
                      <w:lang w:eastAsia="zh-CN"/>
                    </w:rPr>
                    <w:t>总排口</w:t>
                  </w:r>
                </w:p>
              </w:tc>
              <w:tc>
                <w:tcPr>
                  <w:tcW w:w="1770" w:type="dxa"/>
                  <w:noWrap w:val="0"/>
                  <w:vAlign w:val="center"/>
                </w:tcPr>
                <w:p w14:paraId="095FFCF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color w:val="000000"/>
                      <w:sz w:val="21"/>
                      <w:szCs w:val="21"/>
                    </w:rPr>
                    <w:t>pH</w:t>
                  </w:r>
                </w:p>
              </w:tc>
              <w:tc>
                <w:tcPr>
                  <w:tcW w:w="705" w:type="dxa"/>
                  <w:noWrap w:val="0"/>
                  <w:vAlign w:val="center"/>
                </w:tcPr>
                <w:p w14:paraId="39150C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无量纲</w:t>
                  </w:r>
                </w:p>
              </w:tc>
              <w:tc>
                <w:tcPr>
                  <w:tcW w:w="1006" w:type="dxa"/>
                  <w:noWrap w:val="0"/>
                  <w:vAlign w:val="center"/>
                </w:tcPr>
                <w:p w14:paraId="0AB9A5F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8.1</w:t>
                  </w:r>
                </w:p>
              </w:tc>
              <w:tc>
                <w:tcPr>
                  <w:tcW w:w="1006" w:type="dxa"/>
                  <w:noWrap w:val="0"/>
                  <w:vAlign w:val="center"/>
                </w:tcPr>
                <w:p w14:paraId="2BD1EE1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7.9</w:t>
                  </w:r>
                </w:p>
              </w:tc>
              <w:tc>
                <w:tcPr>
                  <w:tcW w:w="1006" w:type="dxa"/>
                  <w:noWrap w:val="0"/>
                  <w:vAlign w:val="center"/>
                </w:tcPr>
                <w:p w14:paraId="63679C2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8.0</w:t>
                  </w:r>
                </w:p>
              </w:tc>
              <w:tc>
                <w:tcPr>
                  <w:tcW w:w="1006" w:type="dxa"/>
                  <w:noWrap w:val="0"/>
                  <w:vAlign w:val="center"/>
                </w:tcPr>
                <w:p w14:paraId="6127BC8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8.1</w:t>
                  </w:r>
                </w:p>
              </w:tc>
              <w:tc>
                <w:tcPr>
                  <w:tcW w:w="1008" w:type="dxa"/>
                  <w:noWrap w:val="0"/>
                  <w:vAlign w:val="center"/>
                </w:tcPr>
                <w:p w14:paraId="7C3F70D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7.9~8.1</w:t>
                  </w:r>
                </w:p>
              </w:tc>
            </w:tr>
            <w:tr w14:paraId="0642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7AD1ED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auto"/>
                      <w:spacing w:val="-6"/>
                      <w:sz w:val="21"/>
                      <w:szCs w:val="21"/>
                      <w:lang w:val="en-US" w:eastAsia="zh-CN"/>
                    </w:rPr>
                  </w:pPr>
                </w:p>
              </w:tc>
              <w:tc>
                <w:tcPr>
                  <w:tcW w:w="945" w:type="dxa"/>
                  <w:vMerge w:val="continue"/>
                  <w:noWrap w:val="0"/>
                  <w:vAlign w:val="center"/>
                </w:tcPr>
                <w:p w14:paraId="165AE32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color w:val="000000"/>
                      <w:spacing w:val="-6"/>
                      <w:sz w:val="21"/>
                      <w:szCs w:val="21"/>
                      <w:lang w:val="en-US" w:eastAsia="zh-CN"/>
                    </w:rPr>
                  </w:pPr>
                </w:p>
              </w:tc>
              <w:tc>
                <w:tcPr>
                  <w:tcW w:w="1770" w:type="dxa"/>
                  <w:noWrap w:val="0"/>
                  <w:vAlign w:val="center"/>
                </w:tcPr>
                <w:p w14:paraId="0480C990">
                  <w:pPr>
                    <w:keepNext w:val="0"/>
                    <w:keepLines w:val="0"/>
                    <w:suppressLineNumbers w:val="0"/>
                    <w:spacing w:before="0" w:beforeAutospacing="0" w:after="0" w:afterAutospacing="0"/>
                    <w:ind w:left="0" w:right="0"/>
                    <w:jc w:val="center"/>
                    <w:rPr>
                      <w:rFonts w:hint="default" w:ascii="Times New Roman" w:hAnsi="Times New Roman" w:cs="Times New Roman"/>
                      <w:b w:val="0"/>
                      <w:spacing w:val="-6"/>
                      <w:kern w:val="2"/>
                      <w:sz w:val="21"/>
                      <w:szCs w:val="21"/>
                      <w:lang w:val="en-US" w:eastAsia="zh-CN" w:bidi="ar"/>
                    </w:rPr>
                  </w:pPr>
                  <w:r>
                    <w:rPr>
                      <w:rFonts w:hint="eastAsia" w:ascii="Times New Roman" w:hAnsi="Times New Roman" w:eastAsia="宋体" w:cs="Times New Roman"/>
                      <w:b w:val="0"/>
                      <w:color w:val="000000"/>
                      <w:kern w:val="2"/>
                      <w:sz w:val="21"/>
                      <w:szCs w:val="21"/>
                      <w:highlight w:val="none"/>
                      <w:lang w:val="en-US" w:eastAsia="zh-CN"/>
                    </w:rPr>
                    <w:t>悬浮物</w:t>
                  </w:r>
                </w:p>
              </w:tc>
              <w:tc>
                <w:tcPr>
                  <w:tcW w:w="705" w:type="dxa"/>
                  <w:noWrap w:val="0"/>
                  <w:vAlign w:val="center"/>
                </w:tcPr>
                <w:p w14:paraId="1D5BCAB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2FF9726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66</w:t>
                  </w:r>
                </w:p>
              </w:tc>
              <w:tc>
                <w:tcPr>
                  <w:tcW w:w="1006" w:type="dxa"/>
                  <w:noWrap w:val="0"/>
                  <w:vAlign w:val="center"/>
                </w:tcPr>
                <w:p w14:paraId="0C34D4B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69</w:t>
                  </w:r>
                </w:p>
              </w:tc>
              <w:tc>
                <w:tcPr>
                  <w:tcW w:w="1006" w:type="dxa"/>
                  <w:noWrap w:val="0"/>
                  <w:vAlign w:val="center"/>
                </w:tcPr>
                <w:p w14:paraId="10610A7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71</w:t>
                  </w:r>
                </w:p>
              </w:tc>
              <w:tc>
                <w:tcPr>
                  <w:tcW w:w="1006" w:type="dxa"/>
                  <w:noWrap w:val="0"/>
                  <w:vAlign w:val="center"/>
                </w:tcPr>
                <w:p w14:paraId="49F30C9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75</w:t>
                  </w:r>
                </w:p>
              </w:tc>
              <w:tc>
                <w:tcPr>
                  <w:tcW w:w="1008" w:type="dxa"/>
                  <w:noWrap w:val="0"/>
                  <w:vAlign w:val="center"/>
                </w:tcPr>
                <w:p w14:paraId="5F07D19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70</w:t>
                  </w:r>
                </w:p>
              </w:tc>
            </w:tr>
            <w:tr w14:paraId="2963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293716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auto"/>
                      <w:spacing w:val="-6"/>
                      <w:sz w:val="21"/>
                      <w:szCs w:val="21"/>
                      <w:lang w:val="en-US" w:eastAsia="zh-CN"/>
                    </w:rPr>
                  </w:pPr>
                </w:p>
              </w:tc>
              <w:tc>
                <w:tcPr>
                  <w:tcW w:w="945" w:type="dxa"/>
                  <w:vMerge w:val="continue"/>
                  <w:noWrap w:val="0"/>
                  <w:vAlign w:val="center"/>
                </w:tcPr>
                <w:p w14:paraId="7F8C70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color w:val="000000"/>
                      <w:spacing w:val="-6"/>
                      <w:sz w:val="21"/>
                      <w:szCs w:val="21"/>
                      <w:lang w:val="en-US" w:eastAsia="zh-CN"/>
                    </w:rPr>
                  </w:pPr>
                </w:p>
              </w:tc>
              <w:tc>
                <w:tcPr>
                  <w:tcW w:w="1770" w:type="dxa"/>
                  <w:noWrap w:val="0"/>
                  <w:vAlign w:val="center"/>
                </w:tcPr>
                <w:p w14:paraId="77389A5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氨氮</w:t>
                  </w:r>
                </w:p>
              </w:tc>
              <w:tc>
                <w:tcPr>
                  <w:tcW w:w="705" w:type="dxa"/>
                  <w:noWrap w:val="0"/>
                  <w:vAlign w:val="center"/>
                </w:tcPr>
                <w:p w14:paraId="7EA3225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500B3FB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40.7</w:t>
                  </w:r>
                </w:p>
              </w:tc>
              <w:tc>
                <w:tcPr>
                  <w:tcW w:w="1006" w:type="dxa"/>
                  <w:noWrap w:val="0"/>
                  <w:vAlign w:val="center"/>
                </w:tcPr>
                <w:p w14:paraId="3FFC803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40.3</w:t>
                  </w:r>
                </w:p>
              </w:tc>
              <w:tc>
                <w:tcPr>
                  <w:tcW w:w="1006" w:type="dxa"/>
                  <w:noWrap w:val="0"/>
                  <w:vAlign w:val="center"/>
                </w:tcPr>
                <w:p w14:paraId="3225FD8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41.2</w:t>
                  </w:r>
                </w:p>
              </w:tc>
              <w:tc>
                <w:tcPr>
                  <w:tcW w:w="1006" w:type="dxa"/>
                  <w:noWrap w:val="0"/>
                  <w:vAlign w:val="center"/>
                </w:tcPr>
                <w:p w14:paraId="0EC7A5A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42.8</w:t>
                  </w:r>
                </w:p>
              </w:tc>
              <w:tc>
                <w:tcPr>
                  <w:tcW w:w="1008" w:type="dxa"/>
                  <w:noWrap w:val="0"/>
                  <w:vAlign w:val="center"/>
                </w:tcPr>
                <w:p w14:paraId="4148B08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41.2</w:t>
                  </w:r>
                </w:p>
              </w:tc>
            </w:tr>
            <w:tr w14:paraId="5358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29A620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auto"/>
                      <w:spacing w:val="-6"/>
                      <w:sz w:val="21"/>
                      <w:szCs w:val="21"/>
                      <w:lang w:val="en-US" w:eastAsia="zh-CN"/>
                    </w:rPr>
                  </w:pPr>
                </w:p>
              </w:tc>
              <w:tc>
                <w:tcPr>
                  <w:tcW w:w="945" w:type="dxa"/>
                  <w:vMerge w:val="continue"/>
                  <w:noWrap w:val="0"/>
                  <w:vAlign w:val="center"/>
                </w:tcPr>
                <w:p w14:paraId="00E4404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color w:val="000000"/>
                      <w:spacing w:val="-6"/>
                      <w:sz w:val="21"/>
                      <w:szCs w:val="21"/>
                      <w:lang w:val="en-US" w:eastAsia="zh-CN"/>
                    </w:rPr>
                  </w:pPr>
                </w:p>
              </w:tc>
              <w:tc>
                <w:tcPr>
                  <w:tcW w:w="1770" w:type="dxa"/>
                  <w:noWrap w:val="0"/>
                  <w:vAlign w:val="center"/>
                </w:tcPr>
                <w:p w14:paraId="6ECFD51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sz w:val="21"/>
                      <w:szCs w:val="21"/>
                      <w:lang w:eastAsia="zh-CN"/>
                    </w:rPr>
                    <w:t>化学需氧量</w:t>
                  </w:r>
                </w:p>
              </w:tc>
              <w:tc>
                <w:tcPr>
                  <w:tcW w:w="705" w:type="dxa"/>
                  <w:noWrap w:val="0"/>
                  <w:vAlign w:val="center"/>
                </w:tcPr>
                <w:p w14:paraId="2929F2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2926EEC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367</w:t>
                  </w:r>
                </w:p>
              </w:tc>
              <w:tc>
                <w:tcPr>
                  <w:tcW w:w="1006" w:type="dxa"/>
                  <w:noWrap w:val="0"/>
                  <w:vAlign w:val="center"/>
                </w:tcPr>
                <w:p w14:paraId="390D816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348</w:t>
                  </w:r>
                </w:p>
              </w:tc>
              <w:tc>
                <w:tcPr>
                  <w:tcW w:w="1006" w:type="dxa"/>
                  <w:noWrap w:val="0"/>
                  <w:vAlign w:val="center"/>
                </w:tcPr>
                <w:p w14:paraId="276F558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352</w:t>
                  </w:r>
                </w:p>
              </w:tc>
              <w:tc>
                <w:tcPr>
                  <w:tcW w:w="1006" w:type="dxa"/>
                  <w:noWrap w:val="0"/>
                  <w:vAlign w:val="center"/>
                </w:tcPr>
                <w:p w14:paraId="0C4F296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333</w:t>
                  </w:r>
                </w:p>
              </w:tc>
              <w:tc>
                <w:tcPr>
                  <w:tcW w:w="1008" w:type="dxa"/>
                  <w:noWrap w:val="0"/>
                  <w:vAlign w:val="center"/>
                </w:tcPr>
                <w:p w14:paraId="5B33252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350</w:t>
                  </w:r>
                </w:p>
              </w:tc>
            </w:tr>
            <w:tr w14:paraId="4D6D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2EC1BBD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auto"/>
                      <w:spacing w:val="-6"/>
                      <w:sz w:val="21"/>
                      <w:szCs w:val="21"/>
                      <w:lang w:val="en-US" w:eastAsia="zh-CN"/>
                    </w:rPr>
                  </w:pPr>
                </w:p>
              </w:tc>
              <w:tc>
                <w:tcPr>
                  <w:tcW w:w="945" w:type="dxa"/>
                  <w:vMerge w:val="continue"/>
                  <w:noWrap w:val="0"/>
                  <w:vAlign w:val="center"/>
                </w:tcPr>
                <w:p w14:paraId="6EA11A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color w:val="000000"/>
                      <w:spacing w:val="-6"/>
                      <w:sz w:val="21"/>
                      <w:szCs w:val="21"/>
                      <w:lang w:val="en-US" w:eastAsia="zh-CN"/>
                    </w:rPr>
                  </w:pPr>
                </w:p>
              </w:tc>
              <w:tc>
                <w:tcPr>
                  <w:tcW w:w="1770" w:type="dxa"/>
                  <w:noWrap w:val="0"/>
                  <w:vAlign w:val="center"/>
                </w:tcPr>
                <w:p w14:paraId="15E24F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spacing w:val="-6"/>
                      <w:sz w:val="21"/>
                      <w:szCs w:val="21"/>
                      <w:lang w:val="en-US" w:eastAsia="zh-CN"/>
                    </w:rPr>
                    <w:t>五日生化需氧量</w:t>
                  </w:r>
                </w:p>
              </w:tc>
              <w:tc>
                <w:tcPr>
                  <w:tcW w:w="705" w:type="dxa"/>
                  <w:noWrap w:val="0"/>
                  <w:vAlign w:val="center"/>
                </w:tcPr>
                <w:p w14:paraId="5C21B1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347CAD3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171</w:t>
                  </w:r>
                </w:p>
              </w:tc>
              <w:tc>
                <w:tcPr>
                  <w:tcW w:w="1006" w:type="dxa"/>
                  <w:noWrap w:val="0"/>
                  <w:vAlign w:val="center"/>
                </w:tcPr>
                <w:p w14:paraId="4C19F6C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157</w:t>
                  </w:r>
                </w:p>
              </w:tc>
              <w:tc>
                <w:tcPr>
                  <w:tcW w:w="1006" w:type="dxa"/>
                  <w:noWrap w:val="0"/>
                  <w:vAlign w:val="center"/>
                </w:tcPr>
                <w:p w14:paraId="567C32A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164</w:t>
                  </w:r>
                </w:p>
              </w:tc>
              <w:tc>
                <w:tcPr>
                  <w:tcW w:w="1006" w:type="dxa"/>
                  <w:noWrap w:val="0"/>
                  <w:vAlign w:val="center"/>
                </w:tcPr>
                <w:p w14:paraId="5D08BED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150</w:t>
                  </w:r>
                </w:p>
              </w:tc>
              <w:tc>
                <w:tcPr>
                  <w:tcW w:w="1008" w:type="dxa"/>
                  <w:noWrap w:val="0"/>
                  <w:vAlign w:val="center"/>
                </w:tcPr>
                <w:p w14:paraId="2088745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160</w:t>
                  </w:r>
                </w:p>
              </w:tc>
            </w:tr>
            <w:tr w14:paraId="44BE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729EE3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
                    </w:rPr>
                  </w:pPr>
                </w:p>
              </w:tc>
              <w:tc>
                <w:tcPr>
                  <w:tcW w:w="945" w:type="dxa"/>
                  <w:vMerge w:val="restart"/>
                  <w:noWrap w:val="0"/>
                  <w:vAlign w:val="center"/>
                </w:tcPr>
                <w:p w14:paraId="54D6FA9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color w:val="000000"/>
                      <w:spacing w:val="-6"/>
                      <w:sz w:val="21"/>
                      <w:szCs w:val="21"/>
                      <w:lang w:val="en-US" w:eastAsia="zh-CN"/>
                    </w:rPr>
                  </w:pPr>
                  <w:r>
                    <w:rPr>
                      <w:rFonts w:hint="eastAsia" w:cs="Times New Roman"/>
                      <w:b w:val="0"/>
                      <w:bCs/>
                      <w:sz w:val="21"/>
                      <w:szCs w:val="21"/>
                      <w:highlight w:val="none"/>
                      <w:lang w:val="en-US" w:eastAsia="zh-CN"/>
                    </w:rPr>
                    <w:t>S2生产废水排放口</w:t>
                  </w:r>
                </w:p>
              </w:tc>
              <w:tc>
                <w:tcPr>
                  <w:tcW w:w="1770" w:type="dxa"/>
                  <w:noWrap w:val="0"/>
                  <w:vAlign w:val="center"/>
                </w:tcPr>
                <w:p w14:paraId="632F27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color w:val="000000"/>
                      <w:sz w:val="21"/>
                      <w:szCs w:val="21"/>
                    </w:rPr>
                    <w:t>pH</w:t>
                  </w:r>
                </w:p>
              </w:tc>
              <w:tc>
                <w:tcPr>
                  <w:tcW w:w="705" w:type="dxa"/>
                  <w:noWrap w:val="0"/>
                  <w:vAlign w:val="center"/>
                </w:tcPr>
                <w:p w14:paraId="5D766F4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无量纲</w:t>
                  </w:r>
                </w:p>
              </w:tc>
              <w:tc>
                <w:tcPr>
                  <w:tcW w:w="1006" w:type="dxa"/>
                  <w:noWrap w:val="0"/>
                  <w:vAlign w:val="center"/>
                </w:tcPr>
                <w:p w14:paraId="4600541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7.8</w:t>
                  </w:r>
                </w:p>
              </w:tc>
              <w:tc>
                <w:tcPr>
                  <w:tcW w:w="1006" w:type="dxa"/>
                  <w:noWrap w:val="0"/>
                  <w:vAlign w:val="center"/>
                </w:tcPr>
                <w:p w14:paraId="065C08D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7.6</w:t>
                  </w:r>
                </w:p>
              </w:tc>
              <w:tc>
                <w:tcPr>
                  <w:tcW w:w="1006" w:type="dxa"/>
                  <w:noWrap w:val="0"/>
                  <w:vAlign w:val="center"/>
                </w:tcPr>
                <w:p w14:paraId="6627996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7.5</w:t>
                  </w:r>
                </w:p>
              </w:tc>
              <w:tc>
                <w:tcPr>
                  <w:tcW w:w="1006" w:type="dxa"/>
                  <w:noWrap w:val="0"/>
                  <w:vAlign w:val="center"/>
                </w:tcPr>
                <w:p w14:paraId="6589B87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7.5</w:t>
                  </w:r>
                </w:p>
              </w:tc>
              <w:tc>
                <w:tcPr>
                  <w:tcW w:w="1008" w:type="dxa"/>
                  <w:noWrap w:val="0"/>
                  <w:vAlign w:val="center"/>
                </w:tcPr>
                <w:p w14:paraId="0E1EF62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7.5~7.8</w:t>
                  </w:r>
                </w:p>
              </w:tc>
            </w:tr>
            <w:tr w14:paraId="4AD3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0C6042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945" w:type="dxa"/>
                  <w:vMerge w:val="continue"/>
                  <w:noWrap w:val="0"/>
                  <w:vAlign w:val="center"/>
                </w:tcPr>
                <w:p w14:paraId="1F0B60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000000"/>
                      <w:spacing w:val="-6"/>
                      <w:sz w:val="21"/>
                      <w:szCs w:val="21"/>
                      <w:lang w:val="en-US" w:eastAsia="zh-CN"/>
                    </w:rPr>
                  </w:pPr>
                </w:p>
              </w:tc>
              <w:tc>
                <w:tcPr>
                  <w:tcW w:w="1770" w:type="dxa"/>
                  <w:noWrap w:val="0"/>
                  <w:vAlign w:val="center"/>
                </w:tcPr>
                <w:p w14:paraId="3170D8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spacing w:val="-6"/>
                      <w:kern w:val="2"/>
                      <w:sz w:val="21"/>
                      <w:szCs w:val="21"/>
                      <w:lang w:val="en-US" w:eastAsia="zh-CN" w:bidi="ar"/>
                    </w:rPr>
                  </w:pPr>
                  <w:r>
                    <w:rPr>
                      <w:rFonts w:hint="eastAsia" w:ascii="Times New Roman" w:hAnsi="Times New Roman" w:eastAsia="宋体" w:cs="Times New Roman"/>
                      <w:b w:val="0"/>
                      <w:color w:val="000000"/>
                      <w:kern w:val="2"/>
                      <w:sz w:val="21"/>
                      <w:szCs w:val="21"/>
                      <w:highlight w:val="none"/>
                      <w:lang w:val="en-US" w:eastAsia="zh-CN"/>
                    </w:rPr>
                    <w:t>悬浮物</w:t>
                  </w:r>
                </w:p>
              </w:tc>
              <w:tc>
                <w:tcPr>
                  <w:tcW w:w="705" w:type="dxa"/>
                  <w:noWrap w:val="0"/>
                  <w:vAlign w:val="center"/>
                </w:tcPr>
                <w:p w14:paraId="4E7FD1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26BE42C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49</w:t>
                  </w:r>
                </w:p>
              </w:tc>
              <w:tc>
                <w:tcPr>
                  <w:tcW w:w="1006" w:type="dxa"/>
                  <w:noWrap w:val="0"/>
                  <w:vAlign w:val="center"/>
                </w:tcPr>
                <w:p w14:paraId="2182543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42</w:t>
                  </w:r>
                </w:p>
              </w:tc>
              <w:tc>
                <w:tcPr>
                  <w:tcW w:w="1006" w:type="dxa"/>
                  <w:noWrap w:val="0"/>
                  <w:vAlign w:val="center"/>
                </w:tcPr>
                <w:p w14:paraId="5B5F556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46</w:t>
                  </w:r>
                </w:p>
              </w:tc>
              <w:tc>
                <w:tcPr>
                  <w:tcW w:w="1006" w:type="dxa"/>
                  <w:noWrap w:val="0"/>
                  <w:vAlign w:val="center"/>
                </w:tcPr>
                <w:p w14:paraId="46E8F12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41</w:t>
                  </w:r>
                </w:p>
              </w:tc>
              <w:tc>
                <w:tcPr>
                  <w:tcW w:w="1008" w:type="dxa"/>
                  <w:noWrap w:val="0"/>
                  <w:vAlign w:val="center"/>
                </w:tcPr>
                <w:p w14:paraId="05ABD73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44</w:t>
                  </w:r>
                </w:p>
              </w:tc>
            </w:tr>
            <w:tr w14:paraId="032D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35A138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945" w:type="dxa"/>
                  <w:vMerge w:val="continue"/>
                  <w:noWrap w:val="0"/>
                  <w:vAlign w:val="center"/>
                </w:tcPr>
                <w:p w14:paraId="3E3784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000000"/>
                      <w:spacing w:val="-6"/>
                      <w:sz w:val="21"/>
                      <w:szCs w:val="21"/>
                      <w:lang w:val="en-US" w:eastAsia="zh-CN"/>
                    </w:rPr>
                  </w:pPr>
                </w:p>
              </w:tc>
              <w:tc>
                <w:tcPr>
                  <w:tcW w:w="1770" w:type="dxa"/>
                  <w:noWrap w:val="0"/>
                  <w:vAlign w:val="center"/>
                </w:tcPr>
                <w:p w14:paraId="1C832F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氨氮</w:t>
                  </w:r>
                </w:p>
              </w:tc>
              <w:tc>
                <w:tcPr>
                  <w:tcW w:w="705" w:type="dxa"/>
                  <w:noWrap w:val="0"/>
                  <w:vAlign w:val="center"/>
                </w:tcPr>
                <w:p w14:paraId="3988329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11EABE9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0.418</w:t>
                  </w:r>
                </w:p>
              </w:tc>
              <w:tc>
                <w:tcPr>
                  <w:tcW w:w="1006" w:type="dxa"/>
                  <w:noWrap w:val="0"/>
                  <w:vAlign w:val="center"/>
                </w:tcPr>
                <w:p w14:paraId="597F9BC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0.434</w:t>
                  </w:r>
                </w:p>
              </w:tc>
              <w:tc>
                <w:tcPr>
                  <w:tcW w:w="1006" w:type="dxa"/>
                  <w:noWrap w:val="0"/>
                  <w:vAlign w:val="center"/>
                </w:tcPr>
                <w:p w14:paraId="70CB872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0.444</w:t>
                  </w:r>
                </w:p>
              </w:tc>
              <w:tc>
                <w:tcPr>
                  <w:tcW w:w="1006" w:type="dxa"/>
                  <w:noWrap w:val="0"/>
                  <w:vAlign w:val="center"/>
                </w:tcPr>
                <w:p w14:paraId="0D767B0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0.463</w:t>
                  </w:r>
                </w:p>
              </w:tc>
              <w:tc>
                <w:tcPr>
                  <w:tcW w:w="1008" w:type="dxa"/>
                  <w:noWrap w:val="0"/>
                  <w:vAlign w:val="center"/>
                </w:tcPr>
                <w:p w14:paraId="65B53BC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0.440</w:t>
                  </w:r>
                </w:p>
              </w:tc>
            </w:tr>
            <w:tr w14:paraId="70BC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64C625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945" w:type="dxa"/>
                  <w:vMerge w:val="continue"/>
                  <w:noWrap w:val="0"/>
                  <w:vAlign w:val="center"/>
                </w:tcPr>
                <w:p w14:paraId="59CAA6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000000"/>
                      <w:spacing w:val="-6"/>
                      <w:sz w:val="21"/>
                      <w:szCs w:val="21"/>
                      <w:lang w:val="en-US" w:eastAsia="zh-CN"/>
                    </w:rPr>
                  </w:pPr>
                </w:p>
              </w:tc>
              <w:tc>
                <w:tcPr>
                  <w:tcW w:w="1770" w:type="dxa"/>
                  <w:noWrap w:val="0"/>
                  <w:vAlign w:val="center"/>
                </w:tcPr>
                <w:p w14:paraId="376F3E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sz w:val="21"/>
                      <w:szCs w:val="21"/>
                      <w:lang w:eastAsia="zh-CN"/>
                    </w:rPr>
                    <w:t>化学需氧量</w:t>
                  </w:r>
                </w:p>
              </w:tc>
              <w:tc>
                <w:tcPr>
                  <w:tcW w:w="705" w:type="dxa"/>
                  <w:noWrap w:val="0"/>
                  <w:vAlign w:val="center"/>
                </w:tcPr>
                <w:p w14:paraId="5F71DC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63131F8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26</w:t>
                  </w:r>
                </w:p>
              </w:tc>
              <w:tc>
                <w:tcPr>
                  <w:tcW w:w="1006" w:type="dxa"/>
                  <w:noWrap w:val="0"/>
                  <w:vAlign w:val="center"/>
                </w:tcPr>
                <w:p w14:paraId="6A13903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22</w:t>
                  </w:r>
                </w:p>
              </w:tc>
              <w:tc>
                <w:tcPr>
                  <w:tcW w:w="1006" w:type="dxa"/>
                  <w:noWrap w:val="0"/>
                  <w:vAlign w:val="center"/>
                </w:tcPr>
                <w:p w14:paraId="23FEF55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20</w:t>
                  </w:r>
                </w:p>
              </w:tc>
              <w:tc>
                <w:tcPr>
                  <w:tcW w:w="1006" w:type="dxa"/>
                  <w:noWrap w:val="0"/>
                  <w:vAlign w:val="center"/>
                </w:tcPr>
                <w:p w14:paraId="333E60B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28</w:t>
                  </w:r>
                </w:p>
              </w:tc>
              <w:tc>
                <w:tcPr>
                  <w:tcW w:w="1008" w:type="dxa"/>
                  <w:noWrap w:val="0"/>
                  <w:vAlign w:val="center"/>
                </w:tcPr>
                <w:p w14:paraId="0CB5C82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24</w:t>
                  </w:r>
                </w:p>
              </w:tc>
            </w:tr>
            <w:tr w14:paraId="0D0D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63FD21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945" w:type="dxa"/>
                  <w:vMerge w:val="continue"/>
                  <w:noWrap w:val="0"/>
                  <w:vAlign w:val="center"/>
                </w:tcPr>
                <w:p w14:paraId="2C1B14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000000"/>
                      <w:spacing w:val="-6"/>
                      <w:sz w:val="21"/>
                      <w:szCs w:val="21"/>
                      <w:lang w:val="en-US" w:eastAsia="zh-CN"/>
                    </w:rPr>
                  </w:pPr>
                </w:p>
              </w:tc>
              <w:tc>
                <w:tcPr>
                  <w:tcW w:w="1770" w:type="dxa"/>
                  <w:noWrap w:val="0"/>
                  <w:vAlign w:val="center"/>
                </w:tcPr>
                <w:p w14:paraId="5612F35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石油类</w:t>
                  </w:r>
                </w:p>
              </w:tc>
              <w:tc>
                <w:tcPr>
                  <w:tcW w:w="705" w:type="dxa"/>
                  <w:noWrap w:val="0"/>
                  <w:vAlign w:val="center"/>
                </w:tcPr>
                <w:p w14:paraId="6EAA34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25D4C77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&lt;0.06</w:t>
                  </w:r>
                </w:p>
              </w:tc>
              <w:tc>
                <w:tcPr>
                  <w:tcW w:w="1006" w:type="dxa"/>
                  <w:noWrap w:val="0"/>
                  <w:vAlign w:val="center"/>
                </w:tcPr>
                <w:p w14:paraId="510CDC7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&lt;0.06</w:t>
                  </w:r>
                </w:p>
              </w:tc>
              <w:tc>
                <w:tcPr>
                  <w:tcW w:w="1006" w:type="dxa"/>
                  <w:noWrap w:val="0"/>
                  <w:vAlign w:val="center"/>
                </w:tcPr>
                <w:p w14:paraId="01CE03F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&lt;0.06</w:t>
                  </w:r>
                </w:p>
              </w:tc>
              <w:tc>
                <w:tcPr>
                  <w:tcW w:w="1006" w:type="dxa"/>
                  <w:noWrap w:val="0"/>
                  <w:vAlign w:val="center"/>
                </w:tcPr>
                <w:p w14:paraId="5197F74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&lt;0.06</w:t>
                  </w:r>
                </w:p>
              </w:tc>
              <w:tc>
                <w:tcPr>
                  <w:tcW w:w="1008" w:type="dxa"/>
                  <w:noWrap w:val="0"/>
                  <w:vAlign w:val="center"/>
                </w:tcPr>
                <w:p w14:paraId="6A63062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w:t>
                  </w:r>
                </w:p>
              </w:tc>
            </w:tr>
            <w:tr w14:paraId="2D94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016" w:type="dxa"/>
                  <w:vMerge w:val="continue"/>
                  <w:noWrap w:val="0"/>
                  <w:vAlign w:val="center"/>
                </w:tcPr>
                <w:p w14:paraId="1A3DE49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b w:val="0"/>
                      <w:color w:val="000000"/>
                      <w:kern w:val="2"/>
                      <w:sz w:val="21"/>
                      <w:szCs w:val="21"/>
                      <w:highlight w:val="none"/>
                      <w:lang w:val="en-US" w:eastAsia="zh-CN" w:bidi="ar"/>
                    </w:rPr>
                  </w:pPr>
                </w:p>
              </w:tc>
              <w:tc>
                <w:tcPr>
                  <w:tcW w:w="945" w:type="dxa"/>
                  <w:vMerge w:val="continue"/>
                  <w:noWrap w:val="0"/>
                  <w:vAlign w:val="center"/>
                </w:tcPr>
                <w:p w14:paraId="135CBF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val="0"/>
                      <w:color w:val="000000"/>
                      <w:spacing w:val="-6"/>
                      <w:sz w:val="21"/>
                      <w:szCs w:val="21"/>
                      <w:lang w:val="en-US" w:eastAsia="zh-CN"/>
                    </w:rPr>
                  </w:pPr>
                </w:p>
              </w:tc>
              <w:tc>
                <w:tcPr>
                  <w:tcW w:w="1770" w:type="dxa"/>
                  <w:noWrap w:val="0"/>
                  <w:vAlign w:val="center"/>
                </w:tcPr>
                <w:p w14:paraId="207B0CD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阴离子表面活性剂</w:t>
                  </w:r>
                </w:p>
              </w:tc>
              <w:tc>
                <w:tcPr>
                  <w:tcW w:w="705" w:type="dxa"/>
                  <w:noWrap w:val="0"/>
                  <w:vAlign w:val="center"/>
                </w:tcPr>
                <w:p w14:paraId="5EB0DB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mg/L</w:t>
                  </w:r>
                </w:p>
              </w:tc>
              <w:tc>
                <w:tcPr>
                  <w:tcW w:w="1006" w:type="dxa"/>
                  <w:noWrap w:val="0"/>
                  <w:vAlign w:val="center"/>
                </w:tcPr>
                <w:p w14:paraId="3B17388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0.087</w:t>
                  </w:r>
                </w:p>
              </w:tc>
              <w:tc>
                <w:tcPr>
                  <w:tcW w:w="1006" w:type="dxa"/>
                  <w:noWrap w:val="0"/>
                  <w:vAlign w:val="center"/>
                </w:tcPr>
                <w:p w14:paraId="2614948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0.081</w:t>
                  </w:r>
                </w:p>
              </w:tc>
              <w:tc>
                <w:tcPr>
                  <w:tcW w:w="1006" w:type="dxa"/>
                  <w:noWrap w:val="0"/>
                  <w:vAlign w:val="center"/>
                </w:tcPr>
                <w:p w14:paraId="65869F8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0.102</w:t>
                  </w:r>
                </w:p>
              </w:tc>
              <w:tc>
                <w:tcPr>
                  <w:tcW w:w="1006" w:type="dxa"/>
                  <w:noWrap w:val="0"/>
                  <w:vAlign w:val="center"/>
                </w:tcPr>
                <w:p w14:paraId="5AC183D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0.092</w:t>
                  </w:r>
                </w:p>
              </w:tc>
              <w:tc>
                <w:tcPr>
                  <w:tcW w:w="1008" w:type="dxa"/>
                  <w:noWrap w:val="0"/>
                  <w:vAlign w:val="center"/>
                </w:tcPr>
                <w:p w14:paraId="38DFDF0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0.090</w:t>
                  </w:r>
                </w:p>
              </w:tc>
            </w:tr>
          </w:tbl>
          <w:p w14:paraId="08AF1309">
            <w:pPr>
              <w:ind w:firstLine="480" w:firstLineChars="200"/>
            </w:pPr>
            <w:r>
              <w:rPr>
                <w:rFonts w:hint="eastAsia"/>
              </w:rPr>
              <w:t>在验收监测期间，满足工况的条件下，项目生活污水</w:t>
            </w:r>
            <w:r>
              <w:rPr>
                <w:rFonts w:hint="eastAsia"/>
                <w:lang w:eastAsia="zh-CN"/>
              </w:rPr>
              <w:t>、</w:t>
            </w:r>
            <w:r>
              <w:rPr>
                <w:rFonts w:hint="eastAsia"/>
                <w:lang w:val="en-US" w:eastAsia="zh-CN"/>
              </w:rPr>
              <w:t>生产废水</w:t>
            </w:r>
            <w:r>
              <w:rPr>
                <w:rFonts w:hint="eastAsia"/>
              </w:rPr>
              <w:t>排放可达到GB8978-1996《污水综合排放标准》表4中的三级标准（其中氨氮参照执行</w:t>
            </w:r>
            <w:r>
              <w:rPr>
                <w:rFonts w:hint="eastAsia"/>
                <w:bCs/>
              </w:rPr>
              <w:t>《污水排入城镇下水道水质标准》(GB/T31962-2015)</w:t>
            </w:r>
            <w:r>
              <w:rPr>
                <w:rFonts w:hint="eastAsia"/>
              </w:rPr>
              <w:t>）。</w:t>
            </w:r>
          </w:p>
        </w:tc>
      </w:tr>
    </w:tbl>
    <w:p w14:paraId="5D8A1FC1">
      <w:pPr>
        <w:sectPr>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pPr>
    </w:p>
    <w:p w14:paraId="5F5FAE7E">
      <w:pPr>
        <w:pStyle w:val="2"/>
      </w:pPr>
      <w:r>
        <w:t>表八</w:t>
      </w:r>
    </w:p>
    <w:tbl>
      <w:tblPr>
        <w:tblStyle w:val="2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543E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329" w:hRule="atLeast"/>
          <w:jc w:val="center"/>
        </w:trPr>
        <w:tc>
          <w:tcPr>
            <w:tcW w:w="9288" w:type="dxa"/>
          </w:tcPr>
          <w:p w14:paraId="08F47708">
            <w:pPr>
              <w:spacing w:before="48" w:beforeLines="20"/>
              <w:rPr>
                <w:rFonts w:hint="default" w:ascii="Times New Roman" w:hAnsi="Times New Roman" w:cs="Times New Roman"/>
                <w:b/>
                <w:bCs/>
              </w:rPr>
            </w:pPr>
            <w:r>
              <w:rPr>
                <w:rFonts w:hint="default" w:ascii="Times New Roman" w:hAnsi="Times New Roman" w:cs="Times New Roman"/>
                <w:b/>
                <w:bCs/>
              </w:rPr>
              <w:t>验收监测结论：</w:t>
            </w:r>
          </w:p>
          <w:p w14:paraId="33CC6864">
            <w:pPr>
              <w:spacing w:before="48" w:beforeLines="20"/>
              <w:ind w:firstLine="482" w:firstLineChars="200"/>
              <w:rPr>
                <w:rFonts w:hint="default" w:ascii="Times New Roman" w:hAnsi="Times New Roman" w:cs="Times New Roman"/>
                <w:b/>
                <w:bCs/>
              </w:rPr>
            </w:pPr>
            <w:r>
              <w:rPr>
                <w:rFonts w:hint="default" w:ascii="Times New Roman" w:hAnsi="Times New Roman" w:cs="Times New Roman"/>
                <w:b/>
                <w:bCs/>
              </w:rPr>
              <w:t>（1）“三同时”执行情况</w:t>
            </w:r>
          </w:p>
          <w:p w14:paraId="741D799B">
            <w:pPr>
              <w:ind w:firstLine="480" w:firstLineChars="200"/>
              <w:rPr>
                <w:rFonts w:hint="default" w:ascii="Times New Roman" w:hAnsi="Times New Roman" w:cs="Times New Roman"/>
              </w:rPr>
            </w:pPr>
            <w:r>
              <w:rPr>
                <w:rFonts w:hint="default" w:ascii="Times New Roman" w:hAnsi="Times New Roman" w:cs="Times New Roman"/>
                <w:sz w:val="24"/>
              </w:rPr>
              <w:t>福建玖辰精工科技有限公司年加工车载盖板玻璃80万片项目</w:t>
            </w:r>
            <w:r>
              <w:rPr>
                <w:rFonts w:hint="default" w:ascii="Times New Roman" w:hAnsi="Times New Roman" w:cs="Times New Roman"/>
              </w:rPr>
              <w:t>的建设履行了环境影响审批手续，根据环境影响评价法相关要求，做到了环境保护设施建设与主体工程同时设计、同时施工、同时投入使用。</w:t>
            </w:r>
          </w:p>
          <w:p w14:paraId="249538FA">
            <w:pPr>
              <w:spacing w:before="48" w:beforeLines="20"/>
              <w:ind w:firstLine="482" w:firstLineChars="200"/>
              <w:rPr>
                <w:rFonts w:hint="default" w:ascii="Times New Roman" w:hAnsi="Times New Roman" w:cs="Times New Roman"/>
                <w:b/>
                <w:bCs/>
              </w:rPr>
            </w:pPr>
            <w:r>
              <w:rPr>
                <w:rFonts w:hint="default" w:ascii="Times New Roman" w:hAnsi="Times New Roman" w:cs="Times New Roman"/>
                <w:b/>
                <w:bCs/>
              </w:rPr>
              <w:t>（2）废气监测结论</w:t>
            </w:r>
          </w:p>
          <w:p w14:paraId="38B7F238">
            <w:pPr>
              <w:tabs>
                <w:tab w:val="left" w:pos="829"/>
              </w:tabs>
              <w:spacing w:before="48" w:beforeLines="20"/>
              <w:ind w:firstLine="480" w:firstLineChars="200"/>
              <w:rPr>
                <w:rFonts w:hint="default" w:ascii="Times New Roman" w:hAnsi="Times New Roman" w:cs="Times New Roman"/>
                <w:lang w:val="en-US" w:eastAsia="zh-CN"/>
              </w:rPr>
            </w:pPr>
            <w:r>
              <w:rPr>
                <w:rFonts w:hint="default" w:ascii="Times New Roman" w:hAnsi="Times New Roman" w:cs="Times New Roman"/>
              </w:rPr>
              <w:t>验收监测期间，在满足工况的条件下，项目</w:t>
            </w:r>
            <w:r>
              <w:rPr>
                <w:rFonts w:hint="eastAsia" w:cs="Times New Roman"/>
                <w:lang w:val="en-US" w:eastAsia="zh-CN"/>
              </w:rPr>
              <w:t>印刷</w:t>
            </w:r>
            <w:r>
              <w:rPr>
                <w:rFonts w:hint="default" w:ascii="Times New Roman" w:hAnsi="Times New Roman" w:cs="Times New Roman"/>
              </w:rPr>
              <w:t>有机废气非甲烷总烃浓度范围为</w:t>
            </w:r>
            <w:r>
              <w:rPr>
                <w:rFonts w:hint="eastAsia" w:cs="Times New Roman"/>
                <w:lang w:val="en-US" w:eastAsia="zh-CN"/>
              </w:rPr>
              <w:t>1.98-2.61</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，非甲烷总烃可达到《印刷行业挥发性有机物排放标准》（DB35/1784-2018）表1标准</w:t>
            </w:r>
            <w:r>
              <w:rPr>
                <w:rFonts w:hint="default" w:ascii="Times New Roman" w:hAnsi="Times New Roman" w:cs="Times New Roman"/>
                <w:lang w:val="en-US" w:eastAsia="zh-CN"/>
              </w:rPr>
              <w:t>。</w:t>
            </w:r>
            <w:r>
              <w:rPr>
                <w:rFonts w:hint="eastAsia" w:cs="Times New Roman"/>
                <w:lang w:val="en-US" w:eastAsia="zh-CN"/>
              </w:rPr>
              <w:t>废气处理效率约60%。</w:t>
            </w:r>
          </w:p>
          <w:p w14:paraId="7ED9A2CD">
            <w:pPr>
              <w:tabs>
                <w:tab w:val="left" w:pos="829"/>
              </w:tabs>
              <w:spacing w:before="48" w:beforeLines="20"/>
              <w:ind w:firstLine="480" w:firstLineChars="200"/>
              <w:rPr>
                <w:rFonts w:hint="default" w:ascii="Times New Roman" w:hAnsi="Times New Roman" w:cs="Times New Roman"/>
              </w:rPr>
            </w:pPr>
            <w:r>
              <w:rPr>
                <w:rFonts w:hint="default" w:ascii="Times New Roman" w:hAnsi="Times New Roman" w:cs="Times New Roman"/>
              </w:rPr>
              <w:t>验收监测期间，在满足工况的条件下，项目无组织排放的非甲烷总烃厂界监控点最大浓度为</w:t>
            </w:r>
            <w:r>
              <w:rPr>
                <w:rFonts w:hint="eastAsia" w:cs="Times New Roman"/>
                <w:lang w:val="en-US" w:eastAsia="zh-CN"/>
              </w:rPr>
              <w:t>0.80</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lang w:eastAsia="zh-CN"/>
              </w:rPr>
              <w:t>；</w:t>
            </w:r>
            <w:r>
              <w:rPr>
                <w:rFonts w:hint="default" w:ascii="Times New Roman" w:hAnsi="Times New Roman" w:cs="Times New Roman"/>
              </w:rPr>
              <w:t>非甲烷总烃厂区内监控点最大浓度为</w:t>
            </w:r>
            <w:r>
              <w:rPr>
                <w:rFonts w:hint="eastAsia" w:cs="Times New Roman"/>
                <w:lang w:val="en-US" w:eastAsia="zh-CN"/>
              </w:rPr>
              <w:t>1.42</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，非甲烷总烃可达到《印刷行业挥发性有机物排放标准》（DB35/1784-2018）表</w:t>
            </w:r>
            <w:r>
              <w:rPr>
                <w:rFonts w:hint="eastAsia" w:cs="Times New Roman"/>
                <w:lang w:val="en-US" w:eastAsia="zh-CN"/>
              </w:rPr>
              <w:t>2、表3</w:t>
            </w:r>
            <w:r>
              <w:rPr>
                <w:rFonts w:hint="default" w:ascii="Times New Roman" w:hAnsi="Times New Roman" w:cs="Times New Roman"/>
              </w:rPr>
              <w:t>标准</w:t>
            </w:r>
            <w:r>
              <w:rPr>
                <w:rFonts w:hint="default" w:ascii="Times New Roman" w:hAnsi="Times New Roman" w:cs="Times New Roman"/>
                <w:lang w:eastAsia="zh-CN"/>
              </w:rPr>
              <w:t>，</w:t>
            </w:r>
            <w:r>
              <w:rPr>
                <w:rFonts w:hint="default" w:ascii="Times New Roman" w:hAnsi="Times New Roman" w:cs="Times New Roman"/>
                <w:lang w:val="en-US" w:eastAsia="zh-CN"/>
              </w:rPr>
              <w:t>同时可达到</w:t>
            </w:r>
            <w:r>
              <w:rPr>
                <w:rFonts w:hint="default" w:ascii="Times New Roman" w:hAnsi="Times New Roman" w:cs="Times New Roman"/>
              </w:rPr>
              <w:t>《挥发性有机物无组织排放控制标准》(GB37822-2019)中附录A表A.1标准限值。</w:t>
            </w:r>
          </w:p>
          <w:p w14:paraId="1558A84C">
            <w:pPr>
              <w:spacing w:before="48" w:beforeLines="20"/>
              <w:ind w:firstLine="482" w:firstLineChars="200"/>
              <w:rPr>
                <w:rFonts w:hint="default" w:ascii="Times New Roman" w:hAnsi="Times New Roman" w:cs="Times New Roman"/>
                <w:b/>
                <w:bCs/>
              </w:rPr>
            </w:pPr>
            <w:r>
              <w:rPr>
                <w:rFonts w:hint="default" w:ascii="Times New Roman" w:hAnsi="Times New Roman" w:cs="Times New Roman"/>
                <w:b/>
                <w:bCs/>
              </w:rPr>
              <w:t>（3）厂界噪声监测结论</w:t>
            </w:r>
          </w:p>
          <w:p w14:paraId="5320E555">
            <w:pPr>
              <w:spacing w:before="48" w:beforeLines="20"/>
              <w:ind w:firstLine="480" w:firstLineChars="200"/>
              <w:rPr>
                <w:rFonts w:hint="default" w:ascii="Times New Roman" w:hAnsi="Times New Roman" w:cs="Times New Roman"/>
              </w:rPr>
            </w:pPr>
            <w:r>
              <w:rPr>
                <w:rFonts w:hint="default" w:ascii="Times New Roman" w:hAnsi="Times New Roman" w:cs="Times New Roman"/>
              </w:rPr>
              <w:t>项目生产过程噪声主要来源于生产设备运行的噪声，根据监测结果显示，项目厂界噪声均符合《工业企业厂界环境噪声排放标准》(GB12348-2008)</w:t>
            </w:r>
            <w:r>
              <w:rPr>
                <w:rFonts w:hint="default" w:ascii="Times New Roman" w:hAnsi="Times New Roman" w:cs="Times New Roman"/>
                <w:szCs w:val="28"/>
              </w:rPr>
              <w:t>中</w:t>
            </w:r>
            <w:r>
              <w:rPr>
                <w:rFonts w:hint="eastAsia" w:cs="Times New Roman"/>
                <w:lang w:val="en-US" w:eastAsia="zh-CN"/>
              </w:rPr>
              <w:t>3</w:t>
            </w:r>
            <w:r>
              <w:rPr>
                <w:rFonts w:hint="default" w:ascii="Times New Roman" w:hAnsi="Times New Roman" w:cs="Times New Roman"/>
              </w:rPr>
              <w:t>类标准限值。</w:t>
            </w:r>
          </w:p>
          <w:p w14:paraId="04116BFD">
            <w:pPr>
              <w:ind w:firstLine="482" w:firstLineChars="200"/>
              <w:rPr>
                <w:rFonts w:hint="default" w:ascii="Times New Roman" w:hAnsi="Times New Roman" w:cs="Times New Roman"/>
                <w:b/>
                <w:bCs/>
                <w:color w:val="auto"/>
                <w:lang w:val="en-GB"/>
              </w:rPr>
            </w:pPr>
            <w:r>
              <w:rPr>
                <w:rFonts w:hint="default" w:ascii="Times New Roman" w:hAnsi="Times New Roman" w:cs="Times New Roman"/>
                <w:b/>
                <w:bCs/>
              </w:rPr>
              <w:t>（4</w:t>
            </w:r>
            <w:r>
              <w:rPr>
                <w:rFonts w:hint="default" w:ascii="Times New Roman" w:hAnsi="Times New Roman" w:cs="Times New Roman"/>
                <w:b/>
                <w:bCs/>
                <w:lang w:val="en-GB"/>
              </w:rPr>
              <w:t>）废水处理方式</w:t>
            </w:r>
          </w:p>
          <w:p w14:paraId="4742558D">
            <w:pPr>
              <w:spacing w:before="48" w:beforeLines="20"/>
              <w:ind w:firstLine="480" w:firstLineChars="200"/>
              <w:rPr>
                <w:rFonts w:hint="default" w:ascii="Times New Roman" w:hAnsi="Times New Roman" w:cs="Times New Roman"/>
              </w:rPr>
            </w:pPr>
            <w:r>
              <w:rPr>
                <w:rFonts w:hint="default" w:ascii="Times New Roman" w:hAnsi="Times New Roman" w:cs="Times New Roman"/>
                <w:sz w:val="24"/>
              </w:rPr>
              <w:t>生活污水经化粪池处理达到《污水综合排放标准》(GB8978-1996)表4中的三级标准后</w:t>
            </w:r>
            <w:r>
              <w:rPr>
                <w:rFonts w:hint="default" w:ascii="Times New Roman" w:hAnsi="Times New Roman" w:cs="Times New Roman"/>
                <w:sz w:val="24"/>
                <w:lang w:eastAsia="zh-CN"/>
              </w:rPr>
              <w:t>（</w:t>
            </w:r>
            <w:r>
              <w:rPr>
                <w:rFonts w:hint="default" w:ascii="Times New Roman" w:hAnsi="Times New Roman" w:cs="Times New Roman"/>
                <w:sz w:val="24"/>
              </w:rPr>
              <w:t>其中氨氮参照执行《污水排入城镇下水道水质标准》(GB/T31962-2015)表1中B级标准限值</w:t>
            </w:r>
            <w:r>
              <w:rPr>
                <w:rFonts w:hint="default" w:ascii="Times New Roman" w:hAnsi="Times New Roman" w:cs="Times New Roman"/>
                <w:sz w:val="24"/>
                <w:lang w:eastAsia="zh-CN"/>
              </w:rPr>
              <w:t>）</w:t>
            </w:r>
            <w:r>
              <w:rPr>
                <w:rFonts w:hint="default" w:ascii="Times New Roman" w:hAnsi="Times New Roman" w:cs="Times New Roman"/>
                <w:sz w:val="24"/>
              </w:rPr>
              <w:t>，排入市政污水管网，送往</w:t>
            </w:r>
            <w:r>
              <w:rPr>
                <w:rFonts w:hint="eastAsia" w:ascii="Times New Roman" w:hAnsi="Times New Roman" w:cs="Times New Roman"/>
                <w:sz w:val="24"/>
                <w:lang w:val="en-US" w:eastAsia="zh-CN"/>
              </w:rPr>
              <w:t>福清市融元污水处理厂</w:t>
            </w:r>
            <w:r>
              <w:rPr>
                <w:rFonts w:hint="default" w:ascii="Times New Roman" w:hAnsi="Times New Roman" w:cs="Times New Roman"/>
                <w:sz w:val="24"/>
              </w:rPr>
              <w:t>统一处理</w:t>
            </w:r>
            <w:r>
              <w:rPr>
                <w:rFonts w:hint="default" w:ascii="Times New Roman" w:hAnsi="Times New Roman" w:cs="Times New Roman"/>
              </w:rPr>
              <w:t>。</w:t>
            </w:r>
          </w:p>
          <w:p w14:paraId="2BBE9AEC">
            <w:pPr>
              <w:pStyle w:val="9"/>
              <w:ind w:firstLine="480" w:firstLineChars="200"/>
              <w:rPr>
                <w:rFonts w:hint="eastAsia" w:eastAsia="宋体"/>
                <w:lang w:val="en-US" w:eastAsia="zh-CN"/>
              </w:rPr>
            </w:pPr>
            <w:r>
              <w:rPr>
                <w:rFonts w:hint="eastAsia" w:ascii="Times New Roman" w:hAnsi="Times New Roman" w:cs="Times New Roman"/>
                <w:lang w:val="en-US" w:eastAsia="zh-CN"/>
              </w:rPr>
              <w:t>生产废水经污水处理设施处理后</w:t>
            </w:r>
            <w:r>
              <w:rPr>
                <w:rFonts w:hint="default" w:ascii="Times New Roman" w:hAnsi="Times New Roman" w:cs="Times New Roman"/>
                <w:sz w:val="24"/>
              </w:rPr>
              <w:t>达到《污水综合排放标准》(GB8978-1996)表4中的三级标准后</w:t>
            </w:r>
            <w:r>
              <w:rPr>
                <w:rFonts w:hint="default" w:ascii="Times New Roman" w:hAnsi="Times New Roman" w:cs="Times New Roman"/>
                <w:sz w:val="24"/>
                <w:lang w:eastAsia="zh-CN"/>
              </w:rPr>
              <w:t>（</w:t>
            </w:r>
            <w:r>
              <w:rPr>
                <w:rFonts w:hint="default" w:ascii="Times New Roman" w:hAnsi="Times New Roman" w:cs="Times New Roman"/>
                <w:sz w:val="24"/>
              </w:rPr>
              <w:t>其中氨氮参照执行《污水排入城镇下水道水质标准》(GB/T31962-2015)表1中B级标准限值</w:t>
            </w:r>
            <w:r>
              <w:rPr>
                <w:rFonts w:hint="default" w:ascii="Times New Roman" w:hAnsi="Times New Roman" w:cs="Times New Roman"/>
                <w:sz w:val="24"/>
                <w:lang w:eastAsia="zh-CN"/>
              </w:rPr>
              <w:t>）</w:t>
            </w:r>
            <w:r>
              <w:rPr>
                <w:rFonts w:hint="default" w:ascii="Times New Roman" w:hAnsi="Times New Roman" w:cs="Times New Roman"/>
                <w:sz w:val="24"/>
              </w:rPr>
              <w:t>，排入市政污水管网，送往</w:t>
            </w:r>
            <w:r>
              <w:rPr>
                <w:rFonts w:hint="eastAsia" w:ascii="Times New Roman" w:hAnsi="Times New Roman" w:cs="Times New Roman"/>
                <w:sz w:val="24"/>
                <w:lang w:val="en-US" w:eastAsia="zh-CN"/>
              </w:rPr>
              <w:t>福清市融元污水处理厂</w:t>
            </w:r>
            <w:r>
              <w:rPr>
                <w:rFonts w:hint="default" w:ascii="Times New Roman" w:hAnsi="Times New Roman" w:cs="Times New Roman"/>
                <w:sz w:val="24"/>
              </w:rPr>
              <w:t>统一处理</w:t>
            </w:r>
            <w:r>
              <w:rPr>
                <w:rFonts w:hint="eastAsia" w:ascii="Times New Roman" w:hAnsi="Times New Roman" w:cs="Times New Roman"/>
                <w:sz w:val="24"/>
                <w:lang w:eastAsia="zh-CN"/>
              </w:rPr>
              <w:t>。</w:t>
            </w:r>
          </w:p>
        </w:tc>
      </w:tr>
      <w:tr w14:paraId="7F01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29" w:hRule="atLeast"/>
          <w:jc w:val="center"/>
        </w:trPr>
        <w:tc>
          <w:tcPr>
            <w:tcW w:w="9288" w:type="dxa"/>
          </w:tcPr>
          <w:p w14:paraId="300059D4">
            <w:pPr>
              <w:ind w:firstLine="482" w:firstLineChars="200"/>
              <w:rPr>
                <w:rFonts w:hint="default" w:ascii="Times New Roman" w:hAnsi="Times New Roman" w:cs="Times New Roman"/>
                <w:b/>
                <w:bCs/>
                <w:lang w:val="en-GB"/>
              </w:rPr>
            </w:pPr>
            <w:r>
              <w:rPr>
                <w:rFonts w:hint="default" w:ascii="Times New Roman" w:hAnsi="Times New Roman" w:cs="Times New Roman"/>
                <w:b/>
                <w:bCs/>
                <w:lang w:val="en-GB"/>
              </w:rPr>
              <w:t>（</w:t>
            </w:r>
            <w:r>
              <w:rPr>
                <w:rFonts w:hint="default" w:ascii="Times New Roman" w:hAnsi="Times New Roman" w:cs="Times New Roman"/>
                <w:b/>
                <w:bCs/>
              </w:rPr>
              <w:t>5</w:t>
            </w:r>
            <w:r>
              <w:rPr>
                <w:rFonts w:hint="default" w:ascii="Times New Roman" w:hAnsi="Times New Roman" w:cs="Times New Roman"/>
                <w:b/>
                <w:bCs/>
                <w:lang w:val="en-GB"/>
              </w:rPr>
              <w:t>）固体废物处置方式</w:t>
            </w:r>
          </w:p>
          <w:p w14:paraId="77F5EDE4">
            <w:pPr>
              <w:spacing w:before="48" w:beforeLines="20"/>
              <w:ind w:firstLine="480" w:firstLineChars="200"/>
              <w:rPr>
                <w:rFonts w:hint="default" w:ascii="Times New Roman" w:hAnsi="Times New Roman" w:cs="Times New Roman"/>
              </w:rPr>
            </w:pPr>
            <w:r>
              <w:rPr>
                <w:rFonts w:hint="default" w:ascii="Times New Roman" w:hAnsi="Times New Roman" w:cs="Times New Roman"/>
              </w:rPr>
              <w:t>项目职工日常生</w:t>
            </w:r>
            <w:r>
              <w:rPr>
                <w:rFonts w:hint="default" w:ascii="Times New Roman" w:hAnsi="Times New Roman" w:cs="Times New Roman"/>
                <w:color w:val="auto"/>
              </w:rPr>
              <w:t>活垃圾指定地点存放，委托环卫部门每日及时清运、处置</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一般固废委托物资回收单位回收</w:t>
            </w:r>
            <w:r>
              <w:rPr>
                <w:rFonts w:hint="default" w:ascii="Times New Roman" w:hAnsi="Times New Roman" w:cs="Times New Roman"/>
                <w:color w:val="auto"/>
              </w:rPr>
              <w:t>；</w:t>
            </w:r>
            <w:r>
              <w:rPr>
                <w:rFonts w:hint="eastAsia"/>
                <w:lang w:val="en-US" w:eastAsia="zh-CN"/>
              </w:rPr>
              <w:t>废活性炭、</w:t>
            </w:r>
            <w:r>
              <w:rPr>
                <w:spacing w:val="-2"/>
              </w:rPr>
              <w:t>废切削液</w:t>
            </w:r>
            <w:r>
              <w:rPr>
                <w:rFonts w:hint="eastAsia"/>
                <w:spacing w:val="-2"/>
                <w:lang w:eastAsia="zh-CN"/>
              </w:rPr>
              <w:t>、</w:t>
            </w:r>
            <w:r>
              <w:rPr>
                <w:spacing w:val="-2"/>
              </w:rPr>
              <w:t>废硝酸钾</w:t>
            </w:r>
            <w:r>
              <w:rPr>
                <w:rFonts w:hint="eastAsia"/>
                <w:spacing w:val="-2"/>
                <w:lang w:eastAsia="zh-CN"/>
              </w:rPr>
              <w:t>、</w:t>
            </w:r>
            <w:r>
              <w:t>原料桶</w:t>
            </w:r>
            <w:r>
              <w:rPr>
                <w:rFonts w:hint="eastAsia"/>
                <w:lang w:eastAsia="zh-CN"/>
              </w:rPr>
              <w:t>、</w:t>
            </w:r>
            <w:r>
              <w:rPr>
                <w:rFonts w:hint="eastAsia"/>
                <w:lang w:val="en-US" w:eastAsia="zh-CN"/>
              </w:rPr>
              <w:t>废机油</w:t>
            </w:r>
            <w:r>
              <w:rPr>
                <w:rFonts w:hint="default" w:ascii="Times New Roman" w:hAnsi="Times New Roman" w:cs="Times New Roman"/>
                <w:color w:val="auto"/>
              </w:rPr>
              <w:t>定期委托</w:t>
            </w:r>
            <w:r>
              <w:rPr>
                <w:rFonts w:hint="eastAsia" w:cs="Times New Roman"/>
                <w:color w:val="auto"/>
                <w:lang w:eastAsia="zh-CN"/>
              </w:rPr>
              <w:t>福建省固体废物处置有限公司</w:t>
            </w:r>
            <w:r>
              <w:rPr>
                <w:rFonts w:hint="default" w:ascii="Times New Roman" w:hAnsi="Times New Roman" w:cs="Times New Roman"/>
                <w:color w:val="auto"/>
              </w:rPr>
              <w:t>处理，建设单位</w:t>
            </w:r>
            <w:r>
              <w:rPr>
                <w:rFonts w:hint="default" w:ascii="Times New Roman" w:hAnsi="Times New Roman" w:cs="Times New Roman"/>
                <w:color w:val="auto"/>
                <w:lang w:eastAsia="zh-CN"/>
              </w:rPr>
              <w:t>已经与</w:t>
            </w:r>
            <w:r>
              <w:rPr>
                <w:rFonts w:hint="eastAsia" w:cs="Times New Roman"/>
                <w:color w:val="auto"/>
                <w:lang w:eastAsia="zh-CN"/>
              </w:rPr>
              <w:t>福建省固体废物处置有限公司</w:t>
            </w:r>
            <w:r>
              <w:rPr>
                <w:rFonts w:hint="default" w:ascii="Times New Roman" w:hAnsi="Times New Roman" w:cs="Times New Roman"/>
                <w:color w:val="auto"/>
              </w:rPr>
              <w:t>签</w:t>
            </w:r>
            <w:r>
              <w:rPr>
                <w:rFonts w:hint="default" w:ascii="Times New Roman" w:hAnsi="Times New Roman" w:cs="Times New Roman"/>
              </w:rPr>
              <w:t>订合同。</w:t>
            </w:r>
          </w:p>
          <w:p w14:paraId="52D24BF2">
            <w:pPr>
              <w:spacing w:before="48" w:beforeLines="20"/>
              <w:ind w:firstLine="482" w:firstLineChars="200"/>
              <w:rPr>
                <w:rFonts w:hint="default" w:ascii="Times New Roman" w:hAnsi="Times New Roman" w:cs="Times New Roman"/>
                <w:b/>
                <w:bCs/>
              </w:rPr>
            </w:pPr>
            <w:r>
              <w:rPr>
                <w:rFonts w:hint="default" w:ascii="Times New Roman" w:hAnsi="Times New Roman" w:cs="Times New Roman"/>
                <w:b/>
                <w:bCs/>
              </w:rPr>
              <w:t>（6）总量控制</w:t>
            </w:r>
          </w:p>
          <w:p w14:paraId="7D57DBB1">
            <w:pPr>
              <w:adjustRightInd w:val="0"/>
              <w:snapToGrid w:val="0"/>
              <w:ind w:firstLine="480" w:firstLineChars="200"/>
              <w:rPr>
                <w:rFonts w:hint="default" w:ascii="Times New Roman" w:hAnsi="Times New Roman" w:cs="Times New Roman"/>
                <w:bCs/>
              </w:rPr>
            </w:pPr>
            <w:r>
              <w:rPr>
                <w:rFonts w:hint="default" w:ascii="Times New Roman" w:hAnsi="Times New Roman" w:cs="Times New Roman"/>
                <w:bCs/>
              </w:rPr>
              <w:t>实行主要污染物总量控制是控制环境污染的主线，主要污染物总量控制指标已经纳入国民经济和社会发展“十三五”计划的综合指标体系。</w:t>
            </w:r>
          </w:p>
          <w:p w14:paraId="1ECC387A">
            <w:pPr>
              <w:adjustRightInd w:val="0"/>
              <w:snapToGrid w:val="0"/>
              <w:ind w:firstLine="480" w:firstLineChars="200"/>
              <w:rPr>
                <w:rFonts w:hint="default" w:ascii="Times New Roman" w:hAnsi="Times New Roman" w:cs="Times New Roman"/>
                <w:bCs/>
              </w:rPr>
            </w:pPr>
            <w:r>
              <w:rPr>
                <w:rFonts w:hint="default" w:ascii="Times New Roman" w:hAnsi="Times New Roman" w:cs="Times New Roman"/>
                <w:bCs/>
              </w:rPr>
              <w:t>污染物排放总量参照执行《福建省环保局关于做好建设项目环保审批污染物总量控制有关工作的通知》（闽环保监【2007】52号文）和《“十三五”主要污染物总量控制规划编制技术指南》的有关总量调剂要求和项目排污特征，总量控制指标确定为CODcr、氨氮、SO</w:t>
            </w:r>
            <w:r>
              <w:rPr>
                <w:rFonts w:hint="default" w:ascii="Times New Roman" w:hAnsi="Times New Roman" w:cs="Times New Roman"/>
                <w:bCs/>
                <w:vertAlign w:val="subscript"/>
              </w:rPr>
              <w:t>2</w:t>
            </w:r>
            <w:r>
              <w:rPr>
                <w:rFonts w:hint="default" w:ascii="Times New Roman" w:hAnsi="Times New Roman" w:cs="Times New Roman"/>
                <w:bCs/>
              </w:rPr>
              <w:t>、NOx。</w:t>
            </w:r>
          </w:p>
          <w:p w14:paraId="742B850A">
            <w:pPr>
              <w:ind w:firstLine="480"/>
              <w:rPr>
                <w:rFonts w:hint="default" w:ascii="Times New Roman" w:hAnsi="Times New Roman" w:cs="Times New Roman"/>
                <w:bCs/>
                <w:kern w:val="0"/>
                <w:szCs w:val="20"/>
                <w:lang w:val="en-US"/>
              </w:rPr>
            </w:pPr>
            <w:r>
              <w:rPr>
                <w:rFonts w:hint="default" w:ascii="Times New Roman" w:hAnsi="Times New Roman" w:cs="Times New Roman"/>
              </w:rPr>
              <w:t>项目外排废水主要为员工生活污水，项目生活污水经化粪池处理后经市政管网纳入污水处理厂处理，生活污水中的COD和氨氮排放总量计入污水处理厂总量中，不再列入总量控制要求。</w:t>
            </w:r>
            <w:r>
              <w:rPr>
                <w:rFonts w:hint="eastAsia" w:cs="Times New Roman"/>
                <w:lang w:val="en-US" w:eastAsia="zh-CN"/>
              </w:rPr>
              <w:t>项目生产废水需进行总量控制。</w:t>
            </w:r>
            <w:r>
              <w:rPr>
                <w:rFonts w:hint="default" w:ascii="Times New Roman" w:hAnsi="Times New Roman" w:cs="Times New Roman"/>
                <w:b w:val="0"/>
                <w:bCs w:val="0"/>
                <w:color w:val="auto"/>
                <w:lang w:val="en-US" w:eastAsia="zh-CN"/>
              </w:rPr>
              <w:t>根据计算，本项目</w:t>
            </w:r>
            <w:r>
              <w:rPr>
                <w:rFonts w:hint="default" w:ascii="Times New Roman" w:hAnsi="Times New Roman" w:cs="Times New Roman"/>
                <w:b w:val="0"/>
                <w:bCs w:val="0"/>
                <w:color w:val="auto"/>
              </w:rPr>
              <w:t>VOCs排放量</w:t>
            </w:r>
            <w:r>
              <w:rPr>
                <w:rFonts w:hint="default" w:ascii="Times New Roman" w:hAnsi="Times New Roman" w:cs="Times New Roman"/>
                <w:b w:val="0"/>
                <w:bCs w:val="0"/>
                <w:color w:val="auto"/>
                <w:lang w:val="en-US" w:eastAsia="zh-CN"/>
              </w:rPr>
              <w:t>为</w:t>
            </w:r>
            <w:r>
              <w:rPr>
                <w:rFonts w:hint="eastAsia" w:cs="Times New Roman"/>
                <w:b w:val="0"/>
                <w:bCs w:val="0"/>
                <w:color w:val="auto"/>
                <w:lang w:val="en-US" w:eastAsia="zh-CN"/>
              </w:rPr>
              <w:t>0.058</w:t>
            </w:r>
            <w:r>
              <w:rPr>
                <w:rFonts w:hint="default" w:ascii="Times New Roman" w:hAnsi="Times New Roman" w:cs="Times New Roman"/>
                <w:b w:val="0"/>
                <w:bCs w:val="0"/>
                <w:color w:val="auto"/>
              </w:rPr>
              <w:t>t/a</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符合</w:t>
            </w:r>
            <w:r>
              <w:rPr>
                <w:rFonts w:hint="default" w:ascii="Times New Roman" w:hAnsi="Times New Roman" w:cs="Times New Roman"/>
                <w:color w:val="auto"/>
              </w:rPr>
              <w:t>VOCs排放量≤</w:t>
            </w:r>
            <w:r>
              <w:rPr>
                <w:rFonts w:hint="eastAsia" w:cs="Times New Roman"/>
                <w:color w:val="auto"/>
                <w:lang w:val="en-US" w:eastAsia="zh-CN"/>
              </w:rPr>
              <w:t>0.384</w:t>
            </w:r>
            <w:r>
              <w:rPr>
                <w:rFonts w:hint="default" w:ascii="Times New Roman" w:hAnsi="Times New Roman" w:cs="Times New Roman"/>
                <w:color w:val="auto"/>
              </w:rPr>
              <w:t>t/a</w:t>
            </w:r>
            <w:r>
              <w:rPr>
                <w:rFonts w:hint="default" w:ascii="Times New Roman" w:hAnsi="Times New Roman" w:cs="Times New Roman"/>
                <w:b w:val="0"/>
                <w:bCs w:val="0"/>
                <w:color w:val="auto"/>
                <w:lang w:val="en-US" w:eastAsia="zh-CN"/>
              </w:rPr>
              <w:t>控制要求。</w:t>
            </w:r>
            <w:r>
              <w:rPr>
                <w:rFonts w:hint="eastAsia" w:cs="Times New Roman"/>
                <w:b w:val="0"/>
                <w:bCs w:val="0"/>
                <w:color w:val="auto"/>
                <w:lang w:val="en-US" w:eastAsia="zh-CN"/>
              </w:rPr>
              <w:t>本项目工业废水COD排放量为0.0043t/a，氨氮排放量为0.0000715t/a。符合化学需氧量&lt;0.171吨/年，氨氮&lt;0.017吨/年控制要求。</w:t>
            </w:r>
          </w:p>
          <w:p w14:paraId="421C0E77">
            <w:pPr>
              <w:adjustRightInd w:val="0"/>
              <w:snapToGrid w:val="0"/>
              <w:ind w:firstLine="482" w:firstLineChars="200"/>
              <w:rPr>
                <w:rFonts w:hint="default" w:ascii="Times New Roman" w:hAnsi="Times New Roman" w:cs="Times New Roman"/>
                <w:b/>
                <w:bCs/>
              </w:rPr>
            </w:pPr>
            <w:r>
              <w:rPr>
                <w:rFonts w:hint="default" w:ascii="Times New Roman" w:hAnsi="Times New Roman" w:cs="Times New Roman"/>
                <w:b/>
                <w:bCs/>
              </w:rPr>
              <w:t>（7）建议</w:t>
            </w:r>
          </w:p>
          <w:p w14:paraId="69C526FF">
            <w:pPr>
              <w:adjustRightInd w:val="0"/>
              <w:snapToGrid w:val="0"/>
              <w:ind w:firstLine="480" w:firstLineChars="200"/>
              <w:rPr>
                <w:rFonts w:hint="default" w:ascii="Times New Roman" w:hAnsi="Times New Roman" w:cs="Times New Roman"/>
              </w:rPr>
            </w:pPr>
            <w:r>
              <w:rPr>
                <w:rFonts w:hint="default" w:ascii="Times New Roman" w:hAnsi="Times New Roman" w:cs="Times New Roman"/>
              </w:rPr>
              <w:t>①制定各类污染物的自行监测计划，并根据监测结果采取相应的污染控制措施。</w:t>
            </w:r>
          </w:p>
          <w:p w14:paraId="2FD917EF">
            <w:pPr>
              <w:ind w:firstLine="480" w:firstLineChars="200"/>
              <w:rPr>
                <w:rFonts w:hint="default" w:ascii="Times New Roman" w:hAnsi="Times New Roman" w:cs="Times New Roman"/>
              </w:rPr>
            </w:pPr>
          </w:p>
        </w:tc>
      </w:tr>
      <w:tr w14:paraId="1791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29" w:hRule="atLeast"/>
          <w:jc w:val="center"/>
        </w:trPr>
        <w:tc>
          <w:tcPr>
            <w:tcW w:w="9288" w:type="dxa"/>
          </w:tcPr>
          <w:p w14:paraId="77A6D2B3">
            <w:pPr>
              <w:adjustRightInd w:val="0"/>
              <w:snapToGrid w:val="0"/>
              <w:ind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8</w:t>
            </w:r>
            <w:r>
              <w:rPr>
                <w:rFonts w:hint="default" w:ascii="Times New Roman" w:hAnsi="Times New Roman" w:cs="Times New Roman"/>
                <w:b/>
                <w:bCs/>
                <w:color w:val="auto"/>
              </w:rPr>
              <w:t>）企业自主验收符合性分析</w:t>
            </w:r>
          </w:p>
          <w:p w14:paraId="363AC34B">
            <w:pPr>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表8-1本项目验收合格情况分析</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981"/>
              <w:gridCol w:w="3178"/>
              <w:gridCol w:w="1080"/>
            </w:tblGrid>
            <w:tr w14:paraId="22FD9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Borders>
                    <w:tl2br w:val="nil"/>
                    <w:tr2bl w:val="nil"/>
                  </w:tcBorders>
                  <w:noWrap w:val="0"/>
                  <w:vAlign w:val="center"/>
                </w:tcPr>
                <w:p w14:paraId="46B4A9D5">
                  <w:pPr>
                    <w:pStyle w:val="7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3981" w:type="dxa"/>
                  <w:tcBorders>
                    <w:tl2br w:val="nil"/>
                    <w:tr2bl w:val="nil"/>
                  </w:tcBorders>
                  <w:noWrap w:val="0"/>
                  <w:vAlign w:val="center"/>
                </w:tcPr>
                <w:p w14:paraId="59CDAE29">
                  <w:pPr>
                    <w:pStyle w:val="7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不得验收合格的意见</w:t>
                  </w:r>
                </w:p>
              </w:tc>
              <w:tc>
                <w:tcPr>
                  <w:tcW w:w="3178" w:type="dxa"/>
                  <w:tcBorders>
                    <w:tl2br w:val="nil"/>
                    <w:tr2bl w:val="nil"/>
                  </w:tcBorders>
                  <w:noWrap w:val="0"/>
                  <w:vAlign w:val="center"/>
                </w:tcPr>
                <w:p w14:paraId="59B429A5">
                  <w:pPr>
                    <w:pStyle w:val="7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本项目验收情况</w:t>
                  </w:r>
                </w:p>
              </w:tc>
              <w:tc>
                <w:tcPr>
                  <w:tcW w:w="1080" w:type="dxa"/>
                  <w:tcBorders>
                    <w:tl2br w:val="nil"/>
                    <w:tr2bl w:val="nil"/>
                  </w:tcBorders>
                  <w:noWrap w:val="0"/>
                  <w:vAlign w:val="center"/>
                </w:tcPr>
                <w:p w14:paraId="26B937CF">
                  <w:pPr>
                    <w:pStyle w:val="7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是否验收合格</w:t>
                  </w:r>
                </w:p>
              </w:tc>
            </w:tr>
            <w:tr w14:paraId="619EE8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Borders>
                    <w:tl2br w:val="nil"/>
                    <w:tr2bl w:val="nil"/>
                  </w:tcBorders>
                  <w:noWrap w:val="0"/>
                  <w:vAlign w:val="center"/>
                </w:tcPr>
                <w:p w14:paraId="5799D5E3">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3981" w:type="dxa"/>
                  <w:tcBorders>
                    <w:tl2br w:val="nil"/>
                    <w:tr2bl w:val="nil"/>
                  </w:tcBorders>
                  <w:noWrap w:val="0"/>
                  <w:vAlign w:val="center"/>
                </w:tcPr>
                <w:p w14:paraId="7A6FB2F2">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未按环境影响报告书（表）及其审批部门审批决定要求建成环境保护设施，或者环境保护设施不能与主体工程同时投产或者使用的</w:t>
                  </w:r>
                </w:p>
              </w:tc>
              <w:tc>
                <w:tcPr>
                  <w:tcW w:w="3178" w:type="dxa"/>
                  <w:tcBorders>
                    <w:tl2br w:val="nil"/>
                    <w:tr2bl w:val="nil"/>
                  </w:tcBorders>
                  <w:noWrap w:val="0"/>
                  <w:vAlign w:val="center"/>
                </w:tcPr>
                <w:p w14:paraId="66BA3BB8">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已按环境影响报告表及其审批部门审批决定要求建成环境保护设施，环境保护设施与主体工程同时投产</w:t>
                  </w:r>
                </w:p>
              </w:tc>
              <w:tc>
                <w:tcPr>
                  <w:tcW w:w="1080" w:type="dxa"/>
                  <w:tcBorders>
                    <w:tl2br w:val="nil"/>
                    <w:tr2bl w:val="nil"/>
                  </w:tcBorders>
                  <w:noWrap w:val="0"/>
                  <w:vAlign w:val="center"/>
                </w:tcPr>
                <w:p w14:paraId="051E4054">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合格</w:t>
                  </w:r>
                </w:p>
              </w:tc>
            </w:tr>
            <w:tr w14:paraId="438E9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Borders>
                    <w:tl2br w:val="nil"/>
                    <w:tr2bl w:val="nil"/>
                  </w:tcBorders>
                  <w:noWrap w:val="0"/>
                  <w:vAlign w:val="center"/>
                </w:tcPr>
                <w:p w14:paraId="37CB5571">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3981" w:type="dxa"/>
                  <w:tcBorders>
                    <w:tl2br w:val="nil"/>
                    <w:tr2bl w:val="nil"/>
                  </w:tcBorders>
                  <w:noWrap w:val="0"/>
                  <w:vAlign w:val="center"/>
                </w:tcPr>
                <w:p w14:paraId="4B94B5DE">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污染物排放不符合国家和地方相关标准、环境影响报告书（表）及其审批部门审批决定或者重点污染物排放总量控制指标要求的</w:t>
                  </w:r>
                </w:p>
              </w:tc>
              <w:tc>
                <w:tcPr>
                  <w:tcW w:w="3178" w:type="dxa"/>
                  <w:tcBorders>
                    <w:tl2br w:val="nil"/>
                    <w:tr2bl w:val="nil"/>
                  </w:tcBorders>
                  <w:noWrap w:val="0"/>
                  <w:vAlign w:val="center"/>
                </w:tcPr>
                <w:p w14:paraId="04704026">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污染物排放符合国家和地方相关标准、环境影响报告书（表）及其审批部门审批决定或者重点污染物排放总量控制指标要求</w:t>
                  </w:r>
                </w:p>
              </w:tc>
              <w:tc>
                <w:tcPr>
                  <w:tcW w:w="1080" w:type="dxa"/>
                  <w:tcBorders>
                    <w:tl2br w:val="nil"/>
                    <w:tr2bl w:val="nil"/>
                  </w:tcBorders>
                  <w:noWrap w:val="0"/>
                  <w:vAlign w:val="center"/>
                </w:tcPr>
                <w:p w14:paraId="183511ED">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合格</w:t>
                  </w:r>
                </w:p>
              </w:tc>
            </w:tr>
            <w:tr w14:paraId="2A733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Borders>
                    <w:tl2br w:val="nil"/>
                    <w:tr2bl w:val="nil"/>
                  </w:tcBorders>
                  <w:noWrap w:val="0"/>
                  <w:vAlign w:val="center"/>
                </w:tcPr>
                <w:p w14:paraId="70DE301F">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3981" w:type="dxa"/>
                  <w:tcBorders>
                    <w:tl2br w:val="nil"/>
                    <w:tr2bl w:val="nil"/>
                  </w:tcBorders>
                  <w:noWrap w:val="0"/>
                  <w:vAlign w:val="center"/>
                </w:tcPr>
                <w:p w14:paraId="060C0354">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3178" w:type="dxa"/>
                  <w:tcBorders>
                    <w:tl2br w:val="nil"/>
                    <w:tr2bl w:val="nil"/>
                  </w:tcBorders>
                  <w:noWrap w:val="0"/>
                  <w:vAlign w:val="center"/>
                </w:tcPr>
                <w:p w14:paraId="34A0F196">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建设项目的性质、规模、地点、采用的生产工艺或者防治污染、防止生态破坏的措施无重大变动，无需重新报批</w:t>
                  </w:r>
                </w:p>
              </w:tc>
              <w:tc>
                <w:tcPr>
                  <w:tcW w:w="1080" w:type="dxa"/>
                  <w:tcBorders>
                    <w:tl2br w:val="nil"/>
                    <w:tr2bl w:val="nil"/>
                  </w:tcBorders>
                  <w:noWrap w:val="0"/>
                  <w:vAlign w:val="center"/>
                </w:tcPr>
                <w:p w14:paraId="789734CF">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合格</w:t>
                  </w:r>
                </w:p>
              </w:tc>
            </w:tr>
            <w:tr w14:paraId="50872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Borders>
                    <w:tl2br w:val="nil"/>
                    <w:tr2bl w:val="nil"/>
                  </w:tcBorders>
                  <w:noWrap w:val="0"/>
                  <w:vAlign w:val="center"/>
                </w:tcPr>
                <w:p w14:paraId="08B953C5">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3981" w:type="dxa"/>
                  <w:tcBorders>
                    <w:tl2br w:val="nil"/>
                    <w:tr2bl w:val="nil"/>
                  </w:tcBorders>
                  <w:noWrap w:val="0"/>
                  <w:vAlign w:val="center"/>
                </w:tcPr>
                <w:p w14:paraId="3077961B">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建设过程中造成重大环境污染未治理完成，或者造成重大生态破坏未恢复的</w:t>
                  </w:r>
                </w:p>
              </w:tc>
              <w:tc>
                <w:tcPr>
                  <w:tcW w:w="3178" w:type="dxa"/>
                  <w:tcBorders>
                    <w:tl2br w:val="nil"/>
                    <w:tr2bl w:val="nil"/>
                  </w:tcBorders>
                  <w:noWrap w:val="0"/>
                  <w:vAlign w:val="center"/>
                </w:tcPr>
                <w:p w14:paraId="46B8EDBA">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建设过程中无重大环境污染和生态破坏</w:t>
                  </w:r>
                </w:p>
              </w:tc>
              <w:tc>
                <w:tcPr>
                  <w:tcW w:w="1080" w:type="dxa"/>
                  <w:tcBorders>
                    <w:tl2br w:val="nil"/>
                    <w:tr2bl w:val="nil"/>
                  </w:tcBorders>
                  <w:noWrap w:val="0"/>
                  <w:vAlign w:val="center"/>
                </w:tcPr>
                <w:p w14:paraId="365E2BBA">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合格</w:t>
                  </w:r>
                </w:p>
              </w:tc>
            </w:tr>
            <w:tr w14:paraId="25BDC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Borders>
                    <w:tl2br w:val="nil"/>
                    <w:tr2bl w:val="nil"/>
                  </w:tcBorders>
                  <w:noWrap w:val="0"/>
                  <w:vAlign w:val="center"/>
                </w:tcPr>
                <w:p w14:paraId="761249D9">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3981" w:type="dxa"/>
                  <w:tcBorders>
                    <w:tl2br w:val="nil"/>
                    <w:tr2bl w:val="nil"/>
                  </w:tcBorders>
                  <w:noWrap w:val="0"/>
                  <w:vAlign w:val="center"/>
                </w:tcPr>
                <w:p w14:paraId="694F7D2F">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分期建设、分期投入生产或者使用依法应当分期验收的建设项目，其分期建设、分期投入生产或者使用的环境保护设施防治环境污染和生态破坏能力，不能满足其相应主体工程需要的</w:t>
                  </w:r>
                </w:p>
              </w:tc>
              <w:tc>
                <w:tcPr>
                  <w:tcW w:w="3178" w:type="dxa"/>
                  <w:tcBorders>
                    <w:tl2br w:val="nil"/>
                    <w:tr2bl w:val="nil"/>
                  </w:tcBorders>
                  <w:noWrap w:val="0"/>
                  <w:vAlign w:val="center"/>
                </w:tcPr>
                <w:p w14:paraId="7B1D9C53">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分期建设、分期投入生产或者使用的环境保护设施防治环境污染和生态破坏能力能满足其相应主体工程需要的</w:t>
                  </w:r>
                </w:p>
              </w:tc>
              <w:tc>
                <w:tcPr>
                  <w:tcW w:w="1080" w:type="dxa"/>
                  <w:tcBorders>
                    <w:tl2br w:val="nil"/>
                    <w:tr2bl w:val="nil"/>
                  </w:tcBorders>
                  <w:noWrap w:val="0"/>
                  <w:vAlign w:val="center"/>
                </w:tcPr>
                <w:p w14:paraId="1315C14A">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合格</w:t>
                  </w:r>
                </w:p>
              </w:tc>
            </w:tr>
            <w:tr w14:paraId="17CE5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Borders>
                    <w:tl2br w:val="nil"/>
                    <w:tr2bl w:val="nil"/>
                  </w:tcBorders>
                  <w:noWrap w:val="0"/>
                  <w:vAlign w:val="center"/>
                </w:tcPr>
                <w:p w14:paraId="7DBADD97">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3981" w:type="dxa"/>
                  <w:tcBorders>
                    <w:tl2br w:val="nil"/>
                    <w:tr2bl w:val="nil"/>
                  </w:tcBorders>
                  <w:noWrap w:val="0"/>
                  <w:vAlign w:val="center"/>
                </w:tcPr>
                <w:p w14:paraId="0E053075">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建设单位应该建设项目违反国家和地方环境保护法律法规受到处罚，被责令改正，尚未改正完成的</w:t>
                  </w:r>
                </w:p>
              </w:tc>
              <w:tc>
                <w:tcPr>
                  <w:tcW w:w="3178" w:type="dxa"/>
                  <w:tcBorders>
                    <w:tl2br w:val="nil"/>
                    <w:tr2bl w:val="nil"/>
                  </w:tcBorders>
                  <w:noWrap w:val="0"/>
                  <w:vAlign w:val="center"/>
                </w:tcPr>
                <w:p w14:paraId="6711E8FB">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无违法或处罚记录</w:t>
                  </w:r>
                </w:p>
              </w:tc>
              <w:tc>
                <w:tcPr>
                  <w:tcW w:w="1080" w:type="dxa"/>
                  <w:tcBorders>
                    <w:tl2br w:val="nil"/>
                    <w:tr2bl w:val="nil"/>
                  </w:tcBorders>
                  <w:noWrap w:val="0"/>
                  <w:vAlign w:val="center"/>
                </w:tcPr>
                <w:p w14:paraId="00C4ABD9">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合格</w:t>
                  </w:r>
                </w:p>
              </w:tc>
            </w:tr>
            <w:tr w14:paraId="6D69B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Borders>
                    <w:tl2br w:val="nil"/>
                    <w:tr2bl w:val="nil"/>
                  </w:tcBorders>
                  <w:noWrap w:val="0"/>
                  <w:vAlign w:val="center"/>
                </w:tcPr>
                <w:p w14:paraId="609C5675">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w:t>
                  </w:r>
                </w:p>
              </w:tc>
              <w:tc>
                <w:tcPr>
                  <w:tcW w:w="3981" w:type="dxa"/>
                  <w:tcBorders>
                    <w:tl2br w:val="nil"/>
                    <w:tr2bl w:val="nil"/>
                  </w:tcBorders>
                  <w:noWrap w:val="0"/>
                  <w:vAlign w:val="center"/>
                </w:tcPr>
                <w:p w14:paraId="1316035E">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验收报告的基础资料数据明显不实，内容存在重大缺项、遗漏，或者验收结论不明确、不合理的</w:t>
                  </w:r>
                </w:p>
              </w:tc>
              <w:tc>
                <w:tcPr>
                  <w:tcW w:w="3178" w:type="dxa"/>
                  <w:tcBorders>
                    <w:tl2br w:val="nil"/>
                    <w:tr2bl w:val="nil"/>
                  </w:tcBorders>
                  <w:noWrap w:val="0"/>
                  <w:vAlign w:val="center"/>
                </w:tcPr>
                <w:p w14:paraId="6D2367F6">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验收报告的基础资料数据属实，内容未存在重大缺项、遗漏，或者验收结论不明确、不合理</w:t>
                  </w:r>
                </w:p>
              </w:tc>
              <w:tc>
                <w:tcPr>
                  <w:tcW w:w="1080" w:type="dxa"/>
                  <w:tcBorders>
                    <w:tl2br w:val="nil"/>
                    <w:tr2bl w:val="nil"/>
                  </w:tcBorders>
                  <w:noWrap w:val="0"/>
                  <w:vAlign w:val="center"/>
                </w:tcPr>
                <w:p w14:paraId="23911D30">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合格</w:t>
                  </w:r>
                </w:p>
              </w:tc>
            </w:tr>
            <w:tr w14:paraId="11595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Borders>
                    <w:tl2br w:val="nil"/>
                    <w:tr2bl w:val="nil"/>
                  </w:tcBorders>
                  <w:noWrap w:val="0"/>
                  <w:vAlign w:val="center"/>
                </w:tcPr>
                <w:p w14:paraId="471FC0E4">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w:t>
                  </w:r>
                </w:p>
              </w:tc>
              <w:tc>
                <w:tcPr>
                  <w:tcW w:w="3981" w:type="dxa"/>
                  <w:tcBorders>
                    <w:tl2br w:val="nil"/>
                    <w:tr2bl w:val="nil"/>
                  </w:tcBorders>
                  <w:noWrap w:val="0"/>
                  <w:vAlign w:val="center"/>
                </w:tcPr>
                <w:p w14:paraId="0B44E083">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其他环境保护法律法规规章等规定不得通过环境保护验收的</w:t>
                  </w:r>
                </w:p>
              </w:tc>
              <w:tc>
                <w:tcPr>
                  <w:tcW w:w="3178" w:type="dxa"/>
                  <w:tcBorders>
                    <w:tl2br w:val="nil"/>
                    <w:tr2bl w:val="nil"/>
                  </w:tcBorders>
                  <w:noWrap w:val="0"/>
                  <w:vAlign w:val="center"/>
                </w:tcPr>
                <w:p w14:paraId="666DB236">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w:t>
                  </w:r>
                </w:p>
              </w:tc>
              <w:tc>
                <w:tcPr>
                  <w:tcW w:w="1080" w:type="dxa"/>
                  <w:tcBorders>
                    <w:tl2br w:val="nil"/>
                    <w:tr2bl w:val="nil"/>
                  </w:tcBorders>
                  <w:noWrap w:val="0"/>
                  <w:vAlign w:val="center"/>
                </w:tcPr>
                <w:p w14:paraId="32AECD61">
                  <w:pPr>
                    <w:pStyle w:val="7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合格</w:t>
                  </w:r>
                </w:p>
              </w:tc>
            </w:tr>
          </w:tbl>
          <w:p w14:paraId="605CFECB">
            <w:pPr>
              <w:adjustRightInd w:val="0"/>
              <w:snapToGrid w:val="0"/>
              <w:ind w:firstLine="482" w:firstLineChars="200"/>
              <w:rPr>
                <w:rFonts w:hint="default" w:ascii="Times New Roman" w:hAnsi="Times New Roman" w:cs="Times New Roman"/>
                <w:b/>
                <w:bCs/>
              </w:rPr>
            </w:pPr>
            <w:r>
              <w:rPr>
                <w:rFonts w:hint="default" w:ascii="Times New Roman" w:hAnsi="Times New Roman" w:cs="Times New Roman"/>
                <w:b/>
                <w:bCs/>
              </w:rPr>
              <w:t>（</w:t>
            </w:r>
            <w:r>
              <w:rPr>
                <w:rFonts w:hint="default" w:ascii="Times New Roman" w:hAnsi="Times New Roman" w:cs="Times New Roman"/>
                <w:b/>
                <w:bCs/>
                <w:lang w:val="en-US" w:eastAsia="zh-CN"/>
              </w:rPr>
              <w:t>9</w:t>
            </w:r>
            <w:r>
              <w:rPr>
                <w:rFonts w:hint="default" w:ascii="Times New Roman" w:hAnsi="Times New Roman" w:cs="Times New Roman"/>
                <w:b/>
                <w:bCs/>
              </w:rPr>
              <w:t>）总结论</w:t>
            </w:r>
          </w:p>
          <w:p w14:paraId="28F6B3CE">
            <w:pPr>
              <w:ind w:firstLine="480" w:firstLineChars="200"/>
              <w:rPr>
                <w:rFonts w:hint="default" w:ascii="Times New Roman" w:hAnsi="Times New Roman" w:cs="Times New Roman"/>
              </w:rPr>
            </w:pPr>
            <w:r>
              <w:rPr>
                <w:rFonts w:hint="default" w:ascii="Times New Roman" w:hAnsi="Times New Roman" w:cs="Times New Roman"/>
              </w:rPr>
              <w:t>综上分析，项目已按环评及批复要求进行了环境保护设施建设，根据监测结果可满足相关环境排放标准要求，基本符合环境保护验收条件，可正常纳入竣工环境保护验收管理。</w:t>
            </w:r>
          </w:p>
        </w:tc>
      </w:tr>
    </w:tbl>
    <w:p w14:paraId="396C5DAE">
      <w:pPr>
        <w:adjustRightInd w:val="0"/>
        <w:snapToGrid w:val="0"/>
        <w:spacing w:line="20" w:lineRule="atLeast"/>
        <w:ind w:firstLine="480" w:firstLineChars="200"/>
      </w:pPr>
    </w:p>
    <w:sectPr>
      <w:footerReference r:id="rId13" w:type="default"/>
      <w:pgSz w:w="11906" w:h="16838"/>
      <w:pgMar w:top="1304" w:right="1418" w:bottom="1304" w:left="1418" w:header="57" w:footer="680" w:gutter="0"/>
      <w:pgBorders>
        <w:top w:val="none" w:sz="0" w:space="0"/>
        <w:left w:val="none" w:sz="0" w:space="0"/>
        <w:bottom w:val="none" w:sz="0" w:space="0"/>
        <w:right w:val="none" w:sz="0" w:space="0"/>
      </w:pgBorders>
      <w:cols w:space="720" w:num="1"/>
      <w:docGrid w:linePitch="33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ËÎÌå">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3DC65">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0AF8E">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C2771">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49803">
    <w:pPr>
      <w:pStyle w:val="13"/>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7619E">
    <w:pPr>
      <w:pStyle w:val="13"/>
      <w:ind w:right="360" w:firstLine="360"/>
      <w:rPr>
        <w:rFonts w:hint="eastAsia" w:eastAsia="宋体"/>
        <w:lang w:eastAsia="zh-CN"/>
      </w:rPr>
    </w:pPr>
    <w:r>
      <w:pict>
        <v:shape id="_x0000_s3073" o:spid="_x0000_s3073" o:spt="202" type="#_x0000_t202" style="position:absolute;left:0pt;margin-left:221.7pt;margin-top:0.75pt;height:144pt;width:144pt;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357678E3">
                <w:pPr>
                  <w:pStyle w:val="13"/>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33</w:t>
                </w:r>
                <w:r>
                  <w:rPr>
                    <w:rFonts w:ascii="Times New Roman" w:hAnsi="Times New Roma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A6853">
    <w:pPr>
      <w:pStyle w:val="13"/>
    </w:pPr>
    <w: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3880CF0B">
                <w:pPr>
                  <w:pStyle w:val="13"/>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33B53">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65E55">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1937A">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59E768"/>
    <w:multiLevelType w:val="singleLevel"/>
    <w:tmpl w:val="AF59E768"/>
    <w:lvl w:ilvl="0" w:tentative="0">
      <w:start w:val="2"/>
      <w:numFmt w:val="decimal"/>
      <w:suff w:val="nothing"/>
      <w:lvlText w:val="（%1）"/>
      <w:lvlJc w:val="left"/>
    </w:lvl>
  </w:abstractNum>
  <w:abstractNum w:abstractNumId="1">
    <w:nsid w:val="5B862211"/>
    <w:multiLevelType w:val="singleLevel"/>
    <w:tmpl w:val="5B86221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QyZjMxZGExM2VhZjQ0YTMzZjJmYjY0Y2Y1YjU4ZmUifQ=="/>
  </w:docVars>
  <w:rsids>
    <w:rsidRoot w:val="116121AE"/>
    <w:rsid w:val="00002F60"/>
    <w:rsid w:val="00005A6C"/>
    <w:rsid w:val="00025D15"/>
    <w:rsid w:val="000261DF"/>
    <w:rsid w:val="000336CD"/>
    <w:rsid w:val="0007391B"/>
    <w:rsid w:val="00077C89"/>
    <w:rsid w:val="00090069"/>
    <w:rsid w:val="000900AE"/>
    <w:rsid w:val="000A66FF"/>
    <w:rsid w:val="000A7DFC"/>
    <w:rsid w:val="000B530D"/>
    <w:rsid w:val="000C35E0"/>
    <w:rsid w:val="000F3CAA"/>
    <w:rsid w:val="00100FAB"/>
    <w:rsid w:val="00102A90"/>
    <w:rsid w:val="001263BB"/>
    <w:rsid w:val="001342CF"/>
    <w:rsid w:val="0015274D"/>
    <w:rsid w:val="00155F4D"/>
    <w:rsid w:val="001669DD"/>
    <w:rsid w:val="001740CA"/>
    <w:rsid w:val="00180050"/>
    <w:rsid w:val="00180B0E"/>
    <w:rsid w:val="001811C4"/>
    <w:rsid w:val="00181C47"/>
    <w:rsid w:val="00183CC8"/>
    <w:rsid w:val="001A6BBB"/>
    <w:rsid w:val="001C04E9"/>
    <w:rsid w:val="001C24FC"/>
    <w:rsid w:val="001D53AA"/>
    <w:rsid w:val="001E624E"/>
    <w:rsid w:val="00204837"/>
    <w:rsid w:val="002144EE"/>
    <w:rsid w:val="002202FD"/>
    <w:rsid w:val="00224ED9"/>
    <w:rsid w:val="00230C5E"/>
    <w:rsid w:val="002343CB"/>
    <w:rsid w:val="00243DEB"/>
    <w:rsid w:val="00257011"/>
    <w:rsid w:val="00272BF1"/>
    <w:rsid w:val="00274F28"/>
    <w:rsid w:val="00276126"/>
    <w:rsid w:val="00276BE5"/>
    <w:rsid w:val="00283021"/>
    <w:rsid w:val="002920CC"/>
    <w:rsid w:val="002A0199"/>
    <w:rsid w:val="002B40DA"/>
    <w:rsid w:val="002C4DD7"/>
    <w:rsid w:val="002D1D83"/>
    <w:rsid w:val="002D43E9"/>
    <w:rsid w:val="002E0289"/>
    <w:rsid w:val="002F09A4"/>
    <w:rsid w:val="002F6431"/>
    <w:rsid w:val="0030185A"/>
    <w:rsid w:val="0030528A"/>
    <w:rsid w:val="00306206"/>
    <w:rsid w:val="00310BA5"/>
    <w:rsid w:val="00317204"/>
    <w:rsid w:val="00326DDB"/>
    <w:rsid w:val="003372E2"/>
    <w:rsid w:val="00340D98"/>
    <w:rsid w:val="003412A1"/>
    <w:rsid w:val="003450E5"/>
    <w:rsid w:val="00367AA4"/>
    <w:rsid w:val="00371D77"/>
    <w:rsid w:val="0039163A"/>
    <w:rsid w:val="003A32DD"/>
    <w:rsid w:val="003A369C"/>
    <w:rsid w:val="003A4C86"/>
    <w:rsid w:val="003C0155"/>
    <w:rsid w:val="003D72FC"/>
    <w:rsid w:val="00405CB9"/>
    <w:rsid w:val="004151C4"/>
    <w:rsid w:val="00415D8B"/>
    <w:rsid w:val="00423758"/>
    <w:rsid w:val="00436EE4"/>
    <w:rsid w:val="004376CD"/>
    <w:rsid w:val="00452C2A"/>
    <w:rsid w:val="004558BC"/>
    <w:rsid w:val="00455E7B"/>
    <w:rsid w:val="00457604"/>
    <w:rsid w:val="00465B17"/>
    <w:rsid w:val="00484A55"/>
    <w:rsid w:val="00486D2B"/>
    <w:rsid w:val="00491988"/>
    <w:rsid w:val="00497C6D"/>
    <w:rsid w:val="004B5E24"/>
    <w:rsid w:val="004B79FD"/>
    <w:rsid w:val="004C17A7"/>
    <w:rsid w:val="004F41E9"/>
    <w:rsid w:val="004F4F63"/>
    <w:rsid w:val="00517452"/>
    <w:rsid w:val="0053151A"/>
    <w:rsid w:val="00531C33"/>
    <w:rsid w:val="00536D8B"/>
    <w:rsid w:val="00545320"/>
    <w:rsid w:val="00557783"/>
    <w:rsid w:val="00567CB1"/>
    <w:rsid w:val="00572538"/>
    <w:rsid w:val="00572E5B"/>
    <w:rsid w:val="00573121"/>
    <w:rsid w:val="00576907"/>
    <w:rsid w:val="00577A8D"/>
    <w:rsid w:val="005B46F7"/>
    <w:rsid w:val="005B6CE7"/>
    <w:rsid w:val="005C0B04"/>
    <w:rsid w:val="005D297D"/>
    <w:rsid w:val="00602263"/>
    <w:rsid w:val="00624463"/>
    <w:rsid w:val="00632247"/>
    <w:rsid w:val="00636CA6"/>
    <w:rsid w:val="006456CE"/>
    <w:rsid w:val="00647086"/>
    <w:rsid w:val="0065032F"/>
    <w:rsid w:val="00673528"/>
    <w:rsid w:val="00685115"/>
    <w:rsid w:val="006A1C67"/>
    <w:rsid w:val="006A1FE8"/>
    <w:rsid w:val="006B2A8A"/>
    <w:rsid w:val="006C0904"/>
    <w:rsid w:val="006E5263"/>
    <w:rsid w:val="006E6F88"/>
    <w:rsid w:val="006F4BB3"/>
    <w:rsid w:val="00700F3D"/>
    <w:rsid w:val="00720316"/>
    <w:rsid w:val="00721D5E"/>
    <w:rsid w:val="007279F9"/>
    <w:rsid w:val="00740F46"/>
    <w:rsid w:val="00756A73"/>
    <w:rsid w:val="007821FE"/>
    <w:rsid w:val="00787588"/>
    <w:rsid w:val="00787ABF"/>
    <w:rsid w:val="007A3941"/>
    <w:rsid w:val="007B5090"/>
    <w:rsid w:val="007E5903"/>
    <w:rsid w:val="007F1FC2"/>
    <w:rsid w:val="007F70AD"/>
    <w:rsid w:val="0080618A"/>
    <w:rsid w:val="0081010F"/>
    <w:rsid w:val="00816127"/>
    <w:rsid w:val="00820CB4"/>
    <w:rsid w:val="00833AC7"/>
    <w:rsid w:val="00864765"/>
    <w:rsid w:val="00864BD4"/>
    <w:rsid w:val="008679E2"/>
    <w:rsid w:val="00873908"/>
    <w:rsid w:val="008A7641"/>
    <w:rsid w:val="008B4E7F"/>
    <w:rsid w:val="008B7C05"/>
    <w:rsid w:val="008C2A5C"/>
    <w:rsid w:val="008E68E2"/>
    <w:rsid w:val="008F5B59"/>
    <w:rsid w:val="008F7082"/>
    <w:rsid w:val="00900FDF"/>
    <w:rsid w:val="009036E6"/>
    <w:rsid w:val="00903F29"/>
    <w:rsid w:val="00924B27"/>
    <w:rsid w:val="00955771"/>
    <w:rsid w:val="00961601"/>
    <w:rsid w:val="00972F48"/>
    <w:rsid w:val="009974D4"/>
    <w:rsid w:val="009A554A"/>
    <w:rsid w:val="009A6B45"/>
    <w:rsid w:val="009B2E3E"/>
    <w:rsid w:val="009D085C"/>
    <w:rsid w:val="009D76FB"/>
    <w:rsid w:val="009D791E"/>
    <w:rsid w:val="009F0D7C"/>
    <w:rsid w:val="00A053F0"/>
    <w:rsid w:val="00A062AE"/>
    <w:rsid w:val="00A07996"/>
    <w:rsid w:val="00A22231"/>
    <w:rsid w:val="00A35813"/>
    <w:rsid w:val="00A3700D"/>
    <w:rsid w:val="00A523E8"/>
    <w:rsid w:val="00A53AFB"/>
    <w:rsid w:val="00A87CD1"/>
    <w:rsid w:val="00AD5129"/>
    <w:rsid w:val="00AE52B1"/>
    <w:rsid w:val="00AE7F56"/>
    <w:rsid w:val="00AF5A8D"/>
    <w:rsid w:val="00B0266D"/>
    <w:rsid w:val="00B17ABB"/>
    <w:rsid w:val="00B45121"/>
    <w:rsid w:val="00B51DE7"/>
    <w:rsid w:val="00B6727C"/>
    <w:rsid w:val="00B80CF6"/>
    <w:rsid w:val="00B86578"/>
    <w:rsid w:val="00B91864"/>
    <w:rsid w:val="00B94282"/>
    <w:rsid w:val="00BA5E8C"/>
    <w:rsid w:val="00BB16DC"/>
    <w:rsid w:val="00BB4E8F"/>
    <w:rsid w:val="00BB698A"/>
    <w:rsid w:val="00BD22E8"/>
    <w:rsid w:val="00BE3E9D"/>
    <w:rsid w:val="00BE4A12"/>
    <w:rsid w:val="00BF4D1E"/>
    <w:rsid w:val="00C02CFD"/>
    <w:rsid w:val="00C0383C"/>
    <w:rsid w:val="00C226BC"/>
    <w:rsid w:val="00C2381E"/>
    <w:rsid w:val="00C23BE6"/>
    <w:rsid w:val="00C32582"/>
    <w:rsid w:val="00C41714"/>
    <w:rsid w:val="00C70729"/>
    <w:rsid w:val="00CA2467"/>
    <w:rsid w:val="00CA36E1"/>
    <w:rsid w:val="00CC3BD3"/>
    <w:rsid w:val="00CC4BAF"/>
    <w:rsid w:val="00CC6C63"/>
    <w:rsid w:val="00D0489A"/>
    <w:rsid w:val="00D05C5A"/>
    <w:rsid w:val="00D158E3"/>
    <w:rsid w:val="00D447D5"/>
    <w:rsid w:val="00D535C2"/>
    <w:rsid w:val="00D61193"/>
    <w:rsid w:val="00D701DF"/>
    <w:rsid w:val="00D7147C"/>
    <w:rsid w:val="00D76C8B"/>
    <w:rsid w:val="00D806C7"/>
    <w:rsid w:val="00D9095D"/>
    <w:rsid w:val="00D9131C"/>
    <w:rsid w:val="00DA185A"/>
    <w:rsid w:val="00DB7C10"/>
    <w:rsid w:val="00E008C1"/>
    <w:rsid w:val="00E3440C"/>
    <w:rsid w:val="00E45527"/>
    <w:rsid w:val="00E47641"/>
    <w:rsid w:val="00EA1F3C"/>
    <w:rsid w:val="00EC4010"/>
    <w:rsid w:val="00ED5322"/>
    <w:rsid w:val="00EE721C"/>
    <w:rsid w:val="00EF25FB"/>
    <w:rsid w:val="00F256D3"/>
    <w:rsid w:val="00F30218"/>
    <w:rsid w:val="00F30E5D"/>
    <w:rsid w:val="00F456D7"/>
    <w:rsid w:val="00F512BB"/>
    <w:rsid w:val="00F52BC8"/>
    <w:rsid w:val="00F6320D"/>
    <w:rsid w:val="00F7549F"/>
    <w:rsid w:val="00F75B5C"/>
    <w:rsid w:val="00F837DE"/>
    <w:rsid w:val="00FD730E"/>
    <w:rsid w:val="00FE0973"/>
    <w:rsid w:val="00FE65B4"/>
    <w:rsid w:val="00FF1186"/>
    <w:rsid w:val="02B625B6"/>
    <w:rsid w:val="031B0CC1"/>
    <w:rsid w:val="03FB2313"/>
    <w:rsid w:val="047660B1"/>
    <w:rsid w:val="057D486D"/>
    <w:rsid w:val="07191986"/>
    <w:rsid w:val="07AE2BA3"/>
    <w:rsid w:val="089629DC"/>
    <w:rsid w:val="09C34895"/>
    <w:rsid w:val="09C860FA"/>
    <w:rsid w:val="0A003A65"/>
    <w:rsid w:val="0B2A23F4"/>
    <w:rsid w:val="0B67255B"/>
    <w:rsid w:val="0BC80FC4"/>
    <w:rsid w:val="0C005748"/>
    <w:rsid w:val="0FF94F7E"/>
    <w:rsid w:val="105A390B"/>
    <w:rsid w:val="116121AE"/>
    <w:rsid w:val="12C75D5A"/>
    <w:rsid w:val="12F91C29"/>
    <w:rsid w:val="12FD18FC"/>
    <w:rsid w:val="13007D12"/>
    <w:rsid w:val="13FC783E"/>
    <w:rsid w:val="141A73D2"/>
    <w:rsid w:val="14335349"/>
    <w:rsid w:val="146B10E2"/>
    <w:rsid w:val="14DF3AE5"/>
    <w:rsid w:val="15165164"/>
    <w:rsid w:val="190D797C"/>
    <w:rsid w:val="19404C93"/>
    <w:rsid w:val="1AD90944"/>
    <w:rsid w:val="1BD60A1F"/>
    <w:rsid w:val="1D1C2DFA"/>
    <w:rsid w:val="1F91531E"/>
    <w:rsid w:val="1FA3404D"/>
    <w:rsid w:val="1FE156D1"/>
    <w:rsid w:val="201548C2"/>
    <w:rsid w:val="210E0F21"/>
    <w:rsid w:val="2304729D"/>
    <w:rsid w:val="24E35644"/>
    <w:rsid w:val="24F4148E"/>
    <w:rsid w:val="259839C9"/>
    <w:rsid w:val="25F86AF1"/>
    <w:rsid w:val="26183A1F"/>
    <w:rsid w:val="27431F0C"/>
    <w:rsid w:val="27477A5B"/>
    <w:rsid w:val="276707A9"/>
    <w:rsid w:val="280F3E21"/>
    <w:rsid w:val="29357BE9"/>
    <w:rsid w:val="2A2147DE"/>
    <w:rsid w:val="2A9E438D"/>
    <w:rsid w:val="2ACC690F"/>
    <w:rsid w:val="2CE205EB"/>
    <w:rsid w:val="2D4F59D7"/>
    <w:rsid w:val="2F673014"/>
    <w:rsid w:val="31621C37"/>
    <w:rsid w:val="325C0F2D"/>
    <w:rsid w:val="33B61E05"/>
    <w:rsid w:val="36F24E99"/>
    <w:rsid w:val="386B2EB4"/>
    <w:rsid w:val="3936760D"/>
    <w:rsid w:val="39585635"/>
    <w:rsid w:val="398A06C8"/>
    <w:rsid w:val="3A950375"/>
    <w:rsid w:val="3CC53F00"/>
    <w:rsid w:val="3D0F28A3"/>
    <w:rsid w:val="3DD94983"/>
    <w:rsid w:val="3EFF7E7F"/>
    <w:rsid w:val="3F160958"/>
    <w:rsid w:val="40454B5B"/>
    <w:rsid w:val="40976E9A"/>
    <w:rsid w:val="41B7194B"/>
    <w:rsid w:val="41EC78B9"/>
    <w:rsid w:val="42616253"/>
    <w:rsid w:val="42CC142A"/>
    <w:rsid w:val="43984BCE"/>
    <w:rsid w:val="44201FB2"/>
    <w:rsid w:val="44D21F54"/>
    <w:rsid w:val="454D7189"/>
    <w:rsid w:val="465C1B34"/>
    <w:rsid w:val="46C8288A"/>
    <w:rsid w:val="476E4009"/>
    <w:rsid w:val="481B79CC"/>
    <w:rsid w:val="4AC634CD"/>
    <w:rsid w:val="4B573485"/>
    <w:rsid w:val="4B8A73EF"/>
    <w:rsid w:val="4BD215D2"/>
    <w:rsid w:val="4BE74DC1"/>
    <w:rsid w:val="4DAA47BD"/>
    <w:rsid w:val="4EC56996"/>
    <w:rsid w:val="525A21D8"/>
    <w:rsid w:val="557B60E9"/>
    <w:rsid w:val="56373125"/>
    <w:rsid w:val="5674252B"/>
    <w:rsid w:val="57307EB8"/>
    <w:rsid w:val="58D67DC0"/>
    <w:rsid w:val="59D2696C"/>
    <w:rsid w:val="5B90658E"/>
    <w:rsid w:val="5D394281"/>
    <w:rsid w:val="5D48685B"/>
    <w:rsid w:val="5D6F649C"/>
    <w:rsid w:val="5D721174"/>
    <w:rsid w:val="5D943CAE"/>
    <w:rsid w:val="5E9C2DE4"/>
    <w:rsid w:val="603C75A7"/>
    <w:rsid w:val="605B3B79"/>
    <w:rsid w:val="60610803"/>
    <w:rsid w:val="60F13AA8"/>
    <w:rsid w:val="61E50E9A"/>
    <w:rsid w:val="62803DAA"/>
    <w:rsid w:val="62D675E2"/>
    <w:rsid w:val="63305804"/>
    <w:rsid w:val="644205FE"/>
    <w:rsid w:val="64AA2C6E"/>
    <w:rsid w:val="65547578"/>
    <w:rsid w:val="656D1610"/>
    <w:rsid w:val="656D2F73"/>
    <w:rsid w:val="659C04C3"/>
    <w:rsid w:val="6600647A"/>
    <w:rsid w:val="672B1157"/>
    <w:rsid w:val="692873C7"/>
    <w:rsid w:val="69853C1A"/>
    <w:rsid w:val="69A715E6"/>
    <w:rsid w:val="6AA3359A"/>
    <w:rsid w:val="6D0109E3"/>
    <w:rsid w:val="6D535020"/>
    <w:rsid w:val="6E035804"/>
    <w:rsid w:val="6F5961CA"/>
    <w:rsid w:val="703B4536"/>
    <w:rsid w:val="709649F3"/>
    <w:rsid w:val="70BD7B02"/>
    <w:rsid w:val="7142497E"/>
    <w:rsid w:val="721C59D7"/>
    <w:rsid w:val="72695991"/>
    <w:rsid w:val="73FB252F"/>
    <w:rsid w:val="76D15BC3"/>
    <w:rsid w:val="771E7555"/>
    <w:rsid w:val="775C3EF0"/>
    <w:rsid w:val="777577C7"/>
    <w:rsid w:val="78D14430"/>
    <w:rsid w:val="79F25671"/>
    <w:rsid w:val="7B974119"/>
    <w:rsid w:val="7C4821C8"/>
    <w:rsid w:val="7DB37469"/>
    <w:rsid w:val="7DBE343C"/>
    <w:rsid w:val="7E54140A"/>
    <w:rsid w:val="7F757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6"/>
    <w:autoRedefine/>
    <w:qFormat/>
    <w:uiPriority w:val="0"/>
    <w:pPr>
      <w:keepNext/>
      <w:keepLines/>
      <w:outlineLvl w:val="0"/>
    </w:pPr>
    <w:rPr>
      <w:b/>
      <w:bCs/>
      <w:kern w:val="44"/>
      <w:sz w:val="32"/>
      <w:szCs w:val="32"/>
    </w:rPr>
  </w:style>
  <w:style w:type="paragraph" w:styleId="3">
    <w:name w:val="heading 2"/>
    <w:basedOn w:val="1"/>
    <w:next w:val="1"/>
    <w:autoRedefine/>
    <w:qFormat/>
    <w:uiPriority w:val="0"/>
    <w:pPr>
      <w:keepNext/>
      <w:keepLines/>
      <w:outlineLvl w:val="1"/>
    </w:pPr>
    <w:rPr>
      <w:b/>
      <w:bCs/>
      <w:sz w:val="30"/>
      <w:szCs w:val="30"/>
    </w:rPr>
  </w:style>
  <w:style w:type="paragraph" w:styleId="4">
    <w:name w:val="heading 3"/>
    <w:basedOn w:val="1"/>
    <w:next w:val="1"/>
    <w:autoRedefine/>
    <w:qFormat/>
    <w:uiPriority w:val="0"/>
    <w:pPr>
      <w:keepNext/>
      <w:keepLines/>
      <w:widowControl/>
      <w:jc w:val="left"/>
      <w:outlineLvl w:val="2"/>
    </w:pPr>
    <w:rPr>
      <w:b/>
      <w:bCs/>
      <w:kern w:val="0"/>
      <w:sz w:val="28"/>
      <w:szCs w:val="28"/>
    </w:rPr>
  </w:style>
  <w:style w:type="character" w:default="1" w:styleId="22">
    <w:name w:val="Default Paragraph Font"/>
    <w:autoRedefine/>
    <w:unhideWhenUsed/>
    <w:qFormat/>
    <w:uiPriority w:val="1"/>
  </w:style>
  <w:style w:type="table" w:default="1" w:styleId="20">
    <w:name w:val="Normal Table"/>
    <w:autoRedefine/>
    <w:unhideWhenUsed/>
    <w:qFormat/>
    <w:uiPriority w:val="99"/>
    <w:tblPr>
      <w:tblCellMar>
        <w:top w:w="0" w:type="dxa"/>
        <w:left w:w="108" w:type="dxa"/>
        <w:bottom w:w="0" w:type="dxa"/>
        <w:right w:w="108" w:type="dxa"/>
      </w:tblCellMar>
    </w:tblPr>
  </w:style>
  <w:style w:type="paragraph" w:styleId="5">
    <w:name w:val="Note Heading"/>
    <w:basedOn w:val="1"/>
    <w:next w:val="1"/>
    <w:autoRedefine/>
    <w:qFormat/>
    <w:uiPriority w:val="0"/>
    <w:pPr>
      <w:autoSpaceDE/>
      <w:autoSpaceDN/>
      <w:adjustRightInd/>
      <w:jc w:val="center"/>
    </w:pPr>
    <w:rPr>
      <w:rFonts w:ascii="Calibri" w:hAnsi="Calibri"/>
      <w:kern w:val="2"/>
      <w:sz w:val="21"/>
    </w:rPr>
  </w:style>
  <w:style w:type="paragraph" w:styleId="6">
    <w:name w:val="Normal Indent"/>
    <w:basedOn w:val="1"/>
    <w:autoRedefine/>
    <w:qFormat/>
    <w:uiPriority w:val="99"/>
    <w:pPr>
      <w:ind w:firstLine="420" w:firstLineChars="200"/>
    </w:pPr>
    <w:rPr>
      <w:sz w:val="21"/>
    </w:rPr>
  </w:style>
  <w:style w:type="paragraph" w:styleId="7">
    <w:name w:val="Document Map"/>
    <w:basedOn w:val="1"/>
    <w:link w:val="57"/>
    <w:autoRedefine/>
    <w:qFormat/>
    <w:uiPriority w:val="0"/>
    <w:rPr>
      <w:rFonts w:ascii="宋体"/>
      <w:sz w:val="18"/>
      <w:szCs w:val="18"/>
    </w:rPr>
  </w:style>
  <w:style w:type="paragraph" w:styleId="8">
    <w:name w:val="annotation text"/>
    <w:basedOn w:val="1"/>
    <w:link w:val="58"/>
    <w:autoRedefine/>
    <w:unhideWhenUsed/>
    <w:qFormat/>
    <w:uiPriority w:val="0"/>
    <w:pPr>
      <w:jc w:val="left"/>
    </w:pPr>
  </w:style>
  <w:style w:type="paragraph" w:styleId="9">
    <w:name w:val="Body Text"/>
    <w:basedOn w:val="1"/>
    <w:autoRedefine/>
    <w:qFormat/>
    <w:uiPriority w:val="0"/>
    <w:rPr>
      <w:bCs/>
    </w:rPr>
  </w:style>
  <w:style w:type="paragraph" w:styleId="10">
    <w:name w:val="Plain Text"/>
    <w:basedOn w:val="1"/>
    <w:link w:val="52"/>
    <w:autoRedefine/>
    <w:qFormat/>
    <w:uiPriority w:val="0"/>
    <w:pPr>
      <w:spacing w:line="240" w:lineRule="auto"/>
    </w:pPr>
    <w:rPr>
      <w:rFonts w:ascii="宋体" w:hAnsi="Courier New" w:eastAsia="仿宋_GB2312"/>
      <w:szCs w:val="20"/>
    </w:rPr>
  </w:style>
  <w:style w:type="paragraph" w:styleId="11">
    <w:name w:val="Date"/>
    <w:basedOn w:val="1"/>
    <w:next w:val="1"/>
    <w:link w:val="67"/>
    <w:autoRedefine/>
    <w:qFormat/>
    <w:uiPriority w:val="0"/>
    <w:pPr>
      <w:spacing w:line="240" w:lineRule="auto"/>
    </w:pPr>
    <w:rPr>
      <w:sz w:val="21"/>
    </w:rPr>
  </w:style>
  <w:style w:type="paragraph" w:styleId="12">
    <w:name w:val="Balloon Text"/>
    <w:basedOn w:val="1"/>
    <w:link w:val="60"/>
    <w:autoRedefine/>
    <w:qFormat/>
    <w:uiPriority w:val="0"/>
    <w:pPr>
      <w:spacing w:line="240" w:lineRule="auto"/>
    </w:pPr>
    <w:rPr>
      <w:sz w:val="18"/>
      <w:szCs w:val="18"/>
    </w:rPr>
  </w:style>
  <w:style w:type="paragraph" w:styleId="13">
    <w:name w:val="footer"/>
    <w:basedOn w:val="1"/>
    <w:autoRedefine/>
    <w:qFormat/>
    <w:uiPriority w:val="0"/>
    <w:pPr>
      <w:tabs>
        <w:tab w:val="center" w:pos="4153"/>
        <w:tab w:val="right" w:pos="8306"/>
      </w:tabs>
    </w:pPr>
    <w:rPr>
      <w:rFonts w:ascii="Tahoma" w:hAnsi="Tahoma"/>
      <w:sz w:val="18"/>
      <w:szCs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autoRedefine/>
    <w:unhideWhenUsed/>
    <w:qFormat/>
    <w:uiPriority w:val="0"/>
    <w:pPr>
      <w:spacing w:line="240" w:lineRule="auto"/>
    </w:pPr>
    <w:rPr>
      <w:rFonts w:ascii="Calibri" w:hAnsi="Calibri"/>
      <w:sz w:val="21"/>
      <w:szCs w:val="21"/>
    </w:rPr>
  </w:style>
  <w:style w:type="paragraph" w:styleId="16">
    <w:name w:val="footnote text"/>
    <w:basedOn w:val="1"/>
    <w:link w:val="55"/>
    <w:autoRedefine/>
    <w:qFormat/>
    <w:uiPriority w:val="0"/>
    <w:pPr>
      <w:tabs>
        <w:tab w:val="right" w:pos="8814"/>
      </w:tabs>
      <w:suppressAutoHyphens/>
      <w:snapToGrid w:val="0"/>
      <w:spacing w:line="240" w:lineRule="auto"/>
    </w:pPr>
    <w:rPr>
      <w:kern w:val="1"/>
      <w:sz w:val="18"/>
      <w:szCs w:val="20"/>
      <w:lang w:eastAsia="ar-SA"/>
    </w:rPr>
  </w:style>
  <w:style w:type="paragraph" w:styleId="17">
    <w:name w:val="HTML Preformatted"/>
    <w:basedOn w:val="1"/>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8">
    <w:name w:val="Normal (Web)"/>
    <w:basedOn w:val="1"/>
    <w:autoRedefine/>
    <w:qFormat/>
    <w:uiPriority w:val="0"/>
    <w:pPr>
      <w:widowControl/>
      <w:spacing w:before="100" w:beforeAutospacing="1" w:after="100" w:afterAutospacing="1" w:line="240" w:lineRule="auto"/>
      <w:jc w:val="left"/>
    </w:pPr>
    <w:rPr>
      <w:rFonts w:ascii="宋体" w:hAnsi="宋体"/>
      <w:kern w:val="0"/>
    </w:rPr>
  </w:style>
  <w:style w:type="paragraph" w:styleId="19">
    <w:name w:val="annotation subject"/>
    <w:basedOn w:val="8"/>
    <w:next w:val="8"/>
    <w:link w:val="59"/>
    <w:autoRedefine/>
    <w:qFormat/>
    <w:uiPriority w:val="0"/>
    <w:rPr>
      <w:b/>
      <w:bCs/>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autoRedefine/>
    <w:qFormat/>
    <w:uiPriority w:val="0"/>
  </w:style>
  <w:style w:type="character" w:styleId="24">
    <w:name w:val="annotation reference"/>
    <w:basedOn w:val="22"/>
    <w:autoRedefine/>
    <w:qFormat/>
    <w:uiPriority w:val="0"/>
    <w:rPr>
      <w:sz w:val="21"/>
      <w:szCs w:val="21"/>
    </w:rPr>
  </w:style>
  <w:style w:type="character" w:customStyle="1" w:styleId="25">
    <w:name w:val="页码1"/>
    <w:basedOn w:val="22"/>
    <w:autoRedefine/>
    <w:qFormat/>
    <w:uiPriority w:val="0"/>
  </w:style>
  <w:style w:type="character" w:customStyle="1" w:styleId="26">
    <w:name w:val="标题 1 Char"/>
    <w:link w:val="2"/>
    <w:autoRedefine/>
    <w:qFormat/>
    <w:uiPriority w:val="0"/>
    <w:rPr>
      <w:rFonts w:ascii="Times New Roman" w:hAnsi="Times New Roman" w:eastAsia="宋体"/>
      <w:b/>
      <w:bCs/>
      <w:kern w:val="44"/>
      <w:sz w:val="32"/>
      <w:szCs w:val="32"/>
    </w:rPr>
  </w:style>
  <w:style w:type="paragraph" w:customStyle="1" w:styleId="27">
    <w:name w:val="7表格"/>
    <w:autoRedefine/>
    <w:qFormat/>
    <w:uiPriority w:val="0"/>
    <w:pPr>
      <w:widowControl w:val="0"/>
      <w:jc w:val="center"/>
    </w:pPr>
    <w:rPr>
      <w:rFonts w:ascii="Times New Roman" w:hAnsi="Times New Roman" w:eastAsia="宋体" w:cs="Times New Roman"/>
      <w:bCs/>
      <w:color w:val="000000"/>
      <w:sz w:val="21"/>
      <w:szCs w:val="21"/>
      <w:lang w:val="en-US" w:eastAsia="zh-CN" w:bidi="ar-SA"/>
    </w:rPr>
  </w:style>
  <w:style w:type="paragraph" w:customStyle="1" w:styleId="28">
    <w:name w:val="xry表格标题"/>
    <w:basedOn w:val="29"/>
    <w:autoRedefine/>
    <w:qFormat/>
    <w:uiPriority w:val="0"/>
    <w:pPr>
      <w:ind w:firstLine="0" w:firstLineChars="0"/>
      <w:jc w:val="center"/>
    </w:pPr>
    <w:rPr>
      <w:b/>
    </w:rPr>
  </w:style>
  <w:style w:type="paragraph" w:customStyle="1" w:styleId="29">
    <w:name w:val="无间隔1"/>
    <w:autoRedefine/>
    <w:qFormat/>
    <w:uiPriority w:val="1"/>
    <w:pPr>
      <w:widowControl w:val="0"/>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0">
    <w:name w:val="表格内容 ylp"/>
    <w:autoRedefine/>
    <w:qFormat/>
    <w:uiPriority w:val="0"/>
    <w:pPr>
      <w:widowControl w:val="0"/>
      <w:tabs>
        <w:tab w:val="center" w:pos="4153"/>
        <w:tab w:val="right" w:pos="8306"/>
      </w:tabs>
      <w:jc w:val="center"/>
    </w:pPr>
    <w:rPr>
      <w:rFonts w:ascii="Times New Roman" w:hAnsi="Times New Roman" w:eastAsia="宋体" w:cs="Times New Roman"/>
      <w:color w:val="000000"/>
      <w:kern w:val="2"/>
      <w:sz w:val="21"/>
      <w:szCs w:val="21"/>
      <w:lang w:val="en-US" w:eastAsia="zh-CN" w:bidi="ar-SA"/>
    </w:rPr>
  </w:style>
  <w:style w:type="paragraph" w:customStyle="1" w:styleId="31">
    <w:name w:val="表格的格式"/>
    <w:basedOn w:val="1"/>
    <w:autoRedefine/>
    <w:qFormat/>
    <w:uiPriority w:val="0"/>
    <w:pPr>
      <w:spacing w:line="240" w:lineRule="auto"/>
      <w:jc w:val="center"/>
    </w:pPr>
    <w:rPr>
      <w:sz w:val="21"/>
      <w:szCs w:val="21"/>
    </w:rPr>
  </w:style>
  <w:style w:type="paragraph" w:customStyle="1" w:styleId="32">
    <w:name w:val="我的正文"/>
    <w:basedOn w:val="1"/>
    <w:autoRedefine/>
    <w:qFormat/>
    <w:uiPriority w:val="0"/>
    <w:pPr>
      <w:ind w:firstLine="480" w:firstLineChars="200"/>
      <w:jc w:val="left"/>
    </w:pPr>
    <w:rPr>
      <w:bCs/>
      <w:color w:val="000000"/>
      <w:kern w:val="44"/>
    </w:rPr>
  </w:style>
  <w:style w:type="paragraph" w:customStyle="1" w:styleId="33">
    <w:name w:val="表内容"/>
    <w:basedOn w:val="34"/>
    <w:link w:val="54"/>
    <w:autoRedefine/>
    <w:qFormat/>
    <w:uiPriority w:val="0"/>
    <w:pPr>
      <w:spacing w:line="360" w:lineRule="exact"/>
      <w:ind w:firstLine="0" w:firstLineChars="0"/>
      <w:jc w:val="center"/>
    </w:pPr>
    <w:rPr>
      <w:szCs w:val="21"/>
    </w:rPr>
  </w:style>
  <w:style w:type="paragraph" w:customStyle="1" w:styleId="34">
    <w:name w:val="24磅正文"/>
    <w:basedOn w:val="1"/>
    <w:autoRedefine/>
    <w:qFormat/>
    <w:uiPriority w:val="0"/>
    <w:pPr>
      <w:spacing w:line="480" w:lineRule="exact"/>
      <w:ind w:firstLine="480" w:firstLineChars="200"/>
    </w:pPr>
  </w:style>
  <w:style w:type="paragraph" w:customStyle="1" w:styleId="35">
    <w:name w:val="表格内文字"/>
    <w:basedOn w:val="1"/>
    <w:link w:val="51"/>
    <w:autoRedefine/>
    <w:qFormat/>
    <w:uiPriority w:val="0"/>
    <w:pPr>
      <w:tabs>
        <w:tab w:val="left" w:pos="1440"/>
        <w:tab w:val="left" w:pos="3825"/>
        <w:tab w:val="left" w:pos="4680"/>
      </w:tabs>
      <w:spacing w:line="240" w:lineRule="auto"/>
      <w:jc w:val="center"/>
    </w:pPr>
    <w:rPr>
      <w:rFonts w:cs="宋体"/>
      <w:color w:val="000000"/>
      <w:szCs w:val="21"/>
    </w:rPr>
  </w:style>
  <w:style w:type="paragraph" w:customStyle="1" w:styleId="36">
    <w:name w:val="xry表格文字"/>
    <w:basedOn w:val="29"/>
    <w:autoRedefine/>
    <w:qFormat/>
    <w:uiPriority w:val="0"/>
    <w:pPr>
      <w:ind w:firstLine="0" w:firstLineChars="0"/>
      <w:jc w:val="center"/>
    </w:pPr>
    <w:rPr>
      <w:sz w:val="21"/>
    </w:rPr>
  </w:style>
  <w:style w:type="paragraph" w:customStyle="1" w:styleId="37">
    <w:name w:val="1表格"/>
    <w:basedOn w:val="1"/>
    <w:autoRedefine/>
    <w:qFormat/>
    <w:uiPriority w:val="0"/>
    <w:pPr>
      <w:snapToGrid w:val="0"/>
      <w:spacing w:line="240" w:lineRule="auto"/>
      <w:jc w:val="center"/>
      <w:outlineLvl w:val="4"/>
    </w:pPr>
    <w:rPr>
      <w:spacing w:val="4"/>
      <w:sz w:val="21"/>
    </w:rPr>
  </w:style>
  <w:style w:type="paragraph" w:customStyle="1" w:styleId="38">
    <w:name w:val="正文1"/>
    <w:basedOn w:val="1"/>
    <w:autoRedefine/>
    <w:qFormat/>
    <w:uiPriority w:val="0"/>
    <w:pPr>
      <w:spacing w:line="500" w:lineRule="exact"/>
      <w:ind w:firstLine="624"/>
      <w:textAlignment w:val="baseline"/>
    </w:pPr>
    <w:rPr>
      <w:color w:val="000000"/>
      <w:sz w:val="28"/>
    </w:rPr>
  </w:style>
  <w:style w:type="paragraph" w:customStyle="1" w:styleId="39">
    <w:name w:val="表中正文"/>
    <w:basedOn w:val="1"/>
    <w:autoRedefine/>
    <w:qFormat/>
    <w:uiPriority w:val="0"/>
    <w:pPr>
      <w:widowControl/>
      <w:tabs>
        <w:tab w:val="left" w:pos="958"/>
        <w:tab w:val="left" w:pos="7320"/>
        <w:tab w:val="left" w:pos="8160"/>
      </w:tabs>
      <w:adjustRightInd w:val="0"/>
      <w:spacing w:line="360" w:lineRule="atLeast"/>
      <w:ind w:right="113"/>
      <w:jc w:val="center"/>
      <w:textAlignment w:val="baseline"/>
    </w:pPr>
    <w:rPr>
      <w:rFonts w:ascii="宋体" w:hAnsi="宋体" w:eastAsia="Times New Roman"/>
      <w:spacing w:val="6"/>
      <w:kern w:val="20"/>
      <w:sz w:val="21"/>
    </w:rPr>
  </w:style>
  <w:style w:type="paragraph" w:customStyle="1" w:styleId="40">
    <w:name w:val="环评表格"/>
    <w:basedOn w:val="1"/>
    <w:autoRedefine/>
    <w:qFormat/>
    <w:uiPriority w:val="0"/>
    <w:pPr>
      <w:spacing w:line="240" w:lineRule="auto"/>
      <w:jc w:val="center"/>
    </w:pPr>
    <w:rPr>
      <w:sz w:val="21"/>
      <w:szCs w:val="21"/>
    </w:rPr>
  </w:style>
  <w:style w:type="paragraph" w:customStyle="1" w:styleId="41">
    <w:name w:val="List Paragraph"/>
    <w:basedOn w:val="1"/>
    <w:autoRedefine/>
    <w:qFormat/>
    <w:uiPriority w:val="99"/>
    <w:pPr>
      <w:ind w:firstLine="420" w:firstLineChars="200"/>
    </w:pPr>
    <w:rPr>
      <w:sz w:val="21"/>
      <w:szCs w:val="20"/>
    </w:rPr>
  </w:style>
  <w:style w:type="paragraph" w:customStyle="1" w:styleId="42">
    <w:name w:val="xry正文"/>
    <w:basedOn w:val="1"/>
    <w:autoRedefine/>
    <w:qFormat/>
    <w:uiPriority w:val="0"/>
  </w:style>
  <w:style w:type="paragraph" w:customStyle="1" w:styleId="43">
    <w:name w:val="7表格(治)"/>
    <w:autoRedefine/>
    <w:qFormat/>
    <w:uiPriority w:val="0"/>
    <w:pPr>
      <w:ind w:right="17" w:rightChars="8"/>
      <w:jc w:val="center"/>
    </w:pPr>
    <w:rPr>
      <w:rFonts w:ascii="Times New Roman" w:hAnsi="Times New Roman" w:eastAsia="楷体_GB2312" w:cs="Times New Roman"/>
      <w:color w:val="000000"/>
      <w:sz w:val="21"/>
      <w:lang w:val="en-US" w:eastAsia="zh-CN" w:bidi="ar-SA"/>
    </w:rPr>
  </w:style>
  <w:style w:type="paragraph" w:customStyle="1" w:styleId="44">
    <w:name w:val="表格内容"/>
    <w:basedOn w:val="32"/>
    <w:autoRedefine/>
    <w:qFormat/>
    <w:uiPriority w:val="0"/>
    <w:pPr>
      <w:spacing w:line="240" w:lineRule="auto"/>
      <w:ind w:firstLine="0" w:firstLineChars="0"/>
      <w:jc w:val="center"/>
    </w:pPr>
    <w:rPr>
      <w:sz w:val="21"/>
      <w:szCs w:val="21"/>
    </w:rPr>
  </w:style>
  <w:style w:type="paragraph" w:customStyle="1" w:styleId="45">
    <w:name w:val="表格格式"/>
    <w:basedOn w:val="43"/>
    <w:autoRedefine/>
    <w:qFormat/>
    <w:uiPriority w:val="0"/>
    <w:rPr>
      <w:szCs w:val="21"/>
    </w:rPr>
  </w:style>
  <w:style w:type="paragraph" w:customStyle="1" w:styleId="46">
    <w:name w:val="正文4号"/>
    <w:autoRedefine/>
    <w:qFormat/>
    <w:uiPriority w:val="0"/>
    <w:pPr>
      <w:topLinePunct/>
      <w:adjustRightInd w:val="0"/>
      <w:snapToGrid w:val="0"/>
      <w:spacing w:line="360" w:lineRule="auto"/>
      <w:ind w:firstLine="560" w:firstLineChars="200"/>
      <w:textAlignment w:val="baseline"/>
    </w:pPr>
    <w:rPr>
      <w:rFonts w:ascii="Calibri" w:hAnsi="Calibri" w:eastAsia="宋体" w:cs="Times New Roman"/>
      <w:bCs/>
      <w:sz w:val="28"/>
      <w:szCs w:val="28"/>
      <w:lang w:val="en-US" w:eastAsia="zh-CN" w:bidi="ar-SA"/>
    </w:rPr>
  </w:style>
  <w:style w:type="paragraph" w:customStyle="1" w:styleId="47">
    <w:name w:val="表格五号"/>
    <w:next w:val="1"/>
    <w:autoRedefine/>
    <w:qFormat/>
    <w:uiPriority w:val="0"/>
    <w:pPr>
      <w:widowControl w:val="0"/>
      <w:adjustRightInd w:val="0"/>
      <w:snapToGrid w:val="0"/>
      <w:textAlignment w:val="center"/>
    </w:pPr>
    <w:rPr>
      <w:rFonts w:ascii="Calibri" w:hAnsi="Calibri" w:eastAsia="宋体" w:cs="Times New Roman"/>
      <w:bCs/>
      <w:snapToGrid w:val="0"/>
      <w:sz w:val="21"/>
      <w:szCs w:val="21"/>
      <w:lang w:val="en-US" w:eastAsia="zh-CN" w:bidi="ar-SA"/>
    </w:rPr>
  </w:style>
  <w:style w:type="paragraph" w:customStyle="1" w:styleId="48">
    <w:name w:val="样式1"/>
    <w:basedOn w:val="1"/>
    <w:autoRedefine/>
    <w:qFormat/>
    <w:uiPriority w:val="0"/>
    <w:pPr>
      <w:widowControl/>
      <w:adjustRightInd w:val="0"/>
      <w:snapToGrid w:val="0"/>
      <w:jc w:val="center"/>
    </w:pPr>
    <w:rPr>
      <w:rFonts w:ascii="Calibri" w:hAnsi="Calibri" w:cs="Arial"/>
      <w:kern w:val="0"/>
      <w:szCs w:val="22"/>
    </w:rPr>
  </w:style>
  <w:style w:type="paragraph" w:customStyle="1" w:styleId="49">
    <w:name w:val="表头"/>
    <w:next w:val="1"/>
    <w:autoRedefine/>
    <w:qFormat/>
    <w:uiPriority w:val="0"/>
    <w:pPr>
      <w:jc w:val="center"/>
    </w:pPr>
    <w:rPr>
      <w:rFonts w:ascii="Times New Roman" w:hAnsi="Times New Roman" w:eastAsia="宋体" w:cs="宋体"/>
      <w:snapToGrid w:val="0"/>
      <w:color w:val="000000"/>
      <w:sz w:val="24"/>
      <w:szCs w:val="22"/>
      <w:lang w:val="en-US" w:eastAsia="zh-CN" w:bidi="ar-SA"/>
    </w:rPr>
  </w:style>
  <w:style w:type="paragraph" w:customStyle="1" w:styleId="50">
    <w:name w:val="表格内容居中"/>
    <w:autoRedefine/>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character" w:customStyle="1" w:styleId="51">
    <w:name w:val="表格内文字 Char"/>
    <w:link w:val="35"/>
    <w:autoRedefine/>
    <w:qFormat/>
    <w:uiPriority w:val="0"/>
    <w:rPr>
      <w:rFonts w:cs="宋体"/>
      <w:color w:val="000000"/>
      <w:kern w:val="2"/>
      <w:sz w:val="24"/>
      <w:szCs w:val="21"/>
    </w:rPr>
  </w:style>
  <w:style w:type="character" w:customStyle="1" w:styleId="52">
    <w:name w:val="纯文本 Char"/>
    <w:link w:val="10"/>
    <w:autoRedefine/>
    <w:qFormat/>
    <w:uiPriority w:val="0"/>
    <w:rPr>
      <w:rFonts w:ascii="宋体" w:hAnsi="Courier New" w:eastAsia="仿宋_GB2312"/>
      <w:kern w:val="2"/>
      <w:sz w:val="24"/>
    </w:rPr>
  </w:style>
  <w:style w:type="character" w:customStyle="1" w:styleId="53">
    <w:name w:val="纯文本 Char1"/>
    <w:autoRedefine/>
    <w:qFormat/>
    <w:uiPriority w:val="0"/>
    <w:rPr>
      <w:rFonts w:ascii="宋体" w:hAnsi="Courier New" w:cs="Courier New"/>
      <w:kern w:val="2"/>
      <w:sz w:val="21"/>
      <w:szCs w:val="21"/>
    </w:rPr>
  </w:style>
  <w:style w:type="character" w:customStyle="1" w:styleId="54">
    <w:name w:val="表内容 Char Char"/>
    <w:link w:val="33"/>
    <w:autoRedefine/>
    <w:qFormat/>
    <w:uiPriority w:val="0"/>
    <w:rPr>
      <w:kern w:val="2"/>
      <w:sz w:val="24"/>
      <w:szCs w:val="21"/>
    </w:rPr>
  </w:style>
  <w:style w:type="character" w:customStyle="1" w:styleId="55">
    <w:name w:val="脚注文本 Char"/>
    <w:link w:val="16"/>
    <w:autoRedefine/>
    <w:qFormat/>
    <w:uiPriority w:val="0"/>
    <w:rPr>
      <w:kern w:val="1"/>
      <w:sz w:val="18"/>
      <w:lang w:eastAsia="ar-SA"/>
    </w:rPr>
  </w:style>
  <w:style w:type="character" w:customStyle="1" w:styleId="56">
    <w:name w:val="standarttreerow7"/>
    <w:autoRedefine/>
    <w:qFormat/>
    <w:uiPriority w:val="0"/>
  </w:style>
  <w:style w:type="character" w:customStyle="1" w:styleId="57">
    <w:name w:val="文档结构图 Char"/>
    <w:basedOn w:val="22"/>
    <w:link w:val="7"/>
    <w:autoRedefine/>
    <w:qFormat/>
    <w:uiPriority w:val="0"/>
    <w:rPr>
      <w:rFonts w:ascii="宋体"/>
      <w:kern w:val="2"/>
      <w:sz w:val="18"/>
      <w:szCs w:val="18"/>
    </w:rPr>
  </w:style>
  <w:style w:type="character" w:customStyle="1" w:styleId="58">
    <w:name w:val="批注文字 Char"/>
    <w:basedOn w:val="22"/>
    <w:link w:val="8"/>
    <w:autoRedefine/>
    <w:qFormat/>
    <w:uiPriority w:val="0"/>
    <w:rPr>
      <w:kern w:val="2"/>
      <w:sz w:val="24"/>
      <w:szCs w:val="24"/>
    </w:rPr>
  </w:style>
  <w:style w:type="character" w:customStyle="1" w:styleId="59">
    <w:name w:val="批注主题 Char"/>
    <w:basedOn w:val="58"/>
    <w:link w:val="19"/>
    <w:autoRedefine/>
    <w:qFormat/>
    <w:uiPriority w:val="0"/>
    <w:rPr>
      <w:kern w:val="2"/>
      <w:sz w:val="24"/>
      <w:szCs w:val="24"/>
    </w:rPr>
  </w:style>
  <w:style w:type="character" w:customStyle="1" w:styleId="60">
    <w:name w:val="批注框文本 Char"/>
    <w:basedOn w:val="22"/>
    <w:link w:val="12"/>
    <w:autoRedefine/>
    <w:qFormat/>
    <w:uiPriority w:val="0"/>
    <w:rPr>
      <w:kern w:val="2"/>
      <w:sz w:val="18"/>
      <w:szCs w:val="18"/>
    </w:rPr>
  </w:style>
  <w:style w:type="paragraph" w:customStyle="1" w:styleId="61">
    <w:name w:val="bg"/>
    <w:basedOn w:val="1"/>
    <w:autoRedefine/>
    <w:qFormat/>
    <w:uiPriority w:val="0"/>
    <w:pPr>
      <w:spacing w:beforeLines="50" w:after="156" w:line="240" w:lineRule="auto"/>
      <w:jc w:val="center"/>
    </w:pPr>
    <w:rPr>
      <w:rFonts w:ascii="宋体" w:hAnsi="宋体" w:cs="宋体"/>
      <w:b/>
      <w:bCs/>
    </w:rPr>
  </w:style>
  <w:style w:type="character" w:customStyle="1" w:styleId="62">
    <w:name w:val="fontstyle01"/>
    <w:basedOn w:val="22"/>
    <w:autoRedefine/>
    <w:qFormat/>
    <w:uiPriority w:val="0"/>
    <w:rPr>
      <w:rFonts w:ascii="仿宋_GB2312" w:hAnsi="仿宋_GB2312" w:eastAsia="仿宋_GB2312" w:cs="仿宋_GB2312"/>
      <w:color w:val="000000"/>
      <w:sz w:val="30"/>
      <w:szCs w:val="30"/>
    </w:rPr>
  </w:style>
  <w:style w:type="character" w:customStyle="1" w:styleId="63">
    <w:name w:val="fontstyle21"/>
    <w:basedOn w:val="22"/>
    <w:autoRedefine/>
    <w:qFormat/>
    <w:uiPriority w:val="0"/>
    <w:rPr>
      <w:rFonts w:ascii="宋体" w:hAnsi="宋体" w:eastAsia="宋体" w:cs="宋体"/>
      <w:color w:val="000000"/>
      <w:sz w:val="28"/>
      <w:szCs w:val="28"/>
    </w:rPr>
  </w:style>
  <w:style w:type="character" w:customStyle="1" w:styleId="64">
    <w:name w:val="font21"/>
    <w:autoRedefine/>
    <w:qFormat/>
    <w:uiPriority w:val="0"/>
    <w:rPr>
      <w:rFonts w:hint="eastAsia" w:ascii="宋体" w:hAnsi="宋体" w:eastAsia="宋体" w:cs="宋体"/>
      <w:color w:val="000000"/>
      <w:sz w:val="22"/>
      <w:szCs w:val="22"/>
      <w:u w:val="none"/>
    </w:rPr>
  </w:style>
  <w:style w:type="character" w:customStyle="1" w:styleId="65">
    <w:name w:val="font01"/>
    <w:autoRedefine/>
    <w:qFormat/>
    <w:uiPriority w:val="0"/>
    <w:rPr>
      <w:rFonts w:hint="default" w:ascii="Times New Roman" w:hAnsi="Times New Roman" w:cs="Times New Roman"/>
      <w:color w:val="000000"/>
      <w:sz w:val="21"/>
      <w:szCs w:val="21"/>
      <w:u w:val="none"/>
      <w:vertAlign w:val="superscript"/>
    </w:rPr>
  </w:style>
  <w:style w:type="paragraph" w:customStyle="1" w:styleId="66">
    <w:name w:val="表格文字"/>
    <w:basedOn w:val="1"/>
    <w:autoRedefine/>
    <w:qFormat/>
    <w:uiPriority w:val="0"/>
    <w:pPr>
      <w:widowControl/>
      <w:adjustRightInd w:val="0"/>
      <w:snapToGrid w:val="0"/>
      <w:spacing w:line="240" w:lineRule="auto"/>
      <w:jc w:val="center"/>
    </w:pPr>
    <w:rPr>
      <w:rFonts w:ascii="Calibri" w:hAnsi="Calibri"/>
      <w:kern w:val="0"/>
      <w:sz w:val="21"/>
      <w:szCs w:val="20"/>
    </w:rPr>
  </w:style>
  <w:style w:type="character" w:customStyle="1" w:styleId="67">
    <w:name w:val="日期 Char"/>
    <w:basedOn w:val="22"/>
    <w:link w:val="11"/>
    <w:autoRedefine/>
    <w:qFormat/>
    <w:uiPriority w:val="0"/>
    <w:rPr>
      <w:kern w:val="2"/>
      <w:sz w:val="21"/>
      <w:szCs w:val="24"/>
    </w:rPr>
  </w:style>
  <w:style w:type="character" w:customStyle="1" w:styleId="68">
    <w:name w:val="表格内容 Char1"/>
    <w:autoRedefine/>
    <w:qFormat/>
    <w:uiPriority w:val="0"/>
    <w:rPr>
      <w:rFonts w:ascii="宋体" w:hAnsi="宋体" w:eastAsia="宋体"/>
      <w:kern w:val="0"/>
      <w:sz w:val="21"/>
    </w:rPr>
  </w:style>
  <w:style w:type="paragraph" w:customStyle="1" w:styleId="69">
    <w:name w:val="表正文"/>
    <w:basedOn w:val="1"/>
    <w:autoRedefine/>
    <w:qFormat/>
    <w:uiPriority w:val="0"/>
    <w:pPr>
      <w:spacing w:line="360" w:lineRule="auto"/>
      <w:ind w:firstLine="200" w:firstLineChars="200"/>
    </w:pPr>
    <w:rPr>
      <w:sz w:val="24"/>
    </w:rPr>
  </w:style>
  <w:style w:type="paragraph" w:customStyle="1" w:styleId="70">
    <w:name w:val="Default"/>
    <w:autoRedefine/>
    <w:unhideWhenUsed/>
    <w:qFormat/>
    <w:uiPriority w:val="99"/>
    <w:pPr>
      <w:widowControl w:val="0"/>
      <w:autoSpaceDE w:val="0"/>
      <w:autoSpaceDN w:val="0"/>
      <w:adjustRightInd w:val="0"/>
    </w:pPr>
    <w:rPr>
      <w:rFonts w:hint="eastAsia" w:ascii="Calibri" w:hAnsi="Calibri" w:eastAsia="Times New Roman" w:cs="Times New Roman"/>
      <w:color w:val="000000"/>
      <w:sz w:val="24"/>
      <w:szCs w:val="22"/>
      <w:lang w:val="en-US" w:eastAsia="zh-CN" w:bidi="ar-SA"/>
    </w:rPr>
  </w:style>
  <w:style w:type="paragraph" w:customStyle="1" w:styleId="71">
    <w:name w:val="表格文字2"/>
    <w:basedOn w:val="1"/>
    <w:autoRedefine/>
    <w:qFormat/>
    <w:uiPriority w:val="0"/>
    <w:pPr>
      <w:widowControl/>
      <w:tabs>
        <w:tab w:val="left" w:pos="277"/>
        <w:tab w:val="left" w:pos="600"/>
        <w:tab w:val="left" w:pos="780"/>
        <w:tab w:val="left" w:pos="2517"/>
      </w:tabs>
      <w:adjustRightInd w:val="0"/>
      <w:spacing w:line="240" w:lineRule="auto"/>
      <w:ind w:firstLine="0" w:firstLineChars="0"/>
      <w:jc w:val="center"/>
    </w:pPr>
    <w:rPr>
      <w:kern w:val="0"/>
      <w:sz w:val="20"/>
      <w:szCs w:val="21"/>
    </w:rPr>
  </w:style>
  <w:style w:type="paragraph" w:customStyle="1" w:styleId="72">
    <w:name w:val="表名"/>
    <w:basedOn w:val="1"/>
    <w:autoRedefine/>
    <w:qFormat/>
    <w:uiPriority w:val="0"/>
    <w:pPr>
      <w:adjustRightInd w:val="0"/>
      <w:snapToGrid w:val="0"/>
      <w:jc w:val="center"/>
    </w:pPr>
    <w:rPr>
      <w:b/>
      <w:bCs/>
      <w:sz w:val="24"/>
    </w:rPr>
  </w:style>
  <w:style w:type="paragraph" w:customStyle="1" w:styleId="73">
    <w:name w:val="表格5号居中"/>
    <w:next w:val="1"/>
    <w:autoRedefine/>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paragraph" w:customStyle="1" w:styleId="74">
    <w:name w:val="表格名称1"/>
    <w:basedOn w:val="1"/>
    <w:autoRedefine/>
    <w:qFormat/>
    <w:uiPriority w:val="0"/>
    <w:pPr>
      <w:adjustRightInd w:val="0"/>
      <w:snapToGrid w:val="0"/>
      <w:jc w:val="center"/>
    </w:pPr>
    <w:rPr>
      <w:b/>
    </w:rPr>
  </w:style>
  <w:style w:type="paragraph" w:customStyle="1" w:styleId="75">
    <w:name w:val="Table Paragraph"/>
    <w:basedOn w:val="1"/>
    <w:autoRedefine/>
    <w:qFormat/>
    <w:uiPriority w:val="0"/>
    <w:pPr>
      <w:widowControl/>
      <w:adjustRightInd w:val="0"/>
      <w:snapToGrid w:val="0"/>
      <w:jc w:val="left"/>
    </w:pPr>
    <w:rPr>
      <w:rFonts w:ascii="Calibri" w:hAnsi="Calibri"/>
      <w:kern w:val="0"/>
      <w:sz w:val="22"/>
      <w:szCs w:val="22"/>
    </w:rPr>
  </w:style>
  <w:style w:type="paragraph" w:customStyle="1" w:styleId="76">
    <w:name w:val="表 图 内容"/>
    <w:basedOn w:val="1"/>
    <w:autoRedefine/>
    <w:qFormat/>
    <w:uiPriority w:val="0"/>
    <w:pPr>
      <w:jc w:val="center"/>
    </w:pPr>
    <w:rPr>
      <w:rFonts w:hAnsi="宋体"/>
      <w:color w:val="000000"/>
      <w:sz w:val="21"/>
      <w:szCs w:val="24"/>
    </w:rPr>
  </w:style>
  <w:style w:type="paragraph" w:customStyle="1" w:styleId="77">
    <w:name w:val="_Style 11"/>
    <w:autoRedefine/>
    <w:qFormat/>
    <w:uiPriority w:val="1"/>
    <w:pPr>
      <w:widowControl w:val="0"/>
      <w:spacing w:line="320" w:lineRule="exact"/>
      <w:jc w:val="both"/>
    </w:pPr>
    <w:rPr>
      <w:rFonts w:ascii="Calibri" w:hAnsi="Calibri" w:eastAsia="宋体" w:cs="Times New Roman"/>
      <w:kern w:val="2"/>
      <w:sz w:val="21"/>
      <w:szCs w:val="22"/>
      <w:lang w:val="en-US" w:eastAsia="zh-CN" w:bidi="ar-SA"/>
    </w:rPr>
  </w:style>
  <w:style w:type="paragraph" w:customStyle="1" w:styleId="78">
    <w:name w:val="Table Text"/>
    <w:basedOn w:val="1"/>
    <w:semiHidden/>
    <w:qFormat/>
    <w:uiPriority w:val="0"/>
    <w:rPr>
      <w:rFonts w:ascii="宋体" w:hAnsi="宋体" w:eastAsia="宋体" w:cs="宋体"/>
      <w:sz w:val="24"/>
      <w:szCs w:val="24"/>
      <w:lang w:val="en-US" w:eastAsia="en-US" w:bidi="ar-SA"/>
    </w:rPr>
  </w:style>
  <w:style w:type="table" w:customStyle="1" w:styleId="7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307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993769-3936-44F1-BD22-AB01E300B203}">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44</Pages>
  <Words>17673</Words>
  <Characters>21738</Characters>
  <Lines>153</Lines>
  <Paragraphs>43</Paragraphs>
  <TotalTime>3</TotalTime>
  <ScaleCrop>false</ScaleCrop>
  <LinksUpToDate>false</LinksUpToDate>
  <CharactersWithSpaces>21738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2019-01-05T10:06:00Z</dcterms:created>
  <dc:creator>天蓝</dc:creator>
  <cp:lastModifiedBy>Christina</cp:lastModifiedBy>
  <cp:lastPrinted>2018-07-14T03:04:00Z</cp:lastPrinted>
  <dcterms:modified xsi:type="dcterms:W3CDTF">2024-06-20T12:31:05Z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1C6AF237432240C99381C5781CFA7E63</vt:lpwstr>
  </property>
</Properties>
</file>