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36"/>
          <w:szCs w:val="36"/>
          <w:lang w:val="en-US" w:eastAsia="zh-CN"/>
        </w:rPr>
      </w:pPr>
    </w:p>
    <w:p>
      <w:pPr>
        <w:rPr>
          <w:rFonts w:eastAsia="仿宋_GB2312"/>
          <w:sz w:val="36"/>
          <w:szCs w:val="36"/>
        </w:rPr>
      </w:pPr>
    </w:p>
    <w:p>
      <w:pPr>
        <w:pStyle w:val="57"/>
        <w:ind w:firstLine="744"/>
        <w:rPr>
          <w:rFonts w:eastAsia="仿宋_GB2312"/>
          <w:sz w:val="36"/>
          <w:szCs w:val="36"/>
        </w:rPr>
      </w:pPr>
    </w:p>
    <w:p>
      <w:pPr>
        <w:pStyle w:val="57"/>
        <w:ind w:firstLine="744"/>
        <w:rPr>
          <w:rFonts w:eastAsia="仿宋_GB2312"/>
          <w:sz w:val="36"/>
          <w:szCs w:val="36"/>
        </w:rPr>
      </w:pPr>
    </w:p>
    <w:p>
      <w:pPr>
        <w:adjustRightInd w:val="0"/>
        <w:snapToGrid w:val="0"/>
        <w:jc w:val="center"/>
        <w:outlineLvl w:val="0"/>
        <w:rPr>
          <w:rFonts w:eastAsia="方正小标宋_GBK"/>
          <w:b w:val="0"/>
          <w:bCs/>
          <w:sz w:val="72"/>
          <w:szCs w:val="72"/>
        </w:rPr>
      </w:pPr>
      <w:bookmarkStart w:id="0" w:name="_Toc8517"/>
      <w:bookmarkStart w:id="1" w:name="_Toc586"/>
      <w:bookmarkStart w:id="2" w:name="_Toc4432"/>
      <w:bookmarkStart w:id="3" w:name="_Toc20886"/>
      <w:bookmarkStart w:id="4" w:name="_Toc3299"/>
      <w:r>
        <w:rPr>
          <w:rFonts w:eastAsia="方正小标宋_GBK"/>
          <w:b w:val="0"/>
          <w:bCs/>
          <w:sz w:val="72"/>
          <w:szCs w:val="72"/>
        </w:rPr>
        <w:t>建设项目环境影响报告表</w:t>
      </w:r>
      <w:bookmarkEnd w:id="0"/>
      <w:bookmarkEnd w:id="1"/>
      <w:bookmarkEnd w:id="2"/>
      <w:bookmarkEnd w:id="3"/>
      <w:bookmarkEnd w:id="4"/>
    </w:p>
    <w:p>
      <w:pPr>
        <w:adjustRightInd w:val="0"/>
        <w:snapToGrid w:val="0"/>
        <w:spacing w:before="192" w:beforeLines="80"/>
        <w:jc w:val="center"/>
        <w:rPr>
          <w:rFonts w:eastAsia="楷体_GB2312"/>
          <w:bCs/>
          <w:sz w:val="48"/>
          <w:szCs w:val="48"/>
        </w:rPr>
      </w:pPr>
      <w:r>
        <w:rPr>
          <w:rFonts w:eastAsia="楷体_GB2312"/>
          <w:bCs/>
          <w:sz w:val="48"/>
          <w:szCs w:val="48"/>
        </w:rPr>
        <w:t>（污染影响类）</w:t>
      </w:r>
    </w:p>
    <w:p>
      <w:pPr>
        <w:ind w:firstLine="1040"/>
        <w:rPr>
          <w:rFonts w:eastAsia="仿宋"/>
          <w:sz w:val="44"/>
          <w:szCs w:val="44"/>
        </w:rPr>
      </w:pPr>
    </w:p>
    <w:p>
      <w:pPr>
        <w:ind w:firstLine="1040"/>
        <w:rPr>
          <w:rFonts w:eastAsia="仿宋"/>
          <w:sz w:val="44"/>
          <w:szCs w:val="44"/>
        </w:rPr>
      </w:pPr>
    </w:p>
    <w:p>
      <w:pPr>
        <w:pStyle w:val="57"/>
        <w:ind w:firstLine="904"/>
        <w:rPr>
          <w:rFonts w:eastAsia="仿宋"/>
          <w:sz w:val="44"/>
          <w:szCs w:val="44"/>
        </w:rPr>
      </w:pPr>
    </w:p>
    <w:p>
      <w:pPr>
        <w:ind w:firstLine="1040"/>
        <w:rPr>
          <w:rFonts w:eastAsia="仿宋"/>
          <w:sz w:val="44"/>
          <w:szCs w:val="44"/>
        </w:rPr>
      </w:pPr>
    </w:p>
    <w:p>
      <w:pPr>
        <w:adjustRightInd w:val="0"/>
        <w:snapToGrid w:val="0"/>
        <w:spacing w:line="360" w:lineRule="auto"/>
        <w:ind w:left="2115" w:leftChars="150" w:hanging="1800" w:hangingChars="500"/>
        <w:jc w:val="left"/>
        <w:rPr>
          <w:rFonts w:hint="default" w:eastAsia="宋体"/>
          <w:sz w:val="36"/>
          <w:szCs w:val="36"/>
          <w:u w:val="single"/>
          <w:lang w:val="en-US" w:eastAsia="zh-CN"/>
        </w:rPr>
      </w:pPr>
      <w:r>
        <w:rPr>
          <w:rFonts w:eastAsia="仿宋_GB2312"/>
          <w:sz w:val="36"/>
          <w:szCs w:val="36"/>
        </w:rPr>
        <w:t>项目名称</w:t>
      </w:r>
      <w:r>
        <w:rPr>
          <w:rFonts w:hint="eastAsia" w:eastAsia="仿宋_GB2312"/>
          <w:sz w:val="36"/>
          <w:szCs w:val="36"/>
          <w:lang w:eastAsia="zh-CN"/>
        </w:rPr>
        <w:t>：</w:t>
      </w:r>
      <w:r>
        <w:rPr>
          <w:rFonts w:hint="eastAsia" w:eastAsia="仿宋_GB2312"/>
          <w:sz w:val="36"/>
          <w:szCs w:val="36"/>
          <w:u w:val="single"/>
          <w:lang w:val="en-US" w:eastAsia="zh-CN"/>
        </w:rPr>
        <w:t xml:space="preserve">           塑</w:t>
      </w:r>
      <w:r>
        <w:rPr>
          <w:rFonts w:hint="eastAsia" w:eastAsia="仿宋_GB2312"/>
          <w:sz w:val="36"/>
          <w:szCs w:val="36"/>
          <w:u w:val="single"/>
          <w:lang w:eastAsia="zh-CN"/>
        </w:rPr>
        <w:t>料果篮生产项目</w:t>
      </w:r>
      <w:r>
        <w:rPr>
          <w:rFonts w:hint="eastAsia" w:eastAsia="仿宋_GB2312"/>
          <w:sz w:val="36"/>
          <w:szCs w:val="36"/>
          <w:u w:val="single"/>
          <w:lang w:val="en-US" w:eastAsia="zh-CN"/>
        </w:rPr>
        <w:t xml:space="preserve">           </w:t>
      </w:r>
    </w:p>
    <w:p>
      <w:pPr>
        <w:adjustRightInd w:val="0"/>
        <w:snapToGrid w:val="0"/>
        <w:spacing w:line="360" w:lineRule="auto"/>
        <w:ind w:left="3555" w:leftChars="150" w:hanging="3240" w:hangingChars="900"/>
        <w:rPr>
          <w:rFonts w:eastAsia="仿宋_GB2312"/>
          <w:sz w:val="36"/>
          <w:szCs w:val="36"/>
          <w:u w:val="single"/>
        </w:rPr>
      </w:pPr>
      <w:r>
        <w:rPr>
          <w:rFonts w:eastAsia="仿宋_GB2312"/>
          <w:sz w:val="36"/>
          <w:szCs w:val="36"/>
        </w:rPr>
        <w:t>建设单位（盖章）：</w:t>
      </w:r>
      <w:r>
        <w:rPr>
          <w:rFonts w:hint="eastAsia" w:eastAsia="仿宋_GB2312"/>
          <w:sz w:val="36"/>
          <w:szCs w:val="36"/>
          <w:u w:val="single"/>
        </w:rPr>
        <w:t xml:space="preserve">福州诚东塑业有限公司       </w:t>
      </w:r>
      <w:r>
        <w:rPr>
          <w:rFonts w:hint="eastAsia" w:eastAsia="仿宋_GB2312"/>
          <w:sz w:val="36"/>
          <w:szCs w:val="36"/>
          <w:u w:val="single"/>
          <w:lang w:val="en-US" w:eastAsia="zh-CN"/>
        </w:rPr>
        <w:t xml:space="preserve">  </w:t>
      </w:r>
      <w:r>
        <w:rPr>
          <w:rFonts w:hint="eastAsia" w:eastAsia="仿宋_GB2312"/>
          <w:sz w:val="36"/>
          <w:szCs w:val="36"/>
          <w:u w:val="single"/>
        </w:rPr>
        <w:t xml:space="preserve"> </w:t>
      </w:r>
    </w:p>
    <w:p>
      <w:pPr>
        <w:adjustRightInd w:val="0"/>
        <w:snapToGrid w:val="0"/>
        <w:spacing w:line="360" w:lineRule="auto"/>
        <w:ind w:firstLine="360" w:firstLineChars="100"/>
        <w:rPr>
          <w:rFonts w:hint="default" w:eastAsia="仿宋_GB2312"/>
          <w:sz w:val="36"/>
          <w:szCs w:val="36"/>
          <w:u w:val="single"/>
          <w:lang w:val="en-US" w:eastAsia="zh-CN"/>
        </w:rPr>
      </w:pPr>
      <w:r>
        <w:rPr>
          <w:rFonts w:eastAsia="仿宋_GB2312"/>
          <w:sz w:val="36"/>
          <w:szCs w:val="36"/>
        </w:rPr>
        <w:t>编制日期：</w:t>
      </w:r>
      <w:r>
        <w:rPr>
          <w:rFonts w:hint="eastAsia" w:eastAsia="仿宋_GB2312"/>
          <w:sz w:val="36"/>
          <w:szCs w:val="36"/>
          <w:u w:val="single"/>
        </w:rPr>
        <w:t xml:space="preserve">            </w:t>
      </w:r>
      <w:r>
        <w:rPr>
          <w:rFonts w:eastAsia="仿宋_GB2312"/>
          <w:sz w:val="36"/>
          <w:szCs w:val="36"/>
          <w:u w:val="single"/>
        </w:rPr>
        <w:t>202</w:t>
      </w:r>
      <w:r>
        <w:rPr>
          <w:rFonts w:hint="eastAsia" w:eastAsia="仿宋_GB2312"/>
          <w:sz w:val="36"/>
          <w:szCs w:val="36"/>
          <w:u w:val="single"/>
          <w:lang w:val="en-US" w:eastAsia="zh-CN"/>
        </w:rPr>
        <w:t>4</w:t>
      </w:r>
      <w:r>
        <w:rPr>
          <w:rFonts w:eastAsia="仿宋_GB2312"/>
          <w:sz w:val="36"/>
          <w:szCs w:val="36"/>
          <w:u w:val="single"/>
        </w:rPr>
        <w:t>年</w:t>
      </w:r>
      <w:r>
        <w:rPr>
          <w:rFonts w:hint="eastAsia" w:eastAsia="仿宋_GB2312"/>
          <w:sz w:val="36"/>
          <w:szCs w:val="36"/>
          <w:u w:val="single"/>
          <w:lang w:val="en-US" w:eastAsia="zh-CN"/>
        </w:rPr>
        <w:t>6</w:t>
      </w:r>
      <w:r>
        <w:rPr>
          <w:rFonts w:eastAsia="仿宋_GB2312"/>
          <w:sz w:val="36"/>
          <w:szCs w:val="36"/>
          <w:u w:val="single"/>
        </w:rPr>
        <w:t>月</w:t>
      </w:r>
      <w:r>
        <w:rPr>
          <w:rFonts w:hint="eastAsia" w:eastAsia="仿宋_GB2312"/>
          <w:sz w:val="36"/>
          <w:szCs w:val="36"/>
          <w:u w:val="single"/>
        </w:rPr>
        <w:t xml:space="preserve">             </w:t>
      </w:r>
      <w:r>
        <w:rPr>
          <w:rFonts w:hint="eastAsia" w:eastAsia="仿宋_GB2312"/>
          <w:sz w:val="36"/>
          <w:szCs w:val="36"/>
          <w:u w:val="single"/>
          <w:lang w:val="en-US" w:eastAsia="zh-CN"/>
        </w:rPr>
        <w:t xml:space="preserve">  </w:t>
      </w:r>
    </w:p>
    <w:p>
      <w:pPr>
        <w:adjustRightInd w:val="0"/>
        <w:snapToGrid w:val="0"/>
        <w:spacing w:line="288" w:lineRule="auto"/>
        <w:ind w:firstLine="1040"/>
        <w:rPr>
          <w:rFonts w:eastAsia="仿宋_GB2312"/>
          <w:sz w:val="36"/>
          <w:szCs w:val="36"/>
          <w:u w:val="single"/>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
    <w:p/>
    <w:p/>
    <w:p>
      <w:pPr>
        <w:adjustRightInd w:val="0"/>
        <w:snapToGrid w:val="0"/>
        <w:spacing w:line="288" w:lineRule="auto"/>
        <w:jc w:val="center"/>
        <w:rPr>
          <w:rFonts w:eastAsia="楷体_GB2312"/>
          <w:sz w:val="36"/>
          <w:szCs w:val="36"/>
        </w:rPr>
        <w:sectPr>
          <w:footerReference r:id="rId3" w:type="default"/>
          <w:pgSz w:w="11906" w:h="16838"/>
          <w:pgMar w:top="1417" w:right="1417" w:bottom="1417" w:left="1417" w:header="851" w:footer="1077" w:gutter="0"/>
          <w:pgBorders>
            <w:top w:val="none" w:sz="0" w:space="0"/>
            <w:left w:val="none" w:sz="0" w:space="0"/>
            <w:bottom w:val="none" w:sz="0" w:space="0"/>
            <w:right w:val="none" w:sz="0" w:space="0"/>
          </w:pgBorders>
          <w:pgNumType w:start="3"/>
          <w:cols w:space="720" w:num="1"/>
          <w:docGrid w:linePitch="312" w:charSpace="0"/>
        </w:sectPr>
      </w:pPr>
      <w:r>
        <w:rPr>
          <w:rFonts w:eastAsia="楷体_GB2312"/>
          <w:sz w:val="36"/>
          <w:szCs w:val="36"/>
        </w:rPr>
        <w:t>中华人民共和国生态环境部制</w:t>
      </w:r>
    </w:p>
    <w:p>
      <w:pPr>
        <w:pStyle w:val="2"/>
        <w:bidi w:val="0"/>
        <w:ind w:left="432" w:leftChars="0" w:hanging="432" w:firstLineChars="0"/>
      </w:pPr>
      <w:bookmarkStart w:id="5" w:name="_Toc11099"/>
      <w:bookmarkStart w:id="6" w:name="_Toc18402"/>
      <w:r>
        <w:rPr>
          <w:rFonts w:hint="eastAsia"/>
        </w:rPr>
        <w:t>建设项目基本情况</w:t>
      </w:r>
      <w:bookmarkEnd w:id="5"/>
      <w:bookmarkEnd w:id="6"/>
    </w:p>
    <w:tbl>
      <w:tblPr>
        <w:tblStyle w:val="32"/>
        <w:tblW w:w="88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09"/>
        <w:gridCol w:w="1267"/>
        <w:gridCol w:w="1186"/>
        <w:gridCol w:w="1888"/>
        <w:gridCol w:w="2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项目名称</w:t>
            </w:r>
          </w:p>
        </w:tc>
        <w:tc>
          <w:tcPr>
            <w:tcW w:w="7061" w:type="dxa"/>
            <w:gridSpan w:val="4"/>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b w:val="0"/>
                <w:bCs w:val="0"/>
                <w:sz w:val="21"/>
                <w:szCs w:val="21"/>
                <w:lang w:val="en-US" w:eastAsia="zh-CN"/>
              </w:rPr>
              <w:t>塑料果篮生产项目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项目代码</w:t>
            </w:r>
          </w:p>
        </w:tc>
        <w:tc>
          <w:tcPr>
            <w:tcW w:w="7061" w:type="dxa"/>
            <w:gridSpan w:val="4"/>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2405-350122-04-01-146843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建设单位联系人</w:t>
            </w:r>
          </w:p>
        </w:tc>
        <w:tc>
          <w:tcPr>
            <w:tcW w:w="2453"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联系方式</w:t>
            </w:r>
          </w:p>
        </w:tc>
        <w:tc>
          <w:tcPr>
            <w:tcW w:w="272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06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福建</w:t>
            </w:r>
            <w:r>
              <w:rPr>
                <w:rFonts w:hint="default" w:ascii="Times New Roman" w:hAnsi="Times New Roman" w:eastAsia="宋体" w:cs="Times New Roman"/>
                <w:sz w:val="21"/>
                <w:szCs w:val="21"/>
              </w:rPr>
              <w:t>省（自治区）</w:t>
            </w:r>
            <w:r>
              <w:rPr>
                <w:rFonts w:hint="eastAsia" w:cs="Times New Roman"/>
                <w:sz w:val="21"/>
                <w:szCs w:val="21"/>
                <w:u w:val="single"/>
                <w:lang w:val="en-US" w:eastAsia="zh-CN"/>
              </w:rPr>
              <w:t>福州</w:t>
            </w:r>
            <w:r>
              <w:rPr>
                <w:rFonts w:hint="default" w:ascii="Times New Roman" w:hAnsi="Times New Roman" w:eastAsia="宋体" w:cs="Times New Roman"/>
                <w:sz w:val="21"/>
                <w:szCs w:val="21"/>
              </w:rPr>
              <w:t>市</w:t>
            </w:r>
            <w:r>
              <w:rPr>
                <w:rFonts w:hint="eastAsia" w:cs="Times New Roman"/>
                <w:sz w:val="21"/>
                <w:szCs w:val="21"/>
                <w:u w:val="single"/>
                <w:lang w:val="en-US" w:eastAsia="zh-CN"/>
              </w:rPr>
              <w:t>连江</w:t>
            </w:r>
            <w:r>
              <w:rPr>
                <w:rFonts w:hint="default" w:ascii="Times New Roman" w:hAnsi="Times New Roman" w:eastAsia="宋体" w:cs="Times New Roman"/>
                <w:sz w:val="21"/>
                <w:szCs w:val="21"/>
              </w:rPr>
              <w:t>县（区）</w:t>
            </w:r>
            <w:r>
              <w:rPr>
                <w:rFonts w:hint="eastAsia" w:cs="Times New Roman"/>
                <w:sz w:val="21"/>
                <w:szCs w:val="21"/>
                <w:u w:val="single"/>
                <w:lang w:val="en-US" w:eastAsia="zh-CN"/>
              </w:rPr>
              <w:t>东湖镇国</w:t>
            </w:r>
            <w:r>
              <w:rPr>
                <w:rFonts w:hint="default" w:ascii="Times New Roman" w:hAnsi="Times New Roman" w:eastAsia="宋体" w:cs="Times New Roman"/>
                <w:sz w:val="21"/>
                <w:szCs w:val="21"/>
                <w:u w:val="single"/>
              </w:rPr>
              <w:t>优北路205号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地理坐标</w:t>
            </w:r>
          </w:p>
        </w:tc>
        <w:tc>
          <w:tcPr>
            <w:tcW w:w="7061"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u w:val="single"/>
                <w:lang w:val="en-US" w:eastAsia="zh-CN"/>
              </w:rPr>
              <w:t>119</w:t>
            </w:r>
            <w:r>
              <w:rPr>
                <w:rFonts w:hint="default" w:ascii="Times New Roman" w:hAnsi="Times New Roman" w:eastAsia="宋体" w:cs="Times New Roman"/>
                <w:color w:val="auto"/>
                <w:sz w:val="21"/>
                <w:szCs w:val="21"/>
              </w:rPr>
              <w:t>度</w:t>
            </w:r>
            <w:r>
              <w:rPr>
                <w:rFonts w:hint="eastAsia" w:cs="Times New Roman"/>
                <w:color w:val="auto"/>
                <w:sz w:val="21"/>
                <w:szCs w:val="21"/>
                <w:u w:val="single"/>
                <w:lang w:val="en-US" w:eastAsia="zh-CN"/>
              </w:rPr>
              <w:t>29</w:t>
            </w:r>
            <w:r>
              <w:rPr>
                <w:rFonts w:hint="default" w:ascii="Times New Roman" w:hAnsi="Times New Roman" w:eastAsia="宋体" w:cs="Times New Roman"/>
                <w:color w:val="auto"/>
                <w:sz w:val="21"/>
                <w:szCs w:val="21"/>
              </w:rPr>
              <w:t>分</w:t>
            </w:r>
            <w:r>
              <w:rPr>
                <w:rFonts w:hint="eastAsia" w:cs="Times New Roman"/>
                <w:color w:val="auto"/>
                <w:sz w:val="21"/>
                <w:szCs w:val="21"/>
                <w:u w:val="single"/>
                <w:lang w:val="en-US" w:eastAsia="zh-CN"/>
              </w:rPr>
              <w:t>45.83</w:t>
            </w:r>
            <w:r>
              <w:rPr>
                <w:rFonts w:hint="default" w:ascii="Times New Roman" w:hAnsi="Times New Roman" w:eastAsia="宋体" w:cs="Times New Roman"/>
                <w:color w:val="auto"/>
                <w:sz w:val="21"/>
                <w:szCs w:val="21"/>
              </w:rPr>
              <w:t>秒，</w:t>
            </w:r>
            <w:r>
              <w:rPr>
                <w:rFonts w:hint="default" w:ascii="Times New Roman" w:hAnsi="Times New Roman" w:eastAsia="宋体" w:cs="Times New Roman"/>
                <w:color w:val="auto"/>
                <w:sz w:val="21"/>
                <w:szCs w:val="21"/>
                <w:u w:val="single"/>
              </w:rPr>
              <w:t>2</w:t>
            </w:r>
            <w:r>
              <w:rPr>
                <w:rFonts w:hint="default" w:ascii="Times New Roman" w:hAnsi="Times New Roman" w:eastAsia="宋体" w:cs="Times New Roman"/>
                <w:color w:val="auto"/>
                <w:sz w:val="21"/>
                <w:szCs w:val="21"/>
                <w:u w:val="single"/>
                <w:lang w:val="en-US" w:eastAsia="zh-CN"/>
              </w:rPr>
              <w:t>6</w:t>
            </w:r>
            <w:r>
              <w:rPr>
                <w:rFonts w:hint="default" w:ascii="Times New Roman" w:hAnsi="Times New Roman" w:eastAsia="宋体" w:cs="Times New Roman"/>
                <w:color w:val="auto"/>
                <w:sz w:val="21"/>
                <w:szCs w:val="21"/>
              </w:rPr>
              <w:t>度</w:t>
            </w:r>
            <w:r>
              <w:rPr>
                <w:rFonts w:hint="eastAsia" w:cs="Times New Roman"/>
                <w:color w:val="auto"/>
                <w:sz w:val="21"/>
                <w:szCs w:val="21"/>
                <w:u w:val="single"/>
                <w:lang w:val="en-US" w:eastAsia="zh-CN"/>
              </w:rPr>
              <w:t>16</w:t>
            </w:r>
            <w:r>
              <w:rPr>
                <w:rFonts w:hint="default" w:ascii="Times New Roman" w:hAnsi="Times New Roman" w:eastAsia="宋体" w:cs="Times New Roman"/>
                <w:color w:val="auto"/>
                <w:sz w:val="21"/>
                <w:szCs w:val="21"/>
              </w:rPr>
              <w:t>分</w:t>
            </w:r>
            <w:r>
              <w:rPr>
                <w:rFonts w:hint="eastAsia" w:cs="Times New Roman"/>
                <w:color w:val="auto"/>
                <w:sz w:val="21"/>
                <w:szCs w:val="21"/>
                <w:u w:val="single"/>
                <w:lang w:val="en-US" w:eastAsia="zh-CN"/>
              </w:rPr>
              <w:t>44.93</w:t>
            </w:r>
            <w:r>
              <w:rPr>
                <w:rFonts w:hint="default" w:ascii="Times New Roman" w:hAnsi="Times New Roman" w:eastAsia="宋体" w:cs="Times New Roman"/>
                <w:color w:val="auto"/>
                <w:sz w:val="21"/>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国民经济</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行业类别</w:t>
            </w:r>
          </w:p>
        </w:tc>
        <w:tc>
          <w:tcPr>
            <w:tcW w:w="2453" w:type="dxa"/>
            <w:gridSpan w:val="2"/>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C</w:t>
            </w:r>
            <w:r>
              <w:rPr>
                <w:rFonts w:hint="eastAsia" w:cs="Times New Roman"/>
                <w:sz w:val="21"/>
                <w:szCs w:val="21"/>
                <w:lang w:val="en-US" w:eastAsia="zh-CN"/>
              </w:rPr>
              <w:t>2926</w:t>
            </w:r>
            <w:r>
              <w:rPr>
                <w:rFonts w:hint="eastAsia"/>
                <w:szCs w:val="21"/>
              </w:rPr>
              <w:t>塑料包装箱及容器制造</w:t>
            </w:r>
          </w:p>
        </w:tc>
        <w:tc>
          <w:tcPr>
            <w:tcW w:w="18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行业类别</w:t>
            </w:r>
          </w:p>
        </w:tc>
        <w:tc>
          <w:tcPr>
            <w:tcW w:w="2720" w:type="dxa"/>
            <w:noWrap w:val="0"/>
            <w:vAlign w:val="center"/>
          </w:tcPr>
          <w:p>
            <w:pPr>
              <w:pStyle w:val="4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二十</w:t>
            </w:r>
            <w:r>
              <w:rPr>
                <w:rFonts w:hint="eastAsia" w:cs="Times New Roman"/>
                <w:sz w:val="21"/>
                <w:szCs w:val="21"/>
                <w:lang w:val="en-US" w:eastAsia="zh-CN" w:bidi="ar"/>
              </w:rPr>
              <w:t>六</w:t>
            </w:r>
            <w:r>
              <w:rPr>
                <w:rFonts w:hint="default" w:ascii="Times New Roman" w:hAnsi="Times New Roman" w:eastAsia="宋体" w:cs="Times New Roman"/>
                <w:sz w:val="21"/>
                <w:szCs w:val="21"/>
                <w:lang w:bidi="ar"/>
              </w:rPr>
              <w:t>、</w:t>
            </w:r>
            <w:r>
              <w:rPr>
                <w:rFonts w:hint="eastAsia" w:cs="Times New Roman"/>
                <w:sz w:val="21"/>
                <w:szCs w:val="21"/>
                <w:lang w:val="en-US" w:eastAsia="zh-CN" w:bidi="ar"/>
              </w:rPr>
              <w:t>橡胶和塑料</w:t>
            </w:r>
            <w:r>
              <w:rPr>
                <w:rFonts w:hint="default" w:ascii="Times New Roman" w:hAnsi="Times New Roman" w:eastAsia="宋体" w:cs="Times New Roman"/>
                <w:sz w:val="21"/>
                <w:szCs w:val="21"/>
                <w:lang w:bidi="ar"/>
              </w:rPr>
              <w:t xml:space="preserve">制品业 </w:t>
            </w:r>
            <w:r>
              <w:rPr>
                <w:rFonts w:hint="eastAsia" w:cs="Times New Roman"/>
                <w:sz w:val="21"/>
                <w:szCs w:val="21"/>
                <w:lang w:val="en-US" w:eastAsia="zh-CN" w:bidi="ar"/>
              </w:rPr>
              <w:t>29：53</w:t>
            </w:r>
            <w:r>
              <w:rPr>
                <w:rFonts w:hint="default" w:ascii="Times New Roman" w:hAnsi="Times New Roman" w:eastAsia="宋体" w:cs="Times New Roman"/>
                <w:sz w:val="21"/>
                <w:szCs w:val="21"/>
                <w:lang w:bidi="ar"/>
              </w:rPr>
              <w:t>、</w:t>
            </w:r>
            <w:r>
              <w:rPr>
                <w:rFonts w:hint="eastAsia" w:cs="Times New Roman"/>
                <w:sz w:val="21"/>
                <w:szCs w:val="21"/>
                <w:lang w:val="en-US" w:eastAsia="zh-CN" w:bidi="ar"/>
              </w:rPr>
              <w:t>塑料制品业 292</w:t>
            </w:r>
            <w:r>
              <w:rPr>
                <w:rFonts w:hint="default" w:ascii="Times New Roman" w:hAnsi="Times New Roman" w:eastAsia="宋体" w:cs="Times New Roman"/>
                <w:sz w:val="21"/>
                <w:szCs w:val="21"/>
                <w:lang w:bidi="ar"/>
              </w:rPr>
              <w:t>；其他（年用非溶剂型低VOCs含</w:t>
            </w:r>
          </w:p>
          <w:p>
            <w:pPr>
              <w:pStyle w:val="43"/>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47"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建设性质</w:t>
            </w:r>
          </w:p>
        </w:tc>
        <w:tc>
          <w:tcPr>
            <w:tcW w:w="2453" w:type="dxa"/>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52"/>
            </w:r>
            <w:r>
              <w:rPr>
                <w:rFonts w:hint="default" w:ascii="Times New Roman" w:hAnsi="Times New Roman" w:eastAsia="宋体" w:cs="Times New Roman"/>
                <w:sz w:val="21"/>
                <w:szCs w:val="21"/>
              </w:rPr>
              <w:t>新建（迁建）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改建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扩建</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技术改造</w:t>
            </w:r>
          </w:p>
        </w:tc>
        <w:tc>
          <w:tcPr>
            <w:tcW w:w="18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申报情形</w:t>
            </w:r>
          </w:p>
        </w:tc>
        <w:tc>
          <w:tcPr>
            <w:tcW w:w="2720"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52"/>
            </w:r>
            <w:r>
              <w:rPr>
                <w:rFonts w:hint="default" w:ascii="Times New Roman" w:hAnsi="Times New Roman" w:eastAsia="宋体" w:cs="Times New Roman"/>
                <w:sz w:val="21"/>
                <w:szCs w:val="21"/>
              </w:rPr>
              <w:t>首次申报项目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不予批准后再次申报项目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超五年重新审核项目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项目审批（核准/</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备案）部门</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（选填）</w:t>
            </w:r>
          </w:p>
        </w:tc>
        <w:tc>
          <w:tcPr>
            <w:tcW w:w="2453" w:type="dxa"/>
            <w:gridSpan w:val="2"/>
            <w:noWrap w:val="0"/>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连江县发展和改革局</w:t>
            </w:r>
          </w:p>
        </w:tc>
        <w:tc>
          <w:tcPr>
            <w:tcW w:w="18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项目审批（核准/</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备案）文号（选填）</w:t>
            </w:r>
          </w:p>
        </w:tc>
        <w:tc>
          <w:tcPr>
            <w:tcW w:w="272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闽发改备[2024]A120138号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总投资（万元）</w:t>
            </w:r>
          </w:p>
        </w:tc>
        <w:tc>
          <w:tcPr>
            <w:tcW w:w="2453"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color w:val="auto"/>
                <w:sz w:val="21"/>
                <w:szCs w:val="21"/>
                <w:lang w:val="en-US" w:eastAsia="zh-CN"/>
              </w:rPr>
              <w:t>400</w:t>
            </w:r>
          </w:p>
        </w:tc>
        <w:tc>
          <w:tcPr>
            <w:tcW w:w="188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环保投资（万元）</w:t>
            </w:r>
          </w:p>
        </w:tc>
        <w:tc>
          <w:tcPr>
            <w:tcW w:w="272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环保投资占比（%）</w:t>
            </w:r>
          </w:p>
        </w:tc>
        <w:tc>
          <w:tcPr>
            <w:tcW w:w="2453"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color w:val="auto"/>
                <w:sz w:val="21"/>
                <w:szCs w:val="21"/>
                <w:lang w:val="en-US" w:eastAsia="zh-CN"/>
              </w:rPr>
              <w:t>2.5</w:t>
            </w:r>
          </w:p>
        </w:tc>
        <w:tc>
          <w:tcPr>
            <w:tcW w:w="188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施工工期</w:t>
            </w:r>
          </w:p>
        </w:tc>
        <w:tc>
          <w:tcPr>
            <w:tcW w:w="272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0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是否开工建设</w:t>
            </w:r>
          </w:p>
        </w:tc>
        <w:tc>
          <w:tcPr>
            <w:tcW w:w="2453" w:type="dxa"/>
            <w:gridSpan w:val="2"/>
            <w:noWrap w:val="0"/>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sym w:font="Wingdings 2" w:char="0052"/>
            </w:r>
            <w:r>
              <w:rPr>
                <w:rFonts w:hint="default" w:ascii="Times New Roman" w:hAnsi="Times New Roman" w:eastAsia="宋体" w:cs="Times New Roman"/>
                <w:color w:val="auto"/>
                <w:sz w:val="21"/>
                <w:szCs w:val="21"/>
              </w:rPr>
              <w:t>否</w:t>
            </w:r>
          </w:p>
          <w:p>
            <w:pPr>
              <w:keepNext w:val="0"/>
              <w:keepLines w:val="0"/>
              <w:suppressLineNumbers w:val="0"/>
              <w:adjustRightInd w:val="0"/>
              <w:snapToGrid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sym w:font="Wingdings 2" w:char="00A3"/>
            </w:r>
            <w:r>
              <w:rPr>
                <w:rFonts w:hint="default" w:ascii="Times New Roman" w:hAnsi="Times New Roman" w:eastAsia="宋体" w:cs="Times New Roman"/>
                <w:sz w:val="21"/>
                <w:szCs w:val="21"/>
              </w:rPr>
              <w:t>是：</w:t>
            </w:r>
            <w:r>
              <w:rPr>
                <w:rFonts w:hint="eastAsia" w:cs="Times New Roman"/>
                <w:sz w:val="21"/>
                <w:szCs w:val="21"/>
                <w:u w:val="single"/>
                <w:lang w:val="en-US" w:eastAsia="zh-CN"/>
              </w:rPr>
              <w:t xml:space="preserve">      </w:t>
            </w:r>
          </w:p>
        </w:tc>
        <w:tc>
          <w:tcPr>
            <w:tcW w:w="188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用地（用海）</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pacing w:val="-6"/>
                <w:sz w:val="21"/>
                <w:szCs w:val="21"/>
              </w:rPr>
              <w:t>面积（m</w:t>
            </w:r>
            <w:r>
              <w:rPr>
                <w:rFonts w:hint="default" w:ascii="Times New Roman" w:hAnsi="Times New Roman" w:eastAsia="宋体" w:cs="Times New Roman"/>
                <w:spacing w:val="-6"/>
                <w:sz w:val="21"/>
                <w:szCs w:val="21"/>
                <w:vertAlign w:val="superscript"/>
              </w:rPr>
              <w:t>2</w:t>
            </w:r>
            <w:r>
              <w:rPr>
                <w:rFonts w:hint="default" w:ascii="Times New Roman" w:hAnsi="Times New Roman" w:eastAsia="宋体" w:cs="Times New Roman"/>
                <w:spacing w:val="-6"/>
                <w:sz w:val="21"/>
                <w:szCs w:val="21"/>
              </w:rPr>
              <w:t>）</w:t>
            </w:r>
          </w:p>
        </w:tc>
        <w:tc>
          <w:tcPr>
            <w:tcW w:w="272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eastAsia" w:cs="Times New Roman"/>
                <w:color w:val="auto"/>
                <w:sz w:val="21"/>
                <w:szCs w:val="21"/>
                <w:lang w:val="en-US" w:eastAsia="zh-CN"/>
              </w:rPr>
              <w:t>300</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租用</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Merge w:val="restart"/>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专项评价设置情况</w:t>
            </w:r>
          </w:p>
        </w:tc>
        <w:tc>
          <w:tcPr>
            <w:tcW w:w="1267"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专项类别</w:t>
            </w:r>
          </w:p>
        </w:tc>
        <w:tc>
          <w:tcPr>
            <w:tcW w:w="1186"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开展情况</w:t>
            </w:r>
          </w:p>
        </w:tc>
        <w:tc>
          <w:tcPr>
            <w:tcW w:w="4608" w:type="dxa"/>
            <w:gridSpan w:val="2"/>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设置说明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p>
        </w:tc>
        <w:tc>
          <w:tcPr>
            <w:tcW w:w="1267"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w:t>
            </w:r>
          </w:p>
        </w:tc>
        <w:tc>
          <w:tcPr>
            <w:tcW w:w="1186"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w:t>
            </w:r>
          </w:p>
        </w:tc>
        <w:tc>
          <w:tcPr>
            <w:tcW w:w="4608" w:type="dxa"/>
            <w:gridSpan w:val="2"/>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rPr>
              <w:t>本项目排放的废气不涉及有毒有害污染物、二噁英、苯并[a]芘、氰化物、氯气。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4"/>
                <w:szCs w:val="24"/>
              </w:rPr>
            </w:pPr>
          </w:p>
        </w:tc>
        <w:tc>
          <w:tcPr>
            <w:tcW w:w="1267"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地表水</w:t>
            </w:r>
          </w:p>
        </w:tc>
        <w:tc>
          <w:tcPr>
            <w:tcW w:w="1186"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无</w:t>
            </w:r>
          </w:p>
        </w:tc>
        <w:tc>
          <w:tcPr>
            <w:tcW w:w="4608" w:type="dxa"/>
            <w:gridSpan w:val="2"/>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rPr>
              <w:t>本项目不直接外排生产废水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4"/>
                <w:szCs w:val="24"/>
              </w:rPr>
            </w:pPr>
          </w:p>
        </w:tc>
        <w:tc>
          <w:tcPr>
            <w:tcW w:w="1267"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环境风险</w:t>
            </w:r>
          </w:p>
        </w:tc>
        <w:tc>
          <w:tcPr>
            <w:tcW w:w="1186"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无</w:t>
            </w:r>
          </w:p>
        </w:tc>
        <w:tc>
          <w:tcPr>
            <w:tcW w:w="4608" w:type="dxa"/>
            <w:gridSpan w:val="2"/>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rPr>
              <w:t>本</w:t>
            </w:r>
            <w:r>
              <w:rPr>
                <w:rFonts w:hint="default" w:ascii="Times New Roman" w:hAnsi="Times New Roman" w:eastAsia="宋体" w:cs="Times New Roman"/>
                <w:sz w:val="21"/>
                <w:szCs w:val="21"/>
              </w:rPr>
              <w:t>项目不涉及有毒有害和易燃易爆危险物质。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4"/>
                <w:szCs w:val="24"/>
              </w:rPr>
            </w:pPr>
          </w:p>
        </w:tc>
        <w:tc>
          <w:tcPr>
            <w:tcW w:w="1267"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生态</w:t>
            </w:r>
          </w:p>
        </w:tc>
        <w:tc>
          <w:tcPr>
            <w:tcW w:w="1186"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无</w:t>
            </w:r>
          </w:p>
        </w:tc>
        <w:tc>
          <w:tcPr>
            <w:tcW w:w="4608" w:type="dxa"/>
            <w:gridSpan w:val="2"/>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本项目用水来自市政自来水管网供水，不属于新增河道取水项目。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Merge w:val="continue"/>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000000"/>
                <w:kern w:val="0"/>
                <w:sz w:val="24"/>
                <w:szCs w:val="24"/>
              </w:rPr>
            </w:pPr>
          </w:p>
        </w:tc>
        <w:tc>
          <w:tcPr>
            <w:tcW w:w="1267"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海洋</w:t>
            </w:r>
          </w:p>
        </w:tc>
        <w:tc>
          <w:tcPr>
            <w:tcW w:w="1186"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无</w:t>
            </w:r>
          </w:p>
        </w:tc>
        <w:tc>
          <w:tcPr>
            <w:tcW w:w="4608" w:type="dxa"/>
            <w:gridSpan w:val="2"/>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本项目不属于直接向海排放污染物的海洋工程建设项目。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809" w:type="dxa"/>
            <w:noWrap w:val="0"/>
            <w:vAlign w:val="center"/>
          </w:tcPr>
          <w:p>
            <w:pPr>
              <w:keepNext w:val="0"/>
              <w:keepLines w:val="0"/>
              <w:suppressLineNumbers w:val="0"/>
              <w:autoSpaceDE w:val="0"/>
              <w:autoSpaceDN w:val="0"/>
              <w:adjustRightInd w:val="0"/>
              <w:snapToGrid w:val="0"/>
              <w:spacing w:before="0" w:beforeAutospacing="0" w:after="0" w:afterAutospacing="0" w:line="240" w:lineRule="auto"/>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规划情况</w:t>
            </w:r>
          </w:p>
        </w:tc>
        <w:tc>
          <w:tcPr>
            <w:tcW w:w="7061" w:type="dxa"/>
            <w:gridSpan w:val="4"/>
            <w:noWrap w:val="0"/>
            <w:vAlign w:val="center"/>
          </w:tcPr>
          <w:p>
            <w:pPr>
              <w:keepNext w:val="0"/>
              <w:keepLines w:val="0"/>
              <w:suppressLineNumbers w:val="0"/>
              <w:autoSpaceDE w:val="0"/>
              <w:autoSpaceDN w:val="0"/>
              <w:adjustRightInd w:val="0"/>
              <w:snapToGrid w:val="0"/>
              <w:spacing w:before="0" w:beforeAutospacing="0" w:after="0" w:afterAutospacing="0" w:line="360" w:lineRule="auto"/>
              <w:ind w:left="0" w:right="0"/>
              <w:jc w:val="left"/>
              <w:rPr>
                <w:rFonts w:hint="eastAsia"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lang w:val="en-US" w:eastAsia="zh-CN"/>
              </w:rPr>
              <w:t>规划名称：</w:t>
            </w:r>
            <w:r>
              <w:rPr>
                <w:rFonts w:hint="eastAsia"/>
                <w:kern w:val="0"/>
                <w:sz w:val="24"/>
              </w:rPr>
              <w:t>《福州现代物流城控制性详细规划（修编）》</w:t>
            </w:r>
          </w:p>
          <w:p>
            <w:pPr>
              <w:keepNext w:val="0"/>
              <w:keepLines w:val="0"/>
              <w:suppressLineNumbers w:val="0"/>
              <w:autoSpaceDE w:val="0"/>
              <w:autoSpaceDN w:val="0"/>
              <w:adjustRightInd w:val="0"/>
              <w:snapToGrid w:val="0"/>
              <w:spacing w:before="0" w:beforeAutospacing="0" w:after="0" w:afterAutospacing="0" w:line="360" w:lineRule="auto"/>
              <w:ind w:left="0" w:right="0"/>
              <w:jc w:val="left"/>
              <w:rPr>
                <w:rFonts w:hint="default" w:cs="Times New Roman"/>
                <w:kern w:val="0"/>
                <w:sz w:val="24"/>
                <w:szCs w:val="24"/>
                <w:lang w:val="en-US" w:eastAsia="zh-CN"/>
              </w:rPr>
            </w:pPr>
            <w:r>
              <w:rPr>
                <w:rFonts w:hint="eastAsia" w:cs="Times New Roman"/>
                <w:kern w:val="0"/>
                <w:sz w:val="24"/>
                <w:szCs w:val="24"/>
                <w:lang w:val="en-US" w:eastAsia="zh-CN"/>
              </w:rPr>
              <w:t>规划审查机关：</w:t>
            </w:r>
            <w:r>
              <w:rPr>
                <w:rFonts w:hint="eastAsia"/>
                <w:kern w:val="0"/>
                <w:sz w:val="24"/>
              </w:rPr>
              <w:t>连江县人民政府</w:t>
            </w:r>
          </w:p>
          <w:p>
            <w:pPr>
              <w:keepNext w:val="0"/>
              <w:keepLines w:val="0"/>
              <w:suppressLineNumbers w:val="0"/>
              <w:autoSpaceDE w:val="0"/>
              <w:autoSpaceDN w:val="0"/>
              <w:adjustRightInd w:val="0"/>
              <w:snapToGrid w:val="0"/>
              <w:spacing w:before="0" w:beforeAutospacing="0" w:after="0" w:afterAutospacing="0" w:line="360" w:lineRule="auto"/>
              <w:ind w:left="0" w:right="0"/>
              <w:jc w:val="left"/>
              <w:rPr>
                <w:rFonts w:hint="default" w:cs="Times New Roman"/>
                <w:kern w:val="0"/>
                <w:sz w:val="24"/>
                <w:szCs w:val="24"/>
                <w:lang w:val="en-US" w:eastAsia="zh-CN"/>
              </w:rPr>
            </w:pPr>
            <w:r>
              <w:rPr>
                <w:rFonts w:hint="eastAsia"/>
                <w:sz w:val="24"/>
                <w:szCs w:val="32"/>
                <w:lang w:val="en-US" w:eastAsia="zh-CN"/>
              </w:rPr>
              <w:t>审查</w:t>
            </w:r>
            <w:r>
              <w:rPr>
                <w:rFonts w:hint="eastAsia" w:cs="Times New Roman"/>
                <w:kern w:val="0"/>
                <w:sz w:val="24"/>
                <w:szCs w:val="24"/>
                <w:lang w:val="en-US" w:eastAsia="zh-CN"/>
              </w:rPr>
              <w:t>情况：</w:t>
            </w:r>
            <w:r>
              <w:rPr>
                <w:rFonts w:hint="eastAsia"/>
                <w:kern w:val="0"/>
                <w:sz w:val="24"/>
              </w:rPr>
              <w:t>《福州现代物流城控制性详细规划（修编）》，2023年4月10日通过连江县人民政府组织的专家技术审查会审查。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0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规划环境影响</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评价情况</w:t>
            </w:r>
          </w:p>
        </w:tc>
        <w:tc>
          <w:tcPr>
            <w:tcW w:w="7061" w:type="dxa"/>
            <w:gridSpan w:val="4"/>
            <w:noWrap w:val="0"/>
            <w:vAlign w:val="center"/>
          </w:tcPr>
          <w:p>
            <w:pPr>
              <w:keepNext w:val="0"/>
              <w:keepLines w:val="0"/>
              <w:suppressLineNumbers w:val="0"/>
              <w:autoSpaceDE w:val="0"/>
              <w:autoSpaceDN w:val="0"/>
              <w:adjustRightInd w:val="0"/>
              <w:snapToGrid w:val="0"/>
              <w:spacing w:before="0" w:beforeAutospacing="0" w:after="0" w:afterAutospacing="0" w:line="360" w:lineRule="auto"/>
              <w:ind w:left="0" w:right="0"/>
              <w:jc w:val="left"/>
              <w:rPr>
                <w:rFonts w:hint="default" w:ascii="Times New Roman" w:hAnsi="Times New Roman" w:eastAsia="宋体" w:cs="Times New Roman"/>
                <w:kern w:val="0"/>
                <w:sz w:val="24"/>
                <w:szCs w:val="24"/>
                <w:lang w:val="en-US" w:eastAsia="zh-CN"/>
              </w:rPr>
            </w:pPr>
            <w:r>
              <w:rPr>
                <w:rFonts w:hint="eastAsia" w:cs="Times New Roman"/>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809"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规划及规划环境影响评价符合性分析</w:t>
            </w:r>
          </w:p>
        </w:tc>
        <w:tc>
          <w:tcPr>
            <w:tcW w:w="7061" w:type="dxa"/>
            <w:gridSpan w:val="4"/>
            <w:noWrap w:val="0"/>
            <w:vAlign w:val="center"/>
          </w:tcPr>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rPr>
              <w:t>根据福州市规划设计研究院编制的《福州现代物流城控制性详细规划（修编）》，本项目符合性分析如下：</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lang w:val="en-US" w:eastAsia="zh-CN"/>
              </w:rPr>
              <w:t>（1）</w:t>
            </w:r>
            <w:r>
              <w:rPr>
                <w:rFonts w:hint="eastAsia"/>
              </w:rPr>
              <w:t>功能定位和目标</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rPr>
              <w:t>福州现代物流城定位为：以物流、制造、商贸为主导功能的现代产业新城。福州现代物流城建设目标为：海丝国际物流通道门户，商贸服务型国家物流枢纽重要载体，东南区域物流集散中心，现代智慧物流示范样板。</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lang w:val="en-US" w:eastAsia="zh-CN"/>
              </w:rPr>
              <w:t>（2）</w:t>
            </w:r>
            <w:r>
              <w:rPr>
                <w:rFonts w:hint="eastAsia"/>
              </w:rPr>
              <w:t>用地布局</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rPr>
              <w:t>总体形成“一带、一心、三组团”的空间布局结构。</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lang w:val="en-US" w:eastAsia="zh-CN"/>
              </w:rPr>
              <w:t>①</w:t>
            </w:r>
            <w:r>
              <w:rPr>
                <w:rFonts w:hint="eastAsia"/>
              </w:rPr>
              <w:t>一带：牛溪生态综合服务带。</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lang w:val="en-US" w:eastAsia="zh-CN"/>
              </w:rPr>
              <w:t>②</w:t>
            </w:r>
            <w:r>
              <w:rPr>
                <w:rFonts w:hint="eastAsia"/>
              </w:rPr>
              <w:t>一心：贤义河（鹅头溪）物流城公共管理与综合服务核心。</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lang w:val="en-US" w:eastAsia="zh-CN"/>
              </w:rPr>
              <w:t>③</w:t>
            </w:r>
            <w:r>
              <w:rPr>
                <w:rFonts w:hint="eastAsia"/>
              </w:rPr>
              <w:t>三组团：北部先进制造组团、中部物流功能组团和南部商贸功能组团。</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rPr>
              <w:t>北部先进制造组团：结合铁路货站及配套区的空间特征，以大型厂房为空间肌理，临水布局厂区配套办公和特色建筑。</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rPr>
              <w:t>中部物流功能组团：沿铁路两侧结合铁路货站布局枢纽物流区、智慧物流园等。</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rPr>
              <w:t>南部商贸功能组团：以物流城公共管理与综合服务核心为核心，突出城绿融合，外部布局物流市场及城市配送型生产企业，空间多元丰富。</w:t>
            </w:r>
          </w:p>
          <w:p>
            <w:pPr>
              <w:pStyle w:val="43"/>
              <w:keepNext w:val="0"/>
              <w:keepLines w:val="0"/>
              <w:suppressLineNumbers w:val="0"/>
              <w:bidi w:val="0"/>
              <w:spacing w:before="0" w:beforeAutospacing="0" w:after="0" w:afterAutospacing="0"/>
              <w:ind w:left="0" w:right="0" w:firstLine="480" w:firstLineChars="200"/>
              <w:rPr>
                <w:rFonts w:hint="eastAsia"/>
              </w:rPr>
            </w:pPr>
            <w:r>
              <w:rPr>
                <w:rFonts w:hint="eastAsia"/>
              </w:rPr>
              <w:t>项目主要</w:t>
            </w:r>
            <w:r>
              <w:rPr>
                <w:rFonts w:hint="eastAsia"/>
                <w:lang w:val="en-US" w:eastAsia="zh-CN"/>
              </w:rPr>
              <w:t>生产塑料果篮</w:t>
            </w:r>
            <w:r>
              <w:rPr>
                <w:rFonts w:hint="eastAsia"/>
              </w:rPr>
              <w:t>，根据《国民经济行业分类》（GB/T4754-2017），属于C292</w:t>
            </w:r>
            <w:r>
              <w:rPr>
                <w:rFonts w:hint="eastAsia"/>
                <w:lang w:val="en-US" w:eastAsia="zh-CN"/>
              </w:rPr>
              <w:t>6</w:t>
            </w:r>
            <w:r>
              <w:rPr>
                <w:rFonts w:hint="eastAsia"/>
              </w:rPr>
              <w:t>塑料包装箱及容器制造</w:t>
            </w:r>
            <w:r>
              <w:rPr>
                <w:rFonts w:hint="eastAsia"/>
                <w:lang w:eastAsia="zh-CN"/>
              </w:rPr>
              <w:t>，</w:t>
            </w:r>
            <w:r>
              <w:rPr>
                <w:rFonts w:hint="eastAsia"/>
              </w:rPr>
              <w:t>因此符合福州现代物流城“以物流、制造、商贸为主导”的功能定位。</w:t>
            </w:r>
          </w:p>
          <w:p>
            <w:pPr>
              <w:pStyle w:val="43"/>
              <w:keepNext w:val="0"/>
              <w:keepLines w:val="0"/>
              <w:suppressLineNumbers w:val="0"/>
              <w:bidi w:val="0"/>
              <w:spacing w:before="0" w:beforeAutospacing="0" w:after="0" w:afterAutospacing="0"/>
              <w:ind w:left="0" w:right="0" w:firstLine="480" w:firstLineChars="200"/>
              <w:rPr>
                <w:rFonts w:hint="default"/>
                <w:lang w:val="en-US"/>
              </w:rPr>
            </w:pPr>
            <w:r>
              <w:rPr>
                <w:rFonts w:hint="eastAsia"/>
              </w:rPr>
              <w:t>本项目位于</w:t>
            </w:r>
            <w:r>
              <w:rPr>
                <w:rFonts w:hint="eastAsia"/>
                <w:lang w:eastAsia="zh-CN"/>
              </w:rPr>
              <w:t>福州市连江县东湖镇国优北路205号</w:t>
            </w:r>
            <w:r>
              <w:rPr>
                <w:rFonts w:hint="eastAsia"/>
              </w:rPr>
              <w:t>，租赁福建和谐钢结构工程有限公司已建厂房进行生产，项目所在厂房为工业厂房，根据《福州现代物流城控制性详细规划（修编）》的用地规划图，项目所在地为二类工业用地（M2）。因此，项目建设符合《福州现代物流城控制性详细规划（修编）》的规划要求，详见附图</w:t>
            </w:r>
            <w:r>
              <w:rPr>
                <w:rFonts w:hint="eastAsia"/>
                <w:lang w:val="en-US" w:eastAsia="zh-CN"/>
              </w:rPr>
              <w:t>5</w:t>
            </w:r>
            <w:r>
              <w:rPr>
                <w:rFonts w:hint="eastAsia"/>
              </w:rPr>
              <w:t>。</w:t>
            </w:r>
          </w:p>
          <w:p>
            <w:pPr>
              <w:pStyle w:val="43"/>
              <w:keepNext w:val="0"/>
              <w:keepLines w:val="0"/>
              <w:suppressLineNumbers w:val="0"/>
              <w:bidi w:val="0"/>
              <w:spacing w:before="0" w:beforeAutospacing="0" w:after="0" w:afterAutospacing="0"/>
              <w:ind w:left="0" w:right="0" w:firstLine="480" w:firstLineChars="200"/>
              <w:rPr>
                <w:rFonts w:hint="default"/>
                <w:color w:val="auto"/>
                <w:lang w:val="en-US" w:eastAsia="zh-CN"/>
              </w:rPr>
            </w:pPr>
            <w:r>
              <w:rPr>
                <w:rFonts w:hint="eastAsia"/>
              </w:rPr>
              <w:t>综上所述，本项目与《福州现代物流城控制性详细规划（修编）》是相符的。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9"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kern w:val="0"/>
                <w:szCs w:val="21"/>
              </w:rPr>
            </w:pPr>
            <w:r>
              <w:rPr>
                <w:rFonts w:hint="eastAsia" w:ascii="宋体" w:hAnsi="宋体" w:eastAsia="宋体" w:cs="宋体"/>
                <w:kern w:val="0"/>
                <w:sz w:val="24"/>
                <w:szCs w:val="24"/>
              </w:rPr>
              <w:t>其他符合性分析</w:t>
            </w:r>
          </w:p>
        </w:tc>
        <w:tc>
          <w:tcPr>
            <w:tcW w:w="7061" w:type="dxa"/>
            <w:gridSpan w:val="4"/>
            <w:noWrap w:val="0"/>
            <w:vAlign w:val="center"/>
          </w:tcPr>
          <w:p>
            <w:pPr>
              <w:pStyle w:val="3"/>
              <w:keepNext w:val="0"/>
              <w:keepLines w:val="0"/>
              <w:suppressLineNumbers w:val="0"/>
              <w:bidi w:val="0"/>
              <w:spacing w:before="0" w:beforeAutospacing="0" w:after="0" w:afterAutospacing="0"/>
              <w:ind w:left="0" w:leftChars="0" w:right="0" w:firstLine="0" w:firstLineChars="0"/>
              <w:rPr>
                <w:rFonts w:hint="eastAsia"/>
              </w:rPr>
            </w:pPr>
            <w:bookmarkStart w:id="7" w:name="_Toc20750"/>
            <w:bookmarkStart w:id="8" w:name="_Toc14007"/>
            <w:r>
              <w:rPr>
                <w:rFonts w:hint="eastAsia"/>
              </w:rPr>
              <w:t>产业政策符合性分析</w:t>
            </w:r>
            <w:bookmarkEnd w:id="7"/>
            <w:bookmarkEnd w:id="8"/>
          </w:p>
          <w:p>
            <w:pPr>
              <w:pStyle w:val="43"/>
              <w:keepNext w:val="0"/>
              <w:keepLines w:val="0"/>
              <w:suppressLineNumbers w:val="0"/>
              <w:bidi w:val="0"/>
              <w:spacing w:before="0" w:beforeAutospacing="0" w:after="0" w:afterAutospacing="0"/>
              <w:ind w:left="0" w:right="0" w:firstLine="480"/>
              <w:rPr>
                <w:rFonts w:hint="default"/>
                <w:color w:val="auto"/>
                <w:lang w:val="en-US" w:eastAsia="zh-CN"/>
              </w:rPr>
            </w:pPr>
            <w:r>
              <w:rPr>
                <w:rFonts w:hint="eastAsia"/>
                <w:lang w:val="en-US" w:eastAsia="zh-CN"/>
              </w:rPr>
              <w:t>本项目外购PE、PP塑料粒进行塑料果篮的生产，</w:t>
            </w:r>
            <w:r>
              <w:rPr>
                <w:rFonts w:hint="default"/>
                <w:lang w:val="en-US" w:eastAsia="zh-CN"/>
              </w:rPr>
              <w:t>根据《产业结构调整指导目录</w:t>
            </w:r>
            <w:r>
              <w:rPr>
                <w:rFonts w:hint="eastAsia"/>
                <w:lang w:val="en-US" w:eastAsia="zh-CN"/>
              </w:rPr>
              <w:t>（</w:t>
            </w:r>
            <w:r>
              <w:rPr>
                <w:rFonts w:hint="default"/>
                <w:lang w:val="en-US" w:eastAsia="zh-CN"/>
              </w:rPr>
              <w:t>2024年本</w:t>
            </w:r>
            <w:r>
              <w:rPr>
                <w:rFonts w:hint="eastAsia"/>
                <w:lang w:val="en-US" w:eastAsia="zh-CN"/>
              </w:rPr>
              <w:t>）</w:t>
            </w:r>
            <w:r>
              <w:rPr>
                <w:rFonts w:hint="default"/>
                <w:lang w:val="en-US" w:eastAsia="zh-CN"/>
              </w:rPr>
              <w:t>》，不属于鼓励类、限制类和淘汰类。根据《促进产业结构调整暂行规定》第十三条规定：</w:t>
            </w:r>
            <w:r>
              <w:rPr>
                <w:rFonts w:hint="eastAsia"/>
                <w:lang w:val="en-US" w:eastAsia="zh-CN"/>
              </w:rPr>
              <w:t>“</w:t>
            </w:r>
            <w:r>
              <w:rPr>
                <w:rFonts w:hint="default"/>
                <w:lang w:val="en-US" w:eastAsia="zh-CN"/>
              </w:rPr>
              <w:t>不属于鼓励类、限制类和淘汰类，且符合国家有关</w:t>
            </w:r>
            <w:r>
              <w:rPr>
                <w:rFonts w:hint="eastAsia"/>
                <w:color w:val="auto"/>
                <w:lang w:val="en-US" w:eastAsia="zh-CN"/>
              </w:rPr>
              <w:t>法律法规</w:t>
            </w:r>
            <w:r>
              <w:rPr>
                <w:rFonts w:hint="default"/>
                <w:color w:val="auto"/>
                <w:lang w:val="en-US" w:eastAsia="zh-CN"/>
              </w:rPr>
              <w:t>和政策规定的，为允许类。</w:t>
            </w:r>
            <w:r>
              <w:rPr>
                <w:rFonts w:hint="eastAsia"/>
                <w:color w:val="auto"/>
                <w:lang w:val="en-US" w:eastAsia="zh-CN"/>
              </w:rPr>
              <w:t>”因此，本项目属于允许类。同时项目于2024年5月23日取得连江县</w:t>
            </w:r>
            <w:r>
              <w:rPr>
                <w:rFonts w:hint="default"/>
                <w:color w:val="auto"/>
                <w:lang w:val="en-US" w:eastAsia="zh-CN"/>
              </w:rPr>
              <w:t>发展和改革局</w:t>
            </w:r>
            <w:r>
              <w:rPr>
                <w:rFonts w:hint="eastAsia"/>
                <w:color w:val="auto"/>
                <w:lang w:val="en-US" w:eastAsia="zh-CN"/>
              </w:rPr>
              <w:t>出具的《福建省投资项目备案证明（内资）》（闽发改备[2024]A120138号），详见附件2。</w:t>
            </w:r>
          </w:p>
          <w:p>
            <w:pPr>
              <w:pStyle w:val="43"/>
              <w:keepNext w:val="0"/>
              <w:keepLines w:val="0"/>
              <w:suppressLineNumbers w:val="0"/>
              <w:bidi w:val="0"/>
              <w:spacing w:before="0" w:beforeAutospacing="0" w:after="0" w:afterAutospacing="0"/>
              <w:ind w:left="0" w:right="0"/>
              <w:rPr>
                <w:rFonts w:hint="default"/>
                <w:color w:val="auto"/>
              </w:rPr>
            </w:pPr>
            <w:r>
              <w:rPr>
                <w:rFonts w:hint="default"/>
                <w:color w:val="auto"/>
                <w:lang w:val="en-US" w:eastAsia="zh-CN"/>
              </w:rPr>
              <w:t>因此，项目建设符合</w:t>
            </w:r>
            <w:r>
              <w:rPr>
                <w:rFonts w:hint="eastAsia"/>
                <w:color w:val="auto"/>
                <w:lang w:val="en-US" w:eastAsia="zh-CN"/>
              </w:rPr>
              <w:t>国家及地方</w:t>
            </w:r>
            <w:r>
              <w:rPr>
                <w:rFonts w:hint="default"/>
                <w:color w:val="auto"/>
                <w:lang w:val="en-US" w:eastAsia="zh-CN"/>
              </w:rPr>
              <w:t>产业政策。</w:t>
            </w:r>
          </w:p>
          <w:p>
            <w:pPr>
              <w:pStyle w:val="3"/>
              <w:keepNext w:val="0"/>
              <w:keepLines w:val="0"/>
              <w:suppressLineNumbers w:val="0"/>
              <w:bidi w:val="0"/>
              <w:spacing w:before="0" w:beforeAutospacing="0" w:after="0" w:afterAutospacing="0"/>
              <w:ind w:left="0" w:leftChars="0" w:right="0" w:firstLine="0" w:firstLineChars="0"/>
              <w:rPr>
                <w:rFonts w:hint="eastAsia"/>
              </w:rPr>
            </w:pPr>
            <w:bookmarkStart w:id="9" w:name="_Toc21580"/>
            <w:bookmarkStart w:id="10" w:name="_Toc15233"/>
            <w:r>
              <w:rPr>
                <w:rFonts w:hint="eastAsia"/>
                <w:color w:val="auto"/>
              </w:rPr>
              <w:t>选址合理</w:t>
            </w:r>
            <w:r>
              <w:rPr>
                <w:rFonts w:hint="eastAsia"/>
              </w:rPr>
              <w:t>性分析</w:t>
            </w:r>
            <w:bookmarkEnd w:id="9"/>
            <w:bookmarkEnd w:id="10"/>
          </w:p>
          <w:p>
            <w:pPr>
              <w:pStyle w:val="83"/>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kern w:val="0"/>
                <w:lang w:eastAsia="zh-CN" w:bidi="ar"/>
              </w:rPr>
            </w:pPr>
            <w:r>
              <w:rPr>
                <w:rFonts w:hint="eastAsia"/>
              </w:rPr>
              <w:t>本项目选址于连江县福州现代物流城内，根据《福州现代物流城控制性详细规划（修编）》中</w:t>
            </w:r>
            <w:r>
              <w:rPr>
                <w:rFonts w:hint="eastAsia"/>
                <w:lang w:val="en-US" w:eastAsia="zh-CN"/>
              </w:rPr>
              <w:t>土地利用</w:t>
            </w:r>
            <w:r>
              <w:rPr>
                <w:rFonts w:hint="eastAsia"/>
              </w:rPr>
              <w:t>规划图（见附图</w:t>
            </w:r>
            <w:r>
              <w:rPr>
                <w:rFonts w:hint="eastAsia"/>
                <w:lang w:val="en-US" w:eastAsia="zh-CN"/>
              </w:rPr>
              <w:t>5</w:t>
            </w:r>
            <w:r>
              <w:rPr>
                <w:rFonts w:hint="eastAsia"/>
              </w:rPr>
              <w:t>），项目</w:t>
            </w:r>
            <w:r>
              <w:rPr>
                <w:rFonts w:hint="eastAsia"/>
                <w:lang w:val="en-US" w:eastAsia="zh-CN"/>
              </w:rPr>
              <w:t>所在地为二类工业用地（M2）</w:t>
            </w:r>
            <w:r>
              <w:rPr>
                <w:rFonts w:hint="eastAsia"/>
              </w:rPr>
              <w:t>，选址符合</w:t>
            </w:r>
            <w:r>
              <w:rPr>
                <w:rFonts w:hint="eastAsia"/>
                <w:lang w:val="en-US" w:eastAsia="zh-CN"/>
              </w:rPr>
              <w:t>福州现代物流城土地利用</w:t>
            </w:r>
            <w:r>
              <w:rPr>
                <w:rFonts w:hint="eastAsia"/>
              </w:rPr>
              <w:t>规划。同时，</w:t>
            </w:r>
            <w:r>
              <w:rPr>
                <w:rFonts w:hint="default" w:ascii="Times New Roman" w:hAnsi="Times New Roman" w:eastAsia="宋体" w:cs="Times New Roman"/>
                <w:color w:val="auto"/>
              </w:rPr>
              <w:t>根据</w:t>
            </w:r>
            <w:r>
              <w:rPr>
                <w:rFonts w:hint="eastAsia" w:cs="Times New Roman"/>
                <w:color w:val="auto"/>
                <w:lang w:val="en-US" w:eastAsia="zh-CN"/>
              </w:rPr>
              <w:t>连江县人民政府、连江县国土资源局颁发的土地证书</w:t>
            </w:r>
            <w:r>
              <w:rPr>
                <w:rFonts w:hint="eastAsia" w:ascii="Times New Roman" w:hAnsi="Times New Roman" w:eastAsia="宋体" w:cs="Times New Roman"/>
                <w:color w:val="auto"/>
                <w:lang w:eastAsia="zh-CN"/>
              </w:rPr>
              <w:t>（</w:t>
            </w:r>
            <w:r>
              <w:rPr>
                <w:rFonts w:hint="eastAsia" w:cs="Times New Roman"/>
                <w:color w:val="auto"/>
                <w:lang w:val="en-US" w:eastAsia="zh-CN"/>
              </w:rPr>
              <w:t>国用</w:t>
            </w:r>
            <w:r>
              <w:rPr>
                <w:rFonts w:hint="eastAsia" w:ascii="Times New Roman" w:hAnsi="Times New Roman" w:eastAsia="宋体" w:cs="Times New Roman"/>
                <w:color w:val="auto"/>
                <w:lang w:val="en-US" w:eastAsia="zh-CN"/>
              </w:rPr>
              <w:t>（20</w:t>
            </w:r>
            <w:r>
              <w:rPr>
                <w:rFonts w:hint="eastAsia" w:cs="Times New Roman"/>
                <w:color w:val="auto"/>
                <w:lang w:val="en-US" w:eastAsia="zh-CN"/>
              </w:rPr>
              <w:t>13</w:t>
            </w:r>
            <w:r>
              <w:rPr>
                <w:rFonts w:hint="eastAsia" w:ascii="Times New Roman" w:hAnsi="Times New Roman" w:eastAsia="宋体" w:cs="Times New Roman"/>
                <w:color w:val="auto"/>
                <w:lang w:val="en-US" w:eastAsia="zh-CN"/>
              </w:rPr>
              <w:t>）第</w:t>
            </w:r>
            <w:r>
              <w:rPr>
                <w:rFonts w:hint="eastAsia" w:cs="Times New Roman"/>
                <w:color w:val="auto"/>
                <w:lang w:val="en-US" w:eastAsia="zh-CN"/>
              </w:rPr>
              <w:t>1dd00061</w:t>
            </w:r>
            <w:r>
              <w:rPr>
                <w:rFonts w:hint="eastAsia" w:ascii="Times New Roman" w:hAnsi="Times New Roman" w:eastAsia="宋体" w:cs="Times New Roman"/>
                <w:color w:val="auto"/>
                <w:lang w:val="en-US" w:eastAsia="zh-CN"/>
              </w:rPr>
              <w:t>号</w:t>
            </w:r>
            <w:r>
              <w:rPr>
                <w:rFonts w:hint="eastAsia" w:ascii="Times New Roman" w:hAnsi="Times New Roman" w:eastAsia="宋体" w:cs="Times New Roman"/>
                <w:color w:val="auto"/>
                <w:lang w:eastAsia="zh-CN"/>
              </w:rPr>
              <w:t>），</w:t>
            </w:r>
            <w:r>
              <w:rPr>
                <w:rFonts w:hint="eastAsia" w:cs="Times New Roman"/>
                <w:color w:val="auto"/>
                <w:lang w:val="en-US" w:eastAsia="zh-CN"/>
              </w:rPr>
              <w:t>项目所在地</w:t>
            </w:r>
            <w:r>
              <w:rPr>
                <w:rFonts w:hint="eastAsia" w:cs="Times New Roman"/>
                <w:color w:val="auto"/>
                <w:kern w:val="0"/>
                <w:lang w:val="en-US" w:eastAsia="zh-CN" w:bidi="ar"/>
              </w:rPr>
              <w:t>地类（用途）</w:t>
            </w:r>
            <w:r>
              <w:rPr>
                <w:rFonts w:hint="eastAsia" w:ascii="Times New Roman" w:hAnsi="Times New Roman" w:eastAsia="宋体" w:cs="Times New Roman"/>
                <w:color w:val="auto"/>
                <w:kern w:val="0"/>
                <w:lang w:val="en-US" w:eastAsia="zh-CN" w:bidi="ar"/>
              </w:rPr>
              <w:t>为</w:t>
            </w:r>
            <w:r>
              <w:rPr>
                <w:rFonts w:hint="eastAsia" w:cs="Times New Roman"/>
                <w:color w:val="auto"/>
                <w:kern w:val="0"/>
                <w:lang w:val="en-US" w:eastAsia="zh-CN" w:bidi="ar"/>
              </w:rPr>
              <w:t>工业</w:t>
            </w:r>
            <w:r>
              <w:rPr>
                <w:rFonts w:hint="eastAsia" w:ascii="Times New Roman" w:hAnsi="Times New Roman" w:eastAsia="宋体" w:cs="Times New Roman"/>
                <w:color w:val="auto"/>
                <w:kern w:val="0"/>
                <w:lang w:val="en-US" w:eastAsia="zh-CN" w:bidi="ar"/>
              </w:rPr>
              <w:t>用地</w:t>
            </w:r>
            <w:r>
              <w:rPr>
                <w:rFonts w:hint="eastAsia" w:cs="Times New Roman"/>
                <w:color w:val="auto"/>
                <w:kern w:val="0"/>
                <w:lang w:val="en-US" w:eastAsia="zh-CN" w:bidi="ar"/>
              </w:rPr>
              <w:t>，详见附件6</w:t>
            </w:r>
            <w:r>
              <w:rPr>
                <w:rFonts w:hint="eastAsia" w:ascii="Times New Roman" w:hAnsi="Times New Roman" w:eastAsia="宋体" w:cs="Times New Roman"/>
                <w:color w:val="auto"/>
                <w:kern w:val="0"/>
                <w:lang w:eastAsia="zh-CN" w:bidi="ar"/>
              </w:rPr>
              <w:t>。</w:t>
            </w:r>
          </w:p>
          <w:p>
            <w:pPr>
              <w:pStyle w:val="8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eastAsia="zh-CN"/>
              </w:rPr>
            </w:pPr>
            <w:r>
              <w:rPr>
                <w:rFonts w:hint="default" w:ascii="Times New Roman" w:hAnsi="Times New Roman" w:eastAsia="宋体" w:cs="Times New Roman"/>
                <w:lang w:eastAsia="zh-CN"/>
              </w:rPr>
              <w:t>根据现状调查，项目环境</w:t>
            </w:r>
            <w:r>
              <w:rPr>
                <w:rFonts w:hint="eastAsia" w:cs="Times New Roman"/>
                <w:lang w:val="en-US" w:eastAsia="zh-CN"/>
              </w:rPr>
              <w:t>质量</w:t>
            </w:r>
            <w:r>
              <w:rPr>
                <w:rFonts w:hint="default" w:ascii="Times New Roman" w:hAnsi="Times New Roman" w:eastAsia="宋体" w:cs="Times New Roman"/>
                <w:lang w:eastAsia="zh-CN"/>
              </w:rPr>
              <w:t>现状满足各环境功能区划要求，运营投产后，</w:t>
            </w:r>
            <w:r>
              <w:rPr>
                <w:rFonts w:hint="default" w:ascii="Times New Roman" w:hAnsi="Times New Roman" w:eastAsia="宋体" w:cs="Times New Roman"/>
              </w:rPr>
              <w:t>项目产生的污染物通过配套环保治理措施</w:t>
            </w:r>
            <w:r>
              <w:rPr>
                <w:rFonts w:hint="eastAsia" w:cs="Times New Roman"/>
                <w:lang w:val="en-US" w:eastAsia="zh-CN"/>
              </w:rPr>
              <w:t>均能达标排放</w:t>
            </w:r>
            <w:r>
              <w:rPr>
                <w:rFonts w:hint="default" w:ascii="Times New Roman" w:hAnsi="Times New Roman" w:eastAsia="宋体" w:cs="Times New Roman"/>
              </w:rPr>
              <w:t>，对环境的影响可降至最低</w:t>
            </w:r>
            <w:r>
              <w:rPr>
                <w:rFonts w:hint="eastAsia" w:ascii="Times New Roman" w:hAnsi="Times New Roman" w:eastAsia="宋体" w:cs="Times New Roman"/>
                <w:lang w:eastAsia="zh-CN"/>
              </w:rPr>
              <w:t>，</w:t>
            </w:r>
            <w:r>
              <w:rPr>
                <w:rFonts w:hint="default" w:ascii="Times New Roman" w:hAnsi="Times New Roman" w:eastAsia="宋体" w:cs="Times New Roman"/>
                <w:lang w:eastAsia="zh-CN"/>
              </w:rPr>
              <w:t>满足当前功能区环境质量要求</w:t>
            </w:r>
            <w:r>
              <w:rPr>
                <w:rFonts w:hint="default" w:ascii="Times New Roman" w:hAnsi="Times New Roman" w:eastAsia="宋体" w:cs="Times New Roman"/>
              </w:rPr>
              <w:t>，不会改变项目所在区域的环境功能</w:t>
            </w:r>
            <w:r>
              <w:rPr>
                <w:rFonts w:hint="default" w:ascii="Times New Roman" w:hAnsi="Times New Roman" w:eastAsia="宋体" w:cs="Times New Roman"/>
                <w:lang w:eastAsia="zh-CN"/>
              </w:rPr>
              <w:t>。项目选址不属于环境功能区划需要特别保护的区域，符合当地环境功能区划的要求。</w:t>
            </w:r>
          </w:p>
          <w:p>
            <w:pPr>
              <w:pStyle w:val="83"/>
              <w:keepNext w:val="0"/>
              <w:keepLines w:val="0"/>
              <w:suppressLineNumbers w:val="0"/>
              <w:spacing w:before="0" w:beforeAutospacing="0" w:after="0" w:afterAutospacing="0"/>
              <w:ind w:left="0" w:right="0" w:firstLine="480"/>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综上所述，从土地利用规划、环境功能区划、区域环境承载力分析，项目选址合理</w:t>
            </w:r>
            <w:r>
              <w:rPr>
                <w:rFonts w:hint="eastAsia"/>
                <w:color w:val="000000" w:themeColor="text1"/>
                <w:highlight w:val="none"/>
                <w:lang w:eastAsia="zh-CN"/>
                <w14:textFill>
                  <w14:solidFill>
                    <w14:schemeClr w14:val="tx1"/>
                  </w14:solidFill>
                </w14:textFill>
              </w:rPr>
              <w:t>。</w:t>
            </w:r>
          </w:p>
          <w:p>
            <w:pPr>
              <w:pStyle w:val="3"/>
              <w:keepNext w:val="0"/>
              <w:keepLines w:val="0"/>
              <w:suppressLineNumbers w:val="0"/>
              <w:bidi w:val="0"/>
              <w:spacing w:before="0" w:beforeAutospacing="0" w:after="0" w:afterAutospacing="0"/>
              <w:ind w:left="0" w:leftChars="0" w:right="0" w:firstLine="0" w:firstLineChars="0"/>
              <w:rPr>
                <w:rFonts w:hint="eastAsia"/>
              </w:rPr>
            </w:pPr>
            <w:bookmarkStart w:id="11" w:name="_Toc30578"/>
            <w:bookmarkStart w:id="12" w:name="_Toc28437"/>
            <w:r>
              <w:rPr>
                <w:rFonts w:hint="eastAsia"/>
              </w:rPr>
              <w:t>“三线一单”控制要求符合性分析</w:t>
            </w:r>
            <w:bookmarkEnd w:id="11"/>
            <w:bookmarkEnd w:id="12"/>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rPr>
            </w:pPr>
            <w:r>
              <w:rPr>
                <w:rFonts w:hint="default" w:ascii="Times New Roman" w:hAnsi="Times New Roman" w:eastAsia="宋体" w:cs="Times New Roman"/>
                <w:color w:val="000000"/>
                <w:sz w:val="24"/>
                <w:highlight w:val="none"/>
              </w:rPr>
              <w:t>根据《</w:t>
            </w:r>
            <w:r>
              <w:rPr>
                <w:rFonts w:hint="eastAsia" w:cs="Times New Roman"/>
                <w:color w:val="000000"/>
                <w:sz w:val="24"/>
                <w:highlight w:val="none"/>
                <w:lang w:val="en-US" w:eastAsia="zh-CN"/>
              </w:rPr>
              <w:t>福州</w:t>
            </w:r>
            <w:r>
              <w:rPr>
                <w:rFonts w:hint="default" w:ascii="Times New Roman" w:hAnsi="Times New Roman" w:eastAsia="宋体" w:cs="Times New Roman"/>
                <w:color w:val="000000"/>
                <w:sz w:val="24"/>
                <w:highlight w:val="none"/>
              </w:rPr>
              <w:t>市人民政府关于印发</w:t>
            </w:r>
            <w:r>
              <w:rPr>
                <w:rFonts w:hint="eastAsia" w:cs="Times New Roman"/>
                <w:color w:val="000000"/>
                <w:sz w:val="24"/>
                <w:highlight w:val="none"/>
                <w:lang w:val="en-US" w:eastAsia="zh-CN"/>
              </w:rPr>
              <w:t>福州</w:t>
            </w:r>
            <w:r>
              <w:rPr>
                <w:rFonts w:hint="default" w:ascii="Times New Roman" w:hAnsi="Times New Roman" w:eastAsia="宋体" w:cs="Times New Roman"/>
                <w:color w:val="000000"/>
                <w:sz w:val="24"/>
                <w:highlight w:val="none"/>
              </w:rPr>
              <w:t>市</w:t>
            </w:r>
            <w:r>
              <w:rPr>
                <w:rFonts w:hint="eastAsia" w:cs="Times New Roman"/>
                <w:color w:val="000000"/>
                <w:sz w:val="24"/>
                <w:highlight w:val="none"/>
                <w:lang w:eastAsia="zh-CN"/>
              </w:rPr>
              <w:t>“</w:t>
            </w:r>
            <w:r>
              <w:rPr>
                <w:rFonts w:hint="default" w:ascii="Times New Roman" w:hAnsi="Times New Roman" w:eastAsia="宋体" w:cs="Times New Roman"/>
                <w:color w:val="000000"/>
                <w:sz w:val="24"/>
                <w:highlight w:val="none"/>
              </w:rPr>
              <w:t>三线一单</w:t>
            </w:r>
            <w:r>
              <w:rPr>
                <w:rFonts w:hint="eastAsia" w:cs="Times New Roman"/>
                <w:color w:val="000000"/>
                <w:sz w:val="24"/>
                <w:highlight w:val="none"/>
                <w:lang w:eastAsia="zh-CN"/>
              </w:rPr>
              <w:t>”</w:t>
            </w:r>
            <w:r>
              <w:rPr>
                <w:rFonts w:hint="default" w:ascii="Times New Roman" w:hAnsi="Times New Roman" w:eastAsia="宋体" w:cs="Times New Roman"/>
                <w:color w:val="000000"/>
                <w:sz w:val="24"/>
                <w:highlight w:val="none"/>
              </w:rPr>
              <w:t>生态环境分区管控方案的通知》（榕政综〔2021〕178号）</w:t>
            </w:r>
            <w:r>
              <w:rPr>
                <w:rFonts w:hint="default" w:ascii="Times New Roman" w:hAnsi="Times New Roman" w:eastAsia="宋体" w:cs="Times New Roman"/>
                <w:color w:val="auto"/>
              </w:rPr>
              <w:t>，相关符合性分析如下：</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rPr>
            </w:pPr>
            <w:r>
              <w:rPr>
                <w:rFonts w:hint="default" w:ascii="Times New Roman" w:hAnsi="Times New Roman" w:eastAsia="宋体" w:cs="Times New Roman"/>
                <w:color w:val="auto"/>
              </w:rPr>
              <w:t>（1）生态保护红线符合性</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FF0000"/>
                <w:lang w:val="en-US" w:eastAsia="zh-CN"/>
              </w:rPr>
            </w:pPr>
            <w:r>
              <w:rPr>
                <w:rFonts w:hint="default" w:ascii="Times New Roman" w:hAnsi="Times New Roman" w:eastAsia="宋体" w:cs="Times New Roman"/>
              </w:rPr>
              <w:t>本项目位于福建省连江县东湖镇国优北路205号，租用</w:t>
            </w:r>
            <w:r>
              <w:rPr>
                <w:rFonts w:hint="default" w:ascii="Times New Roman" w:hAnsi="Times New Roman" w:eastAsia="宋体" w:cs="Times New Roman"/>
                <w:color w:val="auto"/>
                <w:sz w:val="24"/>
                <w:szCs w:val="24"/>
                <w:lang w:val="en-US" w:eastAsia="zh-CN"/>
              </w:rPr>
              <w:t>福建和谐钢结构工程有限公司</w:t>
            </w:r>
            <w:r>
              <w:rPr>
                <w:rFonts w:hint="eastAsia" w:ascii="Times New Roman" w:hAnsi="Times New Roman" w:eastAsia="宋体" w:cs="Times New Roman"/>
                <w:color w:val="auto"/>
                <w:sz w:val="24"/>
                <w:szCs w:val="24"/>
                <w:lang w:val="en-US" w:eastAsia="zh-CN"/>
              </w:rPr>
              <w:t>现有</w:t>
            </w:r>
            <w:r>
              <w:rPr>
                <w:rFonts w:hint="eastAsia" w:cs="Times New Roman"/>
                <w:color w:val="000000"/>
                <w:sz w:val="24"/>
                <w:szCs w:val="24"/>
                <w:lang w:val="en-US" w:eastAsia="zh-CN" w:bidi="ar"/>
              </w:rPr>
              <w:t>厂房</w:t>
            </w:r>
            <w:r>
              <w:rPr>
                <w:rFonts w:hint="eastAsia" w:ascii="Times New Roman" w:hAnsi="Times New Roman" w:eastAsia="宋体" w:cs="Times New Roman"/>
                <w:color w:val="000000"/>
                <w:sz w:val="24"/>
                <w:szCs w:val="24"/>
                <w:lang w:val="en-US" w:eastAsia="zh-CN" w:bidi="ar"/>
              </w:rPr>
              <w:t>作为项目</w:t>
            </w:r>
            <w:r>
              <w:rPr>
                <w:rFonts w:hint="eastAsia" w:cs="Times New Roman"/>
                <w:color w:val="000000"/>
                <w:sz w:val="24"/>
                <w:szCs w:val="24"/>
                <w:lang w:val="en-US" w:eastAsia="zh-CN" w:bidi="ar"/>
              </w:rPr>
              <w:t>塑料果篮</w:t>
            </w:r>
            <w:r>
              <w:rPr>
                <w:rFonts w:hint="eastAsia" w:ascii="Times New Roman" w:hAnsi="Times New Roman" w:eastAsia="宋体" w:cs="Times New Roman"/>
                <w:color w:val="000000"/>
                <w:sz w:val="24"/>
                <w:szCs w:val="24"/>
                <w:lang w:val="en-US" w:eastAsia="zh-CN" w:bidi="ar"/>
              </w:rPr>
              <w:t>加工</w:t>
            </w:r>
            <w:r>
              <w:rPr>
                <w:rFonts w:hint="eastAsia" w:cs="Times New Roman"/>
                <w:color w:val="000000"/>
                <w:sz w:val="24"/>
                <w:szCs w:val="24"/>
                <w:lang w:val="en-US" w:eastAsia="zh-CN" w:bidi="ar"/>
              </w:rPr>
              <w:t>生产车间</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rPr>
              <w:t>用地性质为</w:t>
            </w:r>
            <w:r>
              <w:rPr>
                <w:rFonts w:hint="eastAsia" w:cs="Times New Roman"/>
                <w:color w:val="auto"/>
                <w:kern w:val="0"/>
                <w:lang w:val="en-US" w:eastAsia="zh-CN" w:bidi="ar"/>
              </w:rPr>
              <w:t>工业</w:t>
            </w:r>
            <w:r>
              <w:rPr>
                <w:rFonts w:hint="eastAsia" w:ascii="Times New Roman" w:hAnsi="Times New Roman" w:eastAsia="宋体" w:cs="Times New Roman"/>
                <w:color w:val="auto"/>
                <w:kern w:val="0"/>
                <w:lang w:val="en-US" w:eastAsia="zh-CN" w:bidi="ar"/>
              </w:rPr>
              <w:t>用地</w:t>
            </w:r>
            <w:r>
              <w:rPr>
                <w:rFonts w:hint="eastAsia" w:cs="Times New Roman"/>
                <w:color w:val="auto"/>
                <w:lang w:eastAsia="zh-CN"/>
              </w:rPr>
              <w:t>。</w:t>
            </w:r>
            <w:r>
              <w:rPr>
                <w:rFonts w:hint="default" w:ascii="Times New Roman" w:hAnsi="Times New Roman" w:eastAsia="宋体" w:cs="Times New Roman"/>
                <w:color w:val="auto"/>
              </w:rPr>
              <w:t>项目不在当地饮用水源保护区、自然保护区、风景名胜区、重要湿地、生态公益林、重要自然与人文景观、文物古迹及其他需要特别保护的区域范围内，因此</w:t>
            </w:r>
            <w:r>
              <w:rPr>
                <w:rFonts w:hint="eastAsia" w:cs="Times New Roman"/>
                <w:color w:val="auto"/>
                <w:lang w:eastAsia="zh-CN"/>
              </w:rPr>
              <w:t>，</w:t>
            </w:r>
            <w:r>
              <w:rPr>
                <w:rFonts w:hint="default" w:ascii="Times New Roman" w:hAnsi="Times New Roman" w:eastAsia="宋体" w:cs="Times New Roman"/>
                <w:color w:val="auto"/>
              </w:rPr>
              <w:t>项目建设符合生态保护红线管控要求。</w:t>
            </w:r>
          </w:p>
          <w:p>
            <w:pPr>
              <w:pStyle w:val="43"/>
              <w:keepNext w:val="0"/>
              <w:keepLines w:val="0"/>
              <w:numPr>
                <w:ilvl w:val="0"/>
                <w:numId w:val="4"/>
              </w:numPr>
              <w:suppressLineNumbers w:val="0"/>
              <w:spacing w:before="0" w:beforeAutospacing="0" w:after="0" w:afterAutospacing="0" w:line="360" w:lineRule="auto"/>
              <w:ind w:left="0" w:right="0" w:firstLine="480"/>
              <w:rPr>
                <w:rFonts w:hint="default" w:ascii="Times New Roman" w:hAnsi="Times New Roman" w:eastAsia="宋体" w:cs="Times New Roman"/>
                <w:color w:val="auto"/>
              </w:rPr>
            </w:pPr>
            <w:r>
              <w:rPr>
                <w:rFonts w:hint="default" w:ascii="Times New Roman" w:hAnsi="Times New Roman" w:eastAsia="宋体" w:cs="Times New Roman"/>
                <w:color w:val="auto"/>
              </w:rPr>
              <w:t>环境质量底线</w:t>
            </w:r>
          </w:p>
          <w:p>
            <w:pPr>
              <w:pStyle w:val="43"/>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rPr>
            </w:pPr>
            <w:r>
              <w:rPr>
                <w:rFonts w:hint="default"/>
              </w:rPr>
              <w:t>项目所在区域的环境质量底线为：大气环境空气质量目标为《环境空气质量标准》（GB3095-2012）中的二级标准；</w:t>
            </w:r>
            <w:r>
              <w:rPr>
                <w:rFonts w:hint="eastAsia"/>
                <w:lang w:val="en-US" w:eastAsia="zh-CN"/>
              </w:rPr>
              <w:t>地表水环境质</w:t>
            </w:r>
            <w:r>
              <w:rPr>
                <w:rFonts w:hint="default"/>
              </w:rPr>
              <w:t>量目标</w:t>
            </w:r>
            <w:r>
              <w:rPr>
                <w:rFonts w:hint="eastAsia"/>
                <w:lang w:val="en-US" w:eastAsia="zh-CN"/>
              </w:rPr>
              <w:t>为</w:t>
            </w:r>
            <w:r>
              <w:rPr>
                <w:rFonts w:hint="default"/>
                <w:lang w:val="en-US" w:eastAsia="zh-CN"/>
              </w:rPr>
              <w:t>《</w:t>
            </w:r>
            <w:r>
              <w:rPr>
                <w:rFonts w:hint="eastAsia"/>
                <w:lang w:val="en-US" w:eastAsia="zh-CN"/>
              </w:rPr>
              <w:t>地表水环境</w:t>
            </w:r>
            <w:r>
              <w:rPr>
                <w:rFonts w:hint="default"/>
                <w:lang w:val="en-US" w:eastAsia="zh-CN"/>
              </w:rPr>
              <w:t>质</w:t>
            </w:r>
            <w:r>
              <w:rPr>
                <w:rFonts w:hint="eastAsia"/>
                <w:lang w:val="en-US" w:eastAsia="zh-CN"/>
              </w:rPr>
              <w:t>量</w:t>
            </w:r>
            <w:r>
              <w:rPr>
                <w:rFonts w:hint="default"/>
                <w:lang w:val="en-US" w:eastAsia="zh-CN"/>
              </w:rPr>
              <w:t>标准》（GB</w:t>
            </w:r>
            <w:r>
              <w:rPr>
                <w:rFonts w:hint="eastAsia"/>
                <w:lang w:val="en-US" w:eastAsia="zh-CN"/>
              </w:rPr>
              <w:t>3838</w:t>
            </w:r>
            <w:r>
              <w:rPr>
                <w:rFonts w:hint="default"/>
                <w:lang w:val="en-US" w:eastAsia="zh-CN"/>
              </w:rPr>
              <w:t>-</w:t>
            </w:r>
            <w:r>
              <w:rPr>
                <w:rFonts w:hint="eastAsia"/>
                <w:lang w:val="en-US" w:eastAsia="zh-CN"/>
              </w:rPr>
              <w:t>2002</w:t>
            </w:r>
            <w:r>
              <w:rPr>
                <w:rFonts w:hint="default"/>
                <w:lang w:val="en-US" w:eastAsia="zh-CN"/>
              </w:rPr>
              <w:t>）</w:t>
            </w:r>
            <w:r>
              <w:rPr>
                <w:rFonts w:hint="default"/>
                <w:sz w:val="24"/>
                <w:szCs w:val="24"/>
              </w:rPr>
              <w:t>Ⅲ</w:t>
            </w:r>
            <w:r>
              <w:rPr>
                <w:rFonts w:hint="default"/>
                <w:lang w:val="en-US" w:eastAsia="zh-CN"/>
              </w:rPr>
              <w:t>类标准</w:t>
            </w:r>
            <w:r>
              <w:rPr>
                <w:rFonts w:hint="default"/>
              </w:rPr>
              <w:t>；声环境质量目标为《声环境质量标准》（GB3096-2008）中的</w:t>
            </w:r>
            <w:r>
              <w:rPr>
                <w:rFonts w:hint="default"/>
                <w:color w:val="auto"/>
              </w:rPr>
              <w:t>3</w:t>
            </w:r>
            <w:r>
              <w:rPr>
                <w:rFonts w:hint="default"/>
              </w:rPr>
              <w:t>类标准。项目所在区域环境质量现状均可满足相应功能区划要求。本项目采取环评提出的各项污染防治措施后，排放的污染物不会对区域环境质量底线造成冲击。</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①</w:t>
            </w:r>
            <w:r>
              <w:rPr>
                <w:rFonts w:hint="eastAsia" w:cs="Times New Roman"/>
                <w:color w:val="000000"/>
                <w:kern w:val="0"/>
                <w:sz w:val="24"/>
                <w:szCs w:val="24"/>
                <w:highlight w:val="none"/>
                <w:lang w:val="en-US" w:eastAsia="zh-CN"/>
              </w:rPr>
              <w:t>地表水</w:t>
            </w:r>
            <w:r>
              <w:rPr>
                <w:rFonts w:hint="default" w:ascii="Times New Roman" w:hAnsi="Times New Roman" w:eastAsia="宋体" w:cs="Times New Roman"/>
                <w:color w:val="000000"/>
                <w:kern w:val="0"/>
                <w:sz w:val="24"/>
                <w:szCs w:val="24"/>
                <w:highlight w:val="none"/>
              </w:rPr>
              <w:t>环境质量底线</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sz w:val="24"/>
                <w:szCs w:val="24"/>
              </w:rPr>
            </w:pPr>
            <w:r>
              <w:rPr>
                <w:rFonts w:hint="default"/>
                <w:sz w:val="24"/>
                <w:szCs w:val="24"/>
              </w:rPr>
              <w:t>项目所在区域属于《福州市人民政府关于实施“三线一单”生态分区管控的通知》中划定的水环境工业污染重点管控区。水环境质量底线目标为：到2025年，国省控断面水质优良(达到或优于Ⅲ类)比例总体达到90.0%，福清海口桥断面水质稳定达到Ⅳ类；县级以上集中式饮用水水源水质达标率达100%。到2030年，国省控断面水质优良(达到或优于Ⅲ类)比例总体达到90.0%；县级以上城市建成区黑臭水体总体得到消除；县级以上集中式饮用水水源水质达标率达100%。到2035年，国省考断面水质优良(达到或优于Ⅲ类)比例总体达到95.0%；生态系统实现良性循环。</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color w:val="auto"/>
                <w:kern w:val="0"/>
                <w:sz w:val="24"/>
                <w:highlight w:val="none"/>
              </w:rPr>
            </w:pPr>
            <w:r>
              <w:rPr>
                <w:rFonts w:hint="default"/>
                <w:kern w:val="2"/>
                <w:sz w:val="24"/>
              </w:rPr>
              <w:t>项目</w:t>
            </w:r>
            <w:r>
              <w:rPr>
                <w:rFonts w:hint="default"/>
                <w:sz w:val="24"/>
                <w:lang w:val="en-US" w:eastAsia="zh-CN"/>
              </w:rPr>
              <w:t>只产生</w:t>
            </w:r>
            <w:r>
              <w:rPr>
                <w:rFonts w:hint="default"/>
                <w:kern w:val="2"/>
                <w:sz w:val="24"/>
              </w:rPr>
              <w:t>生活污水，</w:t>
            </w:r>
            <w:r>
              <w:rPr>
                <w:rFonts w:hint="default"/>
                <w:color w:val="auto"/>
                <w:kern w:val="0"/>
                <w:sz w:val="24"/>
                <w:highlight w:val="none"/>
              </w:rPr>
              <w:t>经化粪池处理后通过东侧104国道的市政污水管网进入连江县污水处理厂</w:t>
            </w:r>
            <w:r>
              <w:rPr>
                <w:rFonts w:hint="eastAsia"/>
                <w:color w:val="auto"/>
                <w:kern w:val="0"/>
                <w:sz w:val="24"/>
                <w:highlight w:val="none"/>
                <w:lang w:eastAsia="zh-CN"/>
              </w:rPr>
              <w:t>，</w:t>
            </w:r>
            <w:r>
              <w:rPr>
                <w:rFonts w:hint="eastAsia"/>
                <w:color w:val="auto"/>
                <w:kern w:val="0"/>
                <w:sz w:val="24"/>
                <w:highlight w:val="none"/>
                <w:lang w:val="en-US" w:eastAsia="zh-CN"/>
              </w:rPr>
              <w:t>处理</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达到《城镇污水处理厂污染物排放标准》（GB18918-2002）中一级</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A</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标准要求后，经乌石浦内河进入敖江</w:t>
            </w:r>
            <w:r>
              <w:rPr>
                <w:rFonts w:hint="eastAsia"/>
                <w:color w:val="auto"/>
                <w:kern w:val="0"/>
                <w:sz w:val="24"/>
                <w:highlight w:val="none"/>
                <w:lang w:val="en-US" w:eastAsia="zh-CN"/>
              </w:rPr>
              <w:t>，不</w:t>
            </w:r>
            <w:r>
              <w:rPr>
                <w:rFonts w:hint="eastAsia"/>
                <w:color w:val="auto"/>
                <w:kern w:val="0"/>
                <w:sz w:val="24"/>
                <w:highlight w:val="none"/>
              </w:rPr>
              <w:t>会突破区域水环境质量底线</w:t>
            </w:r>
            <w:r>
              <w:rPr>
                <w:rFonts w:hint="default"/>
                <w:color w:val="auto"/>
                <w:kern w:val="0"/>
                <w:sz w:val="24"/>
                <w:highlight w:val="none"/>
              </w:rPr>
              <w:t>。</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sz w:val="24"/>
                <w:szCs w:val="24"/>
              </w:rPr>
            </w:pPr>
            <w:r>
              <w:rPr>
                <w:rFonts w:hint="default"/>
                <w:sz w:val="24"/>
                <w:szCs w:val="24"/>
              </w:rPr>
              <w:t>②</w:t>
            </w:r>
            <w:r>
              <w:rPr>
                <w:rFonts w:hint="eastAsia"/>
                <w:sz w:val="24"/>
                <w:szCs w:val="24"/>
                <w:lang w:val="en-US" w:eastAsia="zh-CN"/>
              </w:rPr>
              <w:t>大气</w:t>
            </w:r>
            <w:r>
              <w:rPr>
                <w:rFonts w:hint="default"/>
                <w:sz w:val="24"/>
                <w:szCs w:val="24"/>
              </w:rPr>
              <w:t>环境质量底线</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eastAsia="宋体"/>
                <w:lang w:val="en-US" w:eastAsia="zh-CN"/>
              </w:rPr>
            </w:pPr>
            <w:r>
              <w:rPr>
                <w:rFonts w:hint="default"/>
                <w:sz w:val="24"/>
                <w:szCs w:val="24"/>
              </w:rPr>
              <w:t>根据《福州市人民政府关于实施“三线一单”生态分区管控的通知》，项目所在地为大气环境管控分区中的一般管控区。大气环境质量底线目标为：到2025年，地级以上城市空气质量PM</w:t>
            </w:r>
            <w:r>
              <w:rPr>
                <w:rFonts w:hint="default"/>
                <w:sz w:val="24"/>
                <w:szCs w:val="24"/>
                <w:vertAlign w:val="subscript"/>
              </w:rPr>
              <w:t>2.5</w:t>
            </w:r>
            <w:r>
              <w:rPr>
                <w:rFonts w:hint="default"/>
                <w:sz w:val="24"/>
                <w:szCs w:val="24"/>
              </w:rPr>
              <w:t>年平均浓度不高于23μg/m</w:t>
            </w:r>
            <w:r>
              <w:rPr>
                <w:rFonts w:hint="default"/>
                <w:sz w:val="24"/>
                <w:szCs w:val="24"/>
                <w:vertAlign w:val="superscript"/>
              </w:rPr>
              <w:t>3</w:t>
            </w:r>
            <w:r>
              <w:rPr>
                <w:rFonts w:hint="default"/>
                <w:sz w:val="24"/>
                <w:szCs w:val="24"/>
              </w:rPr>
              <w:t>。到2035年，县级以上地区空气质量PM</w:t>
            </w:r>
            <w:r>
              <w:rPr>
                <w:rFonts w:hint="default"/>
                <w:sz w:val="24"/>
                <w:szCs w:val="24"/>
                <w:vertAlign w:val="subscript"/>
              </w:rPr>
              <w:t>2.5</w:t>
            </w:r>
            <w:r>
              <w:rPr>
                <w:rFonts w:hint="default"/>
                <w:sz w:val="24"/>
                <w:szCs w:val="24"/>
              </w:rPr>
              <w:t>年平均浓度不高于18μg/m</w:t>
            </w:r>
            <w:r>
              <w:rPr>
                <w:rFonts w:hint="default"/>
                <w:sz w:val="24"/>
                <w:szCs w:val="24"/>
                <w:vertAlign w:val="superscript"/>
              </w:rPr>
              <w:t>3</w:t>
            </w:r>
            <w:r>
              <w:rPr>
                <w:rFonts w:hint="default"/>
                <w:sz w:val="24"/>
                <w:szCs w:val="24"/>
              </w:rPr>
              <w:t>。</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eastAsia" w:eastAsia="宋体"/>
                <w:color w:val="auto"/>
                <w:kern w:val="0"/>
                <w:sz w:val="24"/>
                <w:highlight w:val="none"/>
                <w:lang w:eastAsia="zh-CN"/>
              </w:rPr>
            </w:pPr>
            <w:r>
              <w:rPr>
                <w:rFonts w:hint="default"/>
                <w:color w:val="auto"/>
                <w:kern w:val="0"/>
                <w:sz w:val="24"/>
                <w:highlight w:val="none"/>
              </w:rPr>
              <w:t>项目使用的PE、PP、色母，属于低(无)VOCs含量的原辅材料，产生的废气采取有效的污染防治措施后，各污染物均可实现达标排放，项目的建设不会突破区域大气环境质量底线。</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sz w:val="24"/>
                <w:szCs w:val="24"/>
              </w:rPr>
            </w:pPr>
            <w:r>
              <w:rPr>
                <w:rFonts w:hint="default"/>
                <w:sz w:val="24"/>
                <w:szCs w:val="24"/>
              </w:rPr>
              <w:t>③土壤环境风险管控底线</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sz w:val="24"/>
                <w:szCs w:val="24"/>
              </w:rPr>
            </w:pPr>
            <w:r>
              <w:rPr>
                <w:rFonts w:hint="default"/>
                <w:sz w:val="24"/>
                <w:szCs w:val="24"/>
              </w:rPr>
              <w:t>根据《福州市人民政府关于实施“三线一单”生态分区管控的通知》，项目所在地为土壤污染风险管控分区中的一般管控区。到2025年，全省土壤环境质量保持稳定，土壤环境风险得到管控，受污染耕地安全利用率达到93</w:t>
            </w:r>
            <w:r>
              <w:rPr>
                <w:rFonts w:hint="eastAsia"/>
                <w:sz w:val="24"/>
                <w:szCs w:val="24"/>
                <w:lang w:val="en-US" w:eastAsia="zh-CN"/>
              </w:rPr>
              <w:t>%</w:t>
            </w:r>
            <w:r>
              <w:rPr>
                <w:rFonts w:hint="default"/>
                <w:sz w:val="24"/>
                <w:szCs w:val="24"/>
              </w:rPr>
              <w:t>，污染地块安全利用率达到93</w:t>
            </w:r>
            <w:r>
              <w:rPr>
                <w:rFonts w:hint="eastAsia"/>
                <w:sz w:val="24"/>
                <w:szCs w:val="24"/>
                <w:lang w:val="en-US" w:eastAsia="zh-CN"/>
              </w:rPr>
              <w:t>%</w:t>
            </w:r>
            <w:r>
              <w:rPr>
                <w:rFonts w:hint="default"/>
                <w:sz w:val="24"/>
                <w:szCs w:val="24"/>
              </w:rPr>
              <w:t>。到2035年，全省土壤环境质量稳中向好，土壤环境风险得到全面管控，受污染耕地安全利用率达95</w:t>
            </w:r>
            <w:r>
              <w:rPr>
                <w:rFonts w:hint="eastAsia"/>
                <w:sz w:val="24"/>
                <w:szCs w:val="24"/>
                <w:lang w:val="en-US" w:eastAsia="zh-CN"/>
              </w:rPr>
              <w:t>%</w:t>
            </w:r>
            <w:r>
              <w:rPr>
                <w:rFonts w:hint="default"/>
                <w:sz w:val="24"/>
                <w:szCs w:val="24"/>
              </w:rPr>
              <w:t>以上，污染地块安全利用率达95</w:t>
            </w:r>
            <w:r>
              <w:rPr>
                <w:rFonts w:hint="eastAsia"/>
                <w:sz w:val="24"/>
                <w:szCs w:val="24"/>
                <w:lang w:val="en-US" w:eastAsia="zh-CN"/>
              </w:rPr>
              <w:t>%</w:t>
            </w:r>
            <w:r>
              <w:rPr>
                <w:rFonts w:hint="default"/>
                <w:sz w:val="24"/>
                <w:szCs w:val="24"/>
              </w:rPr>
              <w:t>以上。</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宋体" w:hAnsi="宋体" w:eastAsia="宋体" w:cs="宋体"/>
                <w:sz w:val="24"/>
                <w:szCs w:val="24"/>
              </w:rPr>
              <w:t>项目租用</w:t>
            </w:r>
            <w:r>
              <w:rPr>
                <w:rFonts w:hint="default" w:ascii="Times New Roman" w:hAnsi="Times New Roman" w:eastAsia="宋体" w:cs="Times New Roman"/>
                <w:color w:val="auto"/>
                <w:sz w:val="24"/>
                <w:szCs w:val="24"/>
                <w:lang w:val="en-US" w:eastAsia="zh-CN"/>
              </w:rPr>
              <w:t>福建和谐钢结构工程有限公司</w:t>
            </w:r>
            <w:r>
              <w:rPr>
                <w:rFonts w:hint="eastAsia" w:ascii="Times New Roman" w:hAnsi="Times New Roman" w:eastAsia="宋体" w:cs="Times New Roman"/>
                <w:color w:val="auto"/>
                <w:sz w:val="24"/>
                <w:szCs w:val="24"/>
                <w:lang w:val="en-US" w:eastAsia="zh-CN"/>
              </w:rPr>
              <w:t>现有</w:t>
            </w:r>
            <w:r>
              <w:rPr>
                <w:rFonts w:hint="eastAsia" w:cs="Times New Roman"/>
                <w:color w:val="000000"/>
                <w:sz w:val="24"/>
                <w:szCs w:val="24"/>
                <w:lang w:val="en-US" w:eastAsia="zh-CN" w:bidi="ar"/>
              </w:rPr>
              <w:t>厂房进行塑料果篮</w:t>
            </w:r>
            <w:r>
              <w:rPr>
                <w:rFonts w:hint="eastAsia" w:ascii="Times New Roman" w:hAnsi="Times New Roman" w:eastAsia="宋体" w:cs="Times New Roman"/>
                <w:color w:val="000000"/>
                <w:sz w:val="24"/>
                <w:szCs w:val="24"/>
                <w:lang w:val="en-US" w:eastAsia="zh-CN" w:bidi="ar"/>
              </w:rPr>
              <w:t>加工</w:t>
            </w:r>
            <w:r>
              <w:rPr>
                <w:rFonts w:hint="eastAsia" w:cs="Times New Roman"/>
                <w:color w:val="000000"/>
                <w:sz w:val="24"/>
                <w:szCs w:val="24"/>
                <w:lang w:val="en-US" w:eastAsia="zh-CN" w:bidi="ar"/>
              </w:rPr>
              <w:t>生产</w:t>
            </w:r>
            <w:r>
              <w:rPr>
                <w:rFonts w:hint="default" w:ascii="宋体" w:hAnsi="宋体" w:eastAsia="宋体" w:cs="宋体"/>
                <w:sz w:val="24"/>
                <w:szCs w:val="24"/>
              </w:rPr>
              <w:t>，车间地面全部硬化，生产过程不排放重点重金属或持久性有机污染物，</w:t>
            </w:r>
            <w:r>
              <w:rPr>
                <w:rFonts w:hint="eastAsia" w:ascii="宋体" w:hAnsi="宋体" w:eastAsia="宋体" w:cs="宋体"/>
                <w:sz w:val="24"/>
                <w:szCs w:val="24"/>
                <w:lang w:val="en-US" w:eastAsia="zh-CN"/>
              </w:rPr>
              <w:t>生产过程中</w:t>
            </w:r>
            <w:r>
              <w:rPr>
                <w:rFonts w:hint="default" w:ascii="宋体" w:hAnsi="宋体" w:eastAsia="宋体" w:cs="宋体"/>
                <w:sz w:val="24"/>
                <w:szCs w:val="24"/>
              </w:rPr>
              <w:t>不存在土壤环境风险，符合土壤环境风险防控底线要求。</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（3）资源利用上线</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①水资源利用上线</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根据《福州市人民政府关于实施“三线一单”生态分区管控的通知》，水资源利用上线要求为：衔接水资源管理“三条红线”，控制</w:t>
            </w:r>
          </w:p>
          <w:p>
            <w:pPr>
              <w:pStyle w:val="43"/>
              <w:keepNext w:val="0"/>
              <w:keepLines w:val="0"/>
              <w:suppressLineNumbers w:val="0"/>
              <w:spacing w:before="0" w:beforeAutospacing="0" w:after="0" w:afterAutospacing="0" w:line="360" w:lineRule="auto"/>
              <w:ind w:left="0" w:leftChars="0" w:right="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目标以省政府下达为准。项目水资源上线现状评价从水资源承载能力、水资源利用效率和生态需水量保障程度三方面综合分析，确定全省地市层面范围均为一般管控区，即全市水资源利用不会突破水资源利用上线。</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项目运营期用水均来自市政供水，项目不属于高耗水项目，与福州市水资源利用上线管控要求相符，因此项目建设不会突破水资源利用上线。</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②土地资源利用上线</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根据《福州市人民政府关于实施“三线一单”生态分区管控的通知》，土地资源利用上线要求为：衔接土地利用总体规划等文件要求，控制目标以省政府下达为准。</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项目租赁已建厂房进行生产加工，未新增占地，因此项目建设不会突破土地资源利用上线。</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③能源资源利用上线</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根据《福州市人民政府关于实施“三线一单”生态分区管控的通知》，能源资源利用上线要求为：衔接碳达峰方案、节能减排、能源规划等文件要求，控制目标以省政府下达为准。</w:t>
            </w:r>
          </w:p>
          <w:p>
            <w:pPr>
              <w:pStyle w:val="43"/>
              <w:keepNext w:val="0"/>
              <w:keepLines w:val="0"/>
              <w:suppressLineNumbers w:val="0"/>
              <w:spacing w:before="0" w:beforeLines="0" w:beforeAutospacing="0" w:after="0" w:afterAutospacing="0"/>
              <w:ind w:left="0" w:right="0" w:firstLine="480"/>
              <w:rPr>
                <w:rFonts w:hint="eastAsia"/>
                <w:color w:val="auto"/>
                <w:sz w:val="24"/>
              </w:rPr>
            </w:pPr>
            <w:r>
              <w:rPr>
                <w:rFonts w:hint="eastAsia"/>
                <w:color w:val="auto"/>
              </w:rPr>
              <w:t>项目建设过程中所利用的资源主要为电和水，为清洁能源</w:t>
            </w:r>
            <w:r>
              <w:rPr>
                <w:rFonts w:hint="eastAsia"/>
                <w:color w:val="auto"/>
                <w:lang w:eastAsia="zh-CN"/>
              </w:rPr>
              <w:t>。</w:t>
            </w:r>
            <w:r>
              <w:rPr>
                <w:rFonts w:hint="eastAsia"/>
                <w:color w:val="auto"/>
                <w:sz w:val="24"/>
              </w:rPr>
              <w:t>项目运行过程通过内部管理、设备选择、废物回收利用、污染治理等多方面采取合理可行的防治措施，以“节能、降耗、减污”为目标，</w:t>
            </w:r>
            <w:r>
              <w:rPr>
                <w:rFonts w:hint="eastAsia"/>
                <w:color w:val="auto"/>
                <w:sz w:val="24"/>
                <w:lang w:eastAsia="zh-CN"/>
              </w:rPr>
              <w:t>有效地控制</w:t>
            </w:r>
            <w:r>
              <w:rPr>
                <w:rFonts w:hint="eastAsia"/>
                <w:color w:val="auto"/>
                <w:sz w:val="24"/>
              </w:rPr>
              <w:t>污染。项目运营期水、</w:t>
            </w:r>
            <w:r>
              <w:rPr>
                <w:rFonts w:hint="eastAsia"/>
                <w:color w:val="auto"/>
                <w:sz w:val="24"/>
                <w:lang w:val="en-US" w:eastAsia="zh-CN"/>
              </w:rPr>
              <w:t>电</w:t>
            </w:r>
            <w:r>
              <w:rPr>
                <w:rFonts w:hint="eastAsia"/>
                <w:color w:val="auto"/>
                <w:sz w:val="24"/>
              </w:rPr>
              <w:t>等资源利用不会突破区域的资源利用上线。</w:t>
            </w:r>
          </w:p>
          <w:p>
            <w:pPr>
              <w:pStyle w:val="43"/>
              <w:keepNext w:val="0"/>
              <w:keepLines w:val="0"/>
              <w:suppressLineNumbers w:val="0"/>
              <w:spacing w:before="0" w:beforeLines="0" w:beforeAutospacing="0" w:after="0" w:afterAutospacing="0"/>
              <w:ind w:left="0" w:right="0" w:firstLine="480"/>
              <w:rPr>
                <w:rFonts w:hint="default"/>
                <w:color w:val="auto"/>
              </w:rPr>
            </w:pPr>
            <w:r>
              <w:rPr>
                <w:rFonts w:hint="eastAsia"/>
                <w:color w:val="auto"/>
              </w:rPr>
              <w:t>综</w:t>
            </w:r>
            <w:r>
              <w:rPr>
                <w:rFonts w:hint="eastAsia"/>
                <w:color w:val="auto"/>
                <w:lang w:val="en-US" w:eastAsia="zh-CN"/>
              </w:rPr>
              <w:t>上所述</w:t>
            </w:r>
            <w:r>
              <w:rPr>
                <w:rFonts w:hint="eastAsia"/>
                <w:color w:val="auto"/>
              </w:rPr>
              <w:t>，项目建设符合资源利用上线的要求。</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（4）生态环境准入清单</w:t>
            </w:r>
          </w:p>
          <w:p>
            <w:pPr>
              <w:pStyle w:val="83"/>
              <w:keepNext w:val="0"/>
              <w:keepLines w:val="0"/>
              <w:suppressLineNumbers w:val="0"/>
              <w:spacing w:before="0" w:beforeLines="0" w:beforeAutospacing="0" w:after="0" w:afterAutospacing="0"/>
              <w:ind w:left="0" w:right="0" w:firstLine="480"/>
              <w:rPr>
                <w:rFonts w:hint="eastAsia" w:ascii="Times New Roman" w:hAnsi="Times New Roman" w:eastAsia="宋体" w:cs="Times New Roman"/>
                <w:color w:val="auto"/>
                <w:sz w:val="24"/>
                <w:szCs w:val="24"/>
                <w:lang w:val="en-US" w:eastAsia="zh-CN"/>
              </w:rPr>
            </w:pPr>
            <w:r>
              <w:rPr>
                <w:rFonts w:hint="eastAsia"/>
                <w:color w:val="auto"/>
              </w:rPr>
              <w:t>根据《福州市人民政府关于实施“三线一单”生态环境分区管控的通知》，本项目位于福州现代物流城内，属于重点管控单元，本项目与“福州市生态环境总体准入要求”符合性分析详见下表。</w:t>
            </w:r>
          </w:p>
          <w:p>
            <w:pPr>
              <w:pStyle w:val="42"/>
              <w:keepNext w:val="0"/>
              <w:keepLines w:val="0"/>
              <w:suppressLineNumbers w:val="0"/>
              <w:bidi w:val="0"/>
              <w:spacing w:beforeLines="0" w:beforeAutospacing="0" w:after="0" w:afterAutospacing="0"/>
              <w:ind w:left="0" w:leftChars="0" w:right="0" w:firstLine="0" w:firstLineChars="0"/>
              <w:rPr>
                <w:rFonts w:hint="default"/>
              </w:rPr>
            </w:pPr>
            <w:r>
              <w:rPr>
                <w:rFonts w:hint="default"/>
              </w:rPr>
              <w:t>项目与《福州市生态环境总体准入要求》符合性分析</w:t>
            </w:r>
          </w:p>
          <w:tbl>
            <w:tblPr>
              <w:tblStyle w:val="32"/>
              <w:tblW w:w="68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3"/>
              <w:gridCol w:w="4160"/>
              <w:gridCol w:w="1518"/>
              <w:gridCol w:w="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03"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Cs w:val="21"/>
                    </w:rPr>
                  </w:pPr>
                  <w:r>
                    <w:rPr>
                      <w:rFonts w:hint="default" w:ascii="Times New Roman" w:hAnsi="Times New Roman" w:eastAsia="宋体" w:cs="Times New Roman"/>
                      <w:szCs w:val="21"/>
                    </w:rPr>
                    <w:t>准入要求</w:t>
                  </w:r>
                </w:p>
              </w:tc>
              <w:tc>
                <w:tcPr>
                  <w:tcW w:w="1518"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Cs w:val="21"/>
                    </w:rPr>
                  </w:pPr>
                  <w:r>
                    <w:rPr>
                      <w:rFonts w:hint="default" w:ascii="Times New Roman" w:hAnsi="Times New Roman" w:eastAsia="宋体" w:cs="Times New Roman"/>
                      <w:szCs w:val="21"/>
                    </w:rPr>
                    <w:t>本项目</w:t>
                  </w:r>
                </w:p>
              </w:tc>
              <w:tc>
                <w:tcPr>
                  <w:tcW w:w="676"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Cs w:val="21"/>
                    </w:rPr>
                  </w:pPr>
                  <w:r>
                    <w:rPr>
                      <w:rFonts w:hint="default" w:ascii="Times New Roman" w:hAnsi="Times New Roman" w:eastAsia="宋体" w:cs="Times New Roman"/>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3"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Cs w:val="21"/>
                    </w:rPr>
                  </w:pPr>
                  <w:r>
                    <w:rPr>
                      <w:rFonts w:hint="default" w:ascii="Times New Roman" w:hAnsi="Times New Roman" w:eastAsia="宋体" w:cs="Times New Roman"/>
                      <w:szCs w:val="21"/>
                    </w:rPr>
                    <w:t>空间布局</w:t>
                  </w:r>
                </w:p>
              </w:tc>
              <w:tc>
                <w:tcPr>
                  <w:tcW w:w="4160" w:type="dxa"/>
                  <w:tcBorders>
                    <w:tl2br w:val="nil"/>
                    <w:tr2bl w:val="nil"/>
                  </w:tcBorders>
                  <w:noWrap w:val="0"/>
                  <w:vAlign w:val="center"/>
                </w:tcPr>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1.福州市石化中上游项目重点在江阴化工新材料专区、连江可门化工新材料产业园布局。</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2.鼓楼区内福州高新技术产业开发区洪山片禁止生产型企业的引入；仓山区内福州高新技术产业开发区仓山片不再新增生物医药原料药制造类企业。</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3.罗源县内福州台商投资区松山片区禁止引进、建设集中电镀、制浆、医药、农药、酿造等重污染项目；连江县内福州台商投资区大官坂片区不再扩大聚酰胺一体化项目规模。</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4.禁止在闽江马尾罗星塔以上流域范围新、扩建制革项目，严控新（扩）建植物制浆、印染、合成革及人造革、电镀项目。</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5.禁止在通风廊道和主导风向的上风向布局大气重污染企业，逐步将大气重污染企业和环境风险企业搬出城市建成区和生态保护红线范围。</w:t>
                  </w:r>
                </w:p>
              </w:tc>
              <w:tc>
                <w:tcPr>
                  <w:tcW w:w="1518" w:type="dxa"/>
                  <w:tcBorders>
                    <w:tl2br w:val="nil"/>
                    <w:tr2bl w:val="nil"/>
                  </w:tcBorders>
                  <w:noWrap w:val="0"/>
                  <w:vAlign w:val="center"/>
                </w:tcPr>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1.项目不属于石化</w:t>
                  </w:r>
                  <w:r>
                    <w:rPr>
                      <w:rFonts w:hint="eastAsia" w:cs="Times New Roman"/>
                      <w:szCs w:val="21"/>
                      <w:lang w:val="en-US" w:eastAsia="zh-CN"/>
                    </w:rPr>
                    <w:t>中上游</w:t>
                  </w:r>
                  <w:r>
                    <w:rPr>
                      <w:rFonts w:hint="default" w:ascii="Times New Roman" w:hAnsi="Times New Roman" w:eastAsia="宋体" w:cs="Times New Roman"/>
                      <w:szCs w:val="21"/>
                    </w:rPr>
                    <w:t>企业；</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2.项目不</w:t>
                  </w:r>
                  <w:r>
                    <w:rPr>
                      <w:rFonts w:hint="default" w:ascii="Times New Roman" w:hAnsi="Times New Roman" w:eastAsia="宋体" w:cs="Times New Roman"/>
                      <w:szCs w:val="21"/>
                      <w:lang w:val="en-US" w:eastAsia="zh-CN"/>
                    </w:rPr>
                    <w:t>位于</w:t>
                  </w:r>
                  <w:r>
                    <w:rPr>
                      <w:rFonts w:hint="default" w:ascii="Times New Roman" w:hAnsi="Times New Roman" w:eastAsia="宋体" w:cs="Times New Roman"/>
                      <w:szCs w:val="21"/>
                    </w:rPr>
                    <w:t>福州高新技术产业开发区</w:t>
                  </w:r>
                  <w:r>
                    <w:rPr>
                      <w:rFonts w:hint="default" w:ascii="Times New Roman" w:hAnsi="Times New Roman" w:eastAsia="宋体" w:cs="Times New Roman"/>
                      <w:szCs w:val="21"/>
                      <w:lang w:val="en-US" w:eastAsia="zh-CN"/>
                    </w:rPr>
                    <w:t>内；</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3.本项目不在</w:t>
                  </w:r>
                  <w:r>
                    <w:rPr>
                      <w:rFonts w:hint="default" w:ascii="Times New Roman" w:hAnsi="Times New Roman" w:eastAsia="宋体" w:cs="Times New Roman"/>
                      <w:szCs w:val="21"/>
                    </w:rPr>
                    <w:t>罗源县内福州台商投资区松山片区</w:t>
                  </w:r>
                  <w:r>
                    <w:rPr>
                      <w:rFonts w:hint="default" w:ascii="Times New Roman" w:hAnsi="Times New Roman" w:eastAsia="宋体" w:cs="Times New Roman"/>
                      <w:szCs w:val="21"/>
                      <w:lang w:val="en-US" w:eastAsia="zh-CN"/>
                    </w:rPr>
                    <w:t>；</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4.项目位于福建省连江县东湖镇国优北路205号，</w:t>
                  </w:r>
                  <w:r>
                    <w:rPr>
                      <w:rFonts w:hint="default" w:ascii="Times New Roman" w:hAnsi="Times New Roman" w:eastAsia="宋体" w:cs="Times New Roman"/>
                      <w:szCs w:val="21"/>
                    </w:rPr>
                    <w:t>不在闽江马尾罗星塔以上流域范围</w:t>
                  </w:r>
                  <w:r>
                    <w:rPr>
                      <w:rFonts w:hint="default" w:ascii="Times New Roman" w:hAnsi="Times New Roman" w:eastAsia="宋体" w:cs="Times New Roman"/>
                      <w:szCs w:val="21"/>
                      <w:lang w:val="en-US" w:eastAsia="zh-CN"/>
                    </w:rPr>
                    <w:t>；</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5.本项目</w:t>
                  </w:r>
                  <w:r>
                    <w:rPr>
                      <w:rFonts w:hint="default" w:ascii="Times New Roman" w:hAnsi="Times New Roman" w:eastAsia="宋体" w:cs="Times New Roman"/>
                      <w:szCs w:val="21"/>
                    </w:rPr>
                    <w:t>不属于大气重污染企业</w:t>
                  </w:r>
                  <w:r>
                    <w:rPr>
                      <w:rFonts w:hint="default" w:ascii="Times New Roman" w:hAnsi="Times New Roman" w:eastAsia="宋体" w:cs="Times New Roman"/>
                      <w:szCs w:val="21"/>
                      <w:lang w:eastAsia="zh-CN"/>
                    </w:rPr>
                    <w:t>。</w:t>
                  </w:r>
                </w:p>
              </w:tc>
              <w:tc>
                <w:tcPr>
                  <w:tcW w:w="676"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3"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Cs w:val="21"/>
                    </w:rPr>
                  </w:pPr>
                  <w:r>
                    <w:rPr>
                      <w:rFonts w:hint="default" w:ascii="Times New Roman" w:hAnsi="Times New Roman" w:eastAsia="宋体" w:cs="Times New Roman"/>
                      <w:szCs w:val="21"/>
                    </w:rPr>
                    <w:t>污染物排放管控</w:t>
                  </w:r>
                </w:p>
              </w:tc>
              <w:tc>
                <w:tcPr>
                  <w:tcW w:w="4160" w:type="dxa"/>
                  <w:tcBorders>
                    <w:tl2br w:val="nil"/>
                    <w:tr2bl w:val="nil"/>
                  </w:tcBorders>
                  <w:noWrap w:val="0"/>
                  <w:vAlign w:val="center"/>
                </w:tcPr>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1.建设规划部门划定的县级以上城市建成区及福州市环境总体规划（2013-2030）划定的大气环境二级管控区的大气污染型工业企业（现阶段指排放二氧化硫、氮氧化物的工业企业，但不含使用天然气、液化石油气等作为燃料的非火电锅炉和工业炉窑排放二氧化硫、氮氧化物的工业企业）新增大气污染物排放量，按不低于1.5倍交易。</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2.省级（含）以上工业园区外的工业企业新增主要污染物排放量（不含使用天然气、液化石油气等作为燃料的非火电锅炉和工业炉窑的工业企业新增的二氧化硫、氮氧化物排放量），按不低于1.2倍交易。</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3.涉新增VOCs排放项目，VOCs排放实行区域内倍量替代。</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4.严格控制新建、改建、扩建钢铁、水泥、平板玻璃、有色金属冶炼、化工等工业项目。新建钢铁、火电、水泥、有色项目应当执行大气污染物特别排放限值。重点控制区新建化工、石化及燃煤锅炉项目应当执行大气污染物特别排放限值。</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5.氟化工、印染、电镀等行业企业实行水污染物特别排放限值。</w:t>
                  </w:r>
                </w:p>
              </w:tc>
              <w:tc>
                <w:tcPr>
                  <w:tcW w:w="1518" w:type="dxa"/>
                  <w:tcBorders>
                    <w:tl2br w:val="nil"/>
                    <w:tr2bl w:val="nil"/>
                  </w:tcBorders>
                  <w:noWrap w:val="0"/>
                  <w:vAlign w:val="center"/>
                </w:tcPr>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1.项目不涉及二氧化硫、氮氧化物等污染物</w:t>
                  </w:r>
                  <w:r>
                    <w:rPr>
                      <w:rFonts w:hint="default" w:ascii="Times New Roman" w:hAnsi="Times New Roman" w:eastAsia="宋体" w:cs="Times New Roman"/>
                      <w:szCs w:val="21"/>
                      <w:lang w:eastAsia="zh-CN"/>
                    </w:rPr>
                    <w:t>的</w:t>
                  </w:r>
                  <w:r>
                    <w:rPr>
                      <w:rFonts w:hint="default" w:ascii="Times New Roman" w:hAnsi="Times New Roman" w:eastAsia="宋体" w:cs="Times New Roman"/>
                      <w:szCs w:val="21"/>
                      <w:lang w:val="en-US" w:eastAsia="zh-CN"/>
                    </w:rPr>
                    <w:t>排放</w:t>
                  </w:r>
                  <w:r>
                    <w:rPr>
                      <w:rFonts w:hint="default" w:ascii="Times New Roman" w:hAnsi="Times New Roman" w:eastAsia="宋体" w:cs="Times New Roman"/>
                      <w:szCs w:val="21"/>
                    </w:rPr>
                    <w:t>；</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eastAsia" w:cs="Times New Roman"/>
                      <w:szCs w:val="21"/>
                      <w:lang w:val="en-US" w:eastAsia="zh-CN"/>
                    </w:rPr>
                    <w:t>3</w:t>
                  </w:r>
                  <w:r>
                    <w:rPr>
                      <w:rFonts w:hint="default" w:ascii="Times New Roman" w:hAnsi="Times New Roman" w:eastAsia="宋体" w:cs="Times New Roman"/>
                      <w:szCs w:val="21"/>
                    </w:rPr>
                    <w:t>.项目</w:t>
                  </w:r>
                  <w:r>
                    <w:rPr>
                      <w:rFonts w:hint="eastAsia" w:cs="Times New Roman"/>
                      <w:szCs w:val="21"/>
                      <w:lang w:val="en-US" w:eastAsia="zh-CN"/>
                    </w:rPr>
                    <w:t>新增</w:t>
                  </w:r>
                  <w:r>
                    <w:rPr>
                      <w:rFonts w:hint="default" w:ascii="Times New Roman" w:hAnsi="Times New Roman" w:eastAsia="宋体" w:cs="Times New Roman"/>
                      <w:szCs w:val="21"/>
                    </w:rPr>
                    <w:t>排放的VOCs</w:t>
                  </w:r>
                  <w:r>
                    <w:rPr>
                      <w:rFonts w:hint="eastAsia" w:cs="Times New Roman"/>
                      <w:szCs w:val="21"/>
                      <w:lang w:val="en-US" w:eastAsia="zh-CN"/>
                    </w:rPr>
                    <w:t>实行区域内倍量替代</w:t>
                  </w:r>
                  <w:r>
                    <w:rPr>
                      <w:rFonts w:hint="default" w:ascii="Times New Roman" w:hAnsi="Times New Roman" w:eastAsia="宋体" w:cs="Times New Roman"/>
                      <w:szCs w:val="21"/>
                    </w:rPr>
                    <w:t>；</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4.项目不属于钢铁、水泥、平板玻璃、有色金属冶炼、化工、火电、有色等项目，不</w:t>
                  </w:r>
                  <w:r>
                    <w:rPr>
                      <w:rFonts w:hint="default" w:ascii="Times New Roman" w:hAnsi="Times New Roman" w:eastAsia="宋体" w:cs="Times New Roman"/>
                      <w:szCs w:val="21"/>
                      <w:lang w:val="en-US" w:eastAsia="zh-CN"/>
                    </w:rPr>
                    <w:t>使用</w:t>
                  </w:r>
                  <w:r>
                    <w:rPr>
                      <w:rFonts w:hint="default" w:ascii="Times New Roman" w:hAnsi="Times New Roman" w:eastAsia="宋体" w:cs="Times New Roman"/>
                      <w:szCs w:val="21"/>
                    </w:rPr>
                    <w:t>锅炉；</w:t>
                  </w:r>
                </w:p>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5.项目不属于氟化工、印染、电镀等行业企业。</w:t>
                  </w:r>
                </w:p>
              </w:tc>
              <w:tc>
                <w:tcPr>
                  <w:tcW w:w="676"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bl>
          <w:p>
            <w:pPr>
              <w:pStyle w:val="42"/>
              <w:keepNext w:val="0"/>
              <w:keepLines w:val="0"/>
              <w:suppressLineNumbers w:val="0"/>
              <w:bidi w:val="0"/>
              <w:spacing w:beforeAutospacing="0" w:after="0" w:afterAutospacing="0"/>
              <w:ind w:left="0" w:leftChars="0" w:right="0" w:firstLine="0" w:firstLineChars="0"/>
              <w:rPr>
                <w:rFonts w:hint="default"/>
              </w:rPr>
            </w:pPr>
            <w:r>
              <w:rPr>
                <w:rFonts w:hint="default"/>
              </w:rPr>
              <w:t>项目与《</w:t>
            </w:r>
            <w:r>
              <w:rPr>
                <w:rFonts w:hint="eastAsia"/>
                <w:lang w:val="en-US" w:eastAsia="zh-CN"/>
              </w:rPr>
              <w:t>福州市连江县生态环境</w:t>
            </w:r>
            <w:r>
              <w:rPr>
                <w:rFonts w:hint="default"/>
              </w:rPr>
              <w:t>准入</w:t>
            </w:r>
            <w:r>
              <w:rPr>
                <w:rFonts w:hint="eastAsia"/>
                <w:lang w:val="en-US" w:eastAsia="zh-CN"/>
              </w:rPr>
              <w:t>清单</w:t>
            </w:r>
            <w:r>
              <w:rPr>
                <w:rFonts w:hint="default"/>
              </w:rPr>
              <w:t>》符合性分析</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6"/>
              <w:gridCol w:w="661"/>
              <w:gridCol w:w="654"/>
              <w:gridCol w:w="388"/>
              <w:gridCol w:w="2225"/>
              <w:gridCol w:w="1955"/>
              <w:gridCol w:w="3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6" w:type="dxa"/>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环境管控</w:t>
                  </w: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单元编号</w:t>
                  </w:r>
                </w:p>
              </w:tc>
              <w:tc>
                <w:tcPr>
                  <w:tcW w:w="661" w:type="dxa"/>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szCs w:val="21"/>
                      <w:lang w:val="en-US" w:eastAsia="zh-CN"/>
                    </w:rPr>
                    <w:t>环境管控单元名称</w:t>
                  </w:r>
                </w:p>
              </w:tc>
              <w:tc>
                <w:tcPr>
                  <w:tcW w:w="654" w:type="dxa"/>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环境管理单元类别</w:t>
                  </w:r>
                </w:p>
              </w:tc>
              <w:tc>
                <w:tcPr>
                  <w:tcW w:w="2613" w:type="dxa"/>
                  <w:gridSpan w:val="2"/>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环境管理要求</w:t>
                  </w:r>
                </w:p>
              </w:tc>
              <w:tc>
                <w:tcPr>
                  <w:tcW w:w="1955" w:type="dxa"/>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本项目</w:t>
                  </w:r>
                </w:p>
              </w:tc>
              <w:tc>
                <w:tcPr>
                  <w:tcW w:w="306" w:type="dxa"/>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6" w:type="dxa"/>
                  <w:vMerge w:val="restart"/>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vertAlign w:val="baseline"/>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ZH350122200</w:t>
                  </w: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both"/>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08-ZH35</w:t>
                  </w: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0122200</w:t>
                  </w: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szCs w:val="21"/>
                    </w:rPr>
                    <w:t>11</w:t>
                  </w:r>
                </w:p>
              </w:tc>
              <w:tc>
                <w:tcPr>
                  <w:tcW w:w="661" w:type="dxa"/>
                  <w:vMerge w:val="restart"/>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both"/>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连江县重点管</w:t>
                  </w: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控单元</w:t>
                  </w: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both"/>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1-4</w:t>
                  </w:r>
                </w:p>
              </w:tc>
              <w:tc>
                <w:tcPr>
                  <w:tcW w:w="654" w:type="dxa"/>
                  <w:vMerge w:val="restart"/>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szCs w:val="21"/>
                      <w:lang w:val="en-US" w:eastAsia="zh-CN"/>
                    </w:rPr>
                    <w:t>重点管控单元</w:t>
                  </w:r>
                </w:p>
              </w:tc>
              <w:tc>
                <w:tcPr>
                  <w:tcW w:w="388" w:type="dxa"/>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lang w:val="en-US" w:eastAsia="zh-CN"/>
                    </w:rPr>
                  </w:pPr>
                </w:p>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空间布局约束</w:t>
                  </w:r>
                </w:p>
              </w:tc>
              <w:tc>
                <w:tcPr>
                  <w:tcW w:w="2225" w:type="dxa"/>
                  <w:tcBorders>
                    <w:tl2br w:val="nil"/>
                    <w:tr2bl w:val="nil"/>
                  </w:tcBorders>
                  <w:vAlign w:val="center"/>
                </w:tcPr>
                <w:p>
                  <w:pPr>
                    <w:pStyle w:val="11"/>
                    <w:keepNext w:val="0"/>
                    <w:keepLines w:val="0"/>
                    <w:suppressLineNumbers w:val="0"/>
                    <w:spacing w:before="0" w:beforeAutospacing="0" w:after="0" w:afterAutospacing="0"/>
                    <w:ind w:left="0" w:leftChars="0" w:right="0" w:firstLine="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1.严禁在人口聚集区新建涉及化学品和危险废物排放的项目。城市建成区内现有化工等污染较重的企业应有序搬迁改造或依法关闭。</w:t>
                  </w:r>
                </w:p>
                <w:p>
                  <w:pPr>
                    <w:pStyle w:val="11"/>
                    <w:keepNext w:val="0"/>
                    <w:keepLines w:val="0"/>
                    <w:suppressLineNumbers w:val="0"/>
                    <w:spacing w:before="0" w:beforeAutospacing="0" w:after="0" w:afterAutospacing="0"/>
                    <w:ind w:left="0" w:leftChars="0" w:right="0" w:firstLine="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2.严格控制包装印刷、</w:t>
                  </w:r>
                </w:p>
                <w:p>
                  <w:pPr>
                    <w:pStyle w:val="11"/>
                    <w:keepNext w:val="0"/>
                    <w:keepLines w:val="0"/>
                    <w:suppressLineNumbers w:val="0"/>
                    <w:spacing w:before="0" w:beforeAutospacing="0" w:after="0" w:afterAutospacing="0"/>
                    <w:ind w:left="0" w:leftChars="0" w:right="0" w:firstLine="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工业涂装、制鞋等高</w:t>
                  </w:r>
                </w:p>
                <w:p>
                  <w:pPr>
                    <w:pStyle w:val="11"/>
                    <w:keepNext w:val="0"/>
                    <w:keepLines w:val="0"/>
                    <w:suppressLineNumbers w:val="0"/>
                    <w:spacing w:before="0" w:beforeAutospacing="0" w:after="0" w:afterAutospacing="0"/>
                    <w:ind w:left="0" w:leftChars="0" w:right="0" w:firstLine="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VOCs排放的项目建</w:t>
                  </w:r>
                </w:p>
                <w:p>
                  <w:pPr>
                    <w:pStyle w:val="11"/>
                    <w:keepNext w:val="0"/>
                    <w:keepLines w:val="0"/>
                    <w:suppressLineNumbers w:val="0"/>
                    <w:spacing w:before="0" w:beforeAutospacing="0" w:after="0" w:afterAutospacing="0"/>
                    <w:ind w:left="0" w:leftChars="0" w:right="0" w:firstLine="0" w:firstLineChars="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设，相关新建项目必须进入工业园区。</w:t>
                  </w:r>
                </w:p>
                <w:p>
                  <w:pPr>
                    <w:pStyle w:val="11"/>
                    <w:keepNext w:val="0"/>
                    <w:keepLines w:val="0"/>
                    <w:suppressLineNumbers w:val="0"/>
                    <w:spacing w:before="0" w:beforeAutospacing="0" w:after="0" w:afterAutospacing="0"/>
                    <w:ind w:left="0" w:leftChars="0" w:right="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3.禁止开发利用未经评估和无害化处理的列入建设用地污染地块名录及开发利用负面清单的土地。</w:t>
                  </w:r>
                </w:p>
              </w:tc>
              <w:tc>
                <w:tcPr>
                  <w:tcW w:w="1955" w:type="dxa"/>
                  <w:tcBorders>
                    <w:tl2br w:val="nil"/>
                    <w:tr2bl w:val="nil"/>
                  </w:tcBorders>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lang w:val="en-US" w:eastAsia="zh-CN"/>
                    </w:rPr>
                    <w:t>1.本项目为塑料果篮生产项目，属于新建项目，不</w:t>
                  </w:r>
                  <w:r>
                    <w:rPr>
                      <w:rFonts w:hint="default" w:ascii="Times New Roman" w:hAnsi="Times New Roman" w:eastAsia="宋体" w:cs="Times New Roman"/>
                      <w:color w:val="auto"/>
                      <w:szCs w:val="21"/>
                    </w:rPr>
                    <w:t>涉及化学品和危险废物排放的项目</w:t>
                  </w:r>
                  <w:r>
                    <w:rPr>
                      <w:rFonts w:hint="default" w:ascii="Times New Roman" w:hAnsi="Times New Roman" w:eastAsia="宋体" w:cs="Times New Roman"/>
                      <w:color w:val="auto"/>
                      <w:sz w:val="21"/>
                      <w:szCs w:val="21"/>
                      <w:lang w:val="en-US" w:eastAsia="zh-CN"/>
                    </w:rPr>
                    <w:t>。</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2.项目为</w:t>
                  </w:r>
                  <w:r>
                    <w:rPr>
                      <w:rFonts w:hint="default" w:ascii="Times New Roman" w:hAnsi="Times New Roman" w:eastAsia="宋体" w:cs="Times New Roman"/>
                      <w:color w:val="auto"/>
                      <w:szCs w:val="21"/>
                    </w:rPr>
                    <w:t>塑料果篮生产</w:t>
                  </w:r>
                  <w:r>
                    <w:rPr>
                      <w:rFonts w:hint="default" w:ascii="Times New Roman" w:hAnsi="Times New Roman" w:eastAsia="宋体" w:cs="Times New Roman"/>
                      <w:color w:val="auto"/>
                      <w:szCs w:val="21"/>
                      <w:lang w:val="en-US" w:eastAsia="zh-CN"/>
                    </w:rPr>
                    <w:t>项目，不属于</w:t>
                  </w:r>
                  <w:r>
                    <w:rPr>
                      <w:rFonts w:hint="default" w:ascii="Times New Roman" w:hAnsi="Times New Roman" w:eastAsia="宋体" w:cs="Times New Roman"/>
                      <w:color w:val="auto"/>
                      <w:szCs w:val="21"/>
                    </w:rPr>
                    <w:t>高VOCs</w:t>
                  </w:r>
                  <w:r>
                    <w:rPr>
                      <w:rFonts w:hint="default" w:ascii="Times New Roman" w:hAnsi="Times New Roman" w:eastAsia="宋体" w:cs="Times New Roman"/>
                      <w:color w:val="auto"/>
                      <w:szCs w:val="21"/>
                      <w:lang w:val="en-US" w:eastAsia="zh-CN"/>
                    </w:rPr>
                    <w:t>排放项目。</w:t>
                  </w:r>
                </w:p>
                <w:p>
                  <w:pPr>
                    <w:keepNext w:val="0"/>
                    <w:keepLines w:val="0"/>
                    <w:suppressLineNumbers w:val="0"/>
                    <w:spacing w:before="0" w:beforeAutospacing="0" w:after="0" w:afterAutospacing="0"/>
                    <w:ind w:left="0" w:right="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Cs w:val="21"/>
                    </w:rPr>
                    <w:t>项目在连江县福州现代物流城</w:t>
                  </w:r>
                  <w:r>
                    <w:rPr>
                      <w:rFonts w:hint="default" w:ascii="Times New Roman" w:hAnsi="Times New Roman" w:eastAsia="宋体" w:cs="Times New Roman"/>
                      <w:color w:val="auto"/>
                      <w:szCs w:val="21"/>
                      <w:lang w:val="en-US" w:eastAsia="zh-CN"/>
                    </w:rPr>
                    <w:t>内</w:t>
                  </w:r>
                  <w:r>
                    <w:rPr>
                      <w:rFonts w:hint="default" w:ascii="Times New Roman" w:hAnsi="Times New Roman" w:eastAsia="宋体" w:cs="Times New Roman"/>
                      <w:color w:val="auto"/>
                      <w:szCs w:val="21"/>
                    </w:rPr>
                    <w:t>进行生产，不在建设用地污染地块名录及开发利用负面清单内。</w:t>
                  </w:r>
                </w:p>
              </w:tc>
              <w:tc>
                <w:tcPr>
                  <w:tcW w:w="306" w:type="dxa"/>
                  <w:tcBorders>
                    <w:tl2br w:val="nil"/>
                    <w:tr2bl w:val="nil"/>
                  </w:tcBorders>
                  <w:vAlign w:val="center"/>
                </w:tcPr>
                <w:p>
                  <w:pPr>
                    <w:pStyle w:val="46"/>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Chars="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6"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661"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654"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388"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污染物排放管控</w:t>
                  </w:r>
                </w:p>
              </w:tc>
              <w:tc>
                <w:tcPr>
                  <w:tcW w:w="2225" w:type="dxa"/>
                  <w:tcBorders>
                    <w:tl2br w:val="nil"/>
                    <w:tr2bl w:val="nil"/>
                  </w:tcBorders>
                  <w:vAlign w:val="center"/>
                </w:tcPr>
                <w:p>
                  <w:pPr>
                    <w:pStyle w:val="46"/>
                    <w:keepNext w:val="0"/>
                    <w:keepLines w:val="0"/>
                    <w:suppressLineNumbers w:val="0"/>
                    <w:bidi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1.山仔水库汇水区域城镇污水处理设施全面达到一级A排放标准。</w:t>
                  </w:r>
                </w:p>
                <w:p>
                  <w:pPr>
                    <w:pStyle w:val="46"/>
                    <w:keepNext w:val="0"/>
                    <w:keepLines w:val="0"/>
                    <w:suppressLineNumbers w:val="0"/>
                    <w:bidi w:val="0"/>
                    <w:spacing w:before="0" w:beforeAutospacing="0" w:after="0" w:afterAutospacing="0"/>
                    <w:ind w:right="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2.禁止向农田灌溉渠道排放工业废水或者医疗污水。向农田灌溉渠道排放城镇污水以及未综合利用的畜禽养殖废水、农产品加工废水的，应当保证其下游最近的灌溉取水点的</w:t>
                  </w:r>
                  <w:r>
                    <w:rPr>
                      <w:rFonts w:hint="default" w:ascii="Times New Roman" w:hAnsi="Times New Roman" w:eastAsia="宋体" w:cs="Times New Roman"/>
                      <w:szCs w:val="21"/>
                      <w:lang w:eastAsia="zh-CN"/>
                    </w:rPr>
                    <w:t>。</w:t>
                  </w:r>
                </w:p>
              </w:tc>
              <w:tc>
                <w:tcPr>
                  <w:tcW w:w="1955" w:type="dxa"/>
                  <w:tcBorders>
                    <w:tl2br w:val="nil"/>
                    <w:tr2bl w:val="nil"/>
                  </w:tcBorders>
                  <w:vAlign w:val="center"/>
                </w:tcPr>
                <w:p>
                  <w:pPr>
                    <w:pStyle w:val="46"/>
                    <w:keepNext w:val="0"/>
                    <w:keepLines w:val="0"/>
                    <w:suppressLineNumbers w:val="0"/>
                    <w:bidi w:val="0"/>
                    <w:spacing w:before="0" w:beforeAutospacing="0" w:after="0" w:afterAutospacing="0"/>
                    <w:ind w:right="0"/>
                    <w:jc w:val="left"/>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本项目</w:t>
                  </w:r>
                  <w:r>
                    <w:rPr>
                      <w:rFonts w:hint="default" w:ascii="Times New Roman" w:hAnsi="Times New Roman" w:eastAsia="宋体" w:cs="Times New Roman"/>
                      <w:szCs w:val="21"/>
                      <w:lang w:val="en-US" w:eastAsia="zh-CN"/>
                    </w:rPr>
                    <w:t>不</w:t>
                  </w:r>
                  <w:r>
                    <w:rPr>
                      <w:rFonts w:hint="default" w:ascii="Times New Roman" w:hAnsi="Times New Roman" w:eastAsia="宋体" w:cs="Times New Roman"/>
                      <w:szCs w:val="21"/>
                    </w:rPr>
                    <w:t>生产</w:t>
                  </w:r>
                  <w:r>
                    <w:rPr>
                      <w:rFonts w:hint="default" w:ascii="Times New Roman" w:hAnsi="Times New Roman" w:eastAsia="宋体" w:cs="Times New Roman"/>
                      <w:szCs w:val="21"/>
                      <w:lang w:val="en-US" w:eastAsia="zh-CN"/>
                    </w:rPr>
                    <w:t>生产</w:t>
                  </w:r>
                  <w:r>
                    <w:rPr>
                      <w:rFonts w:hint="default" w:ascii="Times New Roman" w:hAnsi="Times New Roman" w:eastAsia="宋体" w:cs="Times New Roman"/>
                      <w:szCs w:val="21"/>
                    </w:rPr>
                    <w:t>废水，生活污水经化粪池预处理后接入市政污水管网至连江县污水处理厂处理，连江县污水处理厂尾水执行《城镇污水处理厂污染物排放标准》</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rPr>
                    <w:t>GB18918-2002</w:t>
                  </w:r>
                  <w:r>
                    <w:rPr>
                      <w:rFonts w:hint="eastAsia" w:ascii="Times New Roman" w:hAnsi="Times New Roman" w:eastAsia="宋体" w:cs="Times New Roman"/>
                      <w:szCs w:val="21"/>
                      <w:lang w:val="en-US" w:eastAsia="zh-CN"/>
                    </w:rPr>
                    <w:t>)</w:t>
                  </w:r>
                  <w:r>
                    <w:rPr>
                      <w:rFonts w:hint="default" w:ascii="Times New Roman" w:hAnsi="Times New Roman" w:eastAsia="宋体" w:cs="Times New Roman"/>
                      <w:szCs w:val="21"/>
                    </w:rPr>
                    <w:t>中一级A标准，最终排入敖江。</w:t>
                  </w:r>
                </w:p>
                <w:p>
                  <w:pPr>
                    <w:pStyle w:val="46"/>
                    <w:keepNext w:val="0"/>
                    <w:keepLines w:val="0"/>
                    <w:suppressLineNumbers w:val="0"/>
                    <w:bidi w:val="0"/>
                    <w:spacing w:before="0" w:beforeAutospacing="0" w:after="0" w:afterAutospacing="0"/>
                    <w:ind w:right="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w:t>
                  </w:r>
                  <w:r>
                    <w:rPr>
                      <w:rFonts w:hint="default" w:ascii="Times New Roman" w:hAnsi="Times New Roman" w:eastAsia="宋体" w:cs="Times New Roman"/>
                      <w:szCs w:val="21"/>
                    </w:rPr>
                    <w:t>项目</w:t>
                  </w:r>
                  <w:r>
                    <w:rPr>
                      <w:rFonts w:hint="default" w:ascii="Times New Roman" w:hAnsi="Times New Roman" w:eastAsia="宋体" w:cs="Times New Roman"/>
                      <w:szCs w:val="21"/>
                      <w:lang w:val="en-US" w:eastAsia="zh-CN"/>
                    </w:rPr>
                    <w:t>不产生生产废水，生活污水经处理后接入市政污水管网纳入连江污水处理厂出来，不外排</w:t>
                  </w:r>
                  <w:r>
                    <w:rPr>
                      <w:rFonts w:hint="eastAsia" w:ascii="Times New Roman" w:hAnsi="Times New Roman" w:eastAsia="宋体" w:cs="Times New Roman"/>
                      <w:szCs w:val="21"/>
                      <w:lang w:val="en-US" w:eastAsia="zh-CN"/>
                    </w:rPr>
                    <w:t>。</w:t>
                  </w:r>
                </w:p>
              </w:tc>
              <w:tc>
                <w:tcPr>
                  <w:tcW w:w="30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r>
                    <w:rPr>
                      <w:rFonts w:hint="default" w:ascii="Times New Roman" w:hAnsi="Times New Roman" w:eastAsia="宋体" w:cs="Times New Roman"/>
                      <w:color w:val="auto"/>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6"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661"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654"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388"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环境风险防范</w:t>
                  </w:r>
                </w:p>
              </w:tc>
              <w:tc>
                <w:tcPr>
                  <w:tcW w:w="2225" w:type="dxa"/>
                  <w:tcBorders>
                    <w:tl2br w:val="nil"/>
                    <w:tr2bl w:val="nil"/>
                  </w:tcBorders>
                  <w:vAlign w:val="center"/>
                </w:tcPr>
                <w:p>
                  <w:pPr>
                    <w:pStyle w:val="46"/>
                    <w:keepNext w:val="0"/>
                    <w:keepLines w:val="0"/>
                    <w:suppressLineNumbers w:val="0"/>
                    <w:bidi w:val="0"/>
                    <w:spacing w:before="0" w:beforeAutospacing="0" w:after="0" w:afterAutospacing="0"/>
                    <w:ind w:right="0"/>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单元内现有化学原料和化学制品制造业等具有潜在土壤污染环境风险的企业退役后，应开展土壤环境状况评估，经评估认为污染地块可能损害人体健康和环境，应当进行修复的，由造成污染的单位和个人负责被污染土壤的修复</w:t>
                  </w:r>
                  <w:r>
                    <w:rPr>
                      <w:rFonts w:hint="default" w:ascii="Times New Roman" w:hAnsi="Times New Roman" w:eastAsia="宋体" w:cs="Times New Roman"/>
                      <w:szCs w:val="21"/>
                      <w:lang w:val="en-US" w:eastAsia="zh-CN"/>
                    </w:rPr>
                    <w:t>。</w:t>
                  </w:r>
                </w:p>
              </w:tc>
              <w:tc>
                <w:tcPr>
                  <w:tcW w:w="1955"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firstLine="0" w:firstLineChars="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项目属于</w:t>
                  </w:r>
                  <w:r>
                    <w:rPr>
                      <w:rFonts w:hint="default" w:ascii="Times New Roman" w:hAnsi="Times New Roman" w:eastAsia="宋体" w:cs="Times New Roman"/>
                      <w:szCs w:val="21"/>
                      <w:lang w:val="en-US" w:eastAsia="zh-CN"/>
                    </w:rPr>
                    <w:t>塑料</w:t>
                  </w:r>
                  <w:r>
                    <w:rPr>
                      <w:rFonts w:hint="default" w:ascii="Times New Roman" w:hAnsi="Times New Roman" w:eastAsia="宋体" w:cs="Times New Roman"/>
                      <w:szCs w:val="21"/>
                    </w:rPr>
                    <w:t>制品业，不涉及化学原料和化学制品制造等具有潜在土壤污染环境风险的企业。</w:t>
                  </w:r>
                </w:p>
              </w:tc>
              <w:tc>
                <w:tcPr>
                  <w:tcW w:w="306"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szCs w:val="21"/>
                      <w:lang w:val="en-US" w:eastAsia="zh-CN"/>
                    </w:rPr>
                  </w:pPr>
                  <w:r>
                    <w:rPr>
                      <w:rFonts w:hint="default" w:ascii="Times New Roman" w:hAnsi="Times New Roman" w:eastAsia="宋体" w:cs="Times New Roman"/>
                      <w:color w:val="auto"/>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6"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661"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654"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p>
              </w:tc>
              <w:tc>
                <w:tcPr>
                  <w:tcW w:w="388"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资源开发效率要求</w:t>
                  </w:r>
                </w:p>
              </w:tc>
              <w:tc>
                <w:tcPr>
                  <w:tcW w:w="2225" w:type="dxa"/>
                  <w:tcBorders>
                    <w:tl2br w:val="nil"/>
                    <w:tr2bl w:val="nil"/>
                  </w:tcBorders>
                  <w:vAlign w:val="center"/>
                </w:tcPr>
                <w:p>
                  <w:pPr>
                    <w:pStyle w:val="46"/>
                    <w:keepNext w:val="0"/>
                    <w:keepLines w:val="0"/>
                    <w:suppressLineNumbers w:val="0"/>
                    <w:bidi w:val="0"/>
                    <w:spacing w:before="0" w:beforeAutospacing="0" w:after="0" w:afterAutospacing="0"/>
                    <w:ind w:right="0"/>
                    <w:jc w:val="both"/>
                    <w:rPr>
                      <w:rFonts w:hint="default" w:ascii="Times New Roman" w:hAnsi="Times New Roman" w:eastAsia="宋体" w:cs="Times New Roman"/>
                      <w:szCs w:val="21"/>
                    </w:rPr>
                  </w:pPr>
                  <w:r>
                    <w:rPr>
                      <w:rFonts w:hint="default" w:ascii="Times New Roman" w:hAnsi="Times New Roman" w:eastAsia="宋体" w:cs="Times New Roman"/>
                      <w:szCs w:val="21"/>
                    </w:rPr>
                    <w:t>高污染燃料禁燃区内禁止燃用高污染燃料，禁止新建、扩建燃用高污染燃料的设施。已建的燃用高污染燃料设施，限期改用电、天然气、液化石油气等清洁能源。</w:t>
                  </w:r>
                </w:p>
              </w:tc>
              <w:tc>
                <w:tcPr>
                  <w:tcW w:w="1955"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firstLine="0" w:firstLineChars="0"/>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本项目位于连江县福州现代物流城内，不使用高污染燃料。</w:t>
                  </w:r>
                </w:p>
              </w:tc>
              <w:tc>
                <w:tcPr>
                  <w:tcW w:w="306"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符合</w:t>
                  </w:r>
                </w:p>
              </w:tc>
            </w:tr>
          </w:tbl>
          <w:p>
            <w:pPr>
              <w:pStyle w:val="43"/>
              <w:keepNext w:val="0"/>
              <w:keepLines w:val="0"/>
              <w:suppressLineNumbers w:val="0"/>
              <w:spacing w:before="0" w:beforeLines="0" w:beforeAutospacing="0" w:after="0" w:afterAutospacing="0"/>
              <w:ind w:left="0" w:right="0" w:firstLine="480"/>
              <w:rPr>
                <w:rFonts w:hint="eastAsia"/>
              </w:rPr>
            </w:pPr>
            <w:r>
              <w:rPr>
                <w:rFonts w:hint="eastAsia" w:ascii="宋体" w:hAnsi="宋体" w:eastAsia="宋体" w:cs="宋体"/>
                <w:lang w:bidi="ar"/>
              </w:rPr>
              <w:t>综上所述，本项目的建设符合“三线一单”的管控要求。</w:t>
            </w:r>
          </w:p>
          <w:p>
            <w:pPr>
              <w:pStyle w:val="3"/>
              <w:keepNext w:val="0"/>
              <w:keepLines w:val="0"/>
              <w:suppressLineNumbers w:val="0"/>
              <w:bidi w:val="0"/>
              <w:spacing w:before="0" w:beforeLines="0" w:beforeAutospacing="0" w:afterAutospacing="0"/>
              <w:ind w:left="0" w:leftChars="0" w:right="0" w:firstLine="0" w:firstLineChars="0"/>
              <w:rPr>
                <w:rFonts w:hint="default"/>
              </w:rPr>
            </w:pPr>
            <w:bookmarkStart w:id="13" w:name="_Toc20003"/>
            <w:bookmarkStart w:id="14" w:name="_Toc10077"/>
            <w:r>
              <w:rPr>
                <w:rFonts w:hint="eastAsia"/>
              </w:rPr>
              <w:t>本项目与挥发性有机物污染防治相关政策符合性分析</w:t>
            </w:r>
          </w:p>
          <w:p>
            <w:pPr>
              <w:pStyle w:val="43"/>
              <w:keepNext w:val="0"/>
              <w:keepLines w:val="0"/>
              <w:suppressLineNumbers w:val="0"/>
              <w:spacing w:before="0" w:beforeLines="0" w:beforeAutospacing="0" w:after="0" w:afterAutospacing="0"/>
              <w:ind w:left="0" w:right="0" w:firstLine="480"/>
              <w:rPr>
                <w:rFonts w:hint="eastAsia" w:ascii="宋体" w:hAnsi="宋体" w:cs="宋体"/>
                <w:lang w:eastAsia="zh-CN" w:bidi="ar"/>
              </w:rPr>
            </w:pPr>
            <w:r>
              <w:rPr>
                <w:rFonts w:hint="eastAsia" w:ascii="宋体" w:hAnsi="宋体" w:cs="宋体"/>
                <w:lang w:val="en-US" w:eastAsia="zh-CN" w:bidi="ar"/>
              </w:rPr>
              <w:t>本项目与</w:t>
            </w:r>
            <w:r>
              <w:rPr>
                <w:rFonts w:hint="eastAsia" w:ascii="宋体" w:hAnsi="宋体" w:cs="宋体"/>
                <w:lang w:bidi="ar"/>
              </w:rPr>
              <w:t>挥发性有机物污染防治相关政策符合性分析详见</w:t>
            </w:r>
            <w:r>
              <w:rPr>
                <w:rFonts w:hint="eastAsia" w:ascii="宋体" w:hAnsi="宋体" w:cs="宋体"/>
                <w:lang w:val="en-US" w:eastAsia="zh-CN" w:bidi="ar"/>
              </w:rPr>
              <w:t>下</w:t>
            </w:r>
            <w:r>
              <w:rPr>
                <w:rFonts w:hint="eastAsia" w:ascii="宋体" w:hAnsi="宋体" w:cs="宋体"/>
                <w:lang w:bidi="ar"/>
              </w:rPr>
              <w:t>表</w:t>
            </w:r>
            <w:r>
              <w:rPr>
                <w:rFonts w:hint="eastAsia" w:ascii="宋体" w:hAnsi="宋体" w:cs="宋体"/>
                <w:lang w:eastAsia="zh-CN" w:bidi="ar"/>
              </w:rPr>
              <w:t>。</w:t>
            </w:r>
          </w:p>
          <w:p>
            <w:pPr>
              <w:pStyle w:val="42"/>
              <w:keepNext w:val="0"/>
              <w:keepLines w:val="0"/>
              <w:suppressLineNumbers w:val="0"/>
              <w:spacing w:before="0" w:beforeLines="0" w:beforeAutospacing="0" w:after="0" w:afterAutospacing="0"/>
              <w:ind w:right="0"/>
              <w:rPr>
                <w:rFonts w:hint="default"/>
              </w:rPr>
            </w:pPr>
            <w:r>
              <w:rPr>
                <w:rFonts w:hint="default" w:ascii="Times New Roman" w:hAnsi="Times New Roman" w:eastAsia="宋体" w:cs="Times New Roman"/>
                <w:color w:val="000000"/>
                <w:kern w:val="2"/>
                <w:sz w:val="24"/>
                <w:szCs w:val="20"/>
                <w:lang w:val="en-US" w:eastAsia="zh-CN" w:bidi="ar"/>
              </w:rPr>
              <w:t>挥发性有机物污染防治政策相关内容</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119"/>
              <w:gridCol w:w="2836"/>
              <w:gridCol w:w="1717"/>
              <w:gridCol w:w="6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序</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号</w:t>
                  </w:r>
                </w:p>
              </w:tc>
              <w:tc>
                <w:tcPr>
                  <w:tcW w:w="112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相关文</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件名称</w:t>
                  </w:r>
                </w:p>
              </w:tc>
              <w:tc>
                <w:tcPr>
                  <w:tcW w:w="286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相关内容</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eastAsia" w:cs="Times New Roman"/>
                      <w:szCs w:val="21"/>
                      <w:lang w:val="en-US" w:eastAsia="zh-CN"/>
                    </w:rPr>
                    <w:t>项目情况</w:t>
                  </w:r>
                </w:p>
              </w:tc>
              <w:tc>
                <w:tcPr>
                  <w:tcW w:w="66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w:t>
                  </w:r>
                </w:p>
              </w:tc>
              <w:tc>
                <w:tcPr>
                  <w:tcW w:w="112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“十三五”挥发性有机物污染防治工作方案</w:t>
                  </w:r>
                </w:p>
              </w:tc>
              <w:tc>
                <w:tcPr>
                  <w:tcW w:w="286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四、主要任务</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(一)加大产业结构调整力度。</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2.严格建设项目环境准入。提高VOCs排放重点行业环保准入门槛，严格控制新增污染物排放量；</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新建涉VOCs排放的工业企业要入园区；新、改、扩建涉VOCs排放项目，应从源头加强控制，使用低(无)VOCs含量的原辅材料，加强废气收集，安装高效治理设施。</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项目</w:t>
                  </w:r>
                  <w:r>
                    <w:rPr>
                      <w:rFonts w:hint="eastAsia" w:eastAsia="宋体" w:cs="Times New Roman"/>
                      <w:szCs w:val="21"/>
                      <w:lang w:val="en-US" w:eastAsia="zh-CN"/>
                    </w:rPr>
                    <w:t>位于</w:t>
                  </w:r>
                  <w:r>
                    <w:rPr>
                      <w:rFonts w:hint="eastAsia" w:cs="Times New Roman"/>
                      <w:szCs w:val="21"/>
                      <w:lang w:val="en-US" w:eastAsia="zh-CN"/>
                    </w:rPr>
                    <w:t>福州现代物流园</w:t>
                  </w:r>
                  <w:r>
                    <w:rPr>
                      <w:rFonts w:hint="eastAsia" w:eastAsia="宋体" w:cs="Times New Roman"/>
                      <w:szCs w:val="21"/>
                      <w:lang w:eastAsia="zh-CN"/>
                    </w:rPr>
                    <w:t>，</w:t>
                  </w:r>
                  <w:r>
                    <w:rPr>
                      <w:rFonts w:hint="default" w:ascii="Times New Roman" w:hAnsi="Times New Roman" w:eastAsia="宋体" w:cs="Times New Roman"/>
                      <w:szCs w:val="21"/>
                    </w:rPr>
                    <w:t>本项目</w:t>
                  </w:r>
                  <w:r>
                    <w:rPr>
                      <w:rFonts w:hint="eastAsia" w:cs="Times New Roman"/>
                      <w:szCs w:val="21"/>
                      <w:lang w:val="en-US" w:eastAsia="zh-CN"/>
                    </w:rPr>
                    <w:t>注塑过程产生的VOC</w:t>
                  </w:r>
                  <w:r>
                    <w:rPr>
                      <w:rFonts w:hint="eastAsia" w:cs="Times New Roman"/>
                      <w:szCs w:val="21"/>
                      <w:vertAlign w:val="subscript"/>
                      <w:lang w:val="en-US" w:eastAsia="zh-CN"/>
                    </w:rPr>
                    <w:t>S</w:t>
                  </w:r>
                  <w:r>
                    <w:rPr>
                      <w:rFonts w:hint="eastAsia" w:cs="Times New Roman"/>
                      <w:szCs w:val="21"/>
                      <w:lang w:val="en-US" w:eastAsia="zh-CN"/>
                    </w:rPr>
                    <w:t>由半密闭集气罩收集后经二级活性炭吸附装置处理，通过15m高排气筒排放，</w:t>
                  </w:r>
                  <w:r>
                    <w:rPr>
                      <w:rFonts w:hint="default" w:ascii="Times New Roman" w:hAnsi="Times New Roman" w:eastAsia="宋体" w:cs="Times New Roman"/>
                      <w:szCs w:val="21"/>
                    </w:rPr>
                    <w:t>集气罩</w:t>
                  </w:r>
                  <w:r>
                    <w:rPr>
                      <w:rFonts w:hint="eastAsia" w:cs="Times New Roman"/>
                      <w:szCs w:val="21"/>
                      <w:lang w:val="en-US" w:eastAsia="zh-CN"/>
                    </w:rPr>
                    <w:t>设计</w:t>
                  </w:r>
                  <w:r>
                    <w:rPr>
                      <w:rFonts w:hint="default" w:ascii="Times New Roman" w:hAnsi="Times New Roman" w:eastAsia="宋体" w:cs="Times New Roman"/>
                      <w:szCs w:val="21"/>
                    </w:rPr>
                    <w:t>收集效率</w:t>
                  </w:r>
                  <w:r>
                    <w:rPr>
                      <w:rFonts w:hint="eastAsia" w:cs="Times New Roman"/>
                      <w:szCs w:val="21"/>
                      <w:lang w:val="en-US" w:eastAsia="zh-CN"/>
                    </w:rPr>
                    <w:t>为</w:t>
                  </w:r>
                  <w:r>
                    <w:rPr>
                      <w:rFonts w:hint="default" w:ascii="Times New Roman" w:hAnsi="Times New Roman" w:eastAsia="宋体" w:cs="Times New Roman"/>
                      <w:szCs w:val="21"/>
                    </w:rPr>
                    <w:t>80%，</w:t>
                  </w:r>
                  <w:r>
                    <w:rPr>
                      <w:rFonts w:hint="eastAsia" w:cs="Times New Roman"/>
                      <w:szCs w:val="21"/>
                      <w:lang w:val="en-US" w:eastAsia="zh-CN"/>
                    </w:rPr>
                    <w:t>同时，</w:t>
                  </w:r>
                  <w:r>
                    <w:rPr>
                      <w:rFonts w:hint="default" w:ascii="Times New Roman" w:hAnsi="Times New Roman" w:eastAsia="宋体" w:cs="Times New Roman"/>
                      <w:szCs w:val="21"/>
                    </w:rPr>
                    <w:t>项目使用的</w:t>
                  </w:r>
                  <w:r>
                    <w:rPr>
                      <w:rFonts w:hint="default" w:ascii="Times New Roman" w:hAnsi="Times New Roman" w:eastAsia="宋体" w:cs="Times New Roman"/>
                      <w:szCs w:val="21"/>
                      <w:lang w:val="en-US" w:eastAsia="zh-CN"/>
                    </w:rPr>
                    <w:t>PE、PP、色母</w:t>
                  </w:r>
                  <w:r>
                    <w:rPr>
                      <w:rFonts w:hint="default" w:ascii="Times New Roman" w:hAnsi="Times New Roman" w:eastAsia="宋体" w:cs="Times New Roman"/>
                      <w:szCs w:val="21"/>
                    </w:rPr>
                    <w:t>，属于低(无)VOCs含量的原辅材料</w:t>
                  </w:r>
                  <w:r>
                    <w:rPr>
                      <w:rFonts w:hint="eastAsia" w:cs="Times New Roman"/>
                      <w:szCs w:val="21"/>
                      <w:lang w:eastAsia="zh-CN"/>
                    </w:rPr>
                    <w:t>。</w:t>
                  </w:r>
                </w:p>
              </w:tc>
              <w:tc>
                <w:tcPr>
                  <w:tcW w:w="66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vertAlign w:val="baseline"/>
                      <w:lang w:val="en-US" w:eastAsia="zh-CN"/>
                    </w:rPr>
                    <w:t>2</w:t>
                  </w:r>
                </w:p>
              </w:tc>
              <w:tc>
                <w:tcPr>
                  <w:tcW w:w="1129"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《挥发性有机物无组织排放控制标准》</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(GB37822-2019)</w:t>
                  </w:r>
                </w:p>
              </w:tc>
              <w:tc>
                <w:tcPr>
                  <w:tcW w:w="286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7.3.1企业应建立台账，记录含VOCs 原辅材料和含VOCs产品的名称、使用量、回收量、废弃量、去向以及VOCs含量等信息。台账保存期限不少于3年</w:t>
                  </w:r>
                  <w:r>
                    <w:rPr>
                      <w:rFonts w:hint="eastAsia" w:cs="Times New Roman"/>
                      <w:szCs w:val="21"/>
                      <w:lang w:eastAsia="zh-CN"/>
                    </w:rPr>
                    <w:t>。</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项目将严格按照要求制定含VOCs原辅材料购买台账，台账保存期限不少于3年。</w:t>
                  </w:r>
                </w:p>
              </w:tc>
              <w:tc>
                <w:tcPr>
                  <w:tcW w:w="666"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vertAlign w:val="baseline"/>
                      <w:lang w:val="en-US" w:eastAsia="zh-CN"/>
                    </w:rPr>
                  </w:pPr>
                  <w:r>
                    <w:rPr>
                      <w:rFonts w:hint="eastAsia"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p>
              </w:tc>
              <w:tc>
                <w:tcPr>
                  <w:tcW w:w="1129"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p>
              </w:tc>
              <w:tc>
                <w:tcPr>
                  <w:tcW w:w="286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10.1.2VOCs废气收集处理系统应与生产工艺设备同步运行。VOCs废气收集处理系统发生故障或检修时，对应的生产工艺设备应停止运行，待检修完毕后同步投入使用：生产工艺设备不能停止运行或不能及时停止运行的，应设置废气应急处理设施或采取其他替代措施。</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10.4记录要求：企业应建立台账，记录废气收集系统、VOCs处理设施的主要运行和维护信息，如运行时间、废气处理量、操作温度、停留时间、吸附剂再生/更换周期和更换量、催化剂更换周期和更换量、吸收液pH值等关键运行参数。台账保存期限不少于3年。</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①项目废气收集处理系统将与生产工艺设备同步运行。VOCs废气收集处理系统发生故障或检修时，对应的生产工艺设备</w:t>
                  </w:r>
                  <w:r>
                    <w:rPr>
                      <w:rFonts w:hint="eastAsia" w:cs="Times New Roman"/>
                      <w:szCs w:val="21"/>
                      <w:lang w:val="en-US" w:eastAsia="zh-CN"/>
                    </w:rPr>
                    <w:t>将</w:t>
                  </w:r>
                  <w:r>
                    <w:rPr>
                      <w:rFonts w:hint="default" w:ascii="Times New Roman" w:hAnsi="Times New Roman" w:eastAsia="宋体" w:cs="Times New Roman"/>
                      <w:szCs w:val="21"/>
                    </w:rPr>
                    <w:t>停止运行，待检修完毕后同步投入使用。</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②项目将严格按照要求制定废气收集系统、VOCs处理设施运行台账，台账保存期限不少于3年。</w:t>
                  </w:r>
                </w:p>
              </w:tc>
              <w:tc>
                <w:tcPr>
                  <w:tcW w:w="666"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w:t>
                  </w:r>
                </w:p>
              </w:tc>
              <w:tc>
                <w:tcPr>
                  <w:tcW w:w="112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《福建省2020年挥发性有机物治理攻坚实施方案》的通知(闽环保大气〔2020〕6号)</w:t>
                  </w:r>
                </w:p>
              </w:tc>
              <w:tc>
                <w:tcPr>
                  <w:tcW w:w="286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(2)全面落实标准要求，强化无组织排放控制。加强含VOCs物料全方位、全链条、全环节密闭管理........。生产和使用环节应采用密闭设备，或在密闭空间中操作并有效收集废气，或进行局部气体收集；处置环节应将盛装过VOCs物料的包装容器、含VOCs废料(渣、液)、废吸附剂等通过加盖、封装等方式密闭，妥善存放，集中清运，交有资质的单位处置，不得随意丢弃；</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(3)聚焦治污设施“三率”，提升综合治理效率。优先采用密闭设备、在密闭空间中操作或采用全密闭集气罩收集方式；......采用活性炭吸附技术的，应选择碘值不低于800毫克/克的活性炭，并按设计要求足量添加、及时更换。</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项目在</w:t>
                  </w:r>
                  <w:r>
                    <w:rPr>
                      <w:rFonts w:hint="default" w:ascii="Times New Roman" w:hAnsi="Times New Roman" w:eastAsia="宋体" w:cs="Times New Roman"/>
                      <w:szCs w:val="21"/>
                      <w:lang w:val="en-US" w:eastAsia="zh-CN"/>
                    </w:rPr>
                    <w:t>注塑</w:t>
                  </w:r>
                  <w:r>
                    <w:rPr>
                      <w:rFonts w:hint="default" w:ascii="Times New Roman" w:hAnsi="Times New Roman" w:eastAsia="宋体" w:cs="Times New Roman"/>
                      <w:color w:val="000000"/>
                      <w:sz w:val="21"/>
                      <w:szCs w:val="21"/>
                      <w:lang w:val="en-US" w:eastAsia="zh-CN"/>
                    </w:rPr>
                    <w:t>机取件口</w:t>
                  </w:r>
                  <w:r>
                    <w:rPr>
                      <w:rFonts w:hint="default" w:ascii="Times New Roman" w:hAnsi="Times New Roman" w:eastAsia="宋体" w:cs="Times New Roman"/>
                      <w:szCs w:val="21"/>
                    </w:rPr>
                    <w:t>设置</w:t>
                  </w:r>
                  <w:r>
                    <w:rPr>
                      <w:rFonts w:hint="eastAsia" w:cs="Times New Roman"/>
                      <w:szCs w:val="21"/>
                      <w:lang w:val="en-US" w:eastAsia="zh-CN"/>
                    </w:rPr>
                    <w:t>半密闭</w:t>
                  </w:r>
                  <w:r>
                    <w:rPr>
                      <w:rFonts w:hint="default" w:ascii="Times New Roman" w:hAnsi="Times New Roman" w:eastAsia="宋体" w:cs="Times New Roman"/>
                      <w:szCs w:val="21"/>
                    </w:rPr>
                    <w:t>集气罩</w:t>
                  </w:r>
                  <w:r>
                    <w:rPr>
                      <w:rFonts w:hint="eastAsia" w:cs="Times New Roman"/>
                      <w:szCs w:val="21"/>
                      <w:lang w:eastAsia="zh-CN"/>
                    </w:rPr>
                    <w:t>，</w:t>
                  </w:r>
                  <w:r>
                    <w:rPr>
                      <w:rFonts w:hint="eastAsia" w:cs="Times New Roman"/>
                      <w:szCs w:val="21"/>
                      <w:lang w:val="en-US" w:eastAsia="zh-CN"/>
                    </w:rPr>
                    <w:t>有机废气收集后经二级活性炭吸附装置处理</w:t>
                  </w:r>
                  <w:r>
                    <w:rPr>
                      <w:rFonts w:hint="eastAsia" w:cs="Times New Roman"/>
                      <w:szCs w:val="21"/>
                      <w:lang w:eastAsia="zh-CN"/>
                    </w:rPr>
                    <w:t>。</w:t>
                  </w:r>
                  <w:r>
                    <w:rPr>
                      <w:rFonts w:hint="eastAsia" w:cs="Times New Roman"/>
                      <w:szCs w:val="21"/>
                      <w:lang w:val="en-US" w:eastAsia="zh-CN"/>
                    </w:rPr>
                    <w:t>产生的废活性炭用封闭容器盛放或袋装后，</w:t>
                  </w:r>
                  <w:r>
                    <w:rPr>
                      <w:rFonts w:hint="default" w:ascii="Times New Roman" w:hAnsi="Times New Roman" w:eastAsia="宋体" w:cs="Times New Roman"/>
                      <w:szCs w:val="21"/>
                    </w:rPr>
                    <w:t>暂存于危险废物暂存间内，定期委托有资质单位</w:t>
                  </w:r>
                  <w:r>
                    <w:rPr>
                      <w:rFonts w:hint="eastAsia" w:cs="Times New Roman"/>
                      <w:szCs w:val="21"/>
                      <w:lang w:val="en-US" w:eastAsia="zh-CN"/>
                    </w:rPr>
                    <w:t>外运</w:t>
                  </w:r>
                  <w:r>
                    <w:rPr>
                      <w:rFonts w:hint="default" w:ascii="Times New Roman" w:hAnsi="Times New Roman" w:eastAsia="宋体" w:cs="Times New Roman"/>
                      <w:szCs w:val="21"/>
                    </w:rPr>
                    <w:t>处置；本项目采用碘值不低于800毫克/克的活性炭，并</w:t>
                  </w:r>
                  <w:r>
                    <w:rPr>
                      <w:rFonts w:hint="eastAsia" w:cs="Times New Roman"/>
                      <w:szCs w:val="21"/>
                      <w:lang w:val="en-US" w:eastAsia="zh-CN"/>
                    </w:rPr>
                    <w:t>按要求</w:t>
                  </w:r>
                  <w:r>
                    <w:rPr>
                      <w:rFonts w:hint="default" w:ascii="Times New Roman" w:hAnsi="Times New Roman" w:eastAsia="宋体" w:cs="Times New Roman"/>
                      <w:szCs w:val="21"/>
                    </w:rPr>
                    <w:t>定期更换。</w:t>
                  </w:r>
                </w:p>
              </w:tc>
              <w:tc>
                <w:tcPr>
                  <w:tcW w:w="666"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vertAlign w:val="baseline"/>
                      <w:lang w:val="en-US" w:eastAsia="zh-CN"/>
                    </w:rPr>
                  </w:pPr>
                  <w:r>
                    <w:rPr>
                      <w:rFonts w:hint="eastAsia"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4</w:t>
                  </w:r>
                </w:p>
              </w:tc>
              <w:tc>
                <w:tcPr>
                  <w:tcW w:w="112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福建省重点行业挥发性有机物污染防治工作方案(闽环保大气〔2017〕6</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号)</w:t>
                  </w:r>
                </w:p>
              </w:tc>
              <w:tc>
                <w:tcPr>
                  <w:tcW w:w="286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二、主要任务</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（三）加快推进重点行业VOCs专项整治</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2）加强化工企业污染综合整治提升有机化工(含有机化学原料、合成材料、日用化工、涂料、油墨、胶粘剂、染料、化学溶剂、试剂生产等)、医药化工、塑料制品企业装备水平，严格控制跑冒滴漏。......排放VOCs的生产工序要在密闭空间或设备中实施，产生的含VOCs废气需进行净化处理，净化效率应不低于80%。</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eastAsia" w:cs="Times New Roman"/>
                      <w:szCs w:val="21"/>
                      <w:lang w:val="en-US" w:eastAsia="zh-CN"/>
                    </w:rPr>
                    <w:t>本项目注塑设备密闭，产生的有机废气采用二级活性炭处理，净化效率≥80%</w:t>
                  </w:r>
                </w:p>
              </w:tc>
              <w:tc>
                <w:tcPr>
                  <w:tcW w:w="666"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vertAlign w:val="baseline"/>
                      <w:lang w:val="en-US" w:eastAsia="zh-CN"/>
                    </w:rPr>
                  </w:pPr>
                  <w:r>
                    <w:rPr>
                      <w:rFonts w:hint="eastAsia"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5</w:t>
                  </w:r>
                </w:p>
              </w:tc>
              <w:tc>
                <w:tcPr>
                  <w:tcW w:w="112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《福建省重点行业挥发性有机物排放控制要求(试行)的通知》(闽环保大气〔2017〕9号)</w:t>
                  </w:r>
                </w:p>
              </w:tc>
              <w:tc>
                <w:tcPr>
                  <w:tcW w:w="286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(1)工艺过程控制要求含VOCs物料应储存于密闭容器中。盛装含VOCs物料的容器应存放于储存室内，或至少设置遮阳挡雨等设施；</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(2)其他控制要求产生有废气的生产工艺和装置均设有收集系统和净化处理装置；所有产生VOCs的生产车间(或生产设施)均进行密闭，无露天和敞开式涂装、流平、干燥作业；不能完全密闭的部位设置软帘阻隔设施，减少废气排放；更换的VOCs 附剂的废弃物等，产生后马上密闭，存放在不透气的容器内，贮存、转移期间保持密闭；密闭式局部收集的逸散的VOCs废气收集率达到80%以上。</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(1)项目原料等采用密</w:t>
                  </w:r>
                  <w:r>
                    <w:rPr>
                      <w:rFonts w:hint="eastAsia" w:cs="Times New Roman"/>
                      <w:szCs w:val="21"/>
                      <w:lang w:val="en-US" w:eastAsia="zh-CN"/>
                    </w:rPr>
                    <w:t>封</w:t>
                  </w:r>
                  <w:r>
                    <w:rPr>
                      <w:rFonts w:hint="default" w:ascii="Times New Roman" w:hAnsi="Times New Roman" w:eastAsia="宋体" w:cs="Times New Roman"/>
                      <w:szCs w:val="21"/>
                      <w:lang w:val="en-US" w:eastAsia="zh-CN"/>
                    </w:rPr>
                    <w:t>包装袋</w:t>
                  </w:r>
                  <w:r>
                    <w:rPr>
                      <w:rFonts w:hint="default" w:ascii="Times New Roman" w:hAnsi="Times New Roman" w:eastAsia="宋体" w:cs="Times New Roman"/>
                      <w:szCs w:val="21"/>
                    </w:rPr>
                    <w:t>暂存在</w:t>
                  </w:r>
                  <w:r>
                    <w:rPr>
                      <w:rFonts w:hint="eastAsia" w:cs="Times New Roman"/>
                      <w:szCs w:val="21"/>
                      <w:lang w:val="en-US" w:eastAsia="zh-CN"/>
                    </w:rPr>
                    <w:t>车间原料区</w:t>
                  </w:r>
                  <w:r>
                    <w:rPr>
                      <w:rFonts w:hint="default" w:ascii="Times New Roman" w:hAnsi="Times New Roman" w:eastAsia="宋体" w:cs="Times New Roman"/>
                      <w:szCs w:val="21"/>
                    </w:rPr>
                    <w:t>；</w:t>
                  </w:r>
                </w:p>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(2)本项目</w:t>
                  </w:r>
                  <w:r>
                    <w:rPr>
                      <w:rFonts w:hint="eastAsia" w:cs="Times New Roman"/>
                      <w:szCs w:val="21"/>
                      <w:lang w:val="en-US" w:eastAsia="zh-CN"/>
                    </w:rPr>
                    <w:t>注塑过程产生的VOC</w:t>
                  </w:r>
                  <w:r>
                    <w:rPr>
                      <w:rFonts w:hint="eastAsia" w:cs="Times New Roman"/>
                      <w:szCs w:val="21"/>
                      <w:vertAlign w:val="subscript"/>
                      <w:lang w:val="en-US" w:eastAsia="zh-CN"/>
                    </w:rPr>
                    <w:t>S</w:t>
                  </w:r>
                  <w:r>
                    <w:rPr>
                      <w:rFonts w:hint="eastAsia" w:cs="Times New Roman"/>
                      <w:szCs w:val="21"/>
                      <w:lang w:val="en-US" w:eastAsia="zh-CN"/>
                    </w:rPr>
                    <w:t>由半密闭集气罩收集后经二级活性炭吸附装置处理，通过15m高排气筒排放，</w:t>
                  </w:r>
                  <w:r>
                    <w:rPr>
                      <w:rFonts w:hint="default" w:ascii="Times New Roman" w:hAnsi="Times New Roman" w:eastAsia="宋体" w:cs="Times New Roman"/>
                      <w:szCs w:val="21"/>
                    </w:rPr>
                    <w:t>集气罩</w:t>
                  </w:r>
                  <w:r>
                    <w:rPr>
                      <w:rFonts w:hint="eastAsia" w:cs="Times New Roman"/>
                      <w:szCs w:val="21"/>
                      <w:lang w:val="en-US" w:eastAsia="zh-CN"/>
                    </w:rPr>
                    <w:t>设计</w:t>
                  </w:r>
                  <w:r>
                    <w:rPr>
                      <w:rFonts w:hint="default" w:ascii="Times New Roman" w:hAnsi="Times New Roman" w:eastAsia="宋体" w:cs="Times New Roman"/>
                      <w:szCs w:val="21"/>
                    </w:rPr>
                    <w:t>收集效率</w:t>
                  </w:r>
                  <w:r>
                    <w:rPr>
                      <w:rFonts w:hint="eastAsia" w:cs="Times New Roman"/>
                      <w:szCs w:val="21"/>
                      <w:lang w:val="en-US" w:eastAsia="zh-CN"/>
                    </w:rPr>
                    <w:t>为</w:t>
                  </w:r>
                  <w:r>
                    <w:rPr>
                      <w:rFonts w:hint="default" w:ascii="Times New Roman" w:hAnsi="Times New Roman" w:eastAsia="宋体" w:cs="Times New Roman"/>
                      <w:szCs w:val="21"/>
                    </w:rPr>
                    <w:t>80%</w:t>
                  </w:r>
                  <w:r>
                    <w:rPr>
                      <w:rFonts w:hint="eastAsia" w:eastAsia="宋体" w:cs="Times New Roman"/>
                      <w:szCs w:val="21"/>
                      <w:lang w:eastAsia="zh-CN"/>
                    </w:rPr>
                    <w:t>，</w:t>
                  </w:r>
                  <w:r>
                    <w:rPr>
                      <w:rFonts w:hint="eastAsia" w:cs="Times New Roman"/>
                      <w:szCs w:val="21"/>
                      <w:lang w:val="en-US" w:eastAsia="zh-CN"/>
                    </w:rPr>
                    <w:t>产生的废活性炭用封闭容器盛放或袋装后，</w:t>
                  </w:r>
                  <w:r>
                    <w:rPr>
                      <w:rFonts w:hint="default" w:ascii="Times New Roman" w:hAnsi="Times New Roman" w:eastAsia="宋体" w:cs="Times New Roman"/>
                      <w:szCs w:val="21"/>
                    </w:rPr>
                    <w:t>暂存于危险废物暂存间内</w:t>
                  </w:r>
                  <w:r>
                    <w:rPr>
                      <w:rFonts w:hint="eastAsia" w:eastAsia="宋体" w:cs="Times New Roman"/>
                      <w:szCs w:val="21"/>
                      <w:lang w:eastAsia="zh-CN"/>
                    </w:rPr>
                    <w:t>。</w:t>
                  </w:r>
                </w:p>
              </w:tc>
              <w:tc>
                <w:tcPr>
                  <w:tcW w:w="666"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vertAlign w:val="baseline"/>
                      <w:lang w:val="en-US" w:eastAsia="zh-CN"/>
                    </w:rPr>
                  </w:pPr>
                  <w:r>
                    <w:rPr>
                      <w:rFonts w:hint="eastAsia"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cs="Times New Roman"/>
                      <w:szCs w:val="21"/>
                      <w:vertAlign w:val="baseline"/>
                      <w:lang w:val="en-US" w:eastAsia="zh-CN"/>
                    </w:rPr>
                  </w:pPr>
                  <w:r>
                    <w:rPr>
                      <w:rFonts w:hint="eastAsia" w:cs="Times New Roman"/>
                      <w:szCs w:val="21"/>
                      <w:vertAlign w:val="baseline"/>
                      <w:lang w:val="en-US" w:eastAsia="zh-CN"/>
                    </w:rPr>
                    <w:t>6</w:t>
                  </w:r>
                </w:p>
              </w:tc>
              <w:tc>
                <w:tcPr>
                  <w:tcW w:w="112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《福州市</w:t>
                  </w:r>
                </w:p>
                <w:p>
                  <w:pPr>
                    <w:keepNext w:val="0"/>
                    <w:keepLines w:val="0"/>
                    <w:suppressLineNumbers w:val="0"/>
                    <w:spacing w:before="0" w:beforeAutospacing="0" w:after="0" w:afterAutospacing="0"/>
                    <w:ind w:left="0" w:right="0"/>
                    <w:jc w:val="center"/>
                    <w:rPr>
                      <w:rFonts w:hint="default"/>
                      <w:szCs w:val="21"/>
                    </w:rPr>
                  </w:pPr>
                  <w:r>
                    <w:rPr>
                      <w:rFonts w:hint="default"/>
                      <w:szCs w:val="21"/>
                    </w:rPr>
                    <w:t>“十四五”</w:t>
                  </w:r>
                </w:p>
                <w:p>
                  <w:pPr>
                    <w:keepNext w:val="0"/>
                    <w:keepLines w:val="0"/>
                    <w:suppressLineNumbers w:val="0"/>
                    <w:spacing w:before="0" w:beforeAutospacing="0" w:after="0" w:afterAutospacing="0"/>
                    <w:ind w:left="0" w:right="0"/>
                    <w:jc w:val="center"/>
                    <w:rPr>
                      <w:rFonts w:hint="default"/>
                      <w:szCs w:val="21"/>
                    </w:rPr>
                  </w:pPr>
                  <w:r>
                    <w:rPr>
                      <w:rFonts w:hint="default"/>
                      <w:szCs w:val="21"/>
                    </w:rPr>
                    <w:t>生态环境</w:t>
                  </w:r>
                </w:p>
                <w:p>
                  <w:pPr>
                    <w:keepNext w:val="0"/>
                    <w:keepLines w:val="0"/>
                    <w:suppressLineNumbers w:val="0"/>
                    <w:spacing w:before="0" w:beforeAutospacing="0" w:after="0" w:afterAutospacing="0"/>
                    <w:ind w:left="0" w:right="0"/>
                    <w:jc w:val="center"/>
                    <w:rPr>
                      <w:rFonts w:hint="default"/>
                      <w:szCs w:val="21"/>
                    </w:rPr>
                  </w:pPr>
                  <w:r>
                    <w:rPr>
                      <w:rFonts w:hint="default"/>
                      <w:szCs w:val="21"/>
                    </w:rPr>
                    <w:t>保护规划》</w:t>
                  </w:r>
                </w:p>
                <w:p>
                  <w:pPr>
                    <w:keepNext w:val="0"/>
                    <w:keepLines w:val="0"/>
                    <w:suppressLineNumbers w:val="0"/>
                    <w:spacing w:before="0" w:beforeAutospacing="0" w:after="0" w:afterAutospacing="0"/>
                    <w:ind w:left="0" w:right="0"/>
                    <w:jc w:val="center"/>
                    <w:rPr>
                      <w:rFonts w:hint="default"/>
                      <w:szCs w:val="21"/>
                    </w:rPr>
                  </w:pPr>
                  <w:r>
                    <w:rPr>
                      <w:rFonts w:hint="default"/>
                      <w:szCs w:val="21"/>
                    </w:rPr>
                    <w:t>(榕政办</w:t>
                  </w:r>
                </w:p>
                <w:p>
                  <w:pPr>
                    <w:keepNext w:val="0"/>
                    <w:keepLines w:val="0"/>
                    <w:suppressLineNumbers w:val="0"/>
                    <w:spacing w:before="0" w:beforeAutospacing="0" w:after="0" w:afterAutospacing="0"/>
                    <w:ind w:left="0" w:right="0"/>
                    <w:jc w:val="center"/>
                    <w:rPr>
                      <w:rFonts w:hint="default"/>
                      <w:szCs w:val="21"/>
                    </w:rPr>
                  </w:pPr>
                  <w:r>
                    <w:rPr>
                      <w:rFonts w:hint="default"/>
                      <w:szCs w:val="21"/>
                    </w:rPr>
                    <w:t>〔2021〕</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rPr>
                  </w:pPr>
                  <w:r>
                    <w:rPr>
                      <w:rFonts w:hint="default"/>
                      <w:szCs w:val="21"/>
                    </w:rPr>
                    <w:t>123号)</w:t>
                  </w:r>
                </w:p>
              </w:tc>
              <w:tc>
                <w:tcPr>
                  <w:tcW w:w="2867" w:type="dxa"/>
                  <w:tcBorders>
                    <w:tl2br w:val="nil"/>
                    <w:tr2bl w:val="nil"/>
                  </w:tcBorders>
                  <w:vAlign w:val="center"/>
                </w:tcPr>
                <w:p>
                  <w:pPr>
                    <w:keepNext w:val="0"/>
                    <w:keepLines w:val="0"/>
                    <w:suppressLineNumbers w:val="0"/>
                    <w:spacing w:before="0" w:beforeAutospacing="0" w:after="0" w:afterAutospacing="0"/>
                    <w:ind w:left="0" w:leftChars="0" w:right="0" w:rightChars="0"/>
                    <w:jc w:val="both"/>
                    <w:rPr>
                      <w:rFonts w:hint="default" w:ascii="Times New Roman" w:hAnsi="Times New Roman" w:eastAsia="宋体" w:cs="Times New Roman"/>
                      <w:szCs w:val="21"/>
                    </w:rPr>
                  </w:pPr>
                  <w:r>
                    <w:rPr>
                      <w:rFonts w:hint="default"/>
                      <w:szCs w:val="21"/>
                    </w:rPr>
                    <w:t>强化挥发性有机物整治。......实行挥发性有机物排放倍量替代。加大涉VOCs企业源头替代力度，推广使用低(无)VOCs原辅材料替代，禁止生产高VOCs含量有机溶剂型涂料、油墨和胶黏剂的新、改、扩建项目，推进重点企业“油改水”治理，提高有机溶剂回收率。”</w:t>
                  </w:r>
                </w:p>
              </w:tc>
              <w:tc>
                <w:tcPr>
                  <w:tcW w:w="1734"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szCs w:val="21"/>
                    </w:rPr>
                  </w:pPr>
                  <w:r>
                    <w:rPr>
                      <w:rFonts w:hint="default"/>
                      <w:szCs w:val="21"/>
                    </w:rPr>
                    <w:t>项目排放的VOCs拟实行区</w:t>
                  </w:r>
                </w:p>
                <w:p>
                  <w:pPr>
                    <w:keepNext w:val="0"/>
                    <w:keepLines w:val="0"/>
                    <w:suppressLineNumbers w:val="0"/>
                    <w:spacing w:before="0" w:beforeAutospacing="0" w:after="0" w:afterAutospacing="0"/>
                    <w:ind w:left="0" w:right="0"/>
                    <w:jc w:val="both"/>
                    <w:rPr>
                      <w:rFonts w:hint="default"/>
                      <w:szCs w:val="21"/>
                    </w:rPr>
                  </w:pPr>
                  <w:r>
                    <w:rPr>
                      <w:rFonts w:hint="default"/>
                      <w:szCs w:val="21"/>
                    </w:rPr>
                    <w:t>域内倍量替代；项目使用的PE、PP、色母，属于低(无)VOCs含量的原辅材料。</w:t>
                  </w:r>
                </w:p>
                <w:p>
                  <w:pPr>
                    <w:keepNext w:val="0"/>
                    <w:keepLines w:val="0"/>
                    <w:suppressLineNumbers w:val="0"/>
                    <w:spacing w:before="0" w:beforeAutospacing="0" w:after="0" w:afterAutospacing="0"/>
                    <w:ind w:left="0" w:leftChars="0" w:right="0" w:rightChars="0"/>
                    <w:jc w:val="both"/>
                    <w:rPr>
                      <w:rFonts w:hint="default" w:ascii="Times New Roman" w:hAnsi="Times New Roman" w:eastAsia="宋体" w:cs="Times New Roman"/>
                      <w:szCs w:val="21"/>
                    </w:rPr>
                  </w:pPr>
                  <w:r>
                    <w:rPr>
                      <w:rFonts w:hint="default"/>
                      <w:szCs w:val="21"/>
                    </w:rPr>
                    <w:t>项目不涉及所需的 VOCs原料的生产，全部外购。</w:t>
                  </w:r>
                </w:p>
              </w:tc>
              <w:tc>
                <w:tcPr>
                  <w:tcW w:w="66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szCs w:val="21"/>
                      <w:vertAlign w:val="baseline"/>
                      <w:lang w:val="en-US" w:eastAsia="zh-CN"/>
                    </w:rPr>
                  </w:pPr>
                  <w:r>
                    <w:rPr>
                      <w:rFonts w:hint="eastAsia"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cs="Times New Roman"/>
                      <w:szCs w:val="21"/>
                      <w:vertAlign w:val="baseline"/>
                      <w:lang w:val="en-US" w:eastAsia="zh-CN"/>
                    </w:rPr>
                  </w:pPr>
                  <w:r>
                    <w:rPr>
                      <w:rFonts w:hint="eastAsia" w:cs="Times New Roman"/>
                      <w:szCs w:val="21"/>
                      <w:vertAlign w:val="baseline"/>
                      <w:lang w:val="en-US" w:eastAsia="zh-CN"/>
                    </w:rPr>
                    <w:t>7</w:t>
                  </w:r>
                </w:p>
              </w:tc>
              <w:tc>
                <w:tcPr>
                  <w:tcW w:w="112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szCs w:val="21"/>
                    </w:rPr>
                  </w:pPr>
                  <w:r>
                    <w:rPr>
                      <w:rFonts w:hint="default"/>
                      <w:szCs w:val="21"/>
                    </w:rPr>
                    <w:t>《福州市</w:t>
                  </w:r>
                </w:p>
                <w:p>
                  <w:pPr>
                    <w:keepNext w:val="0"/>
                    <w:keepLines w:val="0"/>
                    <w:suppressLineNumbers w:val="0"/>
                    <w:spacing w:before="0" w:beforeAutospacing="0" w:after="0" w:afterAutospacing="0"/>
                    <w:ind w:left="0" w:right="0"/>
                    <w:jc w:val="center"/>
                    <w:rPr>
                      <w:rFonts w:hint="default"/>
                      <w:szCs w:val="21"/>
                    </w:rPr>
                  </w:pPr>
                  <w:r>
                    <w:rPr>
                      <w:rFonts w:hint="default"/>
                      <w:szCs w:val="21"/>
                    </w:rPr>
                    <w:t>生态环境</w:t>
                  </w:r>
                </w:p>
                <w:p>
                  <w:pPr>
                    <w:keepNext w:val="0"/>
                    <w:keepLines w:val="0"/>
                    <w:suppressLineNumbers w:val="0"/>
                    <w:spacing w:before="0" w:beforeAutospacing="0" w:after="0" w:afterAutospacing="0"/>
                    <w:ind w:left="0" w:right="0"/>
                    <w:jc w:val="center"/>
                    <w:rPr>
                      <w:rFonts w:hint="default"/>
                      <w:szCs w:val="21"/>
                    </w:rPr>
                  </w:pPr>
                  <w:r>
                    <w:rPr>
                      <w:rFonts w:hint="default"/>
                      <w:szCs w:val="21"/>
                    </w:rPr>
                    <w:t>保护委员</w:t>
                  </w:r>
                </w:p>
                <w:p>
                  <w:pPr>
                    <w:keepNext w:val="0"/>
                    <w:keepLines w:val="0"/>
                    <w:suppressLineNumbers w:val="0"/>
                    <w:spacing w:before="0" w:beforeAutospacing="0" w:after="0" w:afterAutospacing="0"/>
                    <w:ind w:left="0" w:right="0"/>
                    <w:jc w:val="center"/>
                    <w:rPr>
                      <w:rFonts w:hint="default"/>
                      <w:szCs w:val="21"/>
                    </w:rPr>
                  </w:pPr>
                  <w:r>
                    <w:rPr>
                      <w:rFonts w:hint="default"/>
                      <w:szCs w:val="21"/>
                    </w:rPr>
                    <w:t>会办公室</w:t>
                  </w:r>
                </w:p>
                <w:p>
                  <w:pPr>
                    <w:keepNext w:val="0"/>
                    <w:keepLines w:val="0"/>
                    <w:suppressLineNumbers w:val="0"/>
                    <w:spacing w:before="0" w:beforeAutospacing="0" w:after="0" w:afterAutospacing="0"/>
                    <w:ind w:left="0" w:right="0"/>
                    <w:jc w:val="center"/>
                    <w:rPr>
                      <w:rFonts w:hint="default"/>
                      <w:szCs w:val="21"/>
                    </w:rPr>
                  </w:pPr>
                  <w:r>
                    <w:rPr>
                      <w:rFonts w:hint="default"/>
                      <w:szCs w:val="21"/>
                    </w:rPr>
                    <w:t>关于印发</w:t>
                  </w:r>
                </w:p>
                <w:p>
                  <w:pPr>
                    <w:keepNext w:val="0"/>
                    <w:keepLines w:val="0"/>
                    <w:suppressLineNumbers w:val="0"/>
                    <w:spacing w:before="0" w:beforeAutospacing="0" w:after="0" w:afterAutospacing="0"/>
                    <w:ind w:left="0" w:right="0"/>
                    <w:jc w:val="center"/>
                    <w:rPr>
                      <w:rFonts w:hint="default"/>
                      <w:szCs w:val="21"/>
                    </w:rPr>
                  </w:pPr>
                  <w:r>
                    <w:rPr>
                      <w:rFonts w:hint="default"/>
                      <w:szCs w:val="21"/>
                    </w:rPr>
                    <w:t>2022年度福州市蓝</w:t>
                  </w:r>
                </w:p>
                <w:p>
                  <w:pPr>
                    <w:keepNext w:val="0"/>
                    <w:keepLines w:val="0"/>
                    <w:suppressLineNumbers w:val="0"/>
                    <w:spacing w:before="0" w:beforeAutospacing="0" w:after="0" w:afterAutospacing="0"/>
                    <w:ind w:left="0" w:right="0"/>
                    <w:jc w:val="center"/>
                    <w:rPr>
                      <w:rFonts w:hint="default"/>
                      <w:szCs w:val="21"/>
                    </w:rPr>
                  </w:pPr>
                  <w:r>
                    <w:rPr>
                      <w:rFonts w:hint="default"/>
                      <w:szCs w:val="21"/>
                    </w:rPr>
                    <w:t>天碧海净</w:t>
                  </w:r>
                </w:p>
                <w:p>
                  <w:pPr>
                    <w:keepNext w:val="0"/>
                    <w:keepLines w:val="0"/>
                    <w:suppressLineNumbers w:val="0"/>
                    <w:spacing w:before="0" w:beforeAutospacing="0" w:after="0" w:afterAutospacing="0"/>
                    <w:ind w:left="0" w:right="0"/>
                    <w:jc w:val="center"/>
                    <w:rPr>
                      <w:rFonts w:hint="default"/>
                      <w:szCs w:val="21"/>
                    </w:rPr>
                  </w:pPr>
                  <w:r>
                    <w:rPr>
                      <w:rFonts w:hint="default"/>
                      <w:szCs w:val="21"/>
                    </w:rPr>
                    <w:t>土保卫战</w:t>
                  </w:r>
                </w:p>
                <w:p>
                  <w:pPr>
                    <w:keepNext w:val="0"/>
                    <w:keepLines w:val="0"/>
                    <w:suppressLineNumbers w:val="0"/>
                    <w:spacing w:before="0" w:beforeAutospacing="0" w:after="0" w:afterAutospacing="0"/>
                    <w:ind w:left="0" w:right="0"/>
                    <w:jc w:val="center"/>
                    <w:rPr>
                      <w:rFonts w:hint="default"/>
                      <w:szCs w:val="21"/>
                    </w:rPr>
                  </w:pPr>
                  <w:r>
                    <w:rPr>
                      <w:rFonts w:hint="default"/>
                      <w:szCs w:val="21"/>
                    </w:rPr>
                    <w:t>行动计划</w:t>
                  </w:r>
                </w:p>
                <w:p>
                  <w:pPr>
                    <w:keepNext w:val="0"/>
                    <w:keepLines w:val="0"/>
                    <w:suppressLineNumbers w:val="0"/>
                    <w:spacing w:before="0" w:beforeAutospacing="0" w:after="0" w:afterAutospacing="0"/>
                    <w:ind w:left="0" w:right="0"/>
                    <w:jc w:val="center"/>
                    <w:rPr>
                      <w:rFonts w:hint="default"/>
                      <w:szCs w:val="21"/>
                    </w:rPr>
                  </w:pPr>
                  <w:r>
                    <w:rPr>
                      <w:rFonts w:hint="default"/>
                      <w:szCs w:val="21"/>
                    </w:rPr>
                    <w:t>通知》(榕</w:t>
                  </w:r>
                </w:p>
                <w:p>
                  <w:pPr>
                    <w:keepNext w:val="0"/>
                    <w:keepLines w:val="0"/>
                    <w:suppressLineNumbers w:val="0"/>
                    <w:spacing w:before="0" w:beforeAutospacing="0" w:after="0" w:afterAutospacing="0"/>
                    <w:ind w:left="0" w:right="0"/>
                    <w:jc w:val="center"/>
                    <w:rPr>
                      <w:rFonts w:hint="default"/>
                      <w:szCs w:val="21"/>
                    </w:rPr>
                  </w:pPr>
                  <w:r>
                    <w:rPr>
                      <w:rFonts w:hint="default"/>
                      <w:szCs w:val="21"/>
                    </w:rPr>
                    <w:t>环委办</w:t>
                  </w:r>
                </w:p>
                <w:p>
                  <w:pPr>
                    <w:keepNext w:val="0"/>
                    <w:keepLines w:val="0"/>
                    <w:suppressLineNumbers w:val="0"/>
                    <w:spacing w:before="0" w:beforeAutospacing="0" w:after="0" w:afterAutospacing="0"/>
                    <w:ind w:left="0" w:right="0"/>
                    <w:jc w:val="center"/>
                    <w:rPr>
                      <w:rFonts w:hint="default"/>
                      <w:szCs w:val="21"/>
                    </w:rPr>
                  </w:pPr>
                  <w:r>
                    <w:rPr>
                      <w:rFonts w:hint="default"/>
                      <w:szCs w:val="21"/>
                    </w:rPr>
                    <w:t>[2022]49</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rPr>
                  </w:pPr>
                  <w:r>
                    <w:rPr>
                      <w:rFonts w:hint="default"/>
                      <w:szCs w:val="21"/>
                    </w:rPr>
                    <w:t>号)</w:t>
                  </w:r>
                </w:p>
              </w:tc>
              <w:tc>
                <w:tcPr>
                  <w:tcW w:w="286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szCs w:val="21"/>
                    </w:rPr>
                  </w:pPr>
                  <w:r>
                    <w:rPr>
                      <w:rFonts w:hint="default"/>
                      <w:szCs w:val="21"/>
                    </w:rPr>
                    <w:t>四是严格涉VOCs建设项目环境影响评价审批。新、改、扩建涉VOCs排放项目，应使用低(无)VOCs涂料、胶粘剂等，实施新建项目VOCs</w:t>
                  </w:r>
                </w:p>
                <w:p>
                  <w:pPr>
                    <w:keepNext w:val="0"/>
                    <w:keepLines w:val="0"/>
                    <w:suppressLineNumbers w:val="0"/>
                    <w:spacing w:before="0" w:beforeAutospacing="0" w:after="0" w:afterAutospacing="0"/>
                    <w:ind w:left="0" w:leftChars="0" w:right="0" w:rightChars="0"/>
                    <w:jc w:val="both"/>
                    <w:rPr>
                      <w:rFonts w:hint="default" w:ascii="Times New Roman" w:hAnsi="Times New Roman" w:eastAsia="宋体" w:cs="Times New Roman"/>
                      <w:szCs w:val="21"/>
                    </w:rPr>
                  </w:pPr>
                  <w:r>
                    <w:rPr>
                      <w:rFonts w:hint="default"/>
                      <w:szCs w:val="21"/>
                    </w:rPr>
                    <w:t>排放区域内1.2及以上倍量替代。VOCs年排放量大于5吨的新建项目投运前应安装VOCs在线监控设备，并接入市生态云平台。</w:t>
                  </w:r>
                </w:p>
              </w:tc>
              <w:tc>
                <w:tcPr>
                  <w:tcW w:w="1734" w:type="dxa"/>
                  <w:tcBorders>
                    <w:tl2br w:val="nil"/>
                    <w:tr2bl w:val="nil"/>
                  </w:tcBorders>
                  <w:vAlign w:val="center"/>
                </w:tcPr>
                <w:p>
                  <w:pPr>
                    <w:keepNext w:val="0"/>
                    <w:keepLines w:val="0"/>
                    <w:suppressLineNumbers w:val="0"/>
                    <w:spacing w:before="0" w:beforeAutospacing="0" w:after="0" w:afterAutospacing="0"/>
                    <w:ind w:left="0" w:leftChars="0" w:right="0" w:rightChars="0"/>
                    <w:jc w:val="both"/>
                    <w:rPr>
                      <w:rFonts w:hint="default" w:ascii="Times New Roman" w:hAnsi="Times New Roman" w:eastAsia="宋体" w:cs="Times New Roman"/>
                      <w:szCs w:val="21"/>
                    </w:rPr>
                  </w:pPr>
                  <w:r>
                    <w:rPr>
                      <w:rFonts w:hint="default"/>
                      <w:szCs w:val="21"/>
                    </w:rPr>
                    <w:t>项目采用以低</w:t>
                  </w:r>
                  <w:r>
                    <w:rPr>
                      <w:rFonts w:hint="eastAsia"/>
                      <w:szCs w:val="21"/>
                      <w:lang w:eastAsia="zh-CN"/>
                    </w:rPr>
                    <w:t>（</w:t>
                  </w:r>
                  <w:r>
                    <w:rPr>
                      <w:rFonts w:hint="eastAsia"/>
                      <w:szCs w:val="21"/>
                      <w:lang w:val="en-US" w:eastAsia="zh-CN"/>
                    </w:rPr>
                    <w:t>无</w:t>
                  </w:r>
                  <w:r>
                    <w:rPr>
                      <w:rFonts w:hint="eastAsia"/>
                      <w:szCs w:val="21"/>
                      <w:lang w:eastAsia="zh-CN"/>
                    </w:rPr>
                    <w:t>）</w:t>
                  </w:r>
                  <w:r>
                    <w:rPr>
                      <w:rFonts w:hint="default"/>
                      <w:szCs w:val="21"/>
                    </w:rPr>
                    <w:t>VOCs原料为主，VOCs排放拟实行区域内倍量替代，项目VOCs年排放量远小于5吨，不需安装VOCs在线监控设备。</w:t>
                  </w:r>
                </w:p>
              </w:tc>
              <w:tc>
                <w:tcPr>
                  <w:tcW w:w="666"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szCs w:val="21"/>
                      <w:vertAlign w:val="baseline"/>
                      <w:lang w:val="en-US" w:eastAsia="zh-CN"/>
                    </w:rPr>
                  </w:pPr>
                  <w:r>
                    <w:rPr>
                      <w:rFonts w:hint="eastAsia" w:cs="Times New Roman"/>
                      <w:szCs w:val="21"/>
                      <w:vertAlign w:val="baseline"/>
                      <w:lang w:val="en-US" w:eastAsia="zh-CN"/>
                    </w:rPr>
                    <w:t>符合</w:t>
                  </w:r>
                </w:p>
              </w:tc>
            </w:tr>
          </w:tbl>
          <w:p>
            <w:pPr>
              <w:pStyle w:val="3"/>
              <w:keepNext w:val="0"/>
              <w:keepLines w:val="0"/>
              <w:suppressLineNumbers w:val="0"/>
              <w:bidi w:val="0"/>
              <w:spacing w:before="0" w:beforeLines="0" w:beforeAutospacing="0" w:after="0" w:afterAutospacing="0"/>
              <w:ind w:left="0" w:leftChars="0" w:right="0" w:firstLine="0" w:firstLineChars="0"/>
              <w:rPr>
                <w:rFonts w:hint="default"/>
              </w:rPr>
            </w:pPr>
            <w:r>
              <w:rPr>
                <w:rFonts w:hint="eastAsia"/>
              </w:rPr>
              <w:t>与《福州市生态环境局关于开展福州市重点行业挥发性有机物综合治理工作(VOCs2.0)的通知》(榕环保综[2021]100号)符合性分析</w:t>
            </w:r>
          </w:p>
          <w:p>
            <w:pPr>
              <w:pStyle w:val="83"/>
              <w:keepNext w:val="0"/>
              <w:keepLines w:val="0"/>
              <w:suppressLineNumbers w:val="0"/>
              <w:spacing w:before="0" w:beforeLines="0" w:beforeAutospacing="0" w:after="0" w:afterAutospacing="0"/>
              <w:ind w:left="0" w:right="0" w:firstLine="480" w:firstLineChars="200"/>
              <w:rPr>
                <w:rFonts w:hint="default"/>
                <w:color w:val="auto"/>
              </w:rPr>
            </w:pPr>
            <w:r>
              <w:rPr>
                <w:rFonts w:hint="default"/>
                <w:color w:val="auto"/>
              </w:rPr>
              <w:t>本项目涉及</w:t>
            </w:r>
            <w:r>
              <w:rPr>
                <w:rFonts w:hint="default"/>
                <w:color w:val="auto"/>
                <w:lang w:val="en-US" w:eastAsia="zh-CN"/>
              </w:rPr>
              <w:t>注塑</w:t>
            </w:r>
            <w:r>
              <w:rPr>
                <w:rFonts w:hint="default"/>
                <w:color w:val="auto"/>
              </w:rPr>
              <w:t>工艺，对照福州市重点行业挥发性有机物治理任务对照表(橡胶和塑料制品行业)符合性分析详见</w:t>
            </w:r>
            <w:r>
              <w:rPr>
                <w:rFonts w:hint="default"/>
                <w:color w:val="auto"/>
                <w:lang w:val="en-US" w:eastAsia="zh-CN"/>
              </w:rPr>
              <w:t>下表</w:t>
            </w:r>
            <w:r>
              <w:rPr>
                <w:rFonts w:hint="default"/>
                <w:color w:val="auto"/>
              </w:rPr>
              <w:t>。</w:t>
            </w:r>
          </w:p>
          <w:p>
            <w:pPr>
              <w:pStyle w:val="42"/>
              <w:keepNext w:val="0"/>
              <w:keepLines w:val="0"/>
              <w:suppressLineNumbers w:val="0"/>
              <w:spacing w:before="0" w:beforeLines="0" w:beforeAutospacing="0" w:after="0" w:afterAutospacing="0"/>
              <w:ind w:right="0"/>
              <w:rPr>
                <w:rFonts w:hint="default"/>
                <w:color w:val="000000"/>
                <w:lang w:bidi="ar"/>
              </w:rPr>
            </w:pPr>
            <w:r>
              <w:rPr>
                <w:rFonts w:hint="default"/>
                <w:color w:val="000000"/>
                <w:lang w:bidi="ar"/>
              </w:rPr>
              <w:t>福州市重点行业挥发性有机物治理任务对照表（摘录）</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6"/>
              <w:gridCol w:w="708"/>
              <w:gridCol w:w="2680"/>
              <w:gridCol w:w="704"/>
              <w:gridCol w:w="1487"/>
              <w:gridCol w:w="7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序号</w:t>
                  </w:r>
                </w:p>
              </w:tc>
              <w:tc>
                <w:tcPr>
                  <w:tcW w:w="70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环节</w:t>
                  </w:r>
                </w:p>
              </w:tc>
              <w:tc>
                <w:tcPr>
                  <w:tcW w:w="268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治理任务</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实施要求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eastAsia" w:cs="Times New Roman"/>
                      <w:b w:val="0"/>
                      <w:bCs w:val="0"/>
                      <w:sz w:val="21"/>
                      <w:szCs w:val="21"/>
                      <w:vertAlign w:val="baseline"/>
                      <w:lang w:val="en-US" w:eastAsia="zh-CN"/>
                    </w:rPr>
                    <w:t>本项目</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6" w:type="dxa"/>
                  <w:gridSpan w:val="6"/>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szCs w:val="21"/>
                      <w:vertAlign w:val="baseline"/>
                      <w:lang w:val="en-US" w:eastAsia="zh-CN"/>
                    </w:rPr>
                    <w:t>过程控制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12</w:t>
                  </w:r>
                </w:p>
              </w:tc>
              <w:tc>
                <w:tcPr>
                  <w:tcW w:w="708"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生产工序</w:t>
                  </w: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rPr>
                  </w:pPr>
                  <w:r>
                    <w:rPr>
                      <w:rFonts w:hint="default" w:ascii="Times New Roman" w:hAnsi="Times New Roman" w:eastAsia="宋体" w:cs="Times New Roman"/>
                      <w:szCs w:val="21"/>
                    </w:rPr>
                    <w:t>在塑炼、塑化、熔化、加工成型等作业中采用密闭设备或在密闭空间内操作，废气排至VOCs废气收集处理系统；无法密闭的，采取局部气体收集措施，废气排至VOCs废气收集处理系统</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项目注塑</w:t>
                  </w:r>
                  <w:r>
                    <w:rPr>
                      <w:rFonts w:hint="eastAsia" w:cs="Times New Roman"/>
                      <w:szCs w:val="21"/>
                      <w:vertAlign w:val="baseline"/>
                      <w:lang w:val="en-US" w:eastAsia="zh-CN"/>
                    </w:rPr>
                    <w:t>在密闭</w:t>
                  </w:r>
                  <w:r>
                    <w:rPr>
                      <w:rFonts w:hint="default" w:ascii="Times New Roman" w:hAnsi="Times New Roman" w:eastAsia="宋体" w:cs="Times New Roman"/>
                      <w:szCs w:val="21"/>
                      <w:vertAlign w:val="baseline"/>
                      <w:lang w:val="en-US" w:eastAsia="zh-CN"/>
                    </w:rPr>
                    <w:t>设备内操作，于设备取件口设置半密闭罩，采用二级活性炭吸附装置对有机废气进行处理，由</w:t>
                  </w:r>
                  <w:r>
                    <w:rPr>
                      <w:rFonts w:hint="eastAsia" w:cs="Times New Roman"/>
                      <w:szCs w:val="21"/>
                      <w:vertAlign w:val="baseline"/>
                      <w:lang w:val="en-US" w:eastAsia="zh-CN"/>
                    </w:rPr>
                    <w:t>一根</w:t>
                  </w:r>
                  <w:r>
                    <w:rPr>
                      <w:rFonts w:hint="default" w:ascii="Times New Roman" w:hAnsi="Times New Roman" w:eastAsia="宋体" w:cs="Times New Roman"/>
                      <w:szCs w:val="21"/>
                      <w:vertAlign w:val="baseline"/>
                      <w:lang w:val="en-US" w:eastAsia="zh-CN"/>
                    </w:rPr>
                    <w:t>15m</w:t>
                  </w:r>
                  <w:r>
                    <w:rPr>
                      <w:rFonts w:hint="eastAsia" w:cs="Times New Roman"/>
                      <w:szCs w:val="21"/>
                      <w:vertAlign w:val="baseline"/>
                      <w:lang w:val="en-US" w:eastAsia="zh-CN"/>
                    </w:rPr>
                    <w:t>高</w:t>
                  </w:r>
                  <w:r>
                    <w:rPr>
                      <w:rFonts w:hint="default" w:ascii="Times New Roman" w:hAnsi="Times New Roman" w:eastAsia="宋体" w:cs="Times New Roman"/>
                      <w:szCs w:val="21"/>
                      <w:vertAlign w:val="baseline"/>
                      <w:lang w:val="en-US" w:eastAsia="zh-CN"/>
                    </w:rPr>
                    <w:t>排气筒排放</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6" w:type="dxa"/>
                  <w:gridSpan w:val="6"/>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末端治理设施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25</w:t>
                  </w:r>
                </w:p>
              </w:tc>
              <w:tc>
                <w:tcPr>
                  <w:tcW w:w="708"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收集净化</w:t>
                  </w: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产生大气污染物的生产工艺和装置设立局部或整体气体收集系统和净化处理装置</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项目</w:t>
                  </w:r>
                  <w:r>
                    <w:rPr>
                      <w:rFonts w:hint="default" w:ascii="Times New Roman" w:hAnsi="Times New Roman" w:eastAsia="宋体" w:cs="Times New Roman"/>
                      <w:szCs w:val="21"/>
                      <w:lang w:val="en-US" w:eastAsia="zh-CN"/>
                    </w:rPr>
                    <w:t>注塑机</w:t>
                  </w:r>
                  <w:r>
                    <w:rPr>
                      <w:rFonts w:hint="default" w:ascii="Times New Roman" w:hAnsi="Times New Roman" w:eastAsia="宋体" w:cs="Times New Roman"/>
                      <w:szCs w:val="21"/>
                      <w:vertAlign w:val="baseline"/>
                      <w:lang w:val="en-US" w:eastAsia="zh-CN"/>
                    </w:rPr>
                    <w:t>取件口</w:t>
                  </w:r>
                  <w:r>
                    <w:rPr>
                      <w:rFonts w:hint="default" w:ascii="Times New Roman" w:hAnsi="Times New Roman" w:eastAsia="宋体" w:cs="Times New Roman"/>
                      <w:szCs w:val="21"/>
                    </w:rPr>
                    <w:t>上方设置集气罩</w:t>
                  </w:r>
                  <w:r>
                    <w:rPr>
                      <w:rFonts w:hint="eastAsia" w:cs="Times New Roman"/>
                      <w:szCs w:val="21"/>
                      <w:lang w:eastAsia="zh-CN"/>
                    </w:rPr>
                    <w:t>，</w:t>
                  </w:r>
                  <w:r>
                    <w:rPr>
                      <w:rFonts w:hint="eastAsia" w:cs="Times New Roman"/>
                      <w:szCs w:val="21"/>
                      <w:lang w:val="en-US" w:eastAsia="zh-CN"/>
                    </w:rPr>
                    <w:t>废气经收集后由二级活性炭吸附装置处理</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27</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治理设施较生产设备“先启后停"，即在治理设施达到正常运行条件后方可启动生产设备，在生产设备停止、残留VOCs废气收集处理完毕后，方可停运治理设施</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推荐</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将严格按照要求，治理设施较生产设备“先启后停"，在生产设备停止、残留VOCs废气收集处理完毕后，方停运</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28</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及时清理、更换吸附剂、吸收剂、催化剂、蓄热体、过滤棉、灯管、电器元件等治理设施耗材，确保设施能够稳定高效运行</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将严格按照要求，定期更换活性炭，定期委托有资质单位进行检测，确保废气可以实现</w:t>
                  </w:r>
                  <w:r>
                    <w:rPr>
                      <w:rFonts w:hint="eastAsia" w:cs="Times New Roman"/>
                      <w:szCs w:val="21"/>
                      <w:lang w:val="en-US" w:eastAsia="zh-CN"/>
                    </w:rPr>
                    <w:t>稳定</w:t>
                  </w:r>
                  <w:r>
                    <w:rPr>
                      <w:rFonts w:hint="default" w:ascii="Times New Roman" w:hAnsi="Times New Roman" w:eastAsia="宋体" w:cs="Times New Roman"/>
                      <w:szCs w:val="21"/>
                    </w:rPr>
                    <w:t>达标排放</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29</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做好生产设备和治理设施启停机时间、检维修情况、治理设施耗材维护更换、处置情况等台账记录，对于VOCs治理设施产生的废过滤棉、废催化剂、废吸附剂、废吸收剂、废有机溶剂等，应及时清运，属于危险废物的应交有资质的单位处理处置</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项目将严格按照要求，对生产设备和治理设施启停机时间、检维修情况、治理设施耗材维护更换、处置情况等台账记录</w:t>
                  </w:r>
                  <w:r>
                    <w:rPr>
                      <w:rFonts w:hint="eastAsia"/>
                      <w:lang w:eastAsia="zh-CN"/>
                    </w:rPr>
                    <w:t>，</w:t>
                  </w:r>
                  <w:r>
                    <w:rPr>
                      <w:rFonts w:hint="eastAsia"/>
                      <w:szCs w:val="21"/>
                    </w:rPr>
                    <w:t>废活性炭交由有资质单位处置</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30</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对采用局部收集方式的企业，距废气收集系统排风罩开口面最远处的VOCs无组织排放位置控制风速不低于0.3m/s</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项目</w:t>
                  </w:r>
                  <w:r>
                    <w:rPr>
                      <w:rFonts w:hint="default" w:ascii="Times New Roman" w:hAnsi="Times New Roman" w:eastAsia="宋体" w:cs="Times New Roman"/>
                      <w:szCs w:val="21"/>
                      <w:lang w:val="en-US" w:eastAsia="zh-CN"/>
                    </w:rPr>
                    <w:t>注塑机</w:t>
                  </w:r>
                  <w:r>
                    <w:rPr>
                      <w:rFonts w:hint="default" w:ascii="Times New Roman" w:hAnsi="Times New Roman" w:eastAsia="宋体" w:cs="Times New Roman"/>
                      <w:szCs w:val="21"/>
                      <w:vertAlign w:val="baseline"/>
                      <w:lang w:val="en-US" w:eastAsia="zh-CN"/>
                    </w:rPr>
                    <w:t>取件口</w:t>
                  </w:r>
                  <w:r>
                    <w:rPr>
                      <w:rFonts w:hint="default" w:ascii="Times New Roman" w:hAnsi="Times New Roman" w:eastAsia="宋体" w:cs="Times New Roman"/>
                      <w:szCs w:val="21"/>
                    </w:rPr>
                    <w:t>上方设置集气罩</w:t>
                  </w:r>
                  <w:r>
                    <w:rPr>
                      <w:rFonts w:hint="eastAsia" w:cs="Times New Roman"/>
                      <w:szCs w:val="21"/>
                      <w:lang w:eastAsia="zh-CN"/>
                    </w:rPr>
                    <w:t>，</w:t>
                  </w:r>
                  <w:r>
                    <w:rPr>
                      <w:rFonts w:hint="default" w:ascii="Times New Roman" w:hAnsi="Times New Roman" w:eastAsia="宋体" w:cs="Times New Roman"/>
                      <w:szCs w:val="21"/>
                    </w:rPr>
                    <w:t>距废气收集系统排风罩开口面最远处的VOCs无组织排放位置控制风速不低于0.3m/s</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31</w:t>
                  </w:r>
                </w:p>
              </w:tc>
              <w:tc>
                <w:tcPr>
                  <w:tcW w:w="708"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rPr>
                    <w:t>有机废气</w:t>
                  </w: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产生大气污染物的生产工艺和装置必须设立局部或整体气体收集系统和集中净化处理装置</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项目</w:t>
                  </w:r>
                  <w:r>
                    <w:rPr>
                      <w:rFonts w:hint="default" w:ascii="Times New Roman" w:hAnsi="Times New Roman" w:eastAsia="宋体" w:cs="Times New Roman"/>
                      <w:szCs w:val="21"/>
                      <w:lang w:val="en-US" w:eastAsia="zh-CN"/>
                    </w:rPr>
                    <w:t>注塑机</w:t>
                  </w:r>
                  <w:r>
                    <w:rPr>
                      <w:rFonts w:hint="default" w:ascii="Times New Roman" w:hAnsi="Times New Roman" w:eastAsia="宋体" w:cs="Times New Roman"/>
                      <w:szCs w:val="21"/>
                      <w:vertAlign w:val="baseline"/>
                      <w:lang w:val="en-US" w:eastAsia="zh-CN"/>
                    </w:rPr>
                    <w:t>取件口</w:t>
                  </w:r>
                  <w:r>
                    <w:rPr>
                      <w:rFonts w:hint="default" w:ascii="Times New Roman" w:hAnsi="Times New Roman" w:eastAsia="宋体" w:cs="Times New Roman"/>
                      <w:szCs w:val="21"/>
                    </w:rPr>
                    <w:t>上方设置集气罩</w:t>
                  </w:r>
                  <w:r>
                    <w:rPr>
                      <w:rFonts w:hint="eastAsia" w:cs="Times New Roman"/>
                      <w:szCs w:val="21"/>
                      <w:lang w:eastAsia="zh-CN"/>
                    </w:rPr>
                    <w:t>，</w:t>
                  </w:r>
                  <w:r>
                    <w:rPr>
                      <w:rFonts w:hint="eastAsia" w:cs="Times New Roman"/>
                      <w:szCs w:val="21"/>
                      <w:lang w:val="en-US" w:eastAsia="zh-CN"/>
                    </w:rPr>
                    <w:t>废气经收集后由二级活性炭吸附装置处理</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32</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对治理设施建设情况、工艺类型、处理能力、运行时间、运行参数、耗材或药剂更换情况、能源消耗情况和废过滤棉、废催化剂、废吸附剂、废吸收剂、废有机溶剂等二次污染物规范化处置情况进行检查，建立VOCs治理设施清单</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将严格按照规范要求，对治理设施建设情况、工艺类型、处理能力、运行时间、运行参数、耗材或、能源消耗情况和废吸附剂等二次污染物规范化处置情况进行检查，建立VOCs治理设施清单</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33</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采用活性炭吸附工艺的企业，应根据废气排放特征，按照相关工程技术规范设计净化工艺和设备，使废气在吸附装置中有足够的停留时间，选择符合相关产品质量标准的活性炭，并足额充填、及时更换。采用颗粒活性炭作为吸附剂时，其碘值不宜低于800 mg/g，采用蜂窝活性炭作为吸附剂时，其碘值不宜低于650 mg/g，采用活性炭纤维作为吸附剂时，其比表面积不低于1100 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/g（BET法）。一次性活性炭吸附工艺宜采用颗粒活性炭作为吸附剂。活性炭、活性炭纤维产品销售时应提供产品质量证明材料</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本项目拟采用颗粒活性炭作为吸附剂，活性炭碘值为800mg/g，并保存活性炭购买产品质量证明材料</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34</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采用催化燃烧工艺的企业应使用合格的催化剂并足额添加，催化剂床层的设计空速宜低于40000 h-1。采用非连续吸脱附治理工艺的，应按设计要求及时解吸吸附的VOCs，解吸气体应保证采用高效处理工艺处理后达标排放。蓄热式燃烧装置（RTO）燃烧温度一般不低于760 ℃, 催化燃烧装置（CO）燃烧温度一般不低于300 ℃, 相关温度参数应自动记录存储。</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eastAsia" w:cs="Times New Roman"/>
                      <w:szCs w:val="21"/>
                      <w:lang w:val="en-US" w:eastAsia="zh-CN"/>
                    </w:rPr>
                    <w:t>项目产生的有机废气采用二级活性炭吸附装置处理。</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7"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35</w:t>
                  </w:r>
                </w:p>
              </w:tc>
              <w:tc>
                <w:tcPr>
                  <w:tcW w:w="708"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p>
              </w:tc>
              <w:tc>
                <w:tcPr>
                  <w:tcW w:w="2680"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废气处理设施吸附剂应及时再生或更换，冷凝温度以及系统压力、气体流量、装载量等相关参数应满足设计要求，装载作业排气经过回收处理后不能稳定达标的，应进一步优化治理设施或实施深度治理</w:t>
                  </w:r>
                </w:p>
              </w:tc>
              <w:tc>
                <w:tcPr>
                  <w:tcW w:w="70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要求</w:t>
                  </w:r>
                </w:p>
              </w:tc>
              <w:tc>
                <w:tcPr>
                  <w:tcW w:w="1487" w:type="dxa"/>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Cs w:val="21"/>
                    </w:rPr>
                  </w:pPr>
                  <w:r>
                    <w:rPr>
                      <w:rFonts w:hint="default" w:ascii="Times New Roman" w:hAnsi="Times New Roman" w:eastAsia="宋体" w:cs="Times New Roman"/>
                      <w:szCs w:val="21"/>
                    </w:rPr>
                    <w:t>将严格按照要求，定期更换活性炭，定期委托有资质单位进行检测，确保废气可以实现达标排放</w:t>
                  </w:r>
                </w:p>
              </w:tc>
              <w:tc>
                <w:tcPr>
                  <w:tcW w:w="75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符合</w:t>
                  </w:r>
                </w:p>
              </w:tc>
            </w:tr>
          </w:tbl>
          <w:p>
            <w:pPr>
              <w:keepNext w:val="0"/>
              <w:keepLines w:val="0"/>
              <w:suppressLineNumbers w:val="0"/>
              <w:spacing w:before="0" w:beforeAutospacing="0" w:after="0" w:afterAutospacing="0"/>
              <w:ind w:left="0" w:right="0"/>
              <w:rPr>
                <w:rFonts w:hint="default"/>
              </w:rPr>
            </w:pPr>
          </w:p>
          <w:p>
            <w:pPr>
              <w:pStyle w:val="83"/>
              <w:keepNext w:val="0"/>
              <w:keepLines w:val="0"/>
              <w:suppressLineNumbers w:val="0"/>
              <w:spacing w:before="0" w:beforeAutospacing="0" w:after="0" w:afterAutospacing="0"/>
              <w:ind w:left="0" w:right="0" w:firstLine="480" w:firstLineChars="200"/>
              <w:rPr>
                <w:rFonts w:hint="default"/>
                <w:color w:val="auto"/>
              </w:rPr>
            </w:pPr>
            <w:r>
              <w:rPr>
                <w:rFonts w:hint="default"/>
                <w:color w:val="auto"/>
              </w:rPr>
              <w:t>综上对照《关于开展福州市重点行业挥发性有机物综合治理工作（VOCs2.0）的通知》，本项目在使用原料源头控制，过程控制、末端治理上基本符合其相关规定。</w:t>
            </w:r>
          </w:p>
          <w:p>
            <w:pPr>
              <w:pStyle w:val="3"/>
              <w:keepNext w:val="0"/>
              <w:keepLines w:val="0"/>
              <w:suppressLineNumbers w:val="0"/>
              <w:bidi w:val="0"/>
              <w:spacing w:beforeAutospacing="0" w:afterAutospacing="0"/>
              <w:ind w:left="0" w:leftChars="0" w:right="0" w:firstLine="0" w:firstLineChars="0"/>
              <w:rPr>
                <w:rFonts w:hint="default"/>
              </w:rPr>
            </w:pPr>
            <w:r>
              <w:rPr>
                <w:rFonts w:hint="eastAsia"/>
                <w:lang w:val="en-US" w:eastAsia="zh-CN"/>
              </w:rPr>
              <w:t>与国土空间“三区三线”符合性分析</w:t>
            </w:r>
            <w:bookmarkEnd w:id="13"/>
            <w:bookmarkEnd w:id="14"/>
          </w:p>
          <w:p>
            <w:pPr>
              <w:pStyle w:val="83"/>
              <w:keepNext w:val="0"/>
              <w:keepLines w:val="0"/>
              <w:suppressLineNumbers w:val="0"/>
              <w:bidi w:val="0"/>
              <w:spacing w:before="0" w:beforeAutospacing="0" w:after="0" w:afterAutospacing="0"/>
              <w:ind w:left="0" w:right="0"/>
              <w:rPr>
                <w:rFonts w:hint="default" w:ascii="Times New Roman" w:hAnsi="Times New Roman" w:cs="Times New Roman"/>
                <w:color w:val="auto"/>
                <w:lang w:val="en-US"/>
              </w:rPr>
            </w:pPr>
            <w:r>
              <w:rPr>
                <w:rFonts w:hint="default" w:ascii="Times New Roman" w:hAnsi="Times New Roman" w:cs="Times New Roman"/>
                <w:color w:val="auto"/>
                <w:lang w:val="en-US" w:eastAsia="zh-CN"/>
              </w:rPr>
              <w:t>（1）</w:t>
            </w:r>
            <w:r>
              <w:rPr>
                <w:rFonts w:hint="eastAsia" w:cs="Times New Roman"/>
                <w:color w:val="auto"/>
                <w:lang w:val="en-US" w:eastAsia="zh-CN"/>
              </w:rPr>
              <w:t>“</w:t>
            </w:r>
            <w:r>
              <w:rPr>
                <w:rFonts w:hint="default" w:ascii="Times New Roman" w:hAnsi="Times New Roman" w:cs="Times New Roman"/>
                <w:color w:val="auto"/>
                <w:lang w:val="en-US" w:eastAsia="zh-CN"/>
              </w:rPr>
              <w:t>三区</w:t>
            </w:r>
            <w:r>
              <w:rPr>
                <w:rFonts w:hint="eastAsia" w:cs="Times New Roman"/>
                <w:color w:val="auto"/>
                <w:lang w:val="en-US" w:eastAsia="zh-CN"/>
              </w:rPr>
              <w:t>”</w:t>
            </w:r>
          </w:p>
          <w:p>
            <w:pPr>
              <w:pStyle w:val="83"/>
              <w:keepNext w:val="0"/>
              <w:keepLines w:val="0"/>
              <w:suppressLineNumbers w:val="0"/>
              <w:bidi w:val="0"/>
              <w:spacing w:before="0" w:beforeAutospacing="0" w:after="0" w:afterAutospacing="0"/>
              <w:ind w:left="0" w:right="0"/>
              <w:rPr>
                <w:rFonts w:hint="eastAsia" w:cs="Times New Roman"/>
                <w:color w:val="auto"/>
                <w:lang w:val="en-US" w:eastAsia="zh-CN"/>
              </w:rPr>
            </w:pPr>
            <w:r>
              <w:rPr>
                <w:rFonts w:hint="default" w:ascii="Times New Roman" w:hAnsi="Times New Roman" w:cs="Times New Roman"/>
                <w:color w:val="auto"/>
                <w:lang w:val="en-US" w:eastAsia="zh-CN"/>
              </w:rPr>
              <w:t>城镇空间：是指</w:t>
            </w:r>
            <w:r>
              <w:rPr>
                <w:rFonts w:hint="eastAsia" w:cs="Times New Roman"/>
                <w:color w:val="auto"/>
                <w:lang w:val="en-US" w:eastAsia="zh-CN"/>
              </w:rPr>
              <w:t>以</w:t>
            </w:r>
            <w:r>
              <w:rPr>
                <w:rFonts w:hint="default" w:ascii="宋体" w:hAnsi="宋体" w:eastAsia="宋体" w:cs="宋体"/>
                <w:sz w:val="24"/>
                <w:szCs w:val="24"/>
              </w:rPr>
              <w:t>城镇居民生产、生活为主体功能的国土空间，包括城镇建设空间、工矿建设空间及部分乡级政府驻地的开发建设空间</w:t>
            </w:r>
            <w:r>
              <w:rPr>
                <w:rFonts w:hint="eastAsia" w:cs="Times New Roman"/>
                <w:color w:val="auto"/>
                <w:lang w:val="en-US" w:eastAsia="zh-CN"/>
              </w:rPr>
              <w:t>。</w:t>
            </w:r>
          </w:p>
          <w:p>
            <w:pPr>
              <w:pStyle w:val="83"/>
              <w:keepNext w:val="0"/>
              <w:keepLines w:val="0"/>
              <w:suppressLineNumbers w:val="0"/>
              <w:bidi w:val="0"/>
              <w:spacing w:before="0" w:beforeAutospacing="0" w:after="0" w:afterAutospacing="0"/>
              <w:ind w:left="0" w:right="0"/>
              <w:rPr>
                <w:rFonts w:hint="default" w:ascii="Times New Roman" w:hAnsi="Times New Roman" w:cs="Times New Roman"/>
                <w:color w:val="auto"/>
                <w:lang w:val="en-US"/>
              </w:rPr>
            </w:pPr>
            <w:r>
              <w:rPr>
                <w:rFonts w:hint="default" w:ascii="Times New Roman" w:hAnsi="Times New Roman" w:cs="Times New Roman"/>
                <w:color w:val="auto"/>
                <w:lang w:val="en-US" w:eastAsia="zh-CN"/>
              </w:rPr>
              <w:t>农业空间：是指</w:t>
            </w:r>
            <w:r>
              <w:rPr>
                <w:rFonts w:hint="default" w:ascii="宋体" w:hAnsi="宋体" w:eastAsia="宋体" w:cs="宋体"/>
                <w:sz w:val="24"/>
                <w:szCs w:val="24"/>
              </w:rPr>
              <w:t>以农业生产和农村居民生活为主体功能，承担农产品生产和农村生活功能的国土空间，主要包括永久基本农田、一般农田等农业生产用地和村庄等农村生活用地</w:t>
            </w:r>
            <w:r>
              <w:rPr>
                <w:rFonts w:hint="default" w:ascii="Times New Roman" w:hAnsi="Times New Roman" w:cs="Times New Roman"/>
                <w:color w:val="auto"/>
                <w:lang w:val="en-US" w:eastAsia="zh-CN"/>
              </w:rPr>
              <w:t>。</w:t>
            </w:r>
          </w:p>
          <w:p>
            <w:pPr>
              <w:pStyle w:val="83"/>
              <w:keepNext w:val="0"/>
              <w:keepLines w:val="0"/>
              <w:suppressLineNumbers w:val="0"/>
              <w:bidi w:val="0"/>
              <w:spacing w:before="0" w:beforeAutospacing="0" w:after="0" w:afterAutospacing="0"/>
              <w:ind w:left="0" w:right="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生态空间：</w:t>
            </w:r>
            <w:r>
              <w:rPr>
                <w:rFonts w:hint="default" w:ascii="宋体" w:hAnsi="宋体" w:eastAsia="宋体" w:cs="宋体"/>
                <w:sz w:val="24"/>
                <w:szCs w:val="24"/>
              </w:rPr>
              <w:t>具有自然属性的以提供生态服务或生态产品为主体功能的国土空间，包括森林、草原、湿地、河流、湖泊、滩涂、荒地、荒漠等</w:t>
            </w:r>
            <w:r>
              <w:rPr>
                <w:rFonts w:hint="default" w:ascii="Times New Roman" w:hAnsi="Times New Roman" w:cs="Times New Roman"/>
                <w:color w:val="auto"/>
                <w:lang w:val="en-US" w:eastAsia="zh-CN"/>
              </w:rPr>
              <w:t>。</w:t>
            </w:r>
          </w:p>
          <w:p>
            <w:pPr>
              <w:pStyle w:val="83"/>
              <w:keepNext w:val="0"/>
              <w:keepLines w:val="0"/>
              <w:suppressLineNumbers w:val="0"/>
              <w:bidi w:val="0"/>
              <w:spacing w:before="0" w:beforeAutospacing="0" w:after="0" w:afterAutospacing="0"/>
              <w:ind w:left="0" w:right="0"/>
              <w:rPr>
                <w:rFonts w:hint="default" w:ascii="Times New Roman" w:hAnsi="Times New Roman" w:cs="Times New Roman"/>
                <w:color w:val="auto"/>
                <w:lang w:val="en-US"/>
              </w:rPr>
            </w:pPr>
            <w:r>
              <w:rPr>
                <w:rFonts w:hint="eastAsia" w:cs="Times New Roman"/>
                <w:color w:val="auto"/>
                <w:lang w:val="en-US" w:eastAsia="zh-CN"/>
              </w:rPr>
              <w:t>（2）“</w:t>
            </w:r>
            <w:r>
              <w:rPr>
                <w:rFonts w:hint="default" w:ascii="Times New Roman" w:hAnsi="Times New Roman" w:cs="Times New Roman"/>
                <w:color w:val="auto"/>
                <w:lang w:val="en-US" w:eastAsia="zh-CN"/>
              </w:rPr>
              <w:t>三线</w:t>
            </w:r>
            <w:r>
              <w:rPr>
                <w:rFonts w:hint="eastAsia" w:cs="Times New Roman"/>
                <w:color w:val="auto"/>
                <w:lang w:val="en-US" w:eastAsia="zh-CN"/>
              </w:rPr>
              <w:t>”</w:t>
            </w:r>
          </w:p>
          <w:p>
            <w:pPr>
              <w:pStyle w:val="83"/>
              <w:keepNext w:val="0"/>
              <w:keepLines w:val="0"/>
              <w:suppressLineNumbers w:val="0"/>
              <w:bidi w:val="0"/>
              <w:spacing w:before="0" w:beforeAutospacing="0" w:after="0" w:afterAutospacing="0"/>
              <w:ind w:left="0" w:right="0"/>
              <w:rPr>
                <w:rFonts w:hint="default" w:ascii="Times New Roman" w:hAnsi="Times New Roman" w:cs="Times New Roman"/>
                <w:color w:val="auto"/>
                <w:lang w:val="en-US"/>
              </w:rPr>
            </w:pPr>
            <w:r>
              <w:rPr>
                <w:rFonts w:hint="default" w:ascii="Times New Roman" w:hAnsi="Times New Roman" w:cs="Times New Roman"/>
                <w:color w:val="auto"/>
                <w:lang w:val="en-US" w:eastAsia="zh-CN"/>
              </w:rPr>
              <w:t>城镇开发边界：由现状建设区和规划新增建设区组成，其中规划考虑村庄公共服务及新村发展建设需求，适当增加建设用地。</w:t>
            </w:r>
          </w:p>
          <w:p>
            <w:pPr>
              <w:pStyle w:val="83"/>
              <w:keepNext w:val="0"/>
              <w:keepLines w:val="0"/>
              <w:suppressLineNumbers w:val="0"/>
              <w:bidi w:val="0"/>
              <w:spacing w:before="0" w:beforeAutospacing="0" w:after="0" w:afterAutospacing="0"/>
              <w:ind w:left="0" w:right="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永久基本农田保护红线：落实永久基本农田保护红线划定成果，开展边界校核，确保生态保护红线落地准确、边界清晰。</w:t>
            </w:r>
          </w:p>
          <w:p>
            <w:pPr>
              <w:pStyle w:val="83"/>
              <w:keepNext w:val="0"/>
              <w:keepLines w:val="0"/>
              <w:suppressLineNumbers w:val="0"/>
              <w:bidi w:val="0"/>
              <w:spacing w:before="0" w:beforeAutospacing="0" w:after="0" w:afterAutospacing="0"/>
              <w:ind w:left="0" w:right="0" w:firstLine="48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生态保护红线：落实生态保护红线划定成果，开展边界校核，确保生态保护红线落地准确、边界清晰。</w:t>
            </w:r>
          </w:p>
          <w:p>
            <w:pPr>
              <w:pStyle w:val="83"/>
              <w:keepNext w:val="0"/>
              <w:keepLines w:val="0"/>
              <w:suppressLineNumbers w:val="0"/>
              <w:spacing w:before="0" w:beforeAutospacing="0" w:after="0" w:afterAutospacing="0"/>
              <w:ind w:left="0" w:right="0" w:firstLine="480" w:firstLineChars="200"/>
              <w:rPr>
                <w:rFonts w:hint="eastAsia" w:ascii="宋体" w:hAnsi="宋体" w:eastAsia="宋体" w:cs="宋体"/>
              </w:rPr>
            </w:pPr>
            <w:r>
              <w:rPr>
                <w:rFonts w:hint="default" w:ascii="Times New Roman" w:hAnsi="Times New Roman" w:cs="Times New Roman"/>
                <w:color w:val="auto"/>
                <w:highlight w:val="none"/>
                <w:lang w:val="en-US" w:eastAsia="zh-CN"/>
              </w:rPr>
              <w:t>本项目位于</w:t>
            </w:r>
            <w:r>
              <w:rPr>
                <w:rFonts w:hint="default" w:ascii="Times New Roman" w:hAnsi="Times New Roman" w:eastAsia="宋体" w:cs="Times New Roman"/>
              </w:rPr>
              <w:t>福建省连江县东湖镇国优北路205号</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用地性质</w:t>
            </w:r>
            <w:r>
              <w:rPr>
                <w:rFonts w:hint="default" w:ascii="Times New Roman" w:hAnsi="Times New Roman" w:cs="Times New Roman"/>
                <w:color w:val="auto"/>
                <w:highlight w:val="none"/>
                <w:lang w:val="en-US" w:eastAsia="zh-CN"/>
              </w:rPr>
              <w:t>为</w:t>
            </w:r>
            <w:r>
              <w:rPr>
                <w:rFonts w:hint="eastAsia" w:cs="Times New Roman"/>
                <w:color w:val="auto"/>
                <w:highlight w:val="none"/>
                <w:lang w:val="en-US" w:eastAsia="zh-CN"/>
              </w:rPr>
              <w:t>二类工业</w:t>
            </w:r>
            <w:r>
              <w:rPr>
                <w:rFonts w:hint="default" w:ascii="Times New Roman" w:hAnsi="Times New Roman" w:cs="Times New Roman"/>
                <w:color w:val="auto"/>
                <w:highlight w:val="none"/>
                <w:lang w:val="en-US" w:eastAsia="zh-CN"/>
              </w:rPr>
              <w:t>用地，</w:t>
            </w:r>
            <w:r>
              <w:rPr>
                <w:rFonts w:hint="eastAsia" w:cs="Times New Roman"/>
                <w:color w:val="auto"/>
                <w:highlight w:val="none"/>
                <w:lang w:val="en-US" w:eastAsia="zh-CN"/>
              </w:rPr>
              <w:t>在城镇开</w:t>
            </w:r>
            <w:r>
              <w:rPr>
                <w:rFonts w:hint="default" w:ascii="Times New Roman" w:hAnsi="Times New Roman" w:cs="Times New Roman"/>
                <w:color w:val="auto"/>
                <w:lang w:val="en-US" w:eastAsia="zh-CN"/>
              </w:rPr>
              <w:t>发</w:t>
            </w:r>
            <w:r>
              <w:rPr>
                <w:rFonts w:hint="eastAsia" w:cs="Times New Roman"/>
                <w:color w:val="auto"/>
                <w:highlight w:val="none"/>
                <w:lang w:val="en-US" w:eastAsia="zh-CN"/>
              </w:rPr>
              <w:t>边界内，</w:t>
            </w:r>
            <w:r>
              <w:rPr>
                <w:rFonts w:hint="default" w:ascii="Times New Roman" w:hAnsi="Times New Roman" w:cs="Times New Roman"/>
                <w:color w:val="auto"/>
                <w:highlight w:val="none"/>
                <w:lang w:val="en-US" w:eastAsia="zh-CN"/>
              </w:rPr>
              <w:t>不</w:t>
            </w:r>
            <w:r>
              <w:rPr>
                <w:rFonts w:hint="eastAsia" w:cs="Times New Roman"/>
                <w:color w:val="auto"/>
                <w:lang w:val="en-US" w:eastAsia="zh-CN"/>
              </w:rPr>
              <w:t>涉及</w:t>
            </w:r>
            <w:r>
              <w:rPr>
                <w:rFonts w:hint="default" w:ascii="Times New Roman" w:hAnsi="Times New Roman" w:cs="Times New Roman"/>
                <w:color w:val="auto"/>
                <w:lang w:val="en-US" w:eastAsia="zh-CN"/>
              </w:rPr>
              <w:t>永久基本农田</w:t>
            </w:r>
            <w:r>
              <w:rPr>
                <w:rFonts w:hint="eastAsia" w:cs="Times New Roman"/>
                <w:color w:val="auto"/>
                <w:lang w:val="en-US" w:eastAsia="zh-CN"/>
              </w:rPr>
              <w:t>保护红线</w:t>
            </w:r>
            <w:r>
              <w:rPr>
                <w:rFonts w:hint="default" w:ascii="Times New Roman" w:hAnsi="Times New Roman" w:cs="Times New Roman"/>
                <w:color w:val="auto"/>
                <w:lang w:val="en-US" w:eastAsia="zh-CN"/>
              </w:rPr>
              <w:t>和生态保护红线，项目建设符合国土空间</w:t>
            </w:r>
            <w:r>
              <w:rPr>
                <w:rFonts w:hint="eastAsia" w:cs="Times New Roman"/>
                <w:color w:val="auto"/>
                <w:lang w:val="en-US" w:eastAsia="zh-CN"/>
              </w:rPr>
              <w:t>“</w:t>
            </w:r>
            <w:r>
              <w:rPr>
                <w:rFonts w:hint="default" w:ascii="Times New Roman" w:hAnsi="Times New Roman" w:cs="Times New Roman"/>
                <w:color w:val="auto"/>
                <w:lang w:val="en-US" w:eastAsia="zh-CN"/>
              </w:rPr>
              <w:t>三区三线</w:t>
            </w:r>
            <w:r>
              <w:rPr>
                <w:rFonts w:hint="eastAsia" w:cs="Times New Roman"/>
                <w:color w:val="auto"/>
                <w:lang w:val="en-US" w:eastAsia="zh-CN"/>
              </w:rPr>
              <w:t>”</w:t>
            </w:r>
            <w:r>
              <w:rPr>
                <w:rFonts w:hint="default" w:ascii="Times New Roman" w:hAnsi="Times New Roman" w:cs="Times New Roman"/>
                <w:color w:val="auto"/>
                <w:lang w:val="en-US" w:eastAsia="zh-CN"/>
              </w:rPr>
              <w:t>管理要求。</w:t>
            </w:r>
          </w:p>
          <w:p>
            <w:pPr>
              <w:pStyle w:val="43"/>
              <w:keepNext w:val="0"/>
              <w:keepLines w:val="0"/>
              <w:suppressLineNumbers w:val="0"/>
              <w:spacing w:before="0" w:beforeAutospacing="0" w:after="0" w:afterAutospacing="0"/>
              <w:ind w:left="0" w:right="0" w:firstLine="0" w:firstLineChars="0"/>
              <w:rPr>
                <w:rFonts w:hint="eastAsia" w:ascii="宋体" w:hAnsi="宋体" w:eastAsia="宋体" w:cs="宋体"/>
              </w:rPr>
            </w:pPr>
          </w:p>
        </w:tc>
      </w:tr>
    </w:tbl>
    <w:p>
      <w:pPr>
        <w:spacing w:line="360" w:lineRule="auto"/>
        <w:outlineLvl w:val="0"/>
        <w:rPr>
          <w:rFonts w:eastAsia="黑体"/>
          <w:sz w:val="30"/>
        </w:rPr>
        <w:sectPr>
          <w:headerReference r:id="rId4" w:type="default"/>
          <w:footerReference r:id="rId5" w:type="default"/>
          <w:pgSz w:w="11906" w:h="16838"/>
          <w:pgMar w:top="1417" w:right="1531" w:bottom="1417" w:left="1417" w:header="851" w:footer="1077" w:gutter="0"/>
          <w:pgBorders>
            <w:top w:val="none" w:sz="0" w:space="0"/>
            <w:left w:val="none" w:sz="0" w:space="0"/>
            <w:bottom w:val="none" w:sz="0" w:space="0"/>
            <w:right w:val="none" w:sz="0" w:space="0"/>
          </w:pgBorders>
          <w:pgNumType w:fmt="numberInDash" w:start="1"/>
          <w:cols w:space="720" w:num="1"/>
          <w:docGrid w:linePitch="312" w:charSpace="0"/>
        </w:sectPr>
      </w:pPr>
    </w:p>
    <w:p>
      <w:pPr>
        <w:pStyle w:val="2"/>
        <w:bidi w:val="0"/>
        <w:ind w:left="432" w:leftChars="0" w:hanging="432" w:firstLineChars="0"/>
      </w:pPr>
      <w:bookmarkStart w:id="15" w:name="_Toc25686"/>
      <w:bookmarkStart w:id="16" w:name="_Toc3054"/>
      <w:r>
        <w:rPr>
          <w:rFonts w:hint="eastAsia"/>
        </w:rPr>
        <w:t>建设项目工程分析</w:t>
      </w:r>
      <w:bookmarkEnd w:id="15"/>
      <w:bookmarkEnd w:id="16"/>
    </w:p>
    <w:tbl>
      <w:tblPr>
        <w:tblStyle w:val="3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83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727" w:type="dxa"/>
            <w:noWrap w:val="0"/>
            <w:vAlign w:val="center"/>
          </w:tcPr>
          <w:p>
            <w:pPr>
              <w:pStyle w:val="29"/>
              <w:keepNext w:val="0"/>
              <w:keepLines w:val="0"/>
              <w:suppressLineNumbers w:val="0"/>
              <w:adjustRightInd w:val="0"/>
              <w:snapToGrid w:val="0"/>
              <w:spacing w:before="0" w:beforeAutospacing="0" w:after="0" w:afterAutospacing="0"/>
              <w:ind w:left="0" w:right="0"/>
              <w:jc w:val="center"/>
              <w:rPr>
                <w:rFonts w:hint="default" w:cs="宋体"/>
                <w:sz w:val="21"/>
                <w:szCs w:val="21"/>
              </w:rPr>
            </w:pPr>
            <w:r>
              <w:rPr>
                <w:rFonts w:hint="eastAsia" w:cs="宋体"/>
                <w:sz w:val="24"/>
                <w:szCs w:val="24"/>
              </w:rPr>
              <w:t>建设内容</w:t>
            </w:r>
          </w:p>
        </w:tc>
        <w:tc>
          <w:tcPr>
            <w:tcW w:w="8333" w:type="dxa"/>
            <w:noWrap w:val="0"/>
            <w:vAlign w:val="top"/>
          </w:tcPr>
          <w:p>
            <w:pPr>
              <w:pStyle w:val="3"/>
              <w:keepNext w:val="0"/>
              <w:keepLines w:val="0"/>
              <w:suppressLineNumbers w:val="0"/>
              <w:bidi w:val="0"/>
              <w:spacing w:before="0" w:beforeLines="0" w:beforeAutospacing="0" w:after="0" w:afterAutospacing="0"/>
              <w:ind w:left="0" w:leftChars="0" w:right="0" w:firstLine="0" w:firstLineChars="0"/>
              <w:rPr>
                <w:rFonts w:hint="default"/>
              </w:rPr>
            </w:pPr>
            <w:bookmarkStart w:id="17" w:name="_Toc8049"/>
            <w:bookmarkStart w:id="18" w:name="_Toc17944"/>
            <w:bookmarkStart w:id="19" w:name="_Toc28977"/>
            <w:bookmarkStart w:id="20" w:name="_Toc1503"/>
            <w:bookmarkStart w:id="21" w:name="_Toc22117"/>
            <w:bookmarkStart w:id="22" w:name="_Toc31896"/>
            <w:r>
              <w:rPr>
                <w:rFonts w:hint="eastAsia"/>
              </w:rPr>
              <w:t>项目由来</w:t>
            </w:r>
            <w:bookmarkEnd w:id="17"/>
            <w:bookmarkEnd w:id="18"/>
          </w:p>
          <w:p>
            <w:pPr>
              <w:pStyle w:val="43"/>
              <w:keepNext w:val="0"/>
              <w:keepLines w:val="0"/>
              <w:suppressLineNumbers w:val="0"/>
              <w:spacing w:before="0" w:beforeLines="0" w:beforeAutospacing="0" w:after="0" w:afterAutospacing="0" w:line="360" w:lineRule="auto"/>
              <w:ind w:left="0" w:right="0" w:firstLine="480"/>
              <w:rPr>
                <w:rFonts w:hint="eastAsia" w:cs="Times New Roman"/>
                <w:color w:val="000000"/>
                <w:sz w:val="24"/>
                <w:szCs w:val="24"/>
                <w:lang w:val="en-US" w:eastAsia="zh-CN" w:bidi="ar"/>
              </w:rPr>
            </w:pPr>
            <w:r>
              <w:rPr>
                <w:rFonts w:hint="default" w:ascii="Times New Roman" w:hAnsi="Times New Roman" w:eastAsia="宋体" w:cs="Times New Roman"/>
              </w:rPr>
              <w:t>福州诚东塑业有限公司</w:t>
            </w:r>
            <w:r>
              <w:rPr>
                <w:rFonts w:hint="eastAsia" w:cs="Times New Roman"/>
                <w:lang w:val="en-US" w:eastAsia="zh-CN"/>
              </w:rPr>
              <w:t>拟</w:t>
            </w:r>
            <w:r>
              <w:rPr>
                <w:rFonts w:hint="default" w:ascii="Times New Roman" w:hAnsi="Times New Roman" w:eastAsia="宋体" w:cs="Times New Roman"/>
              </w:rPr>
              <w:t>租赁</w:t>
            </w:r>
            <w:r>
              <w:rPr>
                <w:rFonts w:hint="default" w:ascii="Times New Roman" w:hAnsi="Times New Roman" w:eastAsia="宋体" w:cs="Times New Roman"/>
                <w:color w:val="auto"/>
                <w:sz w:val="24"/>
                <w:szCs w:val="24"/>
                <w:lang w:val="en-US" w:eastAsia="zh-CN"/>
              </w:rPr>
              <w:t>福建</w:t>
            </w:r>
            <w:r>
              <w:rPr>
                <w:rFonts w:hint="eastAsia" w:cs="Times New Roman"/>
                <w:color w:val="auto"/>
                <w:sz w:val="24"/>
                <w:szCs w:val="24"/>
                <w:lang w:val="en-US" w:eastAsia="zh-CN"/>
              </w:rPr>
              <w:t>和谐钢结构工程</w:t>
            </w:r>
            <w:r>
              <w:rPr>
                <w:rFonts w:hint="default" w:ascii="Times New Roman" w:hAnsi="Times New Roman" w:eastAsia="宋体" w:cs="Times New Roman"/>
                <w:color w:val="auto"/>
                <w:sz w:val="24"/>
                <w:szCs w:val="24"/>
                <w:lang w:val="en-US" w:eastAsia="zh-CN"/>
              </w:rPr>
              <w:t>有限</w:t>
            </w:r>
            <w:r>
              <w:rPr>
                <w:rFonts w:hint="eastAsia" w:cs="Times New Roman"/>
                <w:color w:val="auto"/>
                <w:sz w:val="24"/>
                <w:szCs w:val="24"/>
                <w:lang w:val="en-US" w:eastAsia="zh-CN"/>
              </w:rPr>
              <w:t>公司现有厂房</w:t>
            </w:r>
            <w:r>
              <w:rPr>
                <w:rFonts w:hint="eastAsia" w:ascii="Times New Roman" w:hAnsi="Times New Roman" w:eastAsia="宋体" w:cs="Times New Roman"/>
                <w:color w:val="auto"/>
                <w:sz w:val="24"/>
                <w:szCs w:val="24"/>
                <w:lang w:val="en-US" w:eastAsia="zh-CN" w:bidi="ar"/>
              </w:rPr>
              <w:t>用于建设“</w:t>
            </w:r>
            <w:r>
              <w:rPr>
                <w:rFonts w:hint="eastAsia" w:cs="Times New Roman"/>
                <w:color w:val="auto"/>
                <w:sz w:val="24"/>
                <w:szCs w:val="24"/>
                <w:lang w:val="en-US" w:eastAsia="zh-CN" w:bidi="ar"/>
              </w:rPr>
              <w:t>塑料果篮生产项目</w:t>
            </w:r>
            <w:r>
              <w:rPr>
                <w:rFonts w:hint="eastAsia" w:ascii="Times New Roman" w:hAnsi="Times New Roman" w:eastAsia="宋体" w:cs="Times New Roman"/>
                <w:color w:val="000000"/>
                <w:sz w:val="24"/>
                <w:szCs w:val="24"/>
                <w:lang w:val="en-US" w:eastAsia="zh-CN" w:bidi="ar"/>
              </w:rPr>
              <w:t>”（下称“本项目”），</w:t>
            </w:r>
            <w:r>
              <w:rPr>
                <w:rFonts w:hint="eastAsia" w:cs="Times New Roman"/>
                <w:color w:val="000000"/>
                <w:sz w:val="24"/>
                <w:szCs w:val="24"/>
                <w:lang w:val="en-US" w:eastAsia="zh-CN" w:bidi="ar"/>
              </w:rPr>
              <w:t>租用厂房位于</w:t>
            </w:r>
            <w:r>
              <w:rPr>
                <w:rFonts w:hint="eastAsia"/>
                <w:lang w:val="en-US" w:eastAsia="zh-CN"/>
              </w:rPr>
              <w:t>福州市连江县东湖镇国优北路205号，建筑面积约300</w:t>
            </w:r>
            <w:r>
              <w:rPr>
                <w:rFonts w:hint="default" w:ascii="Times New Roman" w:hAnsi="Times New Roman" w:eastAsia="宋体" w:cs="Times New Roman"/>
                <w:color w:val="auto"/>
              </w:rPr>
              <w:t>m</w:t>
            </w:r>
            <w:r>
              <w:rPr>
                <w:rFonts w:hint="default" w:ascii="Times New Roman" w:hAnsi="Times New Roman" w:eastAsia="宋体" w:cs="Times New Roman"/>
                <w:color w:val="auto"/>
                <w:vertAlign w:val="superscript"/>
              </w:rPr>
              <w:t>2</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建设单位拟对</w:t>
            </w:r>
            <w:r>
              <w:rPr>
                <w:rFonts w:hint="default" w:ascii="Times New Roman" w:hAnsi="Times New Roman" w:eastAsia="宋体" w:cs="Times New Roman"/>
                <w:color w:val="auto"/>
                <w:sz w:val="24"/>
                <w:szCs w:val="24"/>
                <w:lang w:val="en-US" w:eastAsia="zh-CN"/>
              </w:rPr>
              <w:t>福建和谐钢结构工程有限公司</w:t>
            </w:r>
            <w:r>
              <w:rPr>
                <w:rFonts w:hint="eastAsia" w:ascii="Times New Roman" w:hAnsi="Times New Roman" w:eastAsia="宋体" w:cs="Times New Roman"/>
                <w:color w:val="auto"/>
                <w:sz w:val="24"/>
                <w:szCs w:val="24"/>
                <w:lang w:val="en-US" w:eastAsia="zh-CN"/>
              </w:rPr>
              <w:t>现有的</w:t>
            </w:r>
            <w:r>
              <w:rPr>
                <w:rFonts w:hint="eastAsia" w:cs="Times New Roman"/>
                <w:color w:val="auto"/>
                <w:sz w:val="24"/>
                <w:szCs w:val="24"/>
                <w:lang w:val="en-US" w:eastAsia="zh-CN"/>
              </w:rPr>
              <w:t>厂房</w:t>
            </w:r>
            <w:r>
              <w:rPr>
                <w:rFonts w:hint="eastAsia" w:ascii="Times New Roman" w:hAnsi="Times New Roman" w:eastAsia="宋体" w:cs="Times New Roman"/>
                <w:color w:val="auto"/>
                <w:sz w:val="24"/>
                <w:szCs w:val="24"/>
                <w:lang w:val="en-US" w:eastAsia="zh-CN"/>
              </w:rPr>
              <w:t>进行利旧改造，</w:t>
            </w:r>
            <w:r>
              <w:rPr>
                <w:rFonts w:hint="eastAsia" w:cs="Times New Roman"/>
                <w:color w:val="auto"/>
                <w:sz w:val="24"/>
                <w:szCs w:val="24"/>
                <w:lang w:val="en-US" w:eastAsia="zh-CN"/>
              </w:rPr>
              <w:t>外购</w:t>
            </w:r>
            <w:r>
              <w:rPr>
                <w:rFonts w:hint="eastAsia" w:cs="Times New Roman"/>
                <w:color w:val="auto"/>
                <w:lang w:val="en-US" w:eastAsia="zh-CN"/>
              </w:rPr>
              <w:t>PE、PP塑料粒</w:t>
            </w:r>
            <w:r>
              <w:rPr>
                <w:rFonts w:hint="eastAsia" w:cs="Times New Roman"/>
                <w:lang w:val="en-US" w:eastAsia="zh-CN"/>
              </w:rPr>
              <w:t>进行</w:t>
            </w:r>
            <w:r>
              <w:rPr>
                <w:rFonts w:hint="eastAsia" w:cs="Times New Roman"/>
                <w:color w:val="000000"/>
                <w:sz w:val="24"/>
                <w:szCs w:val="24"/>
                <w:lang w:val="en-US" w:eastAsia="zh-CN" w:bidi="ar"/>
              </w:rPr>
              <w:t>塑料果篮加工生产</w:t>
            </w:r>
            <w:r>
              <w:rPr>
                <w:rFonts w:hint="eastAsia" w:ascii="Times New Roman" w:hAnsi="Times New Roman" w:eastAsia="宋体" w:cs="Times New Roman"/>
                <w:color w:val="000000"/>
                <w:sz w:val="24"/>
                <w:szCs w:val="24"/>
                <w:lang w:val="en-US" w:eastAsia="zh-CN" w:bidi="ar"/>
              </w:rPr>
              <w:t>，</w:t>
            </w:r>
            <w:r>
              <w:rPr>
                <w:rFonts w:hint="eastAsia" w:cs="Times New Roman"/>
                <w:color w:val="000000"/>
                <w:sz w:val="24"/>
                <w:szCs w:val="24"/>
                <w:lang w:val="en-US" w:eastAsia="zh-CN" w:bidi="ar"/>
              </w:rPr>
              <w:t>设计</w:t>
            </w:r>
            <w:r>
              <w:rPr>
                <w:rFonts w:hint="eastAsia" w:ascii="Times New Roman" w:hAnsi="Times New Roman" w:eastAsia="宋体" w:cs="Times New Roman"/>
                <w:color w:val="000000"/>
                <w:sz w:val="24"/>
                <w:szCs w:val="24"/>
                <w:lang w:val="en-US" w:eastAsia="zh-CN" w:bidi="ar"/>
              </w:rPr>
              <w:t>年</w:t>
            </w:r>
            <w:r>
              <w:rPr>
                <w:rFonts w:hint="eastAsia" w:cs="Times New Roman"/>
                <w:color w:val="000000"/>
                <w:sz w:val="24"/>
                <w:szCs w:val="24"/>
                <w:lang w:val="en-US" w:eastAsia="zh-CN" w:bidi="ar"/>
              </w:rPr>
              <w:t>产塑料果篮2000吨。</w:t>
            </w:r>
          </w:p>
          <w:p>
            <w:pPr>
              <w:pStyle w:val="8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根据《中华人民共和国环境影响评价法》《建设项目环境保护管理条例</w:t>
            </w:r>
            <w:r>
              <w:rPr>
                <w:rFonts w:hint="eastAsia" w:cs="Times New Roman"/>
                <w:lang w:eastAsia="zh-CN"/>
              </w:rPr>
              <w:t>》《</w:t>
            </w:r>
            <w:r>
              <w:rPr>
                <w:rFonts w:hint="default" w:ascii="Times New Roman" w:hAnsi="Times New Roman" w:eastAsia="宋体" w:cs="Times New Roman"/>
              </w:rPr>
              <w:t>建设项目环境影响评价分类管理名录》（2021）的有关规定，</w:t>
            </w:r>
            <w:r>
              <w:rPr>
                <w:rFonts w:hint="eastAsia" w:cs="Times New Roman"/>
                <w:lang w:val="en-US" w:eastAsia="zh-CN"/>
              </w:rPr>
              <w:t>本</w:t>
            </w:r>
            <w:r>
              <w:rPr>
                <w:rFonts w:hint="default" w:ascii="Times New Roman" w:hAnsi="Times New Roman" w:eastAsia="宋体" w:cs="Times New Roman"/>
              </w:rPr>
              <w:t>项目属于</w:t>
            </w:r>
            <w:r>
              <w:rPr>
                <w:rFonts w:hint="eastAsia" w:cs="Times New Roman"/>
                <w:kern w:val="0"/>
                <w:lang w:eastAsia="zh-CN" w:bidi="ar"/>
              </w:rPr>
              <w:t>“</w:t>
            </w:r>
            <w:r>
              <w:rPr>
                <w:rFonts w:hint="default" w:ascii="Times New Roman" w:hAnsi="Times New Roman" w:eastAsia="宋体" w:cs="Times New Roman"/>
                <w:kern w:val="0"/>
                <w:lang w:bidi="ar"/>
              </w:rPr>
              <w:t>二十六、橡胶和塑料制品业29：53、塑料制品业292；其他（年用非溶剂型低VOCs含量涂料10吨以下的除外）</w:t>
            </w:r>
            <w:r>
              <w:rPr>
                <w:rFonts w:hint="eastAsia" w:cs="Times New Roman"/>
                <w:kern w:val="0"/>
                <w:lang w:eastAsia="zh-CN" w:bidi="ar"/>
              </w:rPr>
              <w:t>”</w:t>
            </w:r>
            <w:r>
              <w:rPr>
                <w:rFonts w:hint="default" w:ascii="Times New Roman" w:hAnsi="Times New Roman" w:eastAsia="宋体" w:cs="Times New Roman"/>
              </w:rPr>
              <w:t>，应编制环境影响报告表。</w:t>
            </w:r>
            <w:r>
              <w:rPr>
                <w:rFonts w:hint="eastAsia" w:cs="Times New Roman"/>
                <w:lang w:val="en-US" w:eastAsia="zh-CN"/>
              </w:rPr>
              <w:t>因此，</w:t>
            </w:r>
            <w:r>
              <w:rPr>
                <w:rFonts w:hint="default" w:ascii="Times New Roman" w:hAnsi="Times New Roman" w:eastAsia="宋体" w:cs="Times New Roman"/>
              </w:rPr>
              <w:t>福州诚东塑业有限公司委托</w:t>
            </w:r>
            <w:r>
              <w:rPr>
                <w:rFonts w:hint="eastAsia" w:ascii="宋体" w:hAnsi="宋体" w:cs="宋体"/>
                <w:color w:val="000000" w:themeColor="text1"/>
                <w:kern w:val="0"/>
                <w:sz w:val="24"/>
                <w:szCs w:val="24"/>
                <w:lang w:val="en-US" w:eastAsia="zh-CN" w:bidi="ar"/>
                <w14:textFill>
                  <w14:solidFill>
                    <w14:schemeClr w14:val="tx1"/>
                  </w14:solidFill>
                </w14:textFill>
              </w:rPr>
              <w:t>福建闽创环保科技有限公司</w:t>
            </w:r>
            <w:r>
              <w:rPr>
                <w:rFonts w:hint="default" w:ascii="Times New Roman" w:hAnsi="Times New Roman" w:eastAsia="宋体" w:cs="Times New Roman"/>
              </w:rPr>
              <w:t>编制该项目的环境影响报告表（委托书详见附件1），我单位接受委托后，组织有关人员进行现场踏勘，在对项目开展环境现状调查、资料收集</w:t>
            </w:r>
            <w:r>
              <w:rPr>
                <w:rFonts w:hint="eastAsia" w:cs="Times New Roman"/>
                <w:lang w:eastAsia="zh-CN"/>
              </w:rPr>
              <w:t>等</w:t>
            </w:r>
            <w:r>
              <w:rPr>
                <w:rFonts w:hint="default" w:ascii="Times New Roman" w:hAnsi="Times New Roman" w:eastAsia="宋体" w:cs="Times New Roman"/>
              </w:rPr>
              <w:t>调研的基础上，按照环境影响评价有关技术规范和要求，编制了本项目环境影响报告表，供建设单位报生态环境主管部门审批。</w:t>
            </w:r>
          </w:p>
          <w:p>
            <w:pPr>
              <w:pStyle w:val="42"/>
              <w:keepNext w:val="0"/>
              <w:keepLines w:val="0"/>
              <w:suppressLineNumbers w:val="0"/>
              <w:bidi w:val="0"/>
              <w:spacing w:before="0" w:beforeLines="0" w:beforeAutospacing="0" w:after="0" w:afterAutospacing="0"/>
              <w:ind w:left="0" w:leftChars="0" w:right="0" w:firstLine="0" w:firstLineChars="0"/>
              <w:rPr>
                <w:rFonts w:hint="default"/>
              </w:rPr>
            </w:pPr>
            <w:r>
              <w:rPr>
                <w:rFonts w:hint="default"/>
              </w:rPr>
              <w:t>项目环境影响评价分类一览表</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shd w:val="clear" w:color="auto" w:fill="auto"/>
              <w:tblLayout w:type="autofit"/>
              <w:tblCellMar>
                <w:top w:w="0" w:type="dxa"/>
                <w:left w:w="108" w:type="dxa"/>
                <w:bottom w:w="0" w:type="dxa"/>
                <w:right w:w="108" w:type="dxa"/>
              </w:tblCellMar>
            </w:tblPr>
            <w:tblGrid>
              <w:gridCol w:w="2331"/>
              <w:gridCol w:w="2607"/>
              <w:gridCol w:w="1896"/>
              <w:gridCol w:w="128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40" w:hRule="atLeast"/>
                <w:jc w:val="center"/>
              </w:trPr>
              <w:tc>
                <w:tcPr>
                  <w:tcW w:w="1436" w:type="pct"/>
                  <w:tcBorders>
                    <w:tl2br w:val="nil"/>
                    <w:tr2bl w:val="nil"/>
                  </w:tcBorders>
                  <w:shd w:val="clear" w:color="auto" w:fill="auto"/>
                  <w:vAlign w:val="center"/>
                </w:tcPr>
                <w:p>
                  <w:pPr>
                    <w:pStyle w:val="46"/>
                    <w:keepNext w:val="0"/>
                    <w:keepLines w:val="0"/>
                    <w:widowControl/>
                    <w:suppressLineNumbers w:val="0"/>
                    <w:shd w:val="clear"/>
                    <w:spacing w:before="0" w:beforeAutospacing="0" w:after="0" w:afterAutospacing="0"/>
                    <w:ind w:left="0" w:right="0"/>
                    <w:jc w:val="center"/>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项目类别</w:t>
                  </w:r>
                </w:p>
              </w:tc>
              <w:tc>
                <w:tcPr>
                  <w:tcW w:w="1606" w:type="pct"/>
                  <w:tcBorders>
                    <w:top w:val="single" w:color="auto" w:sz="12" w:space="0"/>
                    <w:bottom w:val="single" w:color="auto" w:sz="2" w:space="0"/>
                    <w:tl2br w:val="nil"/>
                    <w:tr2bl w:val="nil"/>
                  </w:tcBorders>
                  <w:shd w:val="clear" w:color="auto" w:fill="auto"/>
                  <w:vAlign w:val="center"/>
                </w:tcPr>
                <w:p>
                  <w:pPr>
                    <w:pStyle w:val="46"/>
                    <w:keepNext w:val="0"/>
                    <w:keepLines w:val="0"/>
                    <w:widowControl/>
                    <w:suppressLineNumbers w:val="0"/>
                    <w:shd w:val="clear"/>
                    <w:spacing w:before="0" w:beforeAutospacing="0" w:after="0" w:afterAutospacing="0"/>
                    <w:ind w:left="0" w:right="0"/>
                    <w:jc w:val="center"/>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报告书</w:t>
                  </w:r>
                </w:p>
              </w:tc>
              <w:tc>
                <w:tcPr>
                  <w:tcW w:w="1168" w:type="pct"/>
                  <w:tcBorders>
                    <w:tl2br w:val="nil"/>
                    <w:tr2bl w:val="nil"/>
                  </w:tcBorders>
                  <w:shd w:val="pct10" w:color="auto" w:fill="auto"/>
                  <w:vAlign w:val="center"/>
                </w:tcPr>
                <w:p>
                  <w:pPr>
                    <w:pStyle w:val="46"/>
                    <w:keepNext w:val="0"/>
                    <w:keepLines w:val="0"/>
                    <w:widowControl/>
                    <w:suppressLineNumbers w:val="0"/>
                    <w:shd w:val="clear"/>
                    <w:spacing w:before="0" w:beforeAutospacing="0" w:after="0" w:afterAutospacing="0"/>
                    <w:ind w:left="0" w:right="0"/>
                    <w:jc w:val="cente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报告表</w:t>
                  </w:r>
                </w:p>
              </w:tc>
              <w:tc>
                <w:tcPr>
                  <w:tcW w:w="788" w:type="pct"/>
                  <w:tcBorders>
                    <w:tl2br w:val="nil"/>
                    <w:tr2bl w:val="nil"/>
                  </w:tcBorders>
                  <w:shd w:val="clear" w:color="auto" w:fill="auto"/>
                  <w:vAlign w:val="center"/>
                </w:tcPr>
                <w:p>
                  <w:pPr>
                    <w:pStyle w:val="46"/>
                    <w:keepNext w:val="0"/>
                    <w:keepLines w:val="0"/>
                    <w:widowControl/>
                    <w:suppressLineNumbers w:val="0"/>
                    <w:shd w:val="clear"/>
                    <w:spacing w:before="0" w:beforeAutospacing="0" w:after="0" w:afterAutospacing="0"/>
                    <w:ind w:left="0" w:right="0"/>
                    <w:jc w:val="center"/>
                    <w:rPr>
                      <w:rFonts w:hint="default" w:ascii="Times New Roman" w:hAnsi="Times New Roman" w:eastAsia="宋体" w:cs="Times New Roman"/>
                      <w:b/>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登记表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000" w:type="pct"/>
                  <w:gridSpan w:val="4"/>
                  <w:tcBorders>
                    <w:top w:val="single" w:color="auto" w:sz="2" w:space="0"/>
                    <w:bottom w:val="single" w:color="auto" w:sz="2" w:space="0"/>
                    <w:tl2br w:val="nil"/>
                    <w:tr2bl w:val="nil"/>
                  </w:tcBorders>
                  <w:shd w:val="clear" w:color="auto" w:fill="auto"/>
                  <w:vAlign w:val="top"/>
                </w:tcPr>
                <w:p>
                  <w:pPr>
                    <w:pStyle w:val="46"/>
                    <w:keepNext w:val="0"/>
                    <w:keepLines w:val="0"/>
                    <w:widowControl/>
                    <w:suppressLineNumbers w:val="0"/>
                    <w:shd w:val="clear"/>
                    <w:spacing w:before="0" w:beforeAutospacing="0" w:after="0" w:afterAutospacing="0"/>
                    <w:ind w:left="0" w:right="0"/>
                    <w:jc w:val="both"/>
                    <w:rPr>
                      <w:rFonts w:hint="default" w:ascii="Times New Roman" w:hAnsi="Times New Roman" w:eastAsia="宋体" w:cs="Times New Roman"/>
                      <w:b w:val="0"/>
                      <w:bCs w:val="0"/>
                      <w:color w:val="000000" w:themeColor="text1"/>
                      <w:sz w:val="21"/>
                      <w:szCs w:val="21"/>
                      <w:highlight w:val="none"/>
                      <w:lang w:val="en-US"/>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二十六、橡胶和塑料制品业 29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436" w:type="pct"/>
                  <w:tcBorders>
                    <w:tl2br w:val="nil"/>
                    <w:tr2bl w:val="nil"/>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53、塑料制品业292</w:t>
                  </w:r>
                </w:p>
              </w:tc>
              <w:tc>
                <w:tcPr>
                  <w:tcW w:w="1606" w:type="pct"/>
                  <w:tcBorders>
                    <w:top w:val="single" w:color="auto" w:sz="2" w:space="0"/>
                    <w:bottom w:val="single" w:color="auto" w:sz="12" w:space="0"/>
                    <w:tl2br w:val="nil"/>
                    <w:tr2bl w:val="nil"/>
                  </w:tcBorders>
                  <w:shd w:val="clear" w:color="auto" w:fill="auto"/>
                  <w:vAlign w:val="top"/>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leftChars="0" w:right="0" w:rightChars="0" w:firstLine="0" w:firstLineChars="0"/>
                    <w:jc w:val="both"/>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以再生塑料为原料生产的；有电镀工艺的；年用溶剂型胶粘剂10吨及以上的；年用溶剂型涂料（含稀释剂）10吨及以上的</w:t>
                  </w:r>
                </w:p>
              </w:tc>
              <w:tc>
                <w:tcPr>
                  <w:tcW w:w="1168" w:type="pct"/>
                  <w:tcBorders>
                    <w:top w:val="single" w:color="auto" w:sz="2" w:space="0"/>
                    <w:bottom w:val="single" w:color="auto" w:sz="12" w:space="0"/>
                    <w:tl2br w:val="nil"/>
                    <w:tr2bl w:val="nil"/>
                  </w:tcBorders>
                  <w:shd w:val="pct10" w:color="auto" w:fill="auto"/>
                  <w:vAlign w:val="top"/>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leftChars="0" w:right="0" w:rightChars="0" w:firstLine="0" w:firstLineChars="0"/>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其他</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年用非溶剂型低VOCs含量涂料10吨以下的除外）</w:t>
                  </w:r>
                </w:p>
              </w:tc>
              <w:tc>
                <w:tcPr>
                  <w:tcW w:w="788" w:type="pct"/>
                  <w:tcBorders>
                    <w:tl2br w:val="nil"/>
                    <w:tr2bl w:val="nil"/>
                  </w:tcBorders>
                  <w:shd w:val="clear" w:color="auto" w:fill="auto"/>
                  <w:vAlign w:val="center"/>
                </w:tcPr>
                <w:p>
                  <w:pPr>
                    <w:keepNext w:val="0"/>
                    <w:keepLines w:val="0"/>
                    <w:pageBreakBefore w:val="0"/>
                    <w:widowControl w:val="0"/>
                    <w:suppressLineNumbers w:val="0"/>
                    <w:kinsoku/>
                    <w:overflowPunct/>
                    <w:topLinePunct w:val="0"/>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p>
              </w:tc>
            </w:tr>
          </w:tbl>
          <w:p>
            <w:pPr>
              <w:pStyle w:val="83"/>
              <w:keepNext w:val="0"/>
              <w:keepLines w:val="0"/>
              <w:suppressLineNumbers w:val="0"/>
              <w:spacing w:before="0" w:beforeLines="0" w:beforeAutospacing="0" w:after="0" w:afterAutospacing="0" w:line="240" w:lineRule="auto"/>
              <w:ind w:left="0" w:right="0" w:firstLine="480"/>
              <w:rPr>
                <w:rFonts w:hint="default" w:ascii="Times New Roman" w:hAnsi="Times New Roman" w:eastAsia="宋体" w:cs="Times New Roman"/>
              </w:rPr>
            </w:pPr>
          </w:p>
          <w:p>
            <w:pPr>
              <w:pStyle w:val="3"/>
              <w:keepNext w:val="0"/>
              <w:keepLines w:val="0"/>
              <w:suppressLineNumbers w:val="0"/>
              <w:bidi w:val="0"/>
              <w:spacing w:before="0" w:beforeLines="0" w:beforeAutospacing="0" w:after="0" w:afterAutospacing="0"/>
              <w:ind w:left="0" w:leftChars="0" w:right="0" w:firstLine="0" w:firstLineChars="0"/>
              <w:rPr>
                <w:rFonts w:hint="default"/>
              </w:rPr>
            </w:pPr>
            <w:bookmarkStart w:id="23" w:name="_Toc13568"/>
            <w:bookmarkStart w:id="24" w:name="_Toc4381"/>
            <w:bookmarkStart w:id="25" w:name="_Toc217"/>
            <w:bookmarkStart w:id="26" w:name="_Toc22115"/>
            <w:bookmarkStart w:id="27" w:name="_Toc6121"/>
            <w:bookmarkStart w:id="28" w:name="_Toc4819"/>
            <w:bookmarkStart w:id="29" w:name="_Toc495406266"/>
            <w:r>
              <w:rPr>
                <w:rFonts w:hint="default"/>
              </w:rPr>
              <w:t>项目概况</w:t>
            </w:r>
            <w:bookmarkEnd w:id="23"/>
            <w:bookmarkEnd w:id="24"/>
            <w:bookmarkEnd w:id="25"/>
            <w:bookmarkEnd w:id="26"/>
            <w:bookmarkEnd w:id="27"/>
            <w:bookmarkEnd w:id="28"/>
          </w:p>
          <w:p>
            <w:pPr>
              <w:pStyle w:val="43"/>
              <w:keepNext w:val="0"/>
              <w:keepLines w:val="0"/>
              <w:suppressLineNumbers w:val="0"/>
              <w:spacing w:before="0" w:beforeLines="0" w:beforeAutospacing="0" w:after="0" w:afterAutospacing="0" w:line="360" w:lineRule="auto"/>
              <w:ind w:left="0" w:right="0" w:firstLine="480"/>
              <w:rPr>
                <w:rFonts w:hint="eastAsia" w:ascii="Times New Roman" w:hAnsi="Times New Roman" w:eastAsia="宋体" w:cs="Times New Roman"/>
                <w:lang w:eastAsia="zh-CN"/>
              </w:rPr>
            </w:pPr>
            <w:r>
              <w:rPr>
                <w:rFonts w:hint="default" w:ascii="Times New Roman" w:hAnsi="Times New Roman" w:eastAsia="宋体" w:cs="Times New Roman"/>
              </w:rPr>
              <w:t>项目名称：</w:t>
            </w:r>
            <w:r>
              <w:rPr>
                <w:rFonts w:hint="eastAsia" w:cs="Times New Roman"/>
                <w:lang w:eastAsia="zh-CN"/>
              </w:rPr>
              <w:t>塑料果篮生产项目</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建设单位：福州诚东塑业有限公司</w:t>
            </w:r>
          </w:p>
          <w:p>
            <w:pPr>
              <w:pStyle w:val="43"/>
              <w:keepNext w:val="0"/>
              <w:keepLines w:val="0"/>
              <w:suppressLineNumbers w:val="0"/>
              <w:spacing w:before="0" w:beforeLines="0" w:beforeAutospacing="0" w:after="0" w:afterAutospacing="0" w:line="360" w:lineRule="auto"/>
              <w:ind w:left="0" w:right="0" w:firstLine="480"/>
              <w:rPr>
                <w:rFonts w:hint="eastAsia" w:cs="Times New Roman"/>
                <w:lang w:eastAsia="zh-CN"/>
              </w:rPr>
            </w:pPr>
            <w:r>
              <w:rPr>
                <w:rFonts w:hint="default" w:ascii="Times New Roman" w:hAnsi="Times New Roman" w:eastAsia="宋体" w:cs="Times New Roman"/>
              </w:rPr>
              <w:t>建设地点：</w:t>
            </w:r>
            <w:r>
              <w:rPr>
                <w:rFonts w:hint="eastAsia" w:cs="Times New Roman"/>
                <w:lang w:eastAsia="zh-CN"/>
              </w:rPr>
              <w:t>福建省福州市连江县东湖镇国优北路205号</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建设性质：</w:t>
            </w:r>
            <w:r>
              <w:rPr>
                <w:rFonts w:hint="default" w:ascii="Times New Roman" w:hAnsi="Times New Roman" w:eastAsia="宋体" w:cs="Times New Roman"/>
                <w:lang w:val="en-US" w:eastAsia="zh-CN"/>
              </w:rPr>
              <w:t>新</w:t>
            </w:r>
            <w:r>
              <w:rPr>
                <w:rFonts w:hint="default" w:ascii="Times New Roman" w:hAnsi="Times New Roman" w:eastAsia="宋体" w:cs="Times New Roman"/>
              </w:rPr>
              <w:t>建</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项目投资：总投资</w:t>
            </w:r>
            <w:r>
              <w:rPr>
                <w:rFonts w:hint="eastAsia" w:cs="Times New Roman"/>
                <w:lang w:val="en-US" w:eastAsia="zh-CN"/>
              </w:rPr>
              <w:t>400</w:t>
            </w:r>
            <w:r>
              <w:rPr>
                <w:rFonts w:hint="default" w:ascii="Times New Roman" w:hAnsi="Times New Roman" w:eastAsia="宋体" w:cs="Times New Roman"/>
              </w:rPr>
              <w:t>万元；</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职工人数：职工人数</w:t>
            </w:r>
            <w:r>
              <w:rPr>
                <w:rFonts w:hint="eastAsia" w:cs="Times New Roman"/>
                <w:lang w:val="en-US" w:eastAsia="zh-CN"/>
              </w:rPr>
              <w:t>10</w:t>
            </w:r>
            <w:r>
              <w:rPr>
                <w:rFonts w:hint="default" w:ascii="Times New Roman" w:hAnsi="Times New Roman" w:eastAsia="宋体" w:cs="Times New Roman"/>
              </w:rPr>
              <w:t>人，</w:t>
            </w:r>
            <w:r>
              <w:rPr>
                <w:rFonts w:hint="eastAsia" w:cs="Times New Roman"/>
                <w:lang w:val="en-US" w:eastAsia="zh-CN"/>
              </w:rPr>
              <w:t>不在</w:t>
            </w:r>
            <w:r>
              <w:rPr>
                <w:rFonts w:hint="default" w:ascii="Times New Roman" w:hAnsi="Times New Roman" w:eastAsia="宋体" w:cs="Times New Roman"/>
              </w:rPr>
              <w:t>厂内食宿；</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FF0000"/>
              </w:rPr>
            </w:pPr>
            <w:r>
              <w:rPr>
                <w:rFonts w:hint="default" w:ascii="Times New Roman" w:hAnsi="Times New Roman" w:eastAsia="宋体" w:cs="Times New Roman"/>
                <w:color w:val="auto"/>
              </w:rPr>
              <w:t>工作制度：生产</w:t>
            </w:r>
            <w:r>
              <w:rPr>
                <w:rFonts w:hint="default" w:ascii="Times New Roman" w:hAnsi="Times New Roman" w:eastAsia="宋体" w:cs="Times New Roman"/>
                <w:color w:val="auto"/>
                <w:lang w:val="en-US" w:eastAsia="zh-CN"/>
              </w:rPr>
              <w:t>300</w:t>
            </w:r>
            <w:r>
              <w:rPr>
                <w:rFonts w:hint="default" w:ascii="Times New Roman" w:hAnsi="Times New Roman" w:eastAsia="宋体" w:cs="Times New Roman"/>
                <w:color w:val="auto"/>
              </w:rPr>
              <w:t>天，</w:t>
            </w:r>
            <w:r>
              <w:rPr>
                <w:rFonts w:hint="default" w:ascii="Times New Roman" w:hAnsi="Times New Roman" w:eastAsia="宋体" w:cs="Times New Roman"/>
                <w:color w:val="auto"/>
                <w:lang w:val="en-US" w:eastAsia="zh-CN"/>
              </w:rPr>
              <w:t>双</w:t>
            </w:r>
            <w:r>
              <w:rPr>
                <w:rFonts w:hint="default" w:ascii="Times New Roman" w:hAnsi="Times New Roman" w:eastAsia="宋体" w:cs="Times New Roman"/>
                <w:color w:val="auto"/>
              </w:rPr>
              <w:t>班制，每</w:t>
            </w:r>
            <w:r>
              <w:rPr>
                <w:rFonts w:hint="eastAsia" w:cs="Times New Roman"/>
                <w:color w:val="auto"/>
                <w:lang w:val="en-US" w:eastAsia="zh-CN"/>
              </w:rPr>
              <w:t>班</w:t>
            </w:r>
            <w:r>
              <w:rPr>
                <w:rFonts w:hint="default" w:ascii="Times New Roman" w:hAnsi="Times New Roman" w:eastAsia="宋体" w:cs="Times New Roman"/>
                <w:color w:val="auto"/>
              </w:rPr>
              <w:t>生产</w:t>
            </w:r>
            <w:r>
              <w:rPr>
                <w:rFonts w:hint="eastAsia" w:cs="Times New Roman"/>
                <w:color w:val="auto"/>
                <w:lang w:val="en-US" w:eastAsia="zh-CN"/>
              </w:rPr>
              <w:t>8</w:t>
            </w:r>
            <w:r>
              <w:rPr>
                <w:rFonts w:hint="default" w:ascii="Times New Roman" w:hAnsi="Times New Roman" w:eastAsia="宋体" w:cs="Times New Roman"/>
                <w:color w:val="auto"/>
              </w:rPr>
              <w:t>h；</w:t>
            </w:r>
          </w:p>
          <w:p>
            <w:pPr>
              <w:pStyle w:val="43"/>
              <w:keepNext w:val="0"/>
              <w:keepLines w:val="0"/>
              <w:suppressLineNumbers w:val="0"/>
              <w:spacing w:before="0" w:beforeLines="0" w:beforeAutospacing="0" w:after="0" w:afterAutospacing="0" w:line="360" w:lineRule="auto"/>
              <w:ind w:left="0" w:right="0" w:firstLine="48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建设内容及规模：</w:t>
            </w:r>
            <w:r>
              <w:rPr>
                <w:rFonts w:hint="eastAsia" w:cs="Times New Roman"/>
                <w:color w:val="auto"/>
                <w:lang w:val="en-US" w:eastAsia="zh-CN"/>
              </w:rPr>
              <w:t>租赁福建和谐钢结构工程有限公司5号厂房生产车间，购置安装6台注塑机等生产设备和配套环保治理设施。建筑面积约300平方米，设计年产塑料果篮2000吨。</w:t>
            </w:r>
          </w:p>
          <w:bookmarkEnd w:id="29"/>
          <w:p>
            <w:pPr>
              <w:pStyle w:val="3"/>
              <w:keepNext w:val="0"/>
              <w:keepLines w:val="0"/>
              <w:suppressLineNumbers w:val="0"/>
              <w:bidi w:val="0"/>
              <w:spacing w:before="0" w:beforeLines="0" w:beforeAutospacing="0" w:after="0" w:afterAutospacing="0"/>
              <w:ind w:left="0" w:leftChars="0" w:right="0" w:firstLine="0" w:firstLineChars="0"/>
              <w:rPr>
                <w:rFonts w:hint="default"/>
              </w:rPr>
            </w:pPr>
            <w:bookmarkStart w:id="30" w:name="_Toc5757"/>
            <w:bookmarkStart w:id="31" w:name="_Toc4602"/>
            <w:r>
              <w:rPr>
                <w:rFonts w:hint="default"/>
              </w:rPr>
              <w:t>项目建设内容</w:t>
            </w:r>
            <w:bookmarkEnd w:id="19"/>
            <w:bookmarkEnd w:id="20"/>
            <w:bookmarkEnd w:id="21"/>
            <w:bookmarkEnd w:id="22"/>
            <w:bookmarkEnd w:id="30"/>
            <w:bookmarkEnd w:id="31"/>
          </w:p>
          <w:p>
            <w:pPr>
              <w:pStyle w:val="4"/>
              <w:suppressLineNumbers w:val="0"/>
              <w:bidi w:val="0"/>
              <w:spacing w:before="0" w:beforeLines="0" w:beforeAutospacing="0" w:after="0" w:afterAutospacing="0"/>
              <w:ind w:left="720" w:leftChars="0" w:right="0" w:hanging="720" w:firstLineChars="0"/>
              <w:rPr>
                <w:rFonts w:hint="default"/>
              </w:rPr>
            </w:pPr>
            <w:bookmarkStart w:id="32" w:name="_Toc8966"/>
            <w:r>
              <w:rPr>
                <w:rFonts w:hint="default"/>
              </w:rPr>
              <w:t>主要建设内容</w:t>
            </w:r>
            <w:bookmarkEnd w:id="32"/>
          </w:p>
          <w:p>
            <w:pPr>
              <w:pStyle w:val="43"/>
              <w:keepNext w:val="0"/>
              <w:keepLines w:val="0"/>
              <w:suppressLineNumbers w:val="0"/>
              <w:spacing w:before="0" w:beforeLines="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本项目建设内容主要包括</w:t>
            </w:r>
            <w:r>
              <w:rPr>
                <w:rFonts w:hint="default" w:ascii="Times New Roman" w:hAnsi="Times New Roman" w:eastAsia="宋体" w:cs="Times New Roman"/>
                <w:lang w:val="en-US" w:eastAsia="zh-CN"/>
              </w:rPr>
              <w:t>生</w:t>
            </w:r>
            <w:r>
              <w:rPr>
                <w:rFonts w:hint="eastAsia" w:cs="Times New Roman"/>
                <w:lang w:val="en-US" w:eastAsia="zh-CN"/>
              </w:rPr>
              <w:t>产</w:t>
            </w:r>
            <w:r>
              <w:rPr>
                <w:rFonts w:hint="default" w:ascii="Times New Roman" w:hAnsi="Times New Roman" w:eastAsia="宋体" w:cs="Times New Roman"/>
                <w:lang w:val="en-US" w:eastAsia="zh-CN"/>
              </w:rPr>
              <w:t>区</w:t>
            </w:r>
            <w:r>
              <w:rPr>
                <w:rFonts w:hint="eastAsia" w:cs="Times New Roman"/>
                <w:lang w:val="en-US" w:eastAsia="zh-CN"/>
              </w:rPr>
              <w:t>及安装</w:t>
            </w:r>
            <w:r>
              <w:rPr>
                <w:rFonts w:hint="default" w:ascii="Times New Roman" w:hAnsi="Times New Roman" w:eastAsia="宋体" w:cs="Times New Roman"/>
                <w:lang w:val="en-US" w:eastAsia="zh-CN"/>
              </w:rPr>
              <w:t>设备</w:t>
            </w:r>
            <w:r>
              <w:rPr>
                <w:rFonts w:hint="default" w:ascii="Times New Roman" w:hAnsi="Times New Roman" w:eastAsia="宋体" w:cs="Times New Roman"/>
              </w:rPr>
              <w:t>。项目组成见</w:t>
            </w:r>
            <w:r>
              <w:rPr>
                <w:rFonts w:hint="eastAsia" w:cs="Times New Roman"/>
                <w:lang w:val="en-US" w:eastAsia="zh-CN"/>
              </w:rPr>
              <w:t>下表</w:t>
            </w:r>
            <w:r>
              <w:rPr>
                <w:rFonts w:hint="default" w:ascii="Times New Roman" w:hAnsi="Times New Roman" w:eastAsia="宋体" w:cs="Times New Roman"/>
              </w:rPr>
              <w:t>。</w:t>
            </w:r>
          </w:p>
          <w:p>
            <w:pPr>
              <w:pStyle w:val="42"/>
              <w:keepNext w:val="0"/>
              <w:keepLines w:val="0"/>
              <w:suppressLineNumbers w:val="0"/>
              <w:bidi w:val="0"/>
              <w:spacing w:beforeLines="0" w:beforeAutospacing="0" w:after="0" w:afterAutospacing="0"/>
              <w:ind w:left="0" w:leftChars="0" w:right="0" w:firstLine="0" w:firstLineChars="0"/>
              <w:rPr>
                <w:rFonts w:hint="default"/>
                <w:color w:val="auto"/>
              </w:rPr>
            </w:pPr>
            <w:bookmarkStart w:id="33" w:name="_Ref14972"/>
            <w:r>
              <w:rPr>
                <w:rFonts w:hint="default"/>
                <w:color w:val="auto"/>
              </w:rPr>
              <w:t>项目主要建设内容情况一览表</w:t>
            </w:r>
            <w:bookmarkEnd w:id="33"/>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796"/>
              <w:gridCol w:w="967"/>
              <w:gridCol w:w="1308"/>
              <w:gridCol w:w="43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63"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工程类别</w:t>
                  </w: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工程名称</w:t>
                  </w:r>
                </w:p>
              </w:tc>
              <w:tc>
                <w:tcPr>
                  <w:tcW w:w="4438"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restart"/>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本项目工程</w:t>
                  </w:r>
                </w:p>
              </w:tc>
              <w:tc>
                <w:tcPr>
                  <w:tcW w:w="802"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w:t>
                  </w:r>
                </w:p>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w:t>
                  </w: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w:t>
                  </w:r>
                  <w:r>
                    <w:rPr>
                      <w:rFonts w:hint="default" w:ascii="Times New Roman" w:hAnsi="Times New Roman" w:eastAsia="宋体" w:cs="Times New Roman"/>
                      <w:sz w:val="21"/>
                      <w:szCs w:val="21"/>
                      <w:lang w:val="en-US" w:eastAsia="zh-CN"/>
                    </w:rPr>
                    <w:t>区</w:t>
                  </w:r>
                </w:p>
              </w:tc>
              <w:tc>
                <w:tcPr>
                  <w:tcW w:w="4438" w:type="dxa"/>
                  <w:tcBorders>
                    <w:tl2br w:val="nil"/>
                    <w:tr2bl w:val="nil"/>
                  </w:tcBorders>
                  <w:noWrap w:val="0"/>
                  <w:vAlign w:val="center"/>
                </w:tcPr>
                <w:p>
                  <w:pPr>
                    <w:pStyle w:val="12"/>
                    <w:keepNext w:val="0"/>
                    <w:keepLines w:val="0"/>
                    <w:suppressLineNumbers w:val="0"/>
                    <w:spacing w:before="0" w:beforeAutospacing="0" w:after="0" w:afterAutospacing="0"/>
                    <w:ind w:left="0"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占地面积约162.5</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建设</w:t>
                  </w:r>
                  <w:r>
                    <w:rPr>
                      <w:rFonts w:hint="default" w:ascii="Times New Roman" w:hAnsi="Times New Roman" w:eastAsia="宋体" w:cs="Times New Roman"/>
                      <w:sz w:val="21"/>
                      <w:szCs w:val="21"/>
                      <w:lang w:val="en-US" w:eastAsia="zh-CN"/>
                    </w:rPr>
                    <w:t>六条塑料果篮</w:t>
                  </w:r>
                  <w:r>
                    <w:rPr>
                      <w:rFonts w:hint="default" w:ascii="Times New Roman" w:hAnsi="Times New Roman" w:eastAsia="宋体" w:cs="Times New Roman"/>
                      <w:sz w:val="21"/>
                      <w:szCs w:val="21"/>
                    </w:rPr>
                    <w:t>生产线</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生产果篮2000吨</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主要设置</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混料、注塑、检验</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等工序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restart"/>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辅助</w:t>
                  </w:r>
                  <w:r>
                    <w:rPr>
                      <w:rFonts w:hint="default" w:ascii="Times New Roman" w:hAnsi="Times New Roman" w:eastAsia="宋体" w:cs="Times New Roman"/>
                      <w:sz w:val="21"/>
                      <w:szCs w:val="21"/>
                      <w:lang w:val="en-US" w:eastAsia="zh-CN"/>
                    </w:rPr>
                    <w:t>工程</w:t>
                  </w: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办公区</w:t>
                  </w:r>
                </w:p>
              </w:tc>
              <w:tc>
                <w:tcPr>
                  <w:tcW w:w="4438" w:type="dxa"/>
                  <w:tcBorders>
                    <w:tl2br w:val="nil"/>
                    <w:tr2bl w:val="nil"/>
                  </w:tcBorders>
                  <w:noWrap w:val="0"/>
                  <w:vAlign w:val="center"/>
                </w:tcPr>
                <w:p>
                  <w:pPr>
                    <w:pStyle w:val="12"/>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依托福建和谐钢结构工程有限公司现有办公区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eastAsia" w:cs="Times New Roman"/>
                      <w:sz w:val="21"/>
                      <w:szCs w:val="21"/>
                      <w:lang w:val="en-US" w:eastAsia="zh-CN"/>
                    </w:rPr>
                  </w:pP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宿舍楼</w:t>
                  </w:r>
                </w:p>
              </w:tc>
              <w:tc>
                <w:tcPr>
                  <w:tcW w:w="4438" w:type="dxa"/>
                  <w:tcBorders>
                    <w:tl2br w:val="nil"/>
                    <w:tr2bl w:val="nil"/>
                  </w:tcBorders>
                  <w:noWrap w:val="0"/>
                  <w:vAlign w:val="center"/>
                </w:tcPr>
                <w:p>
                  <w:pPr>
                    <w:pStyle w:val="12"/>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eastAsia"/>
                      <w:sz w:val="21"/>
                      <w:szCs w:val="21"/>
                      <w:lang w:val="en-US" w:eastAsia="zh-CN"/>
                    </w:rPr>
                    <w:t>2间，</w:t>
                  </w:r>
                  <w:r>
                    <w:rPr>
                      <w:rFonts w:hint="default"/>
                      <w:sz w:val="21"/>
                      <w:szCs w:val="21"/>
                    </w:rPr>
                    <w:t>依托福建和谐钢结构工程有限公司现有</w:t>
                  </w:r>
                  <w:r>
                    <w:rPr>
                      <w:rFonts w:hint="eastAsia"/>
                      <w:sz w:val="21"/>
                      <w:szCs w:val="21"/>
                      <w:lang w:val="en-US" w:eastAsia="zh-CN"/>
                    </w:rPr>
                    <w:t>宿舍楼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restart"/>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储运工程</w:t>
                  </w: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原料区</w:t>
                  </w:r>
                </w:p>
              </w:tc>
              <w:tc>
                <w:tcPr>
                  <w:tcW w:w="4438" w:type="dxa"/>
                  <w:tcBorders>
                    <w:tl2br w:val="nil"/>
                    <w:tr2bl w:val="nil"/>
                  </w:tcBorders>
                  <w:noWrap w:val="0"/>
                  <w:vAlign w:val="center"/>
                </w:tcPr>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Cs w:val="21"/>
                      <w:lang w:val="en-US" w:eastAsia="zh-CN"/>
                    </w:rPr>
                    <w:t>占地面积约24m</w:t>
                  </w:r>
                  <w:r>
                    <w:rPr>
                      <w:rFonts w:hint="eastAsia" w:cs="Times New Roman"/>
                      <w:color w:val="auto"/>
                      <w:szCs w:val="21"/>
                      <w:vertAlign w:val="superscript"/>
                      <w:lang w:val="en-US" w:eastAsia="zh-CN"/>
                    </w:rPr>
                    <w:t>2</w:t>
                  </w:r>
                  <w:r>
                    <w:rPr>
                      <w:rFonts w:hint="default" w:ascii="Times New Roman" w:hAnsi="Times New Roman" w:eastAsia="宋体" w:cs="Times New Roman"/>
                      <w:color w:val="auto"/>
                      <w:szCs w:val="21"/>
                      <w:lang w:val="en-US" w:eastAsia="zh-CN"/>
                    </w:rPr>
                    <w:t>，</w:t>
                  </w:r>
                  <w:r>
                    <w:rPr>
                      <w:rFonts w:hint="default" w:ascii="Times New Roman" w:hAnsi="Times New Roman" w:eastAsia="宋体" w:cs="Times New Roman"/>
                      <w:bCs/>
                      <w:color w:val="auto"/>
                      <w:szCs w:val="21"/>
                      <w:highlight w:val="none"/>
                      <w:lang w:val="en-US" w:eastAsia="zh-CN"/>
                    </w:rPr>
                    <w:t>PE、PP塑料粒及色母堆放区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成品区</w:t>
                  </w:r>
                </w:p>
              </w:tc>
              <w:tc>
                <w:tcPr>
                  <w:tcW w:w="4438" w:type="dxa"/>
                  <w:tcBorders>
                    <w:tl2br w:val="nil"/>
                    <w:tr2bl w:val="nil"/>
                  </w:tcBorders>
                  <w:noWrap w:val="0"/>
                  <w:vAlign w:val="center"/>
                </w:tcPr>
                <w:p>
                  <w:pPr>
                    <w:pStyle w:val="46"/>
                    <w:keepNext w:val="0"/>
                    <w:keepLines w:val="0"/>
                    <w:suppressLineNumbers w:val="0"/>
                    <w:spacing w:before="0" w:beforeAutospacing="0" w:after="0" w:afterAutospacing="0"/>
                    <w:ind w:right="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lang w:val="en-US" w:eastAsia="zh-CN"/>
                    </w:rPr>
                    <w:t>占地面积约24m</w:t>
                  </w:r>
                  <w:r>
                    <w:rPr>
                      <w:rFonts w:hint="default" w:ascii="Times New Roman" w:hAnsi="Times New Roman" w:eastAsia="宋体" w:cs="Times New Roman"/>
                      <w:color w:val="auto"/>
                      <w:szCs w:val="21"/>
                      <w:vertAlign w:val="superscript"/>
                      <w:lang w:val="en-US" w:eastAsia="zh-CN"/>
                    </w:rPr>
                    <w:t>2</w:t>
                  </w:r>
                  <w:r>
                    <w:rPr>
                      <w:rFonts w:hint="default" w:ascii="Times New Roman" w:hAnsi="Times New Roman" w:eastAsia="宋体" w:cs="Times New Roman"/>
                      <w:color w:val="auto"/>
                      <w:szCs w:val="21"/>
                      <w:lang w:val="en-US" w:eastAsia="zh-CN"/>
                    </w:rPr>
                    <w:t>，塑料果篮</w:t>
                  </w:r>
                  <w:r>
                    <w:rPr>
                      <w:rFonts w:hint="default" w:ascii="Times New Roman" w:hAnsi="Times New Roman" w:eastAsia="宋体" w:cs="Times New Roman"/>
                      <w:bCs/>
                      <w:color w:val="auto"/>
                      <w:szCs w:val="21"/>
                      <w:highlight w:val="none"/>
                      <w:lang w:val="en-US" w:eastAsia="zh-CN"/>
                    </w:rPr>
                    <w:t>成品堆放区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restart"/>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公用</w:t>
                  </w:r>
                </w:p>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w:t>
                  </w: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供水</w:t>
                  </w:r>
                </w:p>
              </w:tc>
              <w:tc>
                <w:tcPr>
                  <w:tcW w:w="4438"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auto"/>
                      <w:sz w:val="21"/>
                      <w:szCs w:val="21"/>
                      <w:lang w:val="en-US"/>
                    </w:rPr>
                  </w:pPr>
                  <w:r>
                    <w:rPr>
                      <w:rFonts w:hint="default"/>
                      <w:color w:val="auto"/>
                      <w:szCs w:val="21"/>
                    </w:rPr>
                    <w:t>依托福建和谐钢结构工程有限公司</w:t>
                  </w:r>
                  <w:r>
                    <w:rPr>
                      <w:rFonts w:hint="eastAsia"/>
                      <w:color w:val="auto"/>
                      <w:szCs w:val="21"/>
                      <w:lang w:val="en-US" w:eastAsia="zh-CN"/>
                    </w:rPr>
                    <w:t>现有</w:t>
                  </w:r>
                  <w:r>
                    <w:rPr>
                      <w:rFonts w:hint="default" w:ascii="Times New Roman" w:hAnsi="Times New Roman" w:eastAsia="宋体" w:cs="Times New Roman"/>
                      <w:color w:val="auto"/>
                      <w:sz w:val="21"/>
                      <w:szCs w:val="21"/>
                      <w:lang w:val="en-US" w:eastAsia="zh-CN"/>
                    </w:rPr>
                    <w:t>市政供水</w:t>
                  </w:r>
                  <w:r>
                    <w:rPr>
                      <w:rFonts w:hint="eastAsia" w:cs="Times New Roman"/>
                      <w:color w:val="auto"/>
                      <w:sz w:val="21"/>
                      <w:szCs w:val="21"/>
                      <w:lang w:val="en-US" w:eastAsia="zh-CN"/>
                    </w:rPr>
                    <w:t>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供电</w:t>
                  </w:r>
                </w:p>
              </w:tc>
              <w:tc>
                <w:tcPr>
                  <w:tcW w:w="4438"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szCs w:val="21"/>
                    </w:rPr>
                    <w:t>依托福建和谐钢结构工程有限公司</w:t>
                  </w:r>
                  <w:r>
                    <w:rPr>
                      <w:rFonts w:hint="eastAsia"/>
                      <w:color w:val="auto"/>
                      <w:szCs w:val="21"/>
                      <w:lang w:val="en-US" w:eastAsia="zh-CN"/>
                    </w:rPr>
                    <w:t>现有</w:t>
                  </w:r>
                  <w:r>
                    <w:rPr>
                      <w:rFonts w:hint="default" w:ascii="Times New Roman" w:hAnsi="Times New Roman" w:eastAsia="宋体" w:cs="Times New Roman"/>
                      <w:sz w:val="21"/>
                      <w:szCs w:val="21"/>
                    </w:rPr>
                    <w:t>市政供电系统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排水</w:t>
                  </w:r>
                </w:p>
              </w:tc>
              <w:tc>
                <w:tcPr>
                  <w:tcW w:w="4438"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cs="Times New Roman"/>
                      <w:color w:val="auto"/>
                      <w:szCs w:val="21"/>
                      <w:highlight w:val="none"/>
                    </w:rPr>
                    <w:t>雨污分流，</w:t>
                  </w:r>
                  <w:r>
                    <w:rPr>
                      <w:rFonts w:hint="default"/>
                      <w:szCs w:val="21"/>
                    </w:rPr>
                    <w:t>依托福建和谐钢结构工程有限公司</w:t>
                  </w:r>
                  <w:r>
                    <w:rPr>
                      <w:rFonts w:hint="eastAsia"/>
                      <w:szCs w:val="21"/>
                      <w:lang w:val="en-US" w:eastAsia="zh-CN"/>
                    </w:rPr>
                    <w:t>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restart"/>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环保工程</w:t>
                  </w:r>
                </w:p>
              </w:tc>
              <w:tc>
                <w:tcPr>
                  <w:tcW w:w="975"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废水处理设施</w:t>
                  </w:r>
                </w:p>
              </w:tc>
              <w:tc>
                <w:tcPr>
                  <w:tcW w:w="1322" w:type="dxa"/>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生活污水</w:t>
                  </w:r>
                </w:p>
              </w:tc>
              <w:tc>
                <w:tcPr>
                  <w:tcW w:w="4438"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auto"/>
                      <w:sz w:val="21"/>
                      <w:szCs w:val="21"/>
                      <w:highlight w:val="none"/>
                    </w:rPr>
                    <w:t>生活污水</w:t>
                  </w:r>
                  <w:r>
                    <w:rPr>
                      <w:rFonts w:hint="eastAsia" w:cs="Times New Roman"/>
                      <w:color w:val="auto"/>
                      <w:sz w:val="21"/>
                      <w:szCs w:val="21"/>
                      <w:highlight w:val="none"/>
                      <w:lang w:val="en-US" w:eastAsia="zh-CN"/>
                    </w:rPr>
                    <w:t>依托</w:t>
                  </w:r>
                  <w:r>
                    <w:rPr>
                      <w:rFonts w:hint="eastAsia"/>
                      <w:color w:val="auto"/>
                      <w:szCs w:val="21"/>
                      <w:highlight w:val="none"/>
                    </w:rPr>
                    <w:t>福建和谐钢结构工程有限公司</w:t>
                  </w:r>
                  <w:r>
                    <w:rPr>
                      <w:rFonts w:hint="eastAsia" w:cs="Times New Roman"/>
                      <w:color w:val="auto"/>
                      <w:sz w:val="21"/>
                      <w:szCs w:val="21"/>
                      <w:highlight w:val="none"/>
                      <w:lang w:val="en-US" w:eastAsia="zh-CN"/>
                    </w:rPr>
                    <w:t>现有</w:t>
                  </w:r>
                  <w:r>
                    <w:rPr>
                      <w:rFonts w:hint="default" w:ascii="Times New Roman" w:hAnsi="Times New Roman" w:eastAsia="宋体" w:cs="Times New Roman"/>
                      <w:color w:val="auto"/>
                      <w:sz w:val="21"/>
                      <w:szCs w:val="21"/>
                      <w:highlight w:val="none"/>
                    </w:rPr>
                    <w:t>化粪池处理后</w:t>
                  </w:r>
                  <w:r>
                    <w:rPr>
                      <w:rFonts w:hint="default" w:ascii="Times New Roman" w:hAnsi="Times New Roman" w:eastAsia="宋体" w:cs="Times New Roman"/>
                      <w:color w:val="auto"/>
                      <w:sz w:val="21"/>
                      <w:szCs w:val="21"/>
                      <w:highlight w:val="none"/>
                      <w:lang w:val="en-US" w:eastAsia="zh-CN"/>
                    </w:rPr>
                    <w:t>通过市政污水管网纳入连江县污水处理厂处理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废气处理设施</w:t>
                  </w:r>
                </w:p>
              </w:tc>
              <w:tc>
                <w:tcPr>
                  <w:tcW w:w="443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注塑机取件口设置半密闭罩，注塑废气经二级活性炭吸附装置处理后由1根15m高排气筒排放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2297" w:type="dxa"/>
                  <w:gridSpan w:val="2"/>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4438" w:type="dxa"/>
                  <w:tcBorders>
                    <w:tl2br w:val="nil"/>
                    <w:tr2bl w:val="nil"/>
                  </w:tcBorders>
                  <w:noWrap w:val="0"/>
                  <w:vAlign w:val="center"/>
                </w:tcPr>
                <w:p>
                  <w:pPr>
                    <w:pStyle w:val="46"/>
                    <w:keepNext w:val="0"/>
                    <w:keepLines w:val="0"/>
                    <w:suppressLineNumbers w:val="0"/>
                    <w:spacing w:before="0" w:beforeAutospacing="0" w:after="0" w:afterAutospacing="0"/>
                    <w:ind w:right="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选用低噪声设备，对高噪声设备采取隔声、减振措施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802" w:type="dxa"/>
                  <w:vMerge w:val="continue"/>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975" w:type="dxa"/>
                  <w:vMerge w:val="restart"/>
                  <w:tcBorders>
                    <w:tl2br w:val="nil"/>
                    <w:tr2bl w:val="nil"/>
                  </w:tcBorders>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固废处理处置</w:t>
                  </w:r>
                </w:p>
              </w:tc>
              <w:tc>
                <w:tcPr>
                  <w:tcW w:w="1322" w:type="dxa"/>
                  <w:tcBorders>
                    <w:tl2br w:val="nil"/>
                    <w:tr2bl w:val="nil"/>
                  </w:tcBorders>
                  <w:noWrap w:val="0"/>
                  <w:vAlign w:val="center"/>
                </w:tcPr>
                <w:p>
                  <w:pPr>
                    <w:pStyle w:val="46"/>
                    <w:keepNext w:val="0"/>
                    <w:keepLines w:val="0"/>
                    <w:suppressLineNumbers w:val="0"/>
                    <w:spacing w:before="0" w:beforeAutospacing="0" w:after="0" w:afterAutospacing="0"/>
                    <w:ind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一般固废间</w:t>
                  </w:r>
                </w:p>
              </w:tc>
              <w:tc>
                <w:tcPr>
                  <w:tcW w:w="4438" w:type="dxa"/>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位于厂房西南侧，占地面积为10</w:t>
                  </w:r>
                  <w:r>
                    <w:rPr>
                      <w:rFonts w:hint="eastAsia" w:cs="Times New Roman"/>
                      <w:sz w:val="21"/>
                      <w:szCs w:val="21"/>
                      <w:vertAlign w:val="baseline"/>
                      <w:lang w:val="en-US" w:eastAsia="zh-CN"/>
                    </w:rPr>
                    <w:t>m</w:t>
                  </w:r>
                  <w:r>
                    <w:rPr>
                      <w:rFonts w:hint="eastAsia" w:cs="Times New Roman"/>
                      <w:sz w:val="21"/>
                      <w:szCs w:val="21"/>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802"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975"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3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rPr>
                  </w:pPr>
                  <w:r>
                    <w:rPr>
                      <w:rFonts w:hint="default" w:ascii="Times New Roman" w:hAnsi="Times New Roman" w:eastAsia="宋体" w:cs="Times New Roman"/>
                      <w:sz w:val="21"/>
                      <w:szCs w:val="21"/>
                      <w:lang w:val="en-US" w:eastAsia="zh-CN"/>
                    </w:rPr>
                    <w:t>危废间</w:t>
                  </w:r>
                </w:p>
              </w:tc>
              <w:tc>
                <w:tcPr>
                  <w:tcW w:w="4438" w:type="dxa"/>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位于厂房西南侧，占地面积为6</w:t>
                  </w:r>
                  <w:r>
                    <w:rPr>
                      <w:rFonts w:hint="eastAsia" w:cs="Times New Roman"/>
                      <w:sz w:val="21"/>
                      <w:szCs w:val="21"/>
                      <w:lang w:val="en-US" w:eastAsia="zh-CN"/>
                    </w:rPr>
                    <w:t>m</w:t>
                  </w:r>
                  <w:r>
                    <w:rPr>
                      <w:rFonts w:hint="eastAsia" w:cs="Times New Roman"/>
                      <w:sz w:val="21"/>
                      <w:szCs w:val="21"/>
                      <w:vertAlign w:val="superscript"/>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1"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bookmarkStart w:id="34" w:name="_Toc29917"/>
                </w:p>
              </w:tc>
              <w:tc>
                <w:tcPr>
                  <w:tcW w:w="802"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975" w:type="dxa"/>
                  <w:vMerge w:val="continue"/>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p>
              </w:tc>
              <w:tc>
                <w:tcPr>
                  <w:tcW w:w="13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生活垃圾</w:t>
                  </w:r>
                </w:p>
              </w:tc>
              <w:tc>
                <w:tcPr>
                  <w:tcW w:w="4438" w:type="dxa"/>
                  <w:tcBorders>
                    <w:tl2br w:val="nil"/>
                    <w:tr2bl w:val="nil"/>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eastAsia"/>
                      <w:szCs w:val="21"/>
                      <w:lang w:val="en-US" w:eastAsia="zh-CN"/>
                    </w:rPr>
                    <w:t>垃圾桶进行收集，委托环卫部门处置</w:t>
                  </w:r>
                </w:p>
              </w:tc>
            </w:tr>
          </w:tbl>
          <w:p>
            <w:pPr>
              <w:pStyle w:val="4"/>
              <w:numPr>
                <w:ilvl w:val="2"/>
                <w:numId w:val="0"/>
              </w:numPr>
              <w:suppressLineNumbers w:val="0"/>
              <w:spacing w:before="0" w:beforeLines="0" w:beforeAutospacing="0" w:after="0" w:afterAutospacing="0"/>
              <w:ind w:right="0" w:firstLine="480" w:firstLineChars="200"/>
              <w:rPr>
                <w:rFonts w:hint="eastAsia"/>
                <w:lang w:val="en-US" w:eastAsia="zh-CN"/>
              </w:rPr>
            </w:pPr>
            <w:r>
              <w:rPr>
                <w:rFonts w:hint="default"/>
                <w:b w:val="0"/>
                <w:color w:val="000000"/>
                <w:szCs w:val="20"/>
              </w:rPr>
              <w:t>依托工程情况见</w:t>
            </w:r>
            <w:r>
              <w:rPr>
                <w:rFonts w:hint="default"/>
                <w:b w:val="0"/>
                <w:color w:val="000000"/>
                <w:szCs w:val="20"/>
                <w:lang w:val="en-US" w:eastAsia="zh-CN"/>
              </w:rPr>
              <w:t>下</w:t>
            </w:r>
            <w:r>
              <w:rPr>
                <w:rFonts w:hint="default"/>
                <w:b w:val="0"/>
                <w:color w:val="000000"/>
                <w:szCs w:val="20"/>
              </w:rPr>
              <w:t>表。</w:t>
            </w:r>
          </w:p>
          <w:p>
            <w:pPr>
              <w:pStyle w:val="42"/>
              <w:keepNext w:val="0"/>
              <w:keepLines w:val="0"/>
              <w:suppressLineNumbers w:val="0"/>
              <w:spacing w:before="0" w:beforeLines="0" w:beforeAutospacing="0" w:after="0" w:afterAutospacing="0"/>
              <w:ind w:right="0" w:firstLine="0" w:firstLineChars="0"/>
              <w:rPr>
                <w:rFonts w:hint="default"/>
                <w:b/>
                <w:color w:val="auto"/>
                <w:szCs w:val="20"/>
              </w:rPr>
            </w:pPr>
            <w:r>
              <w:rPr>
                <w:rFonts w:hint="default"/>
                <w:b/>
                <w:color w:val="auto"/>
                <w:szCs w:val="20"/>
              </w:rPr>
              <w:t>依托工程情况</w:t>
            </w:r>
            <w:r>
              <w:rPr>
                <w:rFonts w:hint="eastAsia"/>
                <w:b/>
                <w:color w:val="auto"/>
                <w:szCs w:val="20"/>
                <w:lang w:val="en-US" w:eastAsia="zh-CN"/>
              </w:rPr>
              <w:t>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733"/>
              <w:gridCol w:w="4487"/>
              <w:gridCol w:w="12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序号</w:t>
                  </w:r>
                </w:p>
              </w:tc>
              <w:tc>
                <w:tcPr>
                  <w:tcW w:w="1067"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工程名称</w:t>
                  </w:r>
                </w:p>
              </w:tc>
              <w:tc>
                <w:tcPr>
                  <w:tcW w:w="2762"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建设情况</w:t>
                  </w:r>
                </w:p>
              </w:tc>
              <w:tc>
                <w:tcPr>
                  <w:tcW w:w="778"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依托可行性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1</w:t>
                  </w:r>
                </w:p>
              </w:tc>
              <w:tc>
                <w:tcPr>
                  <w:tcW w:w="1067"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供电系统</w:t>
                  </w:r>
                </w:p>
              </w:tc>
              <w:tc>
                <w:tcPr>
                  <w:tcW w:w="2762"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福建和谐钢结构工程有限公司厂内现有供电系统接自区域电网，用电稳定</w:t>
                  </w:r>
                </w:p>
              </w:tc>
              <w:tc>
                <w:tcPr>
                  <w:tcW w:w="778"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2</w:t>
                  </w:r>
                </w:p>
              </w:tc>
              <w:tc>
                <w:tcPr>
                  <w:tcW w:w="1067"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给水及给水管线</w:t>
                  </w:r>
                </w:p>
              </w:tc>
              <w:tc>
                <w:tcPr>
                  <w:tcW w:w="2762"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福建和谐钢结构工程有限公司厂内给水系统接自区域</w:t>
                  </w:r>
                  <w:r>
                    <w:rPr>
                      <w:rFonts w:hint="default" w:ascii="Times New Roman" w:hAnsi="Times New Roman" w:eastAsia="宋体" w:cs="Times New Roman"/>
                      <w:b w:val="0"/>
                      <w:color w:val="000000"/>
                      <w:sz w:val="21"/>
                      <w:szCs w:val="21"/>
                      <w:lang w:val="en-US" w:eastAsia="zh-CN"/>
                    </w:rPr>
                    <w:t>市政供水</w:t>
                  </w:r>
                  <w:r>
                    <w:rPr>
                      <w:rFonts w:hint="default" w:ascii="Times New Roman" w:hAnsi="Times New Roman" w:eastAsia="宋体" w:cs="Times New Roman"/>
                      <w:b w:val="0"/>
                      <w:color w:val="000000"/>
                      <w:sz w:val="21"/>
                      <w:szCs w:val="21"/>
                    </w:rPr>
                    <w:t>，水量充沛</w:t>
                  </w:r>
                </w:p>
              </w:tc>
              <w:tc>
                <w:tcPr>
                  <w:tcW w:w="778"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3</w:t>
                  </w:r>
                </w:p>
              </w:tc>
              <w:tc>
                <w:tcPr>
                  <w:tcW w:w="1067"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排水工程</w:t>
                  </w:r>
                </w:p>
              </w:tc>
              <w:tc>
                <w:tcPr>
                  <w:tcW w:w="2762"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采取雨污分流；利用福建和谐钢结构工程有限公司厂内现有雨、污水管网及雨、污水排放口</w:t>
                  </w:r>
                </w:p>
              </w:tc>
              <w:tc>
                <w:tcPr>
                  <w:tcW w:w="778"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4</w:t>
                  </w:r>
                </w:p>
              </w:tc>
              <w:tc>
                <w:tcPr>
                  <w:tcW w:w="1067"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办公楼</w:t>
                  </w:r>
                </w:p>
              </w:tc>
              <w:tc>
                <w:tcPr>
                  <w:tcW w:w="2762"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rPr>
                  </w:pPr>
                  <w:r>
                    <w:rPr>
                      <w:rFonts w:hint="default" w:ascii="Times New Roman" w:hAnsi="Times New Roman" w:eastAsia="宋体" w:cs="Times New Roman"/>
                      <w:b w:val="0"/>
                      <w:color w:val="000000"/>
                      <w:sz w:val="21"/>
                      <w:szCs w:val="21"/>
                    </w:rPr>
                    <w:t>依托福建和谐钢结构工程有限公司厂内现有办公大楼</w:t>
                  </w:r>
                </w:p>
              </w:tc>
              <w:tc>
                <w:tcPr>
                  <w:tcW w:w="778"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5</w:t>
                  </w:r>
                </w:p>
              </w:tc>
              <w:tc>
                <w:tcPr>
                  <w:tcW w:w="1067"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lang w:val="en-US" w:eastAsia="zh-CN"/>
                    </w:rPr>
                  </w:pPr>
                  <w:r>
                    <w:rPr>
                      <w:rFonts w:hint="default" w:ascii="Times New Roman" w:hAnsi="Times New Roman" w:eastAsia="宋体" w:cs="Times New Roman"/>
                      <w:b w:val="0"/>
                      <w:color w:val="000000"/>
                      <w:sz w:val="21"/>
                      <w:szCs w:val="21"/>
                      <w:lang w:val="en-US" w:eastAsia="zh-CN"/>
                    </w:rPr>
                    <w:t>废水处理设施</w:t>
                  </w:r>
                </w:p>
              </w:tc>
              <w:tc>
                <w:tcPr>
                  <w:tcW w:w="2762"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rPr>
                  </w:pPr>
                  <w:r>
                    <w:rPr>
                      <w:rFonts w:hint="default" w:ascii="Times New Roman" w:hAnsi="Times New Roman" w:eastAsia="宋体" w:cs="Times New Roman"/>
                      <w:b w:val="0"/>
                      <w:color w:val="000000"/>
                      <w:sz w:val="21"/>
                      <w:szCs w:val="21"/>
                    </w:rPr>
                    <w:t>依托福建和谐钢结构工程有限公司现有化粪池处理</w:t>
                  </w:r>
                </w:p>
              </w:tc>
              <w:tc>
                <w:tcPr>
                  <w:tcW w:w="778"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default" w:ascii="Times New Roman" w:hAnsi="Times New Roman" w:eastAsia="宋体" w:cs="Times New Roman"/>
                      <w:b w:val="0"/>
                      <w:color w:val="000000"/>
                      <w:sz w:val="21"/>
                      <w:szCs w:val="21"/>
                      <w:vertAlign w:val="baseline"/>
                      <w:lang w:val="en-US" w:eastAsia="zh-CN"/>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eastAsia" w:ascii="Times New Roman" w:hAnsi="Times New Roman" w:eastAsia="宋体" w:cs="Times New Roman"/>
                      <w:b w:val="0"/>
                      <w:color w:val="000000"/>
                      <w:sz w:val="21"/>
                      <w:szCs w:val="21"/>
                      <w:vertAlign w:val="baseline"/>
                      <w:lang w:val="en-US" w:eastAsia="zh-CN"/>
                    </w:rPr>
                    <w:t>6</w:t>
                  </w:r>
                </w:p>
              </w:tc>
              <w:tc>
                <w:tcPr>
                  <w:tcW w:w="1067"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lang w:val="en-US" w:eastAsia="zh-CN"/>
                    </w:rPr>
                  </w:pPr>
                  <w:r>
                    <w:rPr>
                      <w:rFonts w:hint="eastAsia" w:ascii="Times New Roman" w:hAnsi="Times New Roman" w:eastAsia="宋体" w:cs="Times New Roman"/>
                      <w:b w:val="0"/>
                      <w:color w:val="000000"/>
                      <w:sz w:val="21"/>
                      <w:szCs w:val="21"/>
                      <w:lang w:val="en-US" w:eastAsia="zh-CN"/>
                    </w:rPr>
                    <w:t>宿舍</w:t>
                  </w:r>
                </w:p>
              </w:tc>
              <w:tc>
                <w:tcPr>
                  <w:tcW w:w="2762"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eastAsia" w:ascii="Times New Roman" w:hAnsi="Times New Roman" w:eastAsia="宋体" w:cs="Times New Roman"/>
                      <w:b w:val="0"/>
                      <w:color w:val="000000"/>
                      <w:sz w:val="21"/>
                      <w:szCs w:val="21"/>
                      <w:lang w:eastAsia="zh-CN"/>
                    </w:rPr>
                  </w:pPr>
                  <w:r>
                    <w:rPr>
                      <w:rFonts w:hint="default" w:ascii="Times New Roman" w:hAnsi="Times New Roman" w:eastAsia="宋体" w:cs="Times New Roman"/>
                      <w:b w:val="0"/>
                      <w:color w:val="000000"/>
                      <w:sz w:val="21"/>
                      <w:szCs w:val="21"/>
                    </w:rPr>
                    <w:t>依托福建和谐钢结构工程有限公司现有</w:t>
                  </w:r>
                  <w:r>
                    <w:rPr>
                      <w:rFonts w:hint="eastAsia" w:ascii="Times New Roman" w:hAnsi="Times New Roman" w:eastAsia="宋体" w:cs="Times New Roman"/>
                      <w:b w:val="0"/>
                      <w:color w:val="000000"/>
                      <w:sz w:val="21"/>
                      <w:szCs w:val="21"/>
                      <w:lang w:val="en-US" w:eastAsia="zh-CN"/>
                    </w:rPr>
                    <w:t>宿舍楼</w:t>
                  </w:r>
                </w:p>
              </w:tc>
              <w:tc>
                <w:tcPr>
                  <w:tcW w:w="778" w:type="pct"/>
                  <w:tcBorders>
                    <w:tl2br w:val="nil"/>
                    <w:tr2bl w:val="nil"/>
                  </w:tcBorders>
                  <w:vAlign w:val="center"/>
                </w:tcPr>
                <w:p>
                  <w:pPr>
                    <w:pStyle w:val="4"/>
                    <w:numPr>
                      <w:ilvl w:val="-1"/>
                      <w:numId w:val="0"/>
                    </w:numPr>
                    <w:suppressLineNumbers w:val="0"/>
                    <w:bidi w:val="0"/>
                    <w:spacing w:before="0" w:beforeAutospacing="0" w:after="0" w:afterAutospacing="0" w:line="240" w:lineRule="auto"/>
                    <w:ind w:right="0"/>
                    <w:jc w:val="center"/>
                    <w:rPr>
                      <w:rFonts w:hint="default" w:ascii="Times New Roman" w:hAnsi="Times New Roman" w:eastAsia="宋体" w:cs="Times New Roman"/>
                      <w:b w:val="0"/>
                      <w:color w:val="000000"/>
                      <w:sz w:val="21"/>
                      <w:szCs w:val="21"/>
                      <w:vertAlign w:val="baseline"/>
                      <w:lang w:val="en-US" w:eastAsia="zh-CN"/>
                    </w:rPr>
                  </w:pPr>
                  <w:r>
                    <w:rPr>
                      <w:rFonts w:hint="eastAsia" w:ascii="Times New Roman" w:hAnsi="Times New Roman" w:eastAsia="宋体" w:cs="Times New Roman"/>
                      <w:b w:val="0"/>
                      <w:color w:val="000000"/>
                      <w:sz w:val="21"/>
                      <w:szCs w:val="21"/>
                      <w:vertAlign w:val="baseline"/>
                      <w:lang w:val="en-US" w:eastAsia="zh-CN"/>
                    </w:rPr>
                    <w:t>依托可行</w:t>
                  </w:r>
                </w:p>
              </w:tc>
            </w:tr>
          </w:tbl>
          <w:p>
            <w:pPr>
              <w:pStyle w:val="4"/>
              <w:suppressLineNumbers w:val="0"/>
              <w:bidi w:val="0"/>
              <w:spacing w:beforeAutospacing="0" w:after="0" w:afterAutospacing="0"/>
              <w:ind w:left="720" w:leftChars="0" w:right="0" w:hanging="720" w:firstLineChars="0"/>
              <w:rPr>
                <w:rFonts w:hint="default"/>
              </w:rPr>
            </w:pPr>
            <w:r>
              <w:rPr>
                <w:rFonts w:hint="eastAsia"/>
              </w:rPr>
              <w:t>总</w:t>
            </w:r>
            <w:r>
              <w:rPr>
                <w:rFonts w:hint="default"/>
              </w:rPr>
              <w:t>平面布局</w:t>
            </w:r>
            <w:bookmarkEnd w:id="34"/>
          </w:p>
          <w:p>
            <w:pPr>
              <w:pStyle w:val="43"/>
              <w:keepNext w:val="0"/>
              <w:keepLines w:val="0"/>
              <w:suppressLineNumbers w:val="0"/>
              <w:spacing w:before="0" w:beforeAutospacing="0" w:after="0" w:afterAutospacing="0" w:line="360" w:lineRule="auto"/>
              <w:ind w:left="0" w:right="0" w:firstLine="480"/>
              <w:rPr>
                <w:rFonts w:hint="default" w:cs="Times New Roman"/>
                <w:lang w:val="en-US" w:eastAsia="zh-CN"/>
              </w:rPr>
            </w:pPr>
            <w:r>
              <w:rPr>
                <w:rFonts w:hint="default" w:ascii="Times New Roman" w:hAnsi="Times New Roman" w:eastAsia="宋体" w:cs="Times New Roman"/>
              </w:rPr>
              <w:t>本项目选址于</w:t>
            </w:r>
            <w:r>
              <w:rPr>
                <w:rFonts w:hint="default" w:ascii="Times New Roman" w:hAnsi="Times New Roman" w:eastAsia="宋体" w:cs="Times New Roman"/>
                <w:color w:val="auto"/>
                <w:szCs w:val="24"/>
              </w:rPr>
              <w:t>福建省连江县东湖镇国优北路205号</w:t>
            </w:r>
            <w:r>
              <w:rPr>
                <w:rFonts w:hint="default" w:ascii="Times New Roman" w:hAnsi="Times New Roman" w:eastAsia="宋体" w:cs="Times New Roman"/>
              </w:rPr>
              <w:t>，租赁</w:t>
            </w:r>
            <w:r>
              <w:rPr>
                <w:rFonts w:hint="default" w:ascii="Times New Roman" w:hAnsi="Times New Roman" w:eastAsia="宋体" w:cs="Times New Roman"/>
                <w:color w:val="auto"/>
                <w:sz w:val="24"/>
                <w:szCs w:val="24"/>
                <w:lang w:val="en-US" w:eastAsia="zh-CN"/>
              </w:rPr>
              <w:t>福建</w:t>
            </w:r>
            <w:r>
              <w:rPr>
                <w:rFonts w:hint="eastAsia" w:cs="Times New Roman"/>
                <w:color w:val="auto"/>
                <w:sz w:val="24"/>
                <w:szCs w:val="24"/>
                <w:lang w:val="en-US" w:eastAsia="zh-CN"/>
              </w:rPr>
              <w:t>和谐钢结构工程</w:t>
            </w:r>
            <w:r>
              <w:rPr>
                <w:rFonts w:hint="default" w:ascii="Times New Roman" w:hAnsi="Times New Roman" w:eastAsia="宋体" w:cs="Times New Roman"/>
                <w:color w:val="auto"/>
                <w:sz w:val="24"/>
                <w:szCs w:val="24"/>
                <w:lang w:val="en-US" w:eastAsia="zh-CN"/>
              </w:rPr>
              <w:t>有限公司</w:t>
            </w:r>
            <w:r>
              <w:rPr>
                <w:rFonts w:hint="eastAsia" w:cs="Times New Roman"/>
                <w:color w:val="auto"/>
                <w:sz w:val="24"/>
                <w:szCs w:val="24"/>
                <w:lang w:val="en-US" w:eastAsia="zh-CN"/>
              </w:rPr>
              <w:t>现有厂房</w:t>
            </w:r>
            <w:r>
              <w:rPr>
                <w:rFonts w:hint="default" w:ascii="Times New Roman" w:hAnsi="Times New Roman" w:eastAsia="宋体" w:cs="Times New Roman"/>
              </w:rPr>
              <w:t>进行生产。</w:t>
            </w:r>
            <w:r>
              <w:rPr>
                <w:rFonts w:hint="default" w:ascii="Times New Roman" w:hAnsi="Times New Roman" w:eastAsia="宋体" w:cs="Times New Roman"/>
                <w:lang w:val="en-US" w:eastAsia="zh-CN"/>
              </w:rPr>
              <w:t>平面布局呈规则</w:t>
            </w:r>
            <w:r>
              <w:rPr>
                <w:rFonts w:hint="eastAsia" w:cs="Times New Roman"/>
                <w:lang w:val="en-US" w:eastAsia="zh-CN"/>
              </w:rPr>
              <w:t>矩</w:t>
            </w:r>
            <w:r>
              <w:rPr>
                <w:rFonts w:hint="default" w:ascii="Times New Roman" w:hAnsi="Times New Roman" w:eastAsia="宋体" w:cs="Times New Roman"/>
                <w:lang w:val="en-US" w:eastAsia="zh-CN"/>
              </w:rPr>
              <w:t>形</w:t>
            </w:r>
            <w:r>
              <w:rPr>
                <w:rFonts w:hint="eastAsia" w:cs="Times New Roman"/>
                <w:color w:val="auto"/>
                <w:lang w:val="en-US" w:eastAsia="zh-CN"/>
              </w:rPr>
              <w:t>，厂房南、北两</w:t>
            </w:r>
            <w:r>
              <w:rPr>
                <w:rFonts w:hint="eastAsia" w:cs="Times New Roman"/>
                <w:lang w:val="en-US" w:eastAsia="zh-CN"/>
              </w:rPr>
              <w:t>侧各设有一处出入口，厂房中间为过道，东侧为注塑生产区，布设6条注塑生产线，注塑生产区东侧设置一套废气处理设施。西侧由北向南依次设置原料区、成品区、一般固废间、危废间。项目办公区利用福建和谐钢结构工程有限公司现有办公场地，该场地位于福建和谐钢结构工程有限公司主厂房北侧。</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项目生产</w:t>
            </w:r>
            <w:r>
              <w:rPr>
                <w:rFonts w:hint="eastAsia" w:cs="Times New Roman"/>
                <w:lang w:val="en-US" w:eastAsia="zh-CN"/>
              </w:rPr>
              <w:t>区</w:t>
            </w:r>
            <w:r>
              <w:rPr>
                <w:rFonts w:hint="default" w:ascii="Times New Roman" w:hAnsi="Times New Roman" w:eastAsia="宋体" w:cs="Times New Roman"/>
              </w:rPr>
              <w:t>平面布置根据生产工艺流程布置，各功能分区明确，各生产区相对独立，互不干扰，工艺流程顺畅，基本符合防火、安全、卫生等有关规范要求，因此，项目平面布置基本合理。</w:t>
            </w:r>
            <w:r>
              <w:rPr>
                <w:rFonts w:hint="eastAsia" w:cs="Times New Roman"/>
                <w:lang w:val="en-US" w:eastAsia="zh-CN"/>
              </w:rPr>
              <w:t>生产车间平面布置见附图</w:t>
            </w:r>
            <w:bookmarkStart w:id="35" w:name="_Ref15455"/>
            <w:r>
              <w:rPr>
                <w:rFonts w:hint="eastAsia" w:cs="Times New Roman"/>
                <w:lang w:val="en-US" w:eastAsia="zh-CN"/>
              </w:rPr>
              <w:t>3</w:t>
            </w:r>
            <w:r>
              <w:rPr>
                <w:rFonts w:hint="default" w:ascii="Times New Roman" w:hAnsi="Times New Roman" w:eastAsia="宋体" w:cs="Times New Roman"/>
                <w:color w:val="auto"/>
              </w:rPr>
              <w:t>。</w:t>
            </w:r>
            <w:bookmarkEnd w:id="35"/>
          </w:p>
          <w:p>
            <w:pPr>
              <w:pStyle w:val="4"/>
              <w:suppressLineNumbers w:val="0"/>
              <w:bidi w:val="0"/>
              <w:spacing w:beforeAutospacing="0" w:after="0" w:afterAutospacing="0"/>
              <w:ind w:left="720" w:leftChars="0" w:right="0" w:hanging="720" w:firstLineChars="0"/>
              <w:rPr>
                <w:rFonts w:hint="default"/>
              </w:rPr>
            </w:pPr>
            <w:bookmarkStart w:id="36" w:name="_Toc14774"/>
            <w:bookmarkStart w:id="37" w:name="_Toc24506"/>
            <w:bookmarkStart w:id="38" w:name="_Toc10081"/>
            <w:bookmarkStart w:id="39" w:name="_Toc6646"/>
            <w:bookmarkStart w:id="40" w:name="_Toc9977"/>
            <w:r>
              <w:rPr>
                <w:rFonts w:hint="eastAsia"/>
              </w:rPr>
              <w:t>产品方案</w:t>
            </w:r>
            <w:bookmarkEnd w:id="36"/>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rPr>
            </w:pPr>
            <w:r>
              <w:rPr>
                <w:rFonts w:hint="default" w:ascii="Times New Roman" w:hAnsi="Times New Roman" w:eastAsia="宋体" w:cs="Times New Roman"/>
                <w:color w:val="auto"/>
              </w:rPr>
              <w:t>项目</w:t>
            </w:r>
            <w:r>
              <w:rPr>
                <w:rFonts w:hint="eastAsia" w:cs="Times New Roman"/>
                <w:color w:val="auto"/>
                <w:lang w:val="en-US" w:eastAsia="zh-CN"/>
              </w:rPr>
              <w:t>设计年产2000吨塑料果篮</w:t>
            </w:r>
            <w:r>
              <w:rPr>
                <w:rFonts w:hint="default" w:ascii="Times New Roman" w:hAnsi="Times New Roman" w:eastAsia="宋体" w:cs="Times New Roman"/>
                <w:color w:val="auto"/>
              </w:rPr>
              <w:t>，具体产品方案见下表。</w:t>
            </w:r>
          </w:p>
          <w:p>
            <w:pPr>
              <w:pStyle w:val="42"/>
              <w:keepNext w:val="0"/>
              <w:keepLines w:val="0"/>
              <w:suppressLineNumbers w:val="0"/>
              <w:bidi w:val="0"/>
              <w:spacing w:beforeAutospacing="0" w:after="0" w:afterAutospacing="0"/>
              <w:ind w:left="0" w:leftChars="0" w:right="0" w:firstLine="0" w:firstLineChars="0"/>
              <w:rPr>
                <w:rFonts w:hint="default"/>
                <w:color w:val="auto"/>
              </w:rPr>
            </w:pPr>
            <w:r>
              <w:rPr>
                <w:rFonts w:hint="eastAsia"/>
                <w:color w:val="auto"/>
              </w:rPr>
              <w:t>项目产品方案一览表</w:t>
            </w:r>
          </w:p>
          <w:tbl>
            <w:tblPr>
              <w:tblStyle w:val="32"/>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46"/>
              <w:gridCol w:w="2054"/>
              <w:gridCol w:w="1961"/>
              <w:gridCol w:w="1526"/>
              <w:gridCol w:w="152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56" w:type="dxa"/>
                  <w:tcBorders>
                    <w:bottom w:val="single" w:color="000000" w:sz="8" w:space="0"/>
                  </w:tcBorders>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序号</w:t>
                  </w:r>
                </w:p>
              </w:tc>
              <w:tc>
                <w:tcPr>
                  <w:tcW w:w="2076" w:type="dxa"/>
                  <w:tcBorders>
                    <w:bottom w:val="single" w:color="000000" w:sz="8" w:space="0"/>
                  </w:tcBorders>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产品名称</w:t>
                  </w:r>
                </w:p>
              </w:tc>
              <w:tc>
                <w:tcPr>
                  <w:tcW w:w="1979" w:type="dxa"/>
                  <w:tcBorders>
                    <w:bottom w:val="single" w:color="000000" w:sz="8" w:space="0"/>
                  </w:tcBorders>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年产量</w:t>
                  </w:r>
                </w:p>
              </w:tc>
              <w:tc>
                <w:tcPr>
                  <w:tcW w:w="1542" w:type="dxa"/>
                  <w:tcBorders>
                    <w:bottom w:val="single" w:color="000000" w:sz="8" w:space="0"/>
                  </w:tcBorders>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单位</w:t>
                  </w:r>
                </w:p>
              </w:tc>
              <w:tc>
                <w:tcPr>
                  <w:tcW w:w="1542" w:type="dxa"/>
                  <w:tcBorders>
                    <w:bottom w:val="single" w:color="000000" w:sz="8" w:space="0"/>
                  </w:tcBorders>
                  <w:noWrap w:val="0"/>
                  <w:vAlign w:val="center"/>
                </w:tcPr>
                <w:p>
                  <w:pPr>
                    <w:pStyle w:val="99"/>
                    <w:keepNext w:val="0"/>
                    <w:keepLines w:val="0"/>
                    <w:suppressLineNumbers w:val="0"/>
                    <w:spacing w:before="0" w:beforeAutospacing="0" w:after="0" w:afterAutospacing="0"/>
                    <w:ind w:left="0" w:right="0"/>
                    <w:rPr>
                      <w:rFonts w:hint="eastAsia"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056" w:type="dxa"/>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1</w:t>
                  </w:r>
                </w:p>
              </w:tc>
              <w:tc>
                <w:tcPr>
                  <w:tcW w:w="2076" w:type="dxa"/>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b w:val="0"/>
                      <w:bCs w:val="0"/>
                      <w:color w:val="auto"/>
                      <w:sz w:val="21"/>
                      <w:szCs w:val="21"/>
                      <w:highlight w:val="none"/>
                      <w:lang w:val="en-US" w:eastAsia="zh-CN"/>
                    </w:rPr>
                    <w:t>塑料果篮</w:t>
                  </w:r>
                </w:p>
              </w:tc>
              <w:tc>
                <w:tcPr>
                  <w:tcW w:w="1979" w:type="dxa"/>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highlight w:val="cyan"/>
                      <w:lang w:val="en-US"/>
                    </w:rPr>
                  </w:pPr>
                  <w:r>
                    <w:rPr>
                      <w:rFonts w:hint="default" w:ascii="Times New Roman" w:hAnsi="Times New Roman" w:eastAsia="宋体" w:cs="Times New Roman"/>
                      <w:b w:val="0"/>
                      <w:color w:val="auto"/>
                      <w:kern w:val="0"/>
                      <w:sz w:val="21"/>
                      <w:szCs w:val="21"/>
                      <w:highlight w:val="none"/>
                      <w:lang w:val="en-US" w:eastAsia="zh-CN" w:bidi="ar-SA"/>
                    </w:rPr>
                    <w:t>2000</w:t>
                  </w:r>
                </w:p>
              </w:tc>
              <w:tc>
                <w:tcPr>
                  <w:tcW w:w="1542" w:type="dxa"/>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z w:val="21"/>
                      <w:szCs w:val="21"/>
                      <w:highlight w:val="none"/>
                      <w:lang w:val="en-US" w:eastAsia="zh-CN"/>
                    </w:rPr>
                    <w:t>t</w:t>
                  </w:r>
                </w:p>
              </w:tc>
              <w:tc>
                <w:tcPr>
                  <w:tcW w:w="1542" w:type="dxa"/>
                  <w:noWrap w:val="0"/>
                  <w:vAlign w:val="center"/>
                </w:tcPr>
                <w:p>
                  <w:pPr>
                    <w:pStyle w:val="99"/>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约100万个</w:t>
                  </w:r>
                </w:p>
              </w:tc>
            </w:tr>
          </w:tbl>
          <w:p>
            <w:pPr>
              <w:pStyle w:val="4"/>
              <w:suppressLineNumbers w:val="0"/>
              <w:bidi w:val="0"/>
              <w:spacing w:beforeAutospacing="0" w:after="0" w:afterAutospacing="0"/>
              <w:ind w:left="720" w:leftChars="0" w:right="0" w:hanging="720" w:firstLineChars="0"/>
              <w:rPr>
                <w:rFonts w:hint="default"/>
              </w:rPr>
            </w:pPr>
            <w:bookmarkStart w:id="41" w:name="_Toc6654"/>
            <w:r>
              <w:rPr>
                <w:rFonts w:hint="default"/>
              </w:rPr>
              <w:t>主要生产设备</w:t>
            </w:r>
            <w:bookmarkEnd w:id="37"/>
            <w:bookmarkEnd w:id="38"/>
            <w:bookmarkEnd w:id="39"/>
            <w:bookmarkEnd w:id="40"/>
            <w:bookmarkEnd w:id="41"/>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本项目主要生产设备如</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REF _Ref15628 \n \h </w:instrText>
            </w:r>
            <w:r>
              <w:rPr>
                <w:rFonts w:hint="default" w:ascii="Times New Roman" w:hAnsi="Times New Roman" w:eastAsia="宋体" w:cs="Times New Roman"/>
              </w:rPr>
              <w:fldChar w:fldCharType="separate"/>
            </w:r>
            <w:r>
              <w:rPr>
                <w:rFonts w:hint="default" w:ascii="Times New Roman" w:hAnsi="Times New Roman" w:eastAsia="宋体" w:cs="Times New Roman"/>
              </w:rPr>
              <w:t>表2.3-4</w:t>
            </w:r>
            <w:r>
              <w:rPr>
                <w:rFonts w:hint="default" w:ascii="Times New Roman" w:hAnsi="Times New Roman" w:eastAsia="宋体" w:cs="Times New Roman"/>
              </w:rPr>
              <w:fldChar w:fldCharType="end"/>
            </w:r>
            <w:r>
              <w:rPr>
                <w:rFonts w:hint="default" w:ascii="Times New Roman" w:hAnsi="Times New Roman" w:eastAsia="宋体" w:cs="Times New Roman"/>
              </w:rPr>
              <w:t>所示。</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rPr>
            </w:pP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rPr>
            </w:pPr>
          </w:p>
          <w:p>
            <w:pPr>
              <w:pStyle w:val="42"/>
              <w:keepNext w:val="0"/>
              <w:keepLines w:val="0"/>
              <w:suppressLineNumbers w:val="0"/>
              <w:bidi w:val="0"/>
              <w:spacing w:beforeAutospacing="0" w:after="0" w:afterAutospacing="0"/>
              <w:ind w:left="0" w:leftChars="0" w:right="0" w:firstLine="0" w:firstLineChars="0"/>
              <w:rPr>
                <w:rFonts w:hint="default"/>
              </w:rPr>
            </w:pPr>
            <w:bookmarkStart w:id="42" w:name="_Ref15628"/>
            <w:r>
              <w:rPr>
                <w:rFonts w:hint="default"/>
              </w:rPr>
              <w:t>项目主要生产设备清单</w:t>
            </w:r>
            <w:bookmarkEnd w:id="42"/>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828"/>
              <w:gridCol w:w="1227"/>
              <w:gridCol w:w="2266"/>
              <w:gridCol w:w="19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highlight w:val="none"/>
                    </w:rPr>
                  </w:pPr>
                  <w:bookmarkStart w:id="43" w:name="_Toc25944"/>
                  <w:bookmarkStart w:id="44" w:name="_Toc4944"/>
                  <w:bookmarkStart w:id="45" w:name="_Toc12299"/>
                  <w:bookmarkStart w:id="46" w:name="_Toc20936"/>
                  <w:r>
                    <w:rPr>
                      <w:rFonts w:hint="default" w:ascii="Times New Roman" w:hAnsi="Times New Roman" w:eastAsia="宋体" w:cs="Times New Roman"/>
                      <w:b w:val="0"/>
                      <w:bCs/>
                      <w:sz w:val="21"/>
                      <w:szCs w:val="21"/>
                      <w:highlight w:val="none"/>
                    </w:rPr>
                    <w:t>序号</w:t>
                  </w:r>
                </w:p>
              </w:tc>
              <w:tc>
                <w:tcPr>
                  <w:tcW w:w="18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设备名称</w:t>
                  </w:r>
                </w:p>
              </w:tc>
              <w:tc>
                <w:tcPr>
                  <w:tcW w:w="12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highlight w:val="none"/>
                    </w:rPr>
                  </w:pPr>
                  <w:r>
                    <w:rPr>
                      <w:rFonts w:hint="default" w:ascii="Times New Roman" w:hAnsi="Times New Roman" w:eastAsia="宋体" w:cs="Times New Roman"/>
                      <w:b w:val="0"/>
                      <w:bCs/>
                      <w:sz w:val="21"/>
                      <w:szCs w:val="21"/>
                      <w:highlight w:val="none"/>
                    </w:rPr>
                    <w:t>数量</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相应工序</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sz w:val="21"/>
                      <w:szCs w:val="21"/>
                      <w:highlight w:val="none"/>
                      <w:lang w:val="en-US" w:eastAsia="zh-CN"/>
                    </w:rPr>
                  </w:pPr>
                  <w:r>
                    <w:rPr>
                      <w:rFonts w:hint="default" w:ascii="Times New Roman" w:hAnsi="Times New Roman" w:eastAsia="宋体" w:cs="Times New Roman"/>
                      <w:b w:val="0"/>
                      <w:bCs/>
                      <w:sz w:val="21"/>
                      <w:szCs w:val="21"/>
                      <w:highlight w:val="none"/>
                      <w:lang w:val="en-US" w:eastAsia="zh-CN"/>
                    </w:rPr>
                    <w:t>功率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1</w:t>
                  </w:r>
                </w:p>
              </w:tc>
              <w:tc>
                <w:tcPr>
                  <w:tcW w:w="185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注塑机</w:t>
                  </w:r>
                </w:p>
              </w:tc>
              <w:tc>
                <w:tcPr>
                  <w:tcW w:w="124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b w:val="0"/>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6台</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bCs/>
                      <w:color w:val="auto"/>
                      <w:szCs w:val="21"/>
                      <w:highlight w:val="none"/>
                    </w:rPr>
                    <w:t>注塑生产工序</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7.2-10kW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bookmarkStart w:id="47" w:name="_Toc4826"/>
                  <w:r>
                    <w:rPr>
                      <w:rFonts w:hint="default" w:ascii="Times New Roman" w:hAnsi="Times New Roman" w:eastAsia="宋体" w:cs="Times New Roman"/>
                      <w:bCs/>
                      <w:color w:val="auto"/>
                      <w:sz w:val="21"/>
                      <w:szCs w:val="21"/>
                      <w:highlight w:val="none"/>
                      <w:lang w:val="en-US" w:eastAsia="zh-CN"/>
                    </w:rPr>
                    <w:t>2</w:t>
                  </w:r>
                </w:p>
              </w:tc>
              <w:tc>
                <w:tcPr>
                  <w:tcW w:w="185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送料机</w:t>
                  </w:r>
                </w:p>
              </w:tc>
              <w:tc>
                <w:tcPr>
                  <w:tcW w:w="124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6台</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bCs/>
                      <w:color w:val="auto"/>
                      <w:szCs w:val="21"/>
                      <w:highlight w:val="none"/>
                    </w:rPr>
                    <w:t>送料生产工序</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3.8kW</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3</w:t>
                  </w:r>
                </w:p>
              </w:tc>
              <w:tc>
                <w:tcPr>
                  <w:tcW w:w="185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冷却塔</w:t>
                  </w:r>
                </w:p>
              </w:tc>
              <w:tc>
                <w:tcPr>
                  <w:tcW w:w="124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1台</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bCs/>
                      <w:color w:val="auto"/>
                      <w:szCs w:val="21"/>
                      <w:highlight w:val="none"/>
                    </w:rPr>
                    <w:t>注塑生产工序</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4</w:t>
                  </w:r>
                </w:p>
              </w:tc>
              <w:tc>
                <w:tcPr>
                  <w:tcW w:w="185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混料机</w:t>
                  </w:r>
                </w:p>
              </w:tc>
              <w:tc>
                <w:tcPr>
                  <w:tcW w:w="124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2台</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bCs/>
                      <w:color w:val="auto"/>
                      <w:szCs w:val="21"/>
                      <w:highlight w:val="none"/>
                    </w:rPr>
                    <w:t>投料、搅拌</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5</w:t>
                  </w:r>
                </w:p>
              </w:tc>
              <w:tc>
                <w:tcPr>
                  <w:tcW w:w="185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水泵</w:t>
                  </w:r>
                </w:p>
              </w:tc>
              <w:tc>
                <w:tcPr>
                  <w:tcW w:w="124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1台</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bCs/>
                      <w:color w:val="auto"/>
                      <w:szCs w:val="21"/>
                      <w:highlight w:val="none"/>
                    </w:rPr>
                    <w:t>注塑生产工序</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6</w:t>
                  </w:r>
                </w:p>
              </w:tc>
              <w:tc>
                <w:tcPr>
                  <w:tcW w:w="185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叉车</w:t>
                  </w:r>
                </w:p>
              </w:tc>
              <w:tc>
                <w:tcPr>
                  <w:tcW w:w="124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1台</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物料运送</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7</w:t>
                  </w:r>
                </w:p>
              </w:tc>
              <w:tc>
                <w:tcPr>
                  <w:tcW w:w="185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真空泵</w:t>
                  </w:r>
                </w:p>
              </w:tc>
              <w:tc>
                <w:tcPr>
                  <w:tcW w:w="1240" w:type="dxa"/>
                  <w:tcBorders>
                    <w:tl2br w:val="nil"/>
                    <w:tr2bl w:val="nil"/>
                  </w:tcBorders>
                  <w:noWrap w:val="0"/>
                  <w:vAlign w:val="center"/>
                </w:tcPr>
                <w:p>
                  <w:pPr>
                    <w:pStyle w:val="86"/>
                    <w:keepNext w:val="0"/>
                    <w:keepLines w:val="0"/>
                    <w:suppressLineNumbers w:val="0"/>
                    <w:spacing w:before="0" w:beforeAutospacing="0" w:after="0" w:afterAutospacing="0"/>
                    <w:ind w:left="0" w:right="0" w:firstLine="0" w:firstLineChars="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1台</w:t>
                  </w:r>
                </w:p>
              </w:tc>
              <w:tc>
                <w:tcPr>
                  <w:tcW w:w="229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default"/>
                      <w:bCs/>
                      <w:color w:val="auto"/>
                      <w:szCs w:val="21"/>
                      <w:highlight w:val="none"/>
                    </w:rPr>
                    <w:t>投料、搅拌</w:t>
                  </w:r>
                </w:p>
              </w:tc>
              <w:tc>
                <w:tcPr>
                  <w:tcW w:w="192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w:t>
                  </w:r>
                </w:p>
              </w:tc>
            </w:tr>
          </w:tbl>
          <w:p>
            <w:pPr>
              <w:pStyle w:val="4"/>
              <w:suppressLineNumbers w:val="0"/>
              <w:bidi w:val="0"/>
              <w:spacing w:beforeAutospacing="0" w:after="0" w:afterAutospacing="0"/>
              <w:ind w:left="720" w:leftChars="0" w:right="0" w:hanging="720" w:firstLineChars="0"/>
              <w:rPr>
                <w:rFonts w:hint="default"/>
              </w:rPr>
            </w:pPr>
            <w:r>
              <w:rPr>
                <w:rFonts w:hint="default"/>
              </w:rPr>
              <w:t>主要原辅材料</w:t>
            </w:r>
            <w:bookmarkEnd w:id="43"/>
            <w:bookmarkEnd w:id="44"/>
            <w:bookmarkEnd w:id="45"/>
            <w:bookmarkEnd w:id="46"/>
            <w:bookmarkEnd w:id="47"/>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eastAsia" w:cs="Times New Roman"/>
                <w:lang w:eastAsia="zh-CN"/>
              </w:rPr>
              <w:t>（</w:t>
            </w:r>
            <w:r>
              <w:rPr>
                <w:rFonts w:hint="eastAsia" w:cs="Times New Roman"/>
                <w:lang w:val="en-US" w:eastAsia="zh-CN"/>
              </w:rPr>
              <w:t>1</w:t>
            </w:r>
            <w:r>
              <w:rPr>
                <w:rFonts w:hint="eastAsia" w:cs="Times New Roman"/>
                <w:lang w:eastAsia="zh-CN"/>
              </w:rPr>
              <w:t>）</w:t>
            </w:r>
            <w:r>
              <w:rPr>
                <w:rFonts w:hint="default" w:ascii="Times New Roman" w:hAnsi="Times New Roman" w:eastAsia="宋体" w:cs="Times New Roman"/>
              </w:rPr>
              <w:t>项</w:t>
            </w:r>
            <w:r>
              <w:rPr>
                <w:rFonts w:hint="default" w:ascii="Times New Roman" w:hAnsi="Times New Roman" w:eastAsia="宋体" w:cs="Times New Roman"/>
                <w:color w:val="auto"/>
              </w:rPr>
              <w:t>目主要原辅材料用量情况</w:t>
            </w:r>
            <w:r>
              <w:rPr>
                <w:rFonts w:hint="default" w:ascii="Times New Roman" w:hAnsi="Times New Roman" w:eastAsia="宋体" w:cs="Times New Roman"/>
              </w:rPr>
              <w:t>见</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REF _Ref15667 \n \h </w:instrText>
            </w:r>
            <w:r>
              <w:rPr>
                <w:rFonts w:hint="default" w:ascii="Times New Roman" w:hAnsi="Times New Roman" w:eastAsia="宋体" w:cs="Times New Roman"/>
              </w:rPr>
              <w:fldChar w:fldCharType="separate"/>
            </w:r>
            <w:r>
              <w:rPr>
                <w:rFonts w:hint="default" w:ascii="Times New Roman" w:hAnsi="Times New Roman" w:eastAsia="宋体" w:cs="Times New Roman"/>
              </w:rPr>
              <w:t>表2.3-5</w:t>
            </w:r>
            <w:r>
              <w:rPr>
                <w:rFonts w:hint="default" w:ascii="Times New Roman" w:hAnsi="Times New Roman" w:eastAsia="宋体" w:cs="Times New Roman"/>
              </w:rPr>
              <w:fldChar w:fldCharType="end"/>
            </w:r>
            <w:r>
              <w:rPr>
                <w:rFonts w:hint="default" w:ascii="Times New Roman" w:hAnsi="Times New Roman" w:eastAsia="宋体" w:cs="Times New Roman"/>
              </w:rPr>
              <w:t>。</w:t>
            </w:r>
          </w:p>
          <w:p>
            <w:pPr>
              <w:pStyle w:val="42"/>
              <w:keepNext w:val="0"/>
              <w:keepLines w:val="0"/>
              <w:suppressLineNumbers w:val="0"/>
              <w:bidi w:val="0"/>
              <w:spacing w:beforeAutospacing="0" w:after="0" w:afterAutospacing="0"/>
              <w:ind w:left="0" w:leftChars="0" w:right="0" w:firstLine="0" w:firstLineChars="0"/>
              <w:rPr>
                <w:rFonts w:hint="default"/>
              </w:rPr>
            </w:pPr>
            <w:bookmarkStart w:id="48" w:name="_Ref15667"/>
            <w:r>
              <w:rPr>
                <w:rFonts w:hint="default"/>
              </w:rPr>
              <w:t>主要原辅材料预计消耗一览表</w:t>
            </w:r>
            <w:bookmarkEnd w:id="48"/>
          </w:p>
          <w:tbl>
            <w:tblPr>
              <w:tblStyle w:val="3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89"/>
              <w:gridCol w:w="1290"/>
              <w:gridCol w:w="1365"/>
              <w:gridCol w:w="1687"/>
              <w:gridCol w:w="1688"/>
              <w:gridCol w:w="139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8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290"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1365"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年用量（t/a）</w:t>
                  </w:r>
                </w:p>
              </w:tc>
              <w:tc>
                <w:tcPr>
                  <w:tcW w:w="168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来源</w:t>
                  </w:r>
                </w:p>
              </w:tc>
              <w:tc>
                <w:tcPr>
                  <w:tcW w:w="168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规格</w:t>
                  </w:r>
                </w:p>
              </w:tc>
              <w:tc>
                <w:tcPr>
                  <w:tcW w:w="139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8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90"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PE</w:t>
                  </w:r>
                </w:p>
              </w:tc>
              <w:tc>
                <w:tcPr>
                  <w:tcW w:w="1365"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206</w:t>
                  </w:r>
                </w:p>
              </w:tc>
              <w:tc>
                <w:tcPr>
                  <w:tcW w:w="168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外购</w:t>
                  </w:r>
                </w:p>
              </w:tc>
              <w:tc>
                <w:tcPr>
                  <w:tcW w:w="168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1.5-2mm</w:t>
                  </w:r>
                </w:p>
              </w:tc>
              <w:tc>
                <w:tcPr>
                  <w:tcW w:w="139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原料</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8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290"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PP</w:t>
                  </w:r>
                </w:p>
              </w:tc>
              <w:tc>
                <w:tcPr>
                  <w:tcW w:w="1365"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1845</w:t>
                  </w:r>
                </w:p>
              </w:tc>
              <w:tc>
                <w:tcPr>
                  <w:tcW w:w="168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外购</w:t>
                  </w:r>
                </w:p>
              </w:tc>
              <w:tc>
                <w:tcPr>
                  <w:tcW w:w="168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1.5-2mm</w:t>
                  </w:r>
                </w:p>
              </w:tc>
              <w:tc>
                <w:tcPr>
                  <w:tcW w:w="139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原料</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8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290"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色母</w:t>
                  </w:r>
                </w:p>
              </w:tc>
              <w:tc>
                <w:tcPr>
                  <w:tcW w:w="1365"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w:t>
                  </w:r>
                </w:p>
              </w:tc>
              <w:tc>
                <w:tcPr>
                  <w:tcW w:w="168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外购</w:t>
                  </w:r>
                </w:p>
              </w:tc>
              <w:tc>
                <w:tcPr>
                  <w:tcW w:w="168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39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着色</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8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4</w:t>
                  </w:r>
                </w:p>
              </w:tc>
              <w:tc>
                <w:tcPr>
                  <w:tcW w:w="1290"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水</w:t>
                  </w:r>
                </w:p>
              </w:tc>
              <w:tc>
                <w:tcPr>
                  <w:tcW w:w="1365"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177</w:t>
                  </w:r>
                </w:p>
              </w:tc>
              <w:tc>
                <w:tcPr>
                  <w:tcW w:w="168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市政供水</w:t>
                  </w:r>
                </w:p>
              </w:tc>
              <w:tc>
                <w:tcPr>
                  <w:tcW w:w="168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139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89" w:type="dxa"/>
                  <w:noWrap w:val="0"/>
                  <w:vAlign w:val="center"/>
                </w:tcPr>
                <w:p>
                  <w:pPr>
                    <w:pStyle w:val="46"/>
                    <w:keepNext w:val="0"/>
                    <w:keepLines w:val="0"/>
                    <w:suppressLineNumbers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5</w:t>
                  </w:r>
                </w:p>
              </w:tc>
              <w:tc>
                <w:tcPr>
                  <w:tcW w:w="1290"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电</w:t>
                  </w:r>
                </w:p>
              </w:tc>
              <w:tc>
                <w:tcPr>
                  <w:tcW w:w="1365"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default"/>
                      <w:szCs w:val="21"/>
                      <w:highlight w:val="none"/>
                    </w:rPr>
                    <w:t>66.67万kWh/a</w:t>
                  </w:r>
                </w:p>
              </w:tc>
              <w:tc>
                <w:tcPr>
                  <w:tcW w:w="168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市政电网</w:t>
                  </w:r>
                </w:p>
              </w:tc>
              <w:tc>
                <w:tcPr>
                  <w:tcW w:w="168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139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w:t>
                  </w:r>
                </w:p>
              </w:tc>
            </w:tr>
          </w:tbl>
          <w:p>
            <w:pPr>
              <w:pStyle w:val="83"/>
              <w:keepNext w:val="0"/>
              <w:keepLines w:val="0"/>
              <w:suppressLineNumbers w:val="0"/>
              <w:spacing w:before="0" w:beforeAutospacing="0" w:after="0" w:afterAutospacing="0" w:line="240" w:lineRule="auto"/>
              <w:ind w:left="0" w:right="0" w:firstLine="480"/>
              <w:rPr>
                <w:rFonts w:hint="default" w:ascii="Times New Roman" w:hAnsi="Times New Roman" w:eastAsia="宋体" w:cs="Times New Roman"/>
                <w:b/>
                <w:bCs/>
                <w:color w:val="000000" w:themeColor="text1"/>
                <w:sz w:val="24"/>
                <w14:textFill>
                  <w14:solidFill>
                    <w14:schemeClr w14:val="tx1"/>
                  </w14:solidFill>
                </w14:textFill>
              </w:rPr>
            </w:pPr>
          </w:p>
          <w:p>
            <w:pPr>
              <w:pStyle w:val="83"/>
              <w:keepNext w:val="0"/>
              <w:keepLines w:val="0"/>
              <w:numPr>
                <w:ilvl w:val="0"/>
                <w:numId w:val="0"/>
              </w:numPr>
              <w:suppressLineNumbers w:val="0"/>
              <w:spacing w:before="0" w:beforeAutospacing="0" w:after="0" w:afterAutospacing="0" w:line="360" w:lineRule="auto"/>
              <w:ind w:left="420" w:leftChars="200" w:right="0" w:rightChars="0"/>
              <w:rPr>
                <w:rFonts w:hint="eastAsia" w:cs="Times New Roman"/>
                <w:b w:val="0"/>
                <w:bCs w:val="0"/>
                <w:color w:val="000000" w:themeColor="text1"/>
                <w:sz w:val="24"/>
                <w:lang w:val="en-US" w:eastAsia="zh-CN"/>
                <w14:textFill>
                  <w14:solidFill>
                    <w14:schemeClr w14:val="tx1"/>
                  </w14:solidFill>
                </w14:textFill>
              </w:rPr>
            </w:pPr>
            <w:r>
              <w:rPr>
                <w:rFonts w:hint="eastAsia" w:cs="Times New Roman"/>
                <w:b w:val="0"/>
                <w:bCs w:val="0"/>
                <w:color w:val="000000" w:themeColor="text1"/>
                <w:sz w:val="24"/>
                <w:lang w:val="en-US" w:eastAsia="zh-CN"/>
                <w14:textFill>
                  <w14:solidFill>
                    <w14:schemeClr w14:val="tx1"/>
                  </w14:solidFill>
                </w14:textFill>
              </w:rPr>
              <w:t>（2）原料化学成分</w:t>
            </w:r>
          </w:p>
          <w:p>
            <w:pPr>
              <w:pStyle w:val="83"/>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①</w:t>
            </w:r>
            <w:r>
              <w:rPr>
                <w:rFonts w:hint="eastAsia" w:cs="Times New Roman"/>
                <w:b w:val="0"/>
                <w:bCs w:val="0"/>
                <w:color w:val="000000" w:themeColor="text1"/>
                <w:sz w:val="24"/>
                <w:lang w:val="en-US" w:eastAsia="zh-CN"/>
                <w14:textFill>
                  <w14:solidFill>
                    <w14:schemeClr w14:val="tx1"/>
                  </w14:solidFill>
                </w14:textFill>
              </w:rPr>
              <w:t>聚乙烯（Polyethylene，简称PE）是乙烯单体经聚合反应制得的一种热塑性树脂。在工业上，也包括乙烯与少量a-烯烃的共聚物。聚乙烯无臭，无毒，手感似蜡，具有优良的耐低温性能（最低使用温度可达-100~-70℃）。化学稳定性好，因聚合物分子内通过碳-碳单键相连，能耐大多数酸碱的侵蚀（不耐具有氧化性质的酸）。常温下不溶于一般溶剂，吸水性小，电绝缘性优良。在一般情况下，聚乙烯的熔融温度约120~180℃，分解温度为300~450℃之间。</w:t>
            </w:r>
          </w:p>
          <w:p>
            <w:pPr>
              <w:pStyle w:val="83"/>
              <w:keepNext w:val="0"/>
              <w:keepLines w:val="0"/>
              <w:suppressLineNumbers w:val="0"/>
              <w:spacing w:before="0" w:beforeAutospacing="0" w:after="0" w:afterAutospacing="0" w:line="360" w:lineRule="auto"/>
              <w:ind w:left="0" w:right="0" w:firstLine="480"/>
              <w:rPr>
                <w:rFonts w:hint="eastAsia" w:cs="Times New Roman"/>
                <w:b w:val="0"/>
                <w:bCs w:val="0"/>
                <w:color w:val="000000" w:themeColor="text1"/>
                <w:sz w:val="24"/>
                <w:lang w:val="en-US" w:eastAsia="zh-CN"/>
                <w14:textFill>
                  <w14:solidFill>
                    <w14:schemeClr w14:val="tx1"/>
                  </w14:solidFill>
                </w14:textFill>
              </w:rPr>
            </w:pPr>
            <w:r>
              <w:rPr>
                <w:rFonts w:hint="eastAsia" w:cs="Times New Roman"/>
                <w:b w:val="0"/>
                <w:bCs w:val="0"/>
                <w:color w:val="000000" w:themeColor="text1"/>
                <w:sz w:val="24"/>
                <w:lang w:val="en-US" w:eastAsia="zh-CN"/>
                <w14:textFill>
                  <w14:solidFill>
                    <w14:schemeClr w14:val="tx1"/>
                  </w14:solidFill>
                </w14:textFill>
              </w:rPr>
              <w:t>②</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聚丙烯（Polypropylene，简称PP）是一种半结晶的热塑性塑料。具有较高的耐冲击性，机械性质强韧，抗多种有机溶剂和酸碱腐蚀。在工业界有广泛的应用，是常见的高分子材料之一。</w:t>
            </w:r>
            <w:r>
              <w:rPr>
                <w:rFonts w:hint="eastAsia" w:cs="Times New Roman"/>
                <w:b w:val="0"/>
                <w:bCs w:val="0"/>
                <w:color w:val="000000" w:themeColor="text1"/>
                <w:sz w:val="24"/>
                <w:lang w:val="en-US" w:eastAsia="zh-CN"/>
                <w14:textFill>
                  <w14:solidFill>
                    <w14:schemeClr w14:val="tx1"/>
                  </w14:solidFill>
                </w14:textFill>
              </w:rPr>
              <w:t>聚丙烯无臭，无毒，具有优良的耐低温性能，化学稳定性好，能耐大多数酸碱的侵蚀。常温下不溶于一般溶剂，吸水性小，电绝缘性优良。熔融温度在164~170℃范围之内，分解温度为300~370℃。</w:t>
            </w:r>
          </w:p>
          <w:p>
            <w:pPr>
              <w:pStyle w:val="83"/>
              <w:keepNext w:val="0"/>
              <w:keepLines w:val="0"/>
              <w:suppressLineNumbers w:val="0"/>
              <w:spacing w:before="0" w:beforeAutospacing="0" w:after="0" w:afterAutospacing="0" w:line="360" w:lineRule="auto"/>
              <w:ind w:left="0" w:right="0" w:firstLine="480"/>
              <w:rPr>
                <w:rFonts w:hint="eastAsia" w:cs="Times New Roman"/>
                <w:b w:val="0"/>
                <w:bCs w:val="0"/>
                <w:color w:val="000000" w:themeColor="text1"/>
                <w:sz w:val="24"/>
                <w:lang w:val="en-US" w:eastAsia="zh-CN"/>
                <w14:textFill>
                  <w14:solidFill>
                    <w14:schemeClr w14:val="tx1"/>
                  </w14:solidFill>
                </w14:textFill>
              </w:rPr>
            </w:pPr>
            <w:r>
              <w:rPr>
                <w:rFonts w:hint="eastAsia" w:cs="Times New Roman"/>
                <w:b w:val="0"/>
                <w:bCs w:val="0"/>
                <w:color w:val="000000" w:themeColor="text1"/>
                <w:sz w:val="24"/>
                <w:lang w:val="en-US" w:eastAsia="zh-CN"/>
                <w14:textFill>
                  <w14:solidFill>
                    <w14:schemeClr w14:val="tx1"/>
                  </w14:solidFill>
                </w14:textFill>
              </w:rPr>
              <w:t>③色母</w:t>
            </w:r>
          </w:p>
          <w:p>
            <w:pPr>
              <w:pStyle w:val="83"/>
              <w:keepNext w:val="0"/>
              <w:keepLines w:val="0"/>
              <w:suppressLineNumbers w:val="0"/>
              <w:spacing w:before="0" w:beforeAutospacing="0" w:after="0" w:afterAutospacing="0" w:line="360" w:lineRule="auto"/>
              <w:ind w:left="0" w:right="0" w:firstLine="48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色母全称色母粒，是一种新型高分子材料专用的着色剂，色母由颜料或染料、载体和添加剂三种基本要素组成，是把超常量的颜料均匀载附于树脂之中得到的聚集体。</w:t>
            </w:r>
          </w:p>
          <w:p>
            <w:pPr>
              <w:pStyle w:val="3"/>
              <w:keepNext w:val="0"/>
              <w:keepLines w:val="0"/>
              <w:suppressLineNumbers w:val="0"/>
              <w:bidi w:val="0"/>
              <w:spacing w:before="0" w:beforeLines="0" w:beforeAutospacing="0" w:after="0" w:afterAutospacing="0"/>
              <w:ind w:left="0" w:leftChars="0" w:right="0" w:firstLine="0" w:firstLineChars="0"/>
              <w:rPr>
                <w:rFonts w:hint="default"/>
                <w:color w:val="auto"/>
              </w:rPr>
            </w:pPr>
            <w:bookmarkStart w:id="49" w:name="_Toc16862"/>
            <w:bookmarkStart w:id="50" w:name="_Toc10393"/>
            <w:r>
              <w:rPr>
                <w:rFonts w:hint="eastAsia"/>
                <w:color w:val="auto"/>
                <w:lang w:val="en-US" w:eastAsia="zh-CN"/>
              </w:rPr>
              <w:t>物料平衡及</w:t>
            </w:r>
            <w:r>
              <w:rPr>
                <w:rFonts w:hint="eastAsia"/>
                <w:color w:val="auto"/>
              </w:rPr>
              <w:t>水平衡</w:t>
            </w:r>
            <w:bookmarkEnd w:id="49"/>
            <w:bookmarkEnd w:id="50"/>
          </w:p>
          <w:p>
            <w:pPr>
              <w:pStyle w:val="4"/>
              <w:suppressLineNumbers w:val="0"/>
              <w:bidi w:val="0"/>
              <w:spacing w:before="0" w:beforeLines="0" w:beforeAutospacing="0" w:after="0" w:afterAutospacing="0"/>
              <w:ind w:left="720" w:leftChars="0" w:right="0" w:hanging="720" w:firstLineChars="0"/>
              <w:rPr>
                <w:rFonts w:hint="default"/>
              </w:rPr>
            </w:pPr>
            <w:bookmarkStart w:id="51" w:name="_Toc15894"/>
            <w:r>
              <w:rPr>
                <w:rFonts w:hint="eastAsia"/>
                <w:lang w:val="en-US" w:eastAsia="zh-CN"/>
              </w:rPr>
              <w:t>物料平衡</w:t>
            </w:r>
            <w:bookmarkEnd w:id="51"/>
          </w:p>
          <w:p>
            <w:pPr>
              <w:pStyle w:val="43"/>
              <w:keepNext w:val="0"/>
              <w:keepLines w:val="0"/>
              <w:suppressLineNumbers w:val="0"/>
              <w:spacing w:before="0" w:beforeLines="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本项目物料平衡见下表。</w:t>
            </w:r>
          </w:p>
          <w:p>
            <w:pPr>
              <w:pStyle w:val="42"/>
              <w:keepNext w:val="0"/>
              <w:keepLines w:val="0"/>
              <w:suppressLineNumbers w:val="0"/>
              <w:bidi w:val="0"/>
              <w:spacing w:before="0" w:beforeLines="0" w:beforeAutospacing="0" w:after="0" w:afterAutospacing="0"/>
              <w:ind w:left="0" w:leftChars="0" w:right="0" w:firstLine="0" w:firstLineChars="0"/>
              <w:rPr>
                <w:rFonts w:hint="default"/>
                <w:color w:val="auto"/>
              </w:rPr>
            </w:pPr>
            <w:r>
              <w:rPr>
                <w:rFonts w:hint="eastAsia"/>
                <w:color w:val="auto"/>
              </w:rPr>
              <w:t>项目物料平衡一览表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2"/>
              <w:gridCol w:w="1099"/>
              <w:gridCol w:w="925"/>
              <w:gridCol w:w="538"/>
              <w:gridCol w:w="751"/>
              <w:gridCol w:w="1065"/>
              <w:gridCol w:w="859"/>
              <w:gridCol w:w="2438"/>
              <w:tblGridChange w:id="0">
                <w:tblGrid>
                  <w:gridCol w:w="442"/>
                  <w:gridCol w:w="1112"/>
                  <w:gridCol w:w="927"/>
                  <w:gridCol w:w="540"/>
                  <w:gridCol w:w="758"/>
                  <w:gridCol w:w="1079"/>
                  <w:gridCol w:w="859"/>
                  <w:gridCol w:w="135"/>
                  <w:gridCol w:w="2346"/>
                </w:tblGrid>
              </w:tblGridChange>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序号</w:t>
                  </w:r>
                </w:p>
              </w:tc>
              <w:tc>
                <w:tcPr>
                  <w:tcW w:w="111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进料名称</w:t>
                  </w: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数量（t/a）</w:t>
                  </w: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序号</w:t>
                  </w:r>
                </w:p>
              </w:tc>
              <w:tc>
                <w:tcPr>
                  <w:tcW w:w="1837" w:type="dxa"/>
                  <w:gridSpan w:val="2"/>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产出名称</w:t>
                  </w:r>
                </w:p>
              </w:tc>
              <w:tc>
                <w:tcPr>
                  <w:tcW w:w="85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数量（t/a）</w:t>
                  </w:r>
                </w:p>
              </w:tc>
              <w:tc>
                <w:tcPr>
                  <w:tcW w:w="2481"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pPr>
                  <w:r>
                    <w:rPr>
                      <w:rFonts w:hint="eastAsia" w:cs="Times New Roman"/>
                      <w:b w:val="0"/>
                      <w:color w:val="000000" w:themeColor="text1"/>
                      <w:kern w:val="0"/>
                      <w:sz w:val="21"/>
                      <w:szCs w:val="21"/>
                      <w:highlight w:val="none"/>
                      <w:lang w:val="en-US" w:eastAsia="zh-CN" w:bidi="ar-SA"/>
                      <w14:textFill>
                        <w14:solidFill>
                          <w14:schemeClr w14:val="tx1"/>
                        </w14:solidFill>
                      </w14:textFill>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1</w:t>
                  </w:r>
                </w:p>
              </w:tc>
              <w:tc>
                <w:tcPr>
                  <w:tcW w:w="111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PE</w:t>
                  </w:r>
                  <w:r>
                    <w:rPr>
                      <w:rFonts w:hint="eastAsia" w:cs="Times New Roman"/>
                      <w:b w:val="0"/>
                      <w:bCs w:val="0"/>
                      <w:color w:val="000000" w:themeColor="text1"/>
                      <w:sz w:val="21"/>
                      <w:szCs w:val="21"/>
                      <w:highlight w:val="none"/>
                      <w:lang w:val="en-US" w:eastAsia="zh-CN"/>
                      <w14:textFill>
                        <w14:solidFill>
                          <w14:schemeClr w14:val="tx1"/>
                        </w14:solidFill>
                      </w14:textFill>
                    </w:rPr>
                    <w:t>粒料</w:t>
                  </w: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206</w:t>
                  </w: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1</w:t>
                  </w:r>
                </w:p>
              </w:tc>
              <w:tc>
                <w:tcPr>
                  <w:tcW w:w="758"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产品</w:t>
                  </w:r>
                </w:p>
              </w:tc>
              <w:tc>
                <w:tcPr>
                  <w:tcW w:w="107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塑料果篮</w:t>
                  </w:r>
                </w:p>
              </w:tc>
              <w:tc>
                <w:tcPr>
                  <w:tcW w:w="85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2000</w:t>
                  </w:r>
                </w:p>
              </w:tc>
              <w:tc>
                <w:tcPr>
                  <w:tcW w:w="2481"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After w:w="0" w:type="auto"/>
                <w:trHeight w:val="369" w:hRule="atLeast"/>
                <w:jc w:val="center"/>
              </w:trPr>
              <w:tc>
                <w:tcPr>
                  <w:tcW w:w="44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w:t>
                  </w:r>
                </w:p>
              </w:tc>
              <w:tc>
                <w:tcPr>
                  <w:tcW w:w="111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PP</w:t>
                  </w:r>
                  <w:r>
                    <w:rPr>
                      <w:rFonts w:hint="eastAsia" w:cs="Times New Roman"/>
                      <w:szCs w:val="21"/>
                      <w:vertAlign w:val="baseline"/>
                      <w:lang w:val="en-US" w:eastAsia="zh-CN"/>
                    </w:rPr>
                    <w:t>粒料</w:t>
                  </w: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1845</w:t>
                  </w: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2</w:t>
                  </w:r>
                </w:p>
              </w:tc>
              <w:tc>
                <w:tcPr>
                  <w:tcW w:w="758" w:type="dxa"/>
                  <w:vMerge w:val="restart"/>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废气</w:t>
                  </w:r>
                </w:p>
              </w:tc>
              <w:tc>
                <w:tcPr>
                  <w:tcW w:w="107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有组织</w:t>
                  </w:r>
                </w:p>
              </w:tc>
              <w:tc>
                <w:tcPr>
                  <w:tcW w:w="85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Cs w:val="21"/>
                      <w:vertAlign w:val="baseline"/>
                      <w:lang w:val="en-US" w:eastAsia="zh-CN"/>
                    </w:rPr>
                    <w:t>1.296</w:t>
                  </w:r>
                </w:p>
              </w:tc>
              <w:tc>
                <w:tcPr>
                  <w:tcW w:w="2481"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cs="Times New Roman"/>
                      <w:szCs w:val="21"/>
                      <w:vertAlign w:val="baseline"/>
                      <w:lang w:val="en-US" w:eastAsia="zh-CN"/>
                    </w:rPr>
                  </w:pPr>
                  <w:r>
                    <w:rPr>
                      <w:rFonts w:hint="eastAsia" w:cs="Times New Roman"/>
                      <w:szCs w:val="21"/>
                      <w:vertAlign w:val="baseline"/>
                      <w:lang w:val="en-US" w:eastAsia="zh-CN"/>
                    </w:rPr>
                    <w:t>排入大气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3</w:t>
                  </w:r>
                </w:p>
              </w:tc>
              <w:tc>
                <w:tcPr>
                  <w:tcW w:w="111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色母</w:t>
                  </w: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1</w:t>
                  </w: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3</w:t>
                  </w:r>
                </w:p>
              </w:tc>
              <w:tc>
                <w:tcPr>
                  <w:tcW w:w="758" w:type="dxa"/>
                  <w:vMerge w:val="continue"/>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107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无组织</w:t>
                  </w:r>
                </w:p>
              </w:tc>
              <w:tc>
                <w:tcPr>
                  <w:tcW w:w="85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1.08</w:t>
                  </w:r>
                </w:p>
              </w:tc>
              <w:tc>
                <w:tcPr>
                  <w:tcW w:w="2481"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逸散于大气中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111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4</w:t>
                  </w:r>
                </w:p>
              </w:tc>
              <w:tc>
                <w:tcPr>
                  <w:tcW w:w="758" w:type="dxa"/>
                  <w:vMerge w:val="restart"/>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固体废物</w:t>
                  </w:r>
                </w:p>
              </w:tc>
              <w:tc>
                <w:tcPr>
                  <w:tcW w:w="107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不合格产品</w:t>
                  </w:r>
                </w:p>
              </w:tc>
              <w:tc>
                <w:tcPr>
                  <w:tcW w:w="85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41.04</w:t>
                  </w:r>
                </w:p>
              </w:tc>
              <w:tc>
                <w:tcPr>
                  <w:tcW w:w="2481" w:type="dxa"/>
                  <w:vMerge w:val="restart"/>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kern w:val="2"/>
                      <w:sz w:val="21"/>
                      <w:szCs w:val="21"/>
                      <w:vertAlign w:val="baseline"/>
                      <w:lang w:val="en-US" w:eastAsia="zh-CN" w:bidi="ar-SA"/>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111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5</w:t>
                  </w:r>
                </w:p>
              </w:tc>
              <w:tc>
                <w:tcPr>
                  <w:tcW w:w="758" w:type="dxa"/>
                  <w:vMerge w:val="continue"/>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107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eastAsia" w:cs="Times New Roman"/>
                      <w:szCs w:val="21"/>
                      <w:vertAlign w:val="baseline"/>
                      <w:lang w:val="en-US" w:eastAsia="zh-CN"/>
                    </w:rPr>
                    <w:t>产品废边角料</w:t>
                  </w:r>
                </w:p>
              </w:tc>
              <w:tc>
                <w:tcPr>
                  <w:tcW w:w="85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Cs w:val="21"/>
                      <w:vertAlign w:val="baseline"/>
                      <w:lang w:val="en-US" w:eastAsia="zh-CN"/>
                    </w:rPr>
                    <w:t>5.56</w:t>
                  </w:r>
                </w:p>
              </w:tc>
              <w:tc>
                <w:tcPr>
                  <w:tcW w:w="2481" w:type="dxa"/>
                  <w:vMerge w:val="continue"/>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1112"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pPr>
                  <w:r>
                    <w:rPr>
                      <w:rFonts w:hint="eastAsia" w:cs="Times New Roman"/>
                      <w:b w:val="0"/>
                      <w:color w:val="000000" w:themeColor="text1"/>
                      <w:kern w:val="0"/>
                      <w:sz w:val="21"/>
                      <w:szCs w:val="21"/>
                      <w:highlight w:val="none"/>
                      <w:lang w:val="en-US" w:eastAsia="zh-CN" w:bidi="ar-SA"/>
                      <w14:textFill>
                        <w14:solidFill>
                          <w14:schemeClr w14:val="tx1"/>
                        </w14:solidFill>
                      </w14:textFill>
                    </w:rPr>
                    <w:t>6</w:t>
                  </w:r>
                </w:p>
              </w:tc>
              <w:tc>
                <w:tcPr>
                  <w:tcW w:w="758"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危险废物</w:t>
                  </w:r>
                </w:p>
              </w:tc>
              <w:tc>
                <w:tcPr>
                  <w:tcW w:w="107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cs="Times New Roman"/>
                      <w:szCs w:val="21"/>
                      <w:vertAlign w:val="baseline"/>
                      <w:lang w:val="en-US" w:eastAsia="zh-CN"/>
                    </w:rPr>
                  </w:pPr>
                  <w:r>
                    <w:rPr>
                      <w:rFonts w:hint="eastAsia" w:cs="Times New Roman"/>
                      <w:szCs w:val="21"/>
                      <w:vertAlign w:val="baseline"/>
                      <w:lang w:val="en-US" w:eastAsia="zh-CN"/>
                    </w:rPr>
                    <w:t>废活性炭吸附废气</w:t>
                  </w:r>
                </w:p>
              </w:tc>
              <w:tc>
                <w:tcPr>
                  <w:tcW w:w="859"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3.024</w:t>
                  </w:r>
                </w:p>
              </w:tc>
              <w:tc>
                <w:tcPr>
                  <w:tcW w:w="2481"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由活性炭吸附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54" w:type="dxa"/>
                  <w:gridSpan w:val="2"/>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合计</w:t>
                  </w:r>
                </w:p>
              </w:tc>
              <w:tc>
                <w:tcPr>
                  <w:tcW w:w="927"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2052</w:t>
                  </w:r>
                </w:p>
              </w:tc>
              <w:tc>
                <w:tcPr>
                  <w:tcW w:w="540" w:type="dxa"/>
                  <w:tcBorders>
                    <w:tl2br w:val="nil"/>
                    <w:tr2bl w:val="nil"/>
                  </w:tcBorders>
                  <w:vAlign w:val="center"/>
                </w:tcPr>
                <w:p>
                  <w:pPr>
                    <w:keepNext w:val="0"/>
                    <w:keepLines w:val="0"/>
                    <w:widowControl w:val="0"/>
                    <w:suppressLineNumbers w:val="0"/>
                    <w:bidi w:val="0"/>
                    <w:adjustRightInd w:val="0"/>
                    <w:snapToGrid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w:t>
                  </w:r>
                </w:p>
              </w:tc>
              <w:tc>
                <w:tcPr>
                  <w:tcW w:w="1837" w:type="dxa"/>
                  <w:gridSpan w:val="2"/>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rPr>
                  </w:pPr>
                  <w:r>
                    <w:rPr>
                      <w:rFonts w:hint="default" w:ascii="Times New Roman" w:hAnsi="Times New Roman" w:eastAsia="宋体" w:cs="Times New Roman"/>
                      <w:b w:val="0"/>
                      <w:color w:val="000000" w:themeColor="text1"/>
                      <w:kern w:val="0"/>
                      <w:sz w:val="21"/>
                      <w:szCs w:val="21"/>
                      <w:highlight w:val="none"/>
                      <w:lang w:val="en-US" w:eastAsia="zh-CN" w:bidi="ar-SA"/>
                      <w14:textFill>
                        <w14:solidFill>
                          <w14:schemeClr w14:val="tx1"/>
                        </w14:solidFill>
                      </w14:textFill>
                    </w:rPr>
                    <w:t>/</w:t>
                  </w:r>
                </w:p>
              </w:tc>
              <w:tc>
                <w:tcPr>
                  <w:tcW w:w="85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default" w:ascii="Times New Roman" w:hAnsi="Times New Roman" w:eastAsia="宋体" w:cs="Times New Roman"/>
                      <w:szCs w:val="21"/>
                      <w:vertAlign w:val="baseline"/>
                      <w:lang w:val="en-US" w:eastAsia="zh-CN"/>
                    </w:rPr>
                    <w:t>2052</w:t>
                  </w:r>
                </w:p>
              </w:tc>
              <w:tc>
                <w:tcPr>
                  <w:tcW w:w="248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vertAlign w:val="baseline"/>
                      <w:lang w:val="en-US" w:eastAsia="zh-CN"/>
                    </w:rPr>
                  </w:pPr>
                  <w:r>
                    <w:rPr>
                      <w:rFonts w:hint="eastAsia" w:cs="Times New Roman"/>
                      <w:szCs w:val="21"/>
                      <w:vertAlign w:val="baseline"/>
                      <w:lang w:val="en-US" w:eastAsia="zh-CN"/>
                    </w:rPr>
                    <w:t>/</w:t>
                  </w:r>
                </w:p>
              </w:tc>
            </w:tr>
          </w:tbl>
          <w:p>
            <w:pPr>
              <w:keepNext w:val="0"/>
              <w:keepLines w:val="0"/>
              <w:suppressLineNumbers w:val="0"/>
              <w:spacing w:before="0" w:beforeAutospacing="0" w:after="0" w:afterAutospacing="0"/>
              <w:ind w:left="0" w:right="0"/>
              <w:rPr>
                <w:rFonts w:hint="default"/>
              </w:rPr>
            </w:pPr>
          </w:p>
          <w:p>
            <w:pPr>
              <w:pStyle w:val="4"/>
              <w:suppressLineNumbers w:val="0"/>
              <w:bidi w:val="0"/>
              <w:spacing w:beforeAutospacing="0" w:after="0" w:afterAutospacing="0"/>
              <w:ind w:left="720" w:leftChars="0" w:right="0" w:hanging="720" w:firstLineChars="0"/>
              <w:rPr>
                <w:rFonts w:hint="default"/>
              </w:rPr>
            </w:pPr>
            <w:bookmarkStart w:id="52" w:name="_Toc12900"/>
            <w:r>
              <w:rPr>
                <w:rFonts w:hint="eastAsia"/>
                <w:lang w:val="en-US" w:eastAsia="zh-CN"/>
              </w:rPr>
              <w:t>水平衡</w:t>
            </w:r>
            <w:bookmarkEnd w:id="52"/>
          </w:p>
          <w:p>
            <w:pPr>
              <w:pStyle w:val="43"/>
              <w:keepNext w:val="0"/>
              <w:keepLines w:val="0"/>
              <w:suppressLineNumbers w:val="0"/>
              <w:bidi w:val="0"/>
              <w:spacing w:before="0" w:beforeAutospacing="0" w:after="0" w:afterAutospacing="0"/>
              <w:ind w:left="0" w:right="0"/>
              <w:rPr>
                <w:rFonts w:hint="default"/>
                <w:lang w:val="en-US" w:eastAsia="zh-CN"/>
              </w:rPr>
            </w:pPr>
            <w:r>
              <w:rPr>
                <w:rFonts w:hint="default"/>
                <w:lang w:val="en-US" w:eastAsia="zh-CN"/>
              </w:rPr>
              <w:t>项目用水包括</w:t>
            </w:r>
            <w:r>
              <w:rPr>
                <w:rFonts w:hint="eastAsia"/>
                <w:lang w:val="en-US" w:eastAsia="zh-CN"/>
              </w:rPr>
              <w:t>循环冷却系统用水和生活用水</w:t>
            </w:r>
            <w:r>
              <w:rPr>
                <w:rFonts w:hint="default"/>
                <w:lang w:val="en-US" w:eastAsia="zh-CN"/>
              </w:rPr>
              <w:t>等。</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lang w:val="en-US" w:eastAsia="zh-CN"/>
              </w:rPr>
            </w:pP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（1）</w:t>
            </w:r>
            <w:r>
              <w:rPr>
                <w:rFonts w:hint="eastAsia" w:cs="Times New Roman"/>
                <w:lang w:val="en-US" w:eastAsia="zh-CN"/>
              </w:rPr>
              <w:t>循环冷却系统用水</w:t>
            </w:r>
          </w:p>
          <w:p>
            <w:pPr>
              <w:pStyle w:val="8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val="en-US"/>
              </w:rPr>
            </w:pP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注塑机冷却</w:t>
            </w:r>
            <w:r>
              <w:rPr>
                <w:rFonts w:hint="eastAsia" w:cs="Times New Roman"/>
                <w:b w:val="0"/>
                <w:bCs w:val="0"/>
                <w:color w:val="000000" w:themeColor="text1"/>
                <w:sz w:val="24"/>
                <w:lang w:val="en-US" w:eastAsia="zh-CN"/>
                <w14:textFill>
                  <w14:solidFill>
                    <w14:schemeClr w14:val="tx1"/>
                  </w14:solidFill>
                </w14:textFill>
              </w:rPr>
              <w:t>水用量约3t</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/d</w:t>
            </w:r>
            <w:r>
              <w:rPr>
                <w:rFonts w:hint="eastAsia" w:cs="Times New Roman"/>
                <w:b w:val="0"/>
                <w:bCs w:val="0"/>
                <w:color w:val="000000" w:themeColor="text1"/>
                <w:sz w:val="24"/>
                <w:lang w:val="en-US" w:eastAsia="zh-CN"/>
                <w14:textFill>
                  <w14:solidFill>
                    <w14:schemeClr w14:val="tx1"/>
                  </w14:solidFill>
                </w14:textFill>
              </w:rPr>
              <w:t>（900t/a）</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，冷却水经</w:t>
            </w:r>
            <w:r>
              <w:rPr>
                <w:rFonts w:hint="eastAsia" w:cs="Times New Roman"/>
                <w:b w:val="0"/>
                <w:bCs w:val="0"/>
                <w:color w:val="000000" w:themeColor="text1"/>
                <w:sz w:val="24"/>
                <w:lang w:val="en-US" w:eastAsia="zh-CN"/>
                <w14:textFill>
                  <w14:solidFill>
                    <w14:schemeClr w14:val="tx1"/>
                  </w14:solidFill>
                </w14:textFill>
              </w:rPr>
              <w:t>冷却</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后循环使用，</w:t>
            </w:r>
            <w:r>
              <w:rPr>
                <w:rFonts w:hint="eastAsia" w:cs="Times New Roman"/>
                <w:b w:val="0"/>
                <w:bCs w:val="0"/>
                <w:color w:val="000000" w:themeColor="text1"/>
                <w:sz w:val="24"/>
                <w:lang w:val="en-US" w:eastAsia="zh-CN"/>
                <w14:textFill>
                  <w14:solidFill>
                    <w14:schemeClr w14:val="tx1"/>
                  </w14:solidFill>
                </w14:textFill>
              </w:rPr>
              <w:t>不外排。损耗率为3%，则</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补充损耗</w:t>
            </w:r>
            <w:r>
              <w:rPr>
                <w:rFonts w:hint="eastAsia" w:cs="Times New Roman"/>
                <w:b w:val="0"/>
                <w:bCs w:val="0"/>
                <w:color w:val="000000" w:themeColor="text1"/>
                <w:sz w:val="24"/>
                <w:lang w:val="en-US" w:eastAsia="zh-CN"/>
                <w14:textFill>
                  <w14:solidFill>
                    <w14:schemeClr w14:val="tx1"/>
                  </w14:solidFill>
                </w14:textFill>
              </w:rPr>
              <w:t>量为0.09t/d（27t/a）。</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生活</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用水</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本项目给水主要用于职工生产期间卫生用水，项目职工定员</w:t>
            </w:r>
            <w:r>
              <w:rPr>
                <w:rFonts w:hint="eastAsia" w:cs="Times New Roman"/>
                <w:lang w:val="en-US" w:eastAsia="zh-CN"/>
              </w:rPr>
              <w:t>10</w:t>
            </w:r>
            <w:r>
              <w:rPr>
                <w:rFonts w:hint="default" w:ascii="Times New Roman" w:hAnsi="Times New Roman" w:eastAsia="宋体" w:cs="Times New Roman"/>
              </w:rPr>
              <w:t>人，均</w:t>
            </w:r>
            <w:r>
              <w:rPr>
                <w:rFonts w:hint="eastAsia" w:cs="Times New Roman"/>
                <w:lang w:val="en-US" w:eastAsia="zh-CN"/>
              </w:rPr>
              <w:t>不</w:t>
            </w:r>
            <w:r>
              <w:rPr>
                <w:rFonts w:hint="default" w:ascii="Times New Roman" w:hAnsi="Times New Roman" w:eastAsia="宋体" w:cs="Times New Roman"/>
              </w:rPr>
              <w:t>住厂，根据《建筑给水排水设计标准》(GB50015-2019)，本项目</w:t>
            </w:r>
            <w:r>
              <w:rPr>
                <w:rFonts w:hint="eastAsia" w:cs="Times New Roman"/>
                <w:lang w:val="en-US" w:eastAsia="zh-CN"/>
              </w:rPr>
              <w:t>不</w:t>
            </w:r>
            <w:r>
              <w:rPr>
                <w:rFonts w:hint="default" w:ascii="Times New Roman" w:hAnsi="Times New Roman" w:eastAsia="宋体" w:cs="Times New Roman"/>
              </w:rPr>
              <w:t>住宿员工用水量按</w:t>
            </w:r>
            <w:r>
              <w:rPr>
                <w:rFonts w:hint="eastAsia" w:cs="Times New Roman"/>
                <w:lang w:val="en-US" w:eastAsia="zh-CN"/>
              </w:rPr>
              <w:t>50</w:t>
            </w:r>
            <w:r>
              <w:rPr>
                <w:rFonts w:hint="default" w:ascii="Times New Roman" w:hAnsi="Times New Roman" w:eastAsia="宋体" w:cs="Times New Roman"/>
              </w:rPr>
              <w:t>L/人·d计，工作</w:t>
            </w:r>
            <w:r>
              <w:rPr>
                <w:rFonts w:hint="default" w:ascii="Times New Roman" w:hAnsi="Times New Roman" w:eastAsia="宋体" w:cs="Times New Roman"/>
                <w:color w:val="auto"/>
              </w:rPr>
              <w:t>300天，则年用水量为</w:t>
            </w:r>
            <w:r>
              <w:rPr>
                <w:rFonts w:hint="eastAsia" w:cs="Times New Roman"/>
                <w:color w:val="auto"/>
                <w:lang w:val="en-US" w:eastAsia="zh-CN"/>
              </w:rPr>
              <w:t>150</w:t>
            </w:r>
            <w:r>
              <w:rPr>
                <w:rFonts w:hint="default" w:ascii="Times New Roman" w:hAnsi="Times New Roman" w:eastAsia="宋体" w:cs="Times New Roman"/>
                <w:color w:val="auto"/>
              </w:rPr>
              <w:t>t/a(</w:t>
            </w:r>
            <w:r>
              <w:rPr>
                <w:rFonts w:hint="eastAsia" w:cs="Times New Roman"/>
                <w:color w:val="auto"/>
                <w:lang w:val="en-US" w:eastAsia="zh-CN"/>
              </w:rPr>
              <w:t>0.5</w:t>
            </w:r>
            <w:r>
              <w:rPr>
                <w:rFonts w:hint="default" w:ascii="Times New Roman" w:hAnsi="Times New Roman" w:eastAsia="宋体" w:cs="Times New Roman"/>
                <w:color w:val="auto"/>
              </w:rPr>
              <w:t>t/d)，排污系数取0.8，则生活污水排放量</w:t>
            </w:r>
            <w:r>
              <w:rPr>
                <w:rFonts w:hint="eastAsia" w:cs="Times New Roman"/>
                <w:color w:val="auto"/>
                <w:lang w:val="en-US" w:eastAsia="zh-CN"/>
              </w:rPr>
              <w:t>120</w:t>
            </w:r>
            <w:r>
              <w:rPr>
                <w:rFonts w:hint="default" w:ascii="Times New Roman" w:hAnsi="Times New Roman" w:eastAsia="宋体" w:cs="Times New Roman"/>
                <w:color w:val="auto"/>
              </w:rPr>
              <w:t>t/a(</w:t>
            </w:r>
            <w:r>
              <w:rPr>
                <w:rFonts w:hint="eastAsia" w:cs="Times New Roman"/>
                <w:color w:val="auto"/>
                <w:lang w:val="en-US" w:eastAsia="zh-CN"/>
              </w:rPr>
              <w:t>0.4</w:t>
            </w:r>
            <w:r>
              <w:rPr>
                <w:rFonts w:hint="default" w:ascii="Times New Roman" w:hAnsi="Times New Roman" w:eastAsia="宋体" w:cs="Times New Roman"/>
                <w:color w:val="auto"/>
              </w:rPr>
              <w:t>t/d)，生活污水经厂内化粪池预处理后，</w:t>
            </w:r>
            <w:r>
              <w:rPr>
                <w:rFonts w:hint="eastAsia" w:cs="Times New Roman"/>
                <w:color w:val="auto"/>
                <w:lang w:val="en-US" w:eastAsia="zh-CN"/>
              </w:rPr>
              <w:t>经</w:t>
            </w:r>
            <w:r>
              <w:rPr>
                <w:rFonts w:hint="default" w:ascii="Times New Roman" w:hAnsi="Times New Roman" w:eastAsia="宋体" w:cs="Times New Roman"/>
                <w:color w:val="auto"/>
              </w:rPr>
              <w:t>市政污水管网纳入</w:t>
            </w:r>
            <w:r>
              <w:rPr>
                <w:rFonts w:hint="eastAsia" w:cs="Times New Roman"/>
                <w:color w:val="auto"/>
                <w:lang w:val="en-US" w:eastAsia="zh-CN"/>
              </w:rPr>
              <w:t>连江</w:t>
            </w:r>
            <w:r>
              <w:rPr>
                <w:rFonts w:hint="default" w:ascii="Times New Roman" w:hAnsi="Times New Roman" w:eastAsia="宋体" w:cs="Times New Roman"/>
                <w:color w:val="auto"/>
              </w:rPr>
              <w:t>县污水处理厂处理，</w:t>
            </w:r>
            <w:r>
              <w:rPr>
                <w:rFonts w:hint="default" w:ascii="Times New Roman" w:hAnsi="Times New Roman" w:eastAsia="宋体" w:cs="Times New Roman"/>
              </w:rPr>
              <w:t>达标后排放。</w:t>
            </w:r>
          </w:p>
          <w:p>
            <w:pPr>
              <w:pStyle w:val="43"/>
              <w:ind w:firstLine="480" w:firstLineChars="200"/>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pPr>
            <w:r>
              <w:rPr>
                <w:rFonts w:hint="eastAsia" w:cs="Times New Roman"/>
                <w:sz w:val="24"/>
                <w:szCs w:val="24"/>
                <w:lang w:val="en-US" w:eastAsia="zh-CN"/>
              </w:rPr>
              <w:t>涉及商业机密</w:t>
            </w:r>
          </w:p>
          <w:p>
            <w:pPr>
              <w:pStyle w:val="45"/>
              <w:keepNext w:val="0"/>
              <w:keepLines w:val="0"/>
              <w:suppressLineNumbers w:val="0"/>
              <w:bidi w:val="0"/>
              <w:spacing w:before="0" w:beforeAutospacing="0" w:after="0" w:afterAutospacing="0"/>
              <w:ind w:right="0"/>
              <w:rPr>
                <w:rFonts w:hint="eastAsia" w:ascii="Times New Roman" w:hAnsi="Times New Roman" w:cs="Times New Roman"/>
                <w:color w:val="auto"/>
              </w:rPr>
            </w:pPr>
            <w:bookmarkStart w:id="53" w:name="_Ref17798"/>
            <w:r>
              <w:rPr>
                <w:rFonts w:hint="eastAsia"/>
                <w:color w:val="auto"/>
              </w:rPr>
              <w:t>项目水平衡图</w:t>
            </w:r>
            <w:r>
              <w:rPr>
                <w:rFonts w:hint="eastAsia"/>
                <w:color w:val="auto"/>
                <w:lang w:val="en-US" w:eastAsia="zh-CN"/>
              </w:rPr>
              <w:t xml:space="preserve">  单位：</w:t>
            </w:r>
            <w:r>
              <w:rPr>
                <w:rFonts w:hint="eastAsia"/>
                <w:color w:val="auto"/>
              </w:rPr>
              <w:t>t/d</w:t>
            </w:r>
            <w:bookmarkEnd w:id="53"/>
          </w:p>
          <w:p>
            <w:pPr>
              <w:pStyle w:val="3"/>
              <w:keepNext w:val="0"/>
              <w:keepLines w:val="0"/>
              <w:suppressLineNumbers w:val="0"/>
              <w:bidi w:val="0"/>
              <w:spacing w:before="0" w:beforeAutospacing="0" w:after="0" w:afterAutospacing="0"/>
              <w:ind w:left="0" w:leftChars="0" w:right="0" w:firstLine="0" w:firstLineChars="0"/>
              <w:rPr>
                <w:rFonts w:hint="default"/>
              </w:rPr>
            </w:pPr>
            <w:bookmarkStart w:id="54" w:name="_Toc19550"/>
            <w:bookmarkStart w:id="55" w:name="_Toc13277"/>
            <w:r>
              <w:rPr>
                <w:rFonts w:hint="eastAsia"/>
                <w:lang w:val="en-US" w:eastAsia="zh-CN"/>
              </w:rPr>
              <w:t>供电</w:t>
            </w:r>
            <w:bookmarkEnd w:id="54"/>
            <w:bookmarkEnd w:id="55"/>
          </w:p>
          <w:p>
            <w:pPr>
              <w:pStyle w:val="83"/>
              <w:keepNext w:val="0"/>
              <w:keepLines w:val="0"/>
              <w:suppressLineNumbers w:val="0"/>
              <w:spacing w:before="0" w:beforeAutospacing="0" w:after="0" w:afterAutospacing="0"/>
              <w:ind w:left="0" w:right="0" w:firstLine="480"/>
              <w:rPr>
                <w:rFonts w:hint="default" w:ascii="Times New Roman" w:hAnsi="Times New Roman" w:eastAsia="宋体" w:cs="Times New Roman"/>
                <w:color w:val="000000" w:themeColor="text1"/>
                <w:highlight w:val="none"/>
                <w14:textFill>
                  <w14:solidFill>
                    <w14:schemeClr w14:val="tx1"/>
                  </w14:solidFill>
                </w14:textFill>
              </w:rPr>
            </w:pPr>
            <w:r>
              <w:rPr>
                <w:rFonts w:hint="default" w:ascii="Times New Roman" w:hAnsi="Times New Roman" w:eastAsia="宋体" w:cs="Times New Roman"/>
                <w:color w:val="000000" w:themeColor="text1"/>
                <w:highlight w:val="none"/>
                <w14:textFill>
                  <w14:solidFill>
                    <w14:schemeClr w14:val="tx1"/>
                  </w14:solidFill>
                </w14:textFill>
              </w:rPr>
              <w:t>本项目供电依托</w:t>
            </w:r>
            <w:r>
              <w:rPr>
                <w:rFonts w:hint="default" w:ascii="Times New Roman" w:hAnsi="Times New Roman" w:eastAsia="宋体" w:cs="Times New Roman"/>
                <w:color w:val="000000" w:themeColor="text1"/>
                <w:highlight w:val="none"/>
                <w:lang w:val="en-US" w:eastAsia="zh-CN"/>
                <w14:textFill>
                  <w14:solidFill>
                    <w14:schemeClr w14:val="tx1"/>
                  </w14:solidFill>
                </w14:textFill>
              </w:rPr>
              <w:t>市政</w:t>
            </w:r>
            <w:r>
              <w:rPr>
                <w:rFonts w:hint="default" w:ascii="Times New Roman" w:hAnsi="Times New Roman" w:eastAsia="宋体" w:cs="Times New Roman"/>
                <w:color w:val="000000" w:themeColor="text1"/>
                <w:highlight w:val="none"/>
                <w14:textFill>
                  <w14:solidFill>
                    <w14:schemeClr w14:val="tx1"/>
                  </w14:solidFill>
                </w14:textFill>
              </w:rPr>
              <w:t>电网供电，项目耗电约</w:t>
            </w:r>
            <w:r>
              <w:rPr>
                <w:rFonts w:hint="eastAsia" w:cs="Times New Roman"/>
                <w:color w:val="000000" w:themeColor="text1"/>
                <w:highlight w:val="none"/>
                <w:lang w:val="en-US" w:eastAsia="zh-CN"/>
                <w14:textFill>
                  <w14:solidFill>
                    <w14:schemeClr w14:val="tx1"/>
                  </w14:solidFill>
                </w14:textFill>
              </w:rPr>
              <w:t>66.67</w:t>
            </w:r>
            <w:r>
              <w:rPr>
                <w:rFonts w:hint="default" w:ascii="Times New Roman" w:hAnsi="Times New Roman" w:eastAsia="宋体" w:cs="Times New Roman"/>
                <w:color w:val="000000" w:themeColor="text1"/>
                <w:highlight w:val="none"/>
                <w14:textFill>
                  <w14:solidFill>
                    <w14:schemeClr w14:val="tx1"/>
                  </w14:solidFill>
                </w14:textFill>
              </w:rPr>
              <w:t>万kWh/a。</w:t>
            </w:r>
          </w:p>
          <w:p>
            <w:pPr>
              <w:pStyle w:val="3"/>
              <w:keepNext w:val="0"/>
              <w:keepLines w:val="0"/>
              <w:suppressLineNumbers w:val="0"/>
              <w:bidi w:val="0"/>
              <w:spacing w:before="0" w:beforeAutospacing="0" w:after="0" w:afterAutospacing="0"/>
              <w:ind w:left="0" w:leftChars="0" w:right="0" w:firstLine="0" w:firstLineChars="0"/>
              <w:rPr>
                <w:rFonts w:hint="default"/>
                <w:lang w:val="en-US" w:eastAsia="zh-CN"/>
              </w:rPr>
            </w:pPr>
            <w:r>
              <w:rPr>
                <w:rFonts w:hint="eastAsia"/>
                <w:lang w:val="en-US" w:eastAsia="zh-CN"/>
              </w:rPr>
              <w:t>供水</w:t>
            </w:r>
          </w:p>
          <w:p>
            <w:pPr>
              <w:pStyle w:val="83"/>
              <w:keepNext w:val="0"/>
              <w:keepLines w:val="0"/>
              <w:suppressLineNumbers w:val="0"/>
              <w:spacing w:before="0" w:beforeAutospacing="0" w:after="0" w:afterAutospacing="0"/>
              <w:ind w:left="0" w:right="0" w:firstLine="480"/>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本项目由市政供水，项目耗水量约177</w:t>
            </w:r>
            <w:r>
              <w:rPr>
                <w:rFonts w:hint="default" w:cs="Times New Roman"/>
                <w:color w:val="000000" w:themeColor="text1"/>
                <w:highlight w:val="none"/>
                <w:lang w:val="en-US" w:eastAsia="zh-CN"/>
                <w14:textFill>
                  <w14:solidFill>
                    <w14:schemeClr w14:val="tx1"/>
                  </w14:solidFill>
                </w14:textFill>
              </w:rPr>
              <w:t>t</w:t>
            </w:r>
            <w:r>
              <w:rPr>
                <w:rFonts w:hint="eastAsia" w:cs="Times New Roman"/>
                <w:color w:val="000000" w:themeColor="text1"/>
                <w:highlight w:val="none"/>
                <w:lang w:val="en-US" w:eastAsia="zh-CN"/>
                <w14:textFill>
                  <w14:solidFill>
                    <w14:schemeClr w14:val="tx1"/>
                  </w14:solidFill>
                </w14:textFill>
              </w:rPr>
              <w:t>/a。</w:t>
            </w:r>
          </w:p>
          <w:p>
            <w:pPr>
              <w:pStyle w:val="83"/>
              <w:keepNext w:val="0"/>
              <w:keepLines w:val="0"/>
              <w:suppressLineNumbers w:val="0"/>
              <w:spacing w:before="0" w:beforeAutospacing="0" w:after="0" w:afterAutospacing="0"/>
              <w:ind w:left="0" w:leftChars="0" w:right="0" w:firstLine="0" w:firstLineChars="0"/>
              <w:rPr>
                <w:rFonts w:hint="default" w:ascii="Times New Roman" w:hAnsi="Times New Roman"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0" w:hRule="atLeast"/>
          <w:jc w:val="center"/>
        </w:trPr>
        <w:tc>
          <w:tcPr>
            <w:tcW w:w="727" w:type="dxa"/>
            <w:noWrap w:val="0"/>
            <w:vAlign w:val="center"/>
          </w:tcPr>
          <w:p>
            <w:pPr>
              <w:pStyle w:val="29"/>
              <w:keepNext w:val="0"/>
              <w:keepLines w:val="0"/>
              <w:suppressLineNumbers w:val="0"/>
              <w:adjustRightInd w:val="0"/>
              <w:snapToGrid w:val="0"/>
              <w:spacing w:before="0" w:beforeAutospacing="0" w:after="0" w:afterAutospacing="0"/>
              <w:ind w:left="0" w:right="0"/>
              <w:jc w:val="center"/>
              <w:rPr>
                <w:rFonts w:hint="default" w:cs="宋体"/>
                <w:sz w:val="21"/>
                <w:szCs w:val="21"/>
              </w:rPr>
            </w:pPr>
            <w:r>
              <w:rPr>
                <w:rFonts w:hint="eastAsia" w:cs="宋体"/>
                <w:sz w:val="21"/>
                <w:szCs w:val="21"/>
              </w:rPr>
              <w:t>工艺流程和产排污环节</w:t>
            </w:r>
          </w:p>
        </w:tc>
        <w:tc>
          <w:tcPr>
            <w:tcW w:w="8333" w:type="dxa"/>
            <w:noWrap w:val="0"/>
            <w:vAlign w:val="top"/>
          </w:tcPr>
          <w:p>
            <w:pPr>
              <w:pStyle w:val="3"/>
              <w:keepNext w:val="0"/>
              <w:keepLines w:val="0"/>
              <w:suppressLineNumbers w:val="0"/>
              <w:bidi w:val="0"/>
              <w:spacing w:before="0" w:beforeAutospacing="0" w:after="0" w:afterAutospacing="0"/>
              <w:ind w:left="0" w:leftChars="0" w:right="0" w:firstLine="0" w:firstLineChars="0"/>
              <w:rPr>
                <w:rFonts w:hint="default"/>
              </w:rPr>
            </w:pPr>
            <w:bookmarkStart w:id="56" w:name="_Toc2298"/>
            <w:bookmarkStart w:id="57" w:name="_Toc31691"/>
            <w:bookmarkStart w:id="58" w:name="_Toc6703"/>
            <w:bookmarkStart w:id="59" w:name="_Toc30849"/>
            <w:bookmarkStart w:id="60" w:name="_Toc20890"/>
            <w:bookmarkStart w:id="61" w:name="_Toc19480"/>
            <w:r>
              <w:rPr>
                <w:rFonts w:hint="default"/>
              </w:rPr>
              <w:t>主要工艺流程及产污环节</w:t>
            </w:r>
            <w:bookmarkEnd w:id="56"/>
            <w:bookmarkEnd w:id="57"/>
            <w:bookmarkEnd w:id="58"/>
            <w:bookmarkEnd w:id="59"/>
            <w:bookmarkEnd w:id="60"/>
            <w:bookmarkEnd w:id="61"/>
          </w:p>
          <w:p>
            <w:pPr>
              <w:pStyle w:val="4"/>
              <w:suppressLineNumbers w:val="0"/>
              <w:bidi w:val="0"/>
              <w:spacing w:before="0" w:beforeAutospacing="0" w:after="0" w:afterAutospacing="0"/>
              <w:ind w:left="720" w:leftChars="0" w:right="0" w:hanging="720" w:firstLineChars="0"/>
              <w:rPr>
                <w:rFonts w:hint="default"/>
              </w:rPr>
            </w:pPr>
            <w:bookmarkStart w:id="62" w:name="_Toc7212"/>
            <w:r>
              <w:rPr>
                <w:rFonts w:hint="default"/>
              </w:rPr>
              <w:t>工艺流程及产污环节</w:t>
            </w:r>
            <w:bookmarkEnd w:id="62"/>
          </w:p>
          <w:p>
            <w:pPr>
              <w:pStyle w:val="43"/>
              <w:keepNext w:val="0"/>
              <w:keepLines w:val="0"/>
              <w:suppressLineNumbers w:val="0"/>
              <w:spacing w:before="0" w:beforeAutospacing="0" w:after="0" w:afterAutospacing="0"/>
              <w:ind w:left="0" w:right="0" w:firstLine="480"/>
              <w:rPr>
                <w:rFonts w:hint="eastAsia" w:ascii="Times New Roman" w:hAnsi="Times New Roman" w:cs="Times New Roman"/>
              </w:rPr>
            </w:pPr>
            <w:r>
              <w:rPr>
                <w:rFonts w:hint="eastAsia" w:cs="Times New Roman"/>
                <w:lang w:val="en-US" w:eastAsia="zh-CN"/>
              </w:rPr>
              <w:t>本项目生产工艺</w:t>
            </w:r>
            <w:r>
              <w:rPr>
                <w:rFonts w:hint="eastAsia" w:ascii="Times New Roman" w:hAnsi="Times New Roman" w:cs="Times New Roman"/>
              </w:rPr>
              <w:t>流程如下：</w:t>
            </w:r>
          </w:p>
          <w:p>
            <w:pPr>
              <w:pStyle w:val="43"/>
              <w:keepNext w:val="0"/>
              <w:keepLines w:val="0"/>
              <w:suppressLineNumbers w:val="0"/>
              <w:spacing w:before="0" w:beforeAutospacing="0" w:after="0" w:afterAutospacing="0"/>
              <w:ind w:left="0" w:right="0" w:firstLine="480" w:firstLineChars="200"/>
              <w:jc w:val="both"/>
              <w:rPr>
                <w:rFonts w:hint="eastAsia" w:ascii="Times New Roman" w:hAnsi="Times New Roman" w:eastAsia="宋体" w:cs="Times New Roman"/>
                <w:lang w:eastAsia="zh-CN"/>
              </w:rPr>
            </w:pPr>
            <w:r>
              <w:rPr>
                <w:rFonts w:hint="eastAsia" w:cs="Times New Roman"/>
                <w:sz w:val="24"/>
                <w:szCs w:val="24"/>
                <w:lang w:val="en-US" w:eastAsia="zh-CN"/>
              </w:rPr>
              <w:t>涉及商业机密</w:t>
            </w:r>
          </w:p>
          <w:p>
            <w:pPr>
              <w:pStyle w:val="45"/>
              <w:keepNext w:val="0"/>
              <w:keepLines w:val="0"/>
              <w:suppressLineNumbers w:val="0"/>
              <w:bidi w:val="0"/>
              <w:spacing w:before="0" w:beforeAutospacing="0" w:after="0" w:afterAutospacing="0"/>
              <w:ind w:right="0"/>
              <w:rPr>
                <w:rFonts w:hint="default"/>
              </w:rPr>
            </w:pPr>
            <w:r>
              <w:rPr>
                <w:rFonts w:hint="eastAsia"/>
              </w:rPr>
              <w:t>项目生产工艺流程及产污环节图</w:t>
            </w:r>
          </w:p>
          <w:p>
            <w:pPr>
              <w:keepNext w:val="0"/>
              <w:keepLines w:val="0"/>
              <w:suppressLineNumbers w:val="0"/>
              <w:spacing w:before="0" w:beforeAutospacing="0" w:after="0" w:afterAutospacing="0"/>
              <w:ind w:left="0" w:right="0"/>
              <w:rPr>
                <w:rFonts w:hint="default"/>
              </w:rPr>
            </w:pPr>
          </w:p>
          <w:p>
            <w:pPr>
              <w:pStyle w:val="43"/>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工艺说明：</w:t>
            </w:r>
          </w:p>
          <w:p>
            <w:pPr>
              <w:pStyle w:val="43"/>
              <w:keepNext w:val="0"/>
              <w:keepLines w:val="0"/>
              <w:numPr>
                <w:ilvl w:val="0"/>
                <w:numId w:val="5"/>
              </w:numPr>
              <w:suppressLineNumbers w:val="0"/>
              <w:spacing w:before="0" w:beforeAutospacing="0" w:after="0" w:afterAutospacing="0" w:line="360" w:lineRule="auto"/>
              <w:ind w:left="0" w:right="0" w:firstLine="480"/>
              <w:rPr>
                <w:rFonts w:hint="default" w:ascii="Times New Roman" w:hAnsi="Times New Roman" w:eastAsia="宋体" w:cs="Times New Roman"/>
                <w:lang w:val="en-US"/>
              </w:rPr>
            </w:pPr>
            <w:r>
              <w:rPr>
                <w:rFonts w:hint="eastAsia" w:cs="Times New Roman"/>
                <w:lang w:val="en-US" w:eastAsia="zh-CN"/>
              </w:rPr>
              <w:t>原料贮存、投料、搅拌</w:t>
            </w:r>
          </w:p>
          <w:p>
            <w:pPr>
              <w:keepNext w:val="0"/>
              <w:keepLines w:val="0"/>
              <w:suppressLineNumbers w:val="0"/>
              <w:spacing w:before="0" w:beforeAutospacing="0" w:after="0" w:afterAutospacing="0" w:line="360" w:lineRule="auto"/>
              <w:ind w:left="0" w:right="0" w:firstLine="48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原料进场均为袋装，开包拆除原料的包装封口线，由人工将外购的</w:t>
            </w:r>
            <w:r>
              <w:rPr>
                <w:rFonts w:hint="eastAsia"/>
                <w:color w:val="000000" w:themeColor="text1"/>
                <w:sz w:val="24"/>
                <w:lang w:val="en-US" w:eastAsia="zh-CN"/>
                <w14:textFill>
                  <w14:solidFill>
                    <w14:schemeClr w14:val="tx1"/>
                  </w14:solidFill>
                </w14:textFill>
              </w:rPr>
              <w:t>PP粒料、PE粒料</w:t>
            </w:r>
            <w:r>
              <w:rPr>
                <w:rFonts w:hint="eastAsia"/>
                <w:color w:val="000000" w:themeColor="text1"/>
                <w:sz w:val="24"/>
                <w14:textFill>
                  <w14:solidFill>
                    <w14:schemeClr w14:val="tx1"/>
                  </w14:solidFill>
                </w14:textFill>
              </w:rPr>
              <w:t>和色母根据产品需求按照一定的比例投入料仓，经真空泵抽吸至密闭</w:t>
            </w:r>
            <w:r>
              <w:rPr>
                <w:rFonts w:hint="eastAsia"/>
                <w:color w:val="000000" w:themeColor="text1"/>
                <w:sz w:val="24"/>
                <w:lang w:val="en-US" w:eastAsia="zh-CN"/>
                <w14:textFill>
                  <w14:solidFill>
                    <w14:schemeClr w14:val="tx1"/>
                  </w14:solidFill>
                </w14:textFill>
              </w:rPr>
              <w:t>混料机</w:t>
            </w:r>
            <w:r>
              <w:rPr>
                <w:rFonts w:hint="eastAsia"/>
                <w:color w:val="000000" w:themeColor="text1"/>
                <w:sz w:val="24"/>
                <w14:textFill>
                  <w14:solidFill>
                    <w14:schemeClr w14:val="tx1"/>
                  </w14:solidFill>
                </w14:textFill>
              </w:rPr>
              <w:t>内搅拌均匀。原料为颗粒状，粒径在2-5mm，因其粒径较大，搅拌过程为全封闭，因此在投料、搅拌过程中基本不会产生粉尘。</w:t>
            </w:r>
          </w:p>
          <w:p>
            <w:pPr>
              <w:keepNext w:val="0"/>
              <w:keepLines w:val="0"/>
              <w:suppressLineNumbers w:val="0"/>
              <w:spacing w:before="0" w:beforeAutospacing="0" w:after="0" w:afterAutospacing="0" w:line="360" w:lineRule="auto"/>
              <w:ind w:left="0" w:right="0" w:firstLine="480"/>
              <w:rPr>
                <w:rFonts w:hint="eastAsia"/>
                <w:color w:val="000000" w:themeColor="text1"/>
                <w:sz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该工序会产生设备噪声N</w:t>
            </w:r>
            <w:r>
              <w:rPr>
                <w:rFonts w:hint="eastAsia"/>
                <w:color w:val="000000" w:themeColor="text1"/>
                <w:sz w:val="24"/>
                <w14:textFill>
                  <w14:solidFill>
                    <w14:schemeClr w14:val="tx1"/>
                  </w14:solidFill>
                </w14:textFill>
              </w:rPr>
              <w:t>、废包装</w:t>
            </w:r>
            <w:r>
              <w:rPr>
                <w:rFonts w:hint="eastAsia"/>
                <w:color w:val="000000" w:themeColor="text1"/>
                <w:sz w:val="24"/>
                <w:lang w:val="en-US" w:eastAsia="zh-CN"/>
                <w14:textFill>
                  <w14:solidFill>
                    <w14:schemeClr w14:val="tx1"/>
                  </w14:solidFill>
                </w14:textFill>
              </w:rPr>
              <w:t>材料（包装袋、纸箱）S</w:t>
            </w:r>
            <w:r>
              <w:rPr>
                <w:rFonts w:hint="eastAsia"/>
                <w:color w:val="000000" w:themeColor="text1"/>
                <w:sz w:val="24"/>
                <w:vertAlign w:val="subscript"/>
                <w:lang w:val="en-US" w:eastAsia="zh-CN"/>
                <w14:textFill>
                  <w14:solidFill>
                    <w14:schemeClr w14:val="tx1"/>
                  </w14:solidFill>
                </w14:textFill>
              </w:rPr>
              <w:t>1</w:t>
            </w:r>
            <w:r>
              <w:rPr>
                <w:rFonts w:hint="eastAsia"/>
                <w:color w:val="000000" w:themeColor="text1"/>
                <w:sz w:val="24"/>
                <w14:textFill>
                  <w14:solidFill>
                    <w14:schemeClr w14:val="tx1"/>
                  </w14:solidFill>
                </w14:textFill>
              </w:rPr>
              <w:t>。</w:t>
            </w:r>
          </w:p>
          <w:p>
            <w:pPr>
              <w:pStyle w:val="43"/>
              <w:keepNext w:val="0"/>
              <w:keepLines w:val="0"/>
              <w:numPr>
                <w:ilvl w:val="0"/>
                <w:numId w:val="5"/>
              </w:numPr>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eastAsia" w:cs="Times New Roman"/>
                <w:lang w:val="en-US" w:eastAsia="zh-CN"/>
              </w:rPr>
              <w:t>送料、注塑生产工序</w:t>
            </w:r>
          </w:p>
          <w:p>
            <w:pPr>
              <w:pStyle w:val="43"/>
              <w:keepNext w:val="0"/>
              <w:keepLines w:val="0"/>
              <w:suppressLineNumbers w:val="0"/>
              <w:spacing w:before="0" w:beforeAutospacing="0" w:after="0" w:afterAutospacing="0" w:line="360" w:lineRule="auto"/>
              <w:ind w:left="0" w:right="0" w:firstLine="480"/>
              <w:rPr>
                <w:rFonts w:hint="eastAsia"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本项目采用自动注塑机，原料经配比混合后由送料机送入注塑机，在注塑机一端的模具内挤出成型。注塑机料斗里的粒状塑料落进料筒加料口，加料口的料筒和旋转螺杆需提前15min进行预热，温度控制在180~210℃。</w:t>
            </w:r>
          </w:p>
          <w:p>
            <w:pPr>
              <w:pStyle w:val="43"/>
              <w:keepNext w:val="0"/>
              <w:keepLines w:val="0"/>
              <w:suppressLineNumbers w:val="0"/>
              <w:spacing w:before="0" w:beforeAutospacing="0" w:after="0" w:afterAutospacing="0" w:line="360" w:lineRule="auto"/>
              <w:ind w:left="0" w:right="0" w:firstLine="480"/>
              <w:rPr>
                <w:rFonts w:hint="eastAsia"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注塑机内的旋转螺杆将熔融塑料推送到螺杆头前段，后经注射油缸推动，螺杆前移，止退环受注塑力的反作用将止退环后退封住螺杆螺槽，防止熔融塑料逆向流动，从而将熔融塑料推出喷嘴口射入模具，注射时间持续5min；注射完成后，原料在模具内进行二段保压，保压压力及时间分别为8MPa/1min、8MPa/2min。</w:t>
            </w:r>
          </w:p>
          <w:p>
            <w:pPr>
              <w:pStyle w:val="43"/>
              <w:keepNext w:val="0"/>
              <w:keepLines w:val="0"/>
              <w:suppressLineNumbers w:val="0"/>
              <w:spacing w:before="0" w:beforeAutospacing="0" w:after="0" w:afterAutospacing="0" w:line="360" w:lineRule="auto"/>
              <w:ind w:left="0" w:right="0" w:firstLine="480"/>
              <w:rPr>
                <w:rFonts w:hint="eastAsia"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产品在模具内成型后，通过外接水管将冷却水引入内置冷却水道进行间接冷却，冷却水使用后由模具箱底部出水口排出进入循环冷却水系统。</w:t>
            </w:r>
          </w:p>
          <w:p>
            <w:pPr>
              <w:pStyle w:val="43"/>
              <w:keepNext w:val="0"/>
              <w:keepLines w:val="0"/>
              <w:suppressLineNumbers w:val="0"/>
              <w:spacing w:before="0" w:beforeAutospacing="0" w:after="0" w:afterAutospacing="0" w:line="360" w:lineRule="auto"/>
              <w:ind w:left="0" w:right="0" w:firstLine="480"/>
              <w:rPr>
                <w:rFonts w:hint="default"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该工序会产生注塑废气G</w:t>
            </w:r>
            <w:r>
              <w:rPr>
                <w:rFonts w:hint="eastAsia" w:cs="Times New Roman"/>
                <w:color w:val="000000" w:themeColor="text1"/>
                <w:sz w:val="24"/>
                <w:szCs w:val="24"/>
                <w:vertAlign w:val="subscript"/>
                <w:lang w:val="en-US" w:eastAsia="zh-CN"/>
                <w14:textFill>
                  <w14:solidFill>
                    <w14:schemeClr w14:val="tx1"/>
                  </w14:solidFill>
                </w14:textFill>
              </w:rPr>
              <w:t>1</w:t>
            </w:r>
            <w:r>
              <w:rPr>
                <w:rFonts w:hint="eastAsia" w:cs="Times New Roman"/>
                <w:color w:val="000000" w:themeColor="text1"/>
                <w:sz w:val="24"/>
                <w:szCs w:val="24"/>
                <w:lang w:val="en-US" w:eastAsia="zh-CN"/>
                <w14:textFill>
                  <w14:solidFill>
                    <w14:schemeClr w14:val="tx1"/>
                  </w14:solidFill>
                </w14:textFill>
              </w:rPr>
              <w:t>、冷却水W</w:t>
            </w:r>
            <w:r>
              <w:rPr>
                <w:rFonts w:hint="eastAsia" w:cs="Times New Roman"/>
                <w:color w:val="000000" w:themeColor="text1"/>
                <w:sz w:val="24"/>
                <w:szCs w:val="24"/>
                <w:vertAlign w:val="subscript"/>
                <w:lang w:val="en-US" w:eastAsia="zh-CN"/>
                <w14:textFill>
                  <w14:solidFill>
                    <w14:schemeClr w14:val="tx1"/>
                  </w14:solidFill>
                </w14:textFill>
              </w:rPr>
              <w:t>1</w:t>
            </w:r>
            <w:r>
              <w:rPr>
                <w:rFonts w:hint="eastAsia" w:cs="Times New Roman"/>
                <w:color w:val="000000" w:themeColor="text1"/>
                <w:sz w:val="24"/>
                <w:szCs w:val="24"/>
                <w:lang w:val="en-US" w:eastAsia="zh-CN"/>
                <w14:textFill>
                  <w14:solidFill>
                    <w14:schemeClr w14:val="tx1"/>
                  </w14:solidFill>
                </w14:textFill>
              </w:rPr>
              <w:t>及设备噪声N。</w:t>
            </w:r>
          </w:p>
          <w:p>
            <w:pPr>
              <w:pStyle w:val="43"/>
              <w:keepNext w:val="0"/>
              <w:keepLines w:val="0"/>
              <w:numPr>
                <w:ilvl w:val="0"/>
                <w:numId w:val="5"/>
              </w:numPr>
              <w:suppressLineNumbers w:val="0"/>
              <w:spacing w:before="0" w:beforeAutospacing="0" w:after="0" w:afterAutospacing="0" w:line="360" w:lineRule="auto"/>
              <w:ind w:left="0" w:right="0" w:firstLine="480"/>
              <w:rPr>
                <w:rFonts w:hint="default" w:ascii="Times New Roman" w:hAnsi="Times New Roman" w:eastAsia="宋体" w:cs="Times New Roman"/>
                <w:color w:val="auto"/>
              </w:rPr>
            </w:pPr>
            <w:r>
              <w:rPr>
                <w:rFonts w:hint="eastAsia" w:cs="Times New Roman"/>
                <w:color w:val="auto"/>
                <w:lang w:val="en-US" w:eastAsia="zh-CN"/>
              </w:rPr>
              <w:t>人工剃毛、检验</w:t>
            </w:r>
          </w:p>
          <w:p>
            <w:pPr>
              <w:pStyle w:val="43"/>
              <w:keepNext w:val="0"/>
              <w:keepLines w:val="0"/>
              <w:suppressLineNumbers w:val="0"/>
              <w:spacing w:before="0" w:beforeAutospacing="0" w:after="0" w:afterAutospacing="0" w:line="360" w:lineRule="auto"/>
              <w:ind w:left="0" w:right="0" w:firstLine="480"/>
              <w:rPr>
                <w:rFonts w:hint="eastAsia"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注塑后经定型、冷却后，开模取件。取件后在人工操作的条件下，采用锉刀、压棒对浇口、飞边进行剔除。</w:t>
            </w:r>
          </w:p>
          <w:p>
            <w:pPr>
              <w:pStyle w:val="43"/>
              <w:keepNext w:val="0"/>
              <w:keepLines w:val="0"/>
              <w:suppressLineNumbers w:val="0"/>
              <w:spacing w:before="0" w:beforeAutospacing="0" w:after="0" w:afterAutospacing="0" w:line="360" w:lineRule="auto"/>
              <w:ind w:left="0" w:right="0" w:firstLine="480"/>
              <w:rPr>
                <w:rFonts w:hint="eastAsia"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经人工剔除浇口、飞边的产品，经检验合格后入库。不合格产品收集后定期外售。</w:t>
            </w:r>
          </w:p>
          <w:p>
            <w:pPr>
              <w:pStyle w:val="43"/>
              <w:keepNext w:val="0"/>
              <w:keepLines w:val="0"/>
              <w:suppressLineNumbers w:val="0"/>
              <w:spacing w:before="0" w:beforeAutospacing="0" w:after="0" w:afterAutospacing="0" w:line="360" w:lineRule="auto"/>
              <w:ind w:left="0" w:right="0" w:firstLine="480"/>
              <w:rPr>
                <w:rFonts w:hint="default"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该工序会产生产品废边角料S</w:t>
            </w:r>
            <w:r>
              <w:rPr>
                <w:rFonts w:hint="eastAsia" w:cs="Times New Roman"/>
                <w:color w:val="000000" w:themeColor="text1"/>
                <w:sz w:val="24"/>
                <w:szCs w:val="24"/>
                <w:vertAlign w:val="subscript"/>
                <w:lang w:val="en-US" w:eastAsia="zh-CN"/>
                <w14:textFill>
                  <w14:solidFill>
                    <w14:schemeClr w14:val="tx1"/>
                  </w14:solidFill>
                </w14:textFill>
              </w:rPr>
              <w:t>2</w:t>
            </w:r>
            <w:r>
              <w:rPr>
                <w:rFonts w:hint="eastAsia" w:cs="Times New Roman"/>
                <w:color w:val="000000" w:themeColor="text1"/>
                <w:sz w:val="24"/>
                <w:szCs w:val="24"/>
                <w:lang w:val="en-US" w:eastAsia="zh-CN"/>
                <w14:textFill>
                  <w14:solidFill>
                    <w14:schemeClr w14:val="tx1"/>
                  </w14:solidFill>
                </w14:textFill>
              </w:rPr>
              <w:t>及不合格产品S</w:t>
            </w:r>
            <w:r>
              <w:rPr>
                <w:rFonts w:hint="eastAsia" w:cs="Times New Roman"/>
                <w:color w:val="000000" w:themeColor="text1"/>
                <w:sz w:val="24"/>
                <w:szCs w:val="24"/>
                <w:vertAlign w:val="subscript"/>
                <w:lang w:val="en-US" w:eastAsia="zh-CN"/>
                <w14:textFill>
                  <w14:solidFill>
                    <w14:schemeClr w14:val="tx1"/>
                  </w14:solidFill>
                </w14:textFill>
              </w:rPr>
              <w:t>3</w:t>
            </w:r>
            <w:r>
              <w:rPr>
                <w:rFonts w:hint="eastAsia" w:cs="Times New Roman"/>
                <w:color w:val="000000" w:themeColor="text1"/>
                <w:sz w:val="24"/>
                <w:szCs w:val="24"/>
                <w:lang w:val="en-US" w:eastAsia="zh-CN"/>
                <w14:textFill>
                  <w14:solidFill>
                    <w14:schemeClr w14:val="tx1"/>
                  </w14:solidFill>
                </w14:textFill>
              </w:rPr>
              <w:t>等一般固废。</w:t>
            </w:r>
          </w:p>
          <w:p>
            <w:pPr>
              <w:pStyle w:val="4"/>
              <w:suppressLineNumbers w:val="0"/>
              <w:bidi w:val="0"/>
              <w:spacing w:beforeAutospacing="0" w:after="0" w:afterAutospacing="0"/>
              <w:ind w:left="720" w:leftChars="0" w:right="0" w:hanging="720" w:firstLineChars="0"/>
              <w:rPr>
                <w:rFonts w:hint="default"/>
              </w:rPr>
            </w:pPr>
            <w:bookmarkStart w:id="63" w:name="_Toc22486"/>
            <w:r>
              <w:rPr>
                <w:rFonts w:hint="default"/>
              </w:rPr>
              <w:t>主要产污环节</w:t>
            </w:r>
            <w:bookmarkEnd w:id="63"/>
          </w:p>
          <w:p>
            <w:pPr>
              <w:pStyle w:val="29"/>
              <w:keepNext w:val="0"/>
              <w:keepLines w:val="0"/>
              <w:suppressLineNumbers w:val="0"/>
              <w:tabs>
                <w:tab w:val="left" w:pos="0"/>
              </w:tabs>
              <w:spacing w:before="0" w:beforeAutospacing="0" w:after="0" w:afterAutospacing="0" w:line="360" w:lineRule="auto"/>
              <w:ind w:left="0" w:right="0" w:firstLine="480" w:firstLineChars="200"/>
              <w:jc w:val="both"/>
              <w:rPr>
                <w:rFonts w:hint="default" w:ascii="Times New Roman" w:hAnsi="Times New Roman" w:cs="宋体"/>
                <w:color w:val="000000"/>
                <w:kern w:val="2"/>
                <w:szCs w:val="24"/>
                <w:lang w:bidi="ar"/>
              </w:rPr>
            </w:pPr>
            <w:r>
              <w:rPr>
                <w:rFonts w:hint="eastAsia" w:ascii="Times New Roman" w:hAnsi="Times New Roman" w:cs="宋体"/>
                <w:color w:val="000000"/>
                <w:kern w:val="2"/>
                <w:szCs w:val="24"/>
                <w:lang w:bidi="ar"/>
              </w:rPr>
              <w:t>本项目主要污染环节见下表。</w:t>
            </w:r>
          </w:p>
          <w:p>
            <w:pPr>
              <w:pStyle w:val="42"/>
              <w:keepNext w:val="0"/>
              <w:keepLines w:val="0"/>
              <w:suppressLineNumbers w:val="0"/>
              <w:bidi w:val="0"/>
              <w:spacing w:beforeAutospacing="0" w:after="0" w:afterAutospacing="0"/>
              <w:ind w:left="0" w:leftChars="0" w:right="0" w:firstLine="0" w:firstLineChars="0"/>
              <w:rPr>
                <w:rFonts w:hint="default"/>
              </w:rPr>
            </w:pPr>
            <w:r>
              <w:rPr>
                <w:rFonts w:hint="eastAsia"/>
              </w:rPr>
              <w:t>主要污染环节一览表</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26"/>
              <w:gridCol w:w="566"/>
              <w:gridCol w:w="1704"/>
              <w:gridCol w:w="1124"/>
              <w:gridCol w:w="1375"/>
              <w:gridCol w:w="28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污染类型</w:t>
                  </w:r>
                </w:p>
              </w:tc>
              <w:tc>
                <w:tcPr>
                  <w:tcW w:w="570"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编号</w:t>
                  </w:r>
                </w:p>
              </w:tc>
              <w:tc>
                <w:tcPr>
                  <w:tcW w:w="1725"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污染源名称</w:t>
                  </w:r>
                </w:p>
              </w:tc>
              <w:tc>
                <w:tcPr>
                  <w:tcW w:w="1133"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产污环节</w:t>
                  </w:r>
                </w:p>
              </w:tc>
              <w:tc>
                <w:tcPr>
                  <w:tcW w:w="1384"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污染因子</w:t>
                  </w:r>
                </w:p>
              </w:tc>
              <w:tc>
                <w:tcPr>
                  <w:tcW w:w="2856"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治理措施及排放去向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废气</w:t>
                  </w:r>
                </w:p>
              </w:tc>
              <w:tc>
                <w:tcPr>
                  <w:tcW w:w="570"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sz w:val="21"/>
                      <w:szCs w:val="21"/>
                      <w:lang w:eastAsia="zh-CN" w:bidi="ar"/>
                    </w:rPr>
                  </w:pPr>
                  <w:r>
                    <w:rPr>
                      <w:rFonts w:hint="default" w:ascii="Times New Roman" w:hAnsi="Times New Roman" w:eastAsia="宋体" w:cs="Times New Roman"/>
                      <w:kern w:val="2"/>
                      <w:sz w:val="21"/>
                      <w:szCs w:val="21"/>
                      <w:lang w:bidi="ar"/>
                    </w:rPr>
                    <w:t>G</w:t>
                  </w:r>
                  <w:r>
                    <w:rPr>
                      <w:rFonts w:hint="eastAsia" w:ascii="Times New Roman" w:hAnsi="Times New Roman" w:cs="Times New Roman"/>
                      <w:kern w:val="2"/>
                      <w:sz w:val="21"/>
                      <w:szCs w:val="21"/>
                      <w:vertAlign w:val="subscript"/>
                      <w:lang w:val="en-US" w:eastAsia="zh-CN" w:bidi="ar"/>
                    </w:rPr>
                    <w:t>1</w:t>
                  </w:r>
                </w:p>
              </w:tc>
              <w:tc>
                <w:tcPr>
                  <w:tcW w:w="1725"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val="en-US" w:bidi="ar"/>
                    </w:rPr>
                  </w:pPr>
                  <w:r>
                    <w:rPr>
                      <w:rFonts w:hint="eastAsia" w:ascii="Times New Roman" w:hAnsi="Times New Roman" w:cs="Times New Roman"/>
                      <w:color w:val="000000"/>
                      <w:sz w:val="21"/>
                      <w:szCs w:val="21"/>
                      <w:lang w:val="en-US" w:eastAsia="zh-CN"/>
                    </w:rPr>
                    <w:t>注塑废气</w:t>
                  </w:r>
                </w:p>
              </w:tc>
              <w:tc>
                <w:tcPr>
                  <w:tcW w:w="1133"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eastAsia="zh-CN" w:bidi="ar"/>
                    </w:rPr>
                  </w:pPr>
                  <w:r>
                    <w:rPr>
                      <w:rFonts w:hint="eastAsia" w:ascii="Times New Roman" w:hAnsi="Times New Roman" w:cs="Times New Roman"/>
                      <w:kern w:val="2"/>
                      <w:sz w:val="21"/>
                      <w:szCs w:val="21"/>
                      <w:lang w:val="en-US" w:eastAsia="zh-CN" w:bidi="ar"/>
                    </w:rPr>
                    <w:t>注塑</w:t>
                  </w:r>
                </w:p>
              </w:tc>
              <w:tc>
                <w:tcPr>
                  <w:tcW w:w="1384"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bidi="ar"/>
                    </w:rPr>
                  </w:pPr>
                  <w:r>
                    <w:rPr>
                      <w:rFonts w:hint="eastAsia" w:ascii="Times New Roman" w:hAnsi="Times New Roman" w:cs="Times New Roman"/>
                      <w:kern w:val="2"/>
                      <w:sz w:val="21"/>
                      <w:szCs w:val="21"/>
                      <w:lang w:val="en-US" w:eastAsia="zh-CN" w:bidi="ar"/>
                    </w:rPr>
                    <w:t>非甲烷总烃</w:t>
                  </w:r>
                  <w:r>
                    <w:rPr>
                      <w:rFonts w:hint="eastAsia"/>
                      <w:sz w:val="21"/>
                      <w:szCs w:val="21"/>
                      <w:lang w:eastAsia="zh-CN"/>
                    </w:rPr>
                    <w:t>、</w:t>
                  </w:r>
                  <w:r>
                    <w:rPr>
                      <w:rFonts w:hint="eastAsia"/>
                      <w:sz w:val="21"/>
                      <w:szCs w:val="21"/>
                      <w:lang w:val="en-US" w:eastAsia="zh-CN"/>
                    </w:rPr>
                    <w:t>臭气浓度</w:t>
                  </w:r>
                </w:p>
              </w:tc>
              <w:tc>
                <w:tcPr>
                  <w:tcW w:w="2856"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color w:val="000000"/>
                      <w:sz w:val="21"/>
                      <w:szCs w:val="21"/>
                      <w:lang w:val="en-US" w:eastAsia="zh-CN"/>
                    </w:rPr>
                    <w:t>注塑机取件口设置半密闭罩，注塑废气经二级活性炭吸附装置处理后由1根15m高排气筒排放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restart"/>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废水</w:t>
                  </w:r>
                </w:p>
              </w:tc>
              <w:tc>
                <w:tcPr>
                  <w:tcW w:w="570"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cs="Times New Roman"/>
                      <w:kern w:val="2"/>
                      <w:sz w:val="21"/>
                      <w:szCs w:val="21"/>
                      <w:lang w:val="en-US" w:eastAsia="zh-CN" w:bidi="ar"/>
                    </w:rPr>
                    <w:t>W</w:t>
                  </w:r>
                  <w:r>
                    <w:rPr>
                      <w:rFonts w:hint="eastAsia" w:ascii="Times New Roman" w:hAnsi="Times New Roman" w:cs="Times New Roman"/>
                      <w:kern w:val="2"/>
                      <w:sz w:val="21"/>
                      <w:szCs w:val="21"/>
                      <w:vertAlign w:val="subscript"/>
                      <w:lang w:val="en-US" w:eastAsia="zh-CN" w:bidi="ar"/>
                    </w:rPr>
                    <w:t>1</w:t>
                  </w:r>
                </w:p>
              </w:tc>
              <w:tc>
                <w:tcPr>
                  <w:tcW w:w="1725"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冷却水</w:t>
                  </w:r>
                </w:p>
              </w:tc>
              <w:tc>
                <w:tcPr>
                  <w:tcW w:w="1133"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bidi="ar"/>
                    </w:rPr>
                  </w:pPr>
                  <w:r>
                    <w:rPr>
                      <w:rFonts w:hint="eastAsia" w:ascii="Times New Roman" w:hAnsi="Times New Roman" w:cs="Times New Roman"/>
                      <w:kern w:val="2"/>
                      <w:sz w:val="21"/>
                      <w:szCs w:val="21"/>
                      <w:lang w:val="en-US" w:eastAsia="zh-CN" w:bidi="ar"/>
                    </w:rPr>
                    <w:t>冷却</w:t>
                  </w:r>
                </w:p>
              </w:tc>
              <w:tc>
                <w:tcPr>
                  <w:tcW w:w="1384"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bidi="ar"/>
                    </w:rPr>
                  </w:pPr>
                  <w:r>
                    <w:rPr>
                      <w:rFonts w:hint="eastAsia" w:ascii="Times New Roman" w:hAnsi="Times New Roman" w:cs="Times New Roman"/>
                      <w:kern w:val="2"/>
                      <w:sz w:val="21"/>
                      <w:szCs w:val="21"/>
                      <w:lang w:val="en-US" w:eastAsia="zh-CN" w:bidi="ar"/>
                    </w:rPr>
                    <w:t>/</w:t>
                  </w:r>
                </w:p>
              </w:tc>
              <w:tc>
                <w:tcPr>
                  <w:tcW w:w="2856"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循环使用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bidi="ar"/>
                    </w:rPr>
                  </w:pPr>
                </w:p>
              </w:tc>
              <w:tc>
                <w:tcPr>
                  <w:tcW w:w="570"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W</w:t>
                  </w:r>
                  <w:r>
                    <w:rPr>
                      <w:rFonts w:hint="eastAsia" w:cs="Times New Roman"/>
                      <w:color w:val="000000"/>
                      <w:sz w:val="21"/>
                      <w:szCs w:val="21"/>
                      <w:vertAlign w:val="subscript"/>
                      <w:lang w:val="en-US" w:eastAsia="zh-CN"/>
                    </w:rPr>
                    <w:t>2</w:t>
                  </w:r>
                </w:p>
              </w:tc>
              <w:tc>
                <w:tcPr>
                  <w:tcW w:w="1725"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w:t>生活污水</w:t>
                  </w:r>
                </w:p>
              </w:tc>
              <w:tc>
                <w:tcPr>
                  <w:tcW w:w="1133"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bidi="ar"/>
                    </w:rPr>
                  </w:pPr>
                  <w:r>
                    <w:rPr>
                      <w:rFonts w:hint="default" w:ascii="Times New Roman" w:hAnsi="Times New Roman" w:eastAsia="宋体" w:cs="Times New Roman"/>
                      <w:sz w:val="21"/>
                      <w:szCs w:val="21"/>
                    </w:rPr>
                    <w:t>员工日常生活</w:t>
                  </w:r>
                </w:p>
              </w:tc>
              <w:tc>
                <w:tcPr>
                  <w:tcW w:w="1384"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bidi="ar"/>
                    </w:rPr>
                  </w:pPr>
                  <w:r>
                    <w:rPr>
                      <w:rFonts w:hint="default" w:ascii="Times New Roman" w:hAnsi="Times New Roman" w:eastAsia="宋体" w:cs="Times New Roman"/>
                      <w:sz w:val="21"/>
                      <w:szCs w:val="21"/>
                      <w:lang w:bidi="ar"/>
                    </w:rPr>
                    <w:t>COD、BOD</w:t>
                  </w:r>
                  <w:r>
                    <w:rPr>
                      <w:rFonts w:hint="default" w:ascii="Times New Roman" w:hAnsi="Times New Roman" w:eastAsia="宋体" w:cs="Times New Roman"/>
                      <w:sz w:val="21"/>
                      <w:szCs w:val="21"/>
                      <w:vertAlign w:val="subscript"/>
                      <w:lang w:bidi="ar"/>
                    </w:rPr>
                    <w:t>5</w:t>
                  </w:r>
                  <w:r>
                    <w:rPr>
                      <w:rFonts w:hint="default" w:ascii="Times New Roman" w:hAnsi="Times New Roman" w:eastAsia="宋体" w:cs="Times New Roman"/>
                      <w:sz w:val="21"/>
                      <w:szCs w:val="21"/>
                      <w:lang w:bidi="ar"/>
                    </w:rPr>
                    <w:t>、SS、氨氮</w:t>
                  </w:r>
                </w:p>
              </w:tc>
              <w:tc>
                <w:tcPr>
                  <w:tcW w:w="2856" w:type="dxa"/>
                  <w:noWrap w:val="0"/>
                  <w:vAlign w:val="center"/>
                </w:tcPr>
                <w:p>
                  <w:pPr>
                    <w:pStyle w:val="46"/>
                    <w:keepNext w:val="0"/>
                    <w:keepLines w:val="0"/>
                    <w:suppressLineNumbers w:val="0"/>
                    <w:bidi w:val="0"/>
                    <w:spacing w:before="0" w:beforeAutospacing="0" w:after="0" w:afterAutospacing="0"/>
                    <w:ind w:right="0"/>
                    <w:rPr>
                      <w:rFonts w:hint="default"/>
                      <w:bCs/>
                      <w:color w:val="000000" w:themeColor="text1"/>
                      <w:szCs w:val="21"/>
                      <w:highlight w:val="none"/>
                      <w:lang w:val="en-US" w:eastAsia="zh-CN"/>
                      <w14:textFill>
                        <w14:solidFill>
                          <w14:schemeClr w14:val="tx1"/>
                        </w14:solidFill>
                      </w14:textFill>
                    </w:rPr>
                  </w:pPr>
                  <w:r>
                    <w:rPr>
                      <w:rFonts w:hint="default" w:ascii="Times New Roman" w:hAnsi="Times New Roman" w:eastAsia="宋体" w:cs="Times New Roman"/>
                      <w:color w:val="auto"/>
                      <w:sz w:val="21"/>
                      <w:szCs w:val="21"/>
                      <w:highlight w:val="none"/>
                    </w:rPr>
                    <w:t>经化粪池处理后</w:t>
                  </w:r>
                  <w:r>
                    <w:rPr>
                      <w:rFonts w:hint="eastAsia" w:cs="Times New Roman"/>
                      <w:color w:val="auto"/>
                      <w:sz w:val="21"/>
                      <w:szCs w:val="21"/>
                      <w:highlight w:val="none"/>
                      <w:lang w:val="en-US" w:eastAsia="zh-CN"/>
                    </w:rPr>
                    <w:t>排入市政污水管网</w:t>
                  </w:r>
                  <w:r>
                    <w:rPr>
                      <w:rFonts w:hint="default" w:ascii="Times New Roman" w:hAnsi="Times New Roman" w:eastAsia="宋体" w:cs="Times New Roman"/>
                      <w:color w:val="auto"/>
                      <w:szCs w:val="21"/>
                    </w:rPr>
                    <w:t>，纳入</w:t>
                  </w:r>
                  <w:r>
                    <w:rPr>
                      <w:rFonts w:hint="eastAsia" w:cs="Times New Roman"/>
                      <w:color w:val="auto"/>
                      <w:szCs w:val="21"/>
                      <w:lang w:val="en-US" w:eastAsia="zh-CN"/>
                    </w:rPr>
                    <w:t>连江</w:t>
                  </w:r>
                  <w:r>
                    <w:rPr>
                      <w:rFonts w:hint="default" w:ascii="Times New Roman" w:hAnsi="Times New Roman" w:eastAsia="宋体" w:cs="Times New Roman"/>
                      <w:color w:val="auto"/>
                      <w:szCs w:val="21"/>
                    </w:rPr>
                    <w:t>县污水处理厂处理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噪声</w:t>
                  </w:r>
                </w:p>
              </w:tc>
              <w:tc>
                <w:tcPr>
                  <w:tcW w:w="570"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N</w:t>
                  </w:r>
                </w:p>
              </w:tc>
              <w:tc>
                <w:tcPr>
                  <w:tcW w:w="1725"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设备噪声</w:t>
                  </w:r>
                </w:p>
              </w:tc>
              <w:tc>
                <w:tcPr>
                  <w:tcW w:w="1133"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混料、给料、注塑、冷却塔等</w:t>
                  </w:r>
                </w:p>
              </w:tc>
              <w:tc>
                <w:tcPr>
                  <w:tcW w:w="1384"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L</w:t>
                  </w:r>
                  <w:r>
                    <w:rPr>
                      <w:rFonts w:hint="default" w:ascii="Times New Roman" w:hAnsi="Times New Roman" w:eastAsia="宋体" w:cs="Times New Roman"/>
                      <w:sz w:val="21"/>
                      <w:szCs w:val="21"/>
                      <w:vertAlign w:val="subscript"/>
                      <w:lang w:bidi="ar"/>
                    </w:rPr>
                    <w:t>Aeq</w:t>
                  </w:r>
                </w:p>
              </w:tc>
              <w:tc>
                <w:tcPr>
                  <w:tcW w:w="2856"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bidi="ar"/>
                    </w:rPr>
                    <w:t>采用隔声、减</w:t>
                  </w:r>
                  <w:r>
                    <w:rPr>
                      <w:rFonts w:hint="eastAsia" w:cs="Times New Roman"/>
                      <w:sz w:val="21"/>
                      <w:szCs w:val="21"/>
                      <w:lang w:val="en-US" w:eastAsia="zh-CN" w:bidi="ar"/>
                    </w:rPr>
                    <w:t>振</w:t>
                  </w:r>
                  <w:r>
                    <w:rPr>
                      <w:rFonts w:hint="default" w:ascii="Times New Roman" w:hAnsi="Times New Roman" w:eastAsia="宋体" w:cs="Times New Roman"/>
                      <w:sz w:val="21"/>
                      <w:szCs w:val="21"/>
                      <w:lang w:bidi="ar"/>
                    </w:rPr>
                    <w:t>、消声等降噪措施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restart"/>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bidi="ar"/>
                    </w:rPr>
                  </w:pPr>
                  <w:r>
                    <w:rPr>
                      <w:rFonts w:hint="default" w:ascii="Times New Roman" w:hAnsi="Times New Roman" w:eastAsia="宋体" w:cs="Times New Roman"/>
                      <w:sz w:val="21"/>
                      <w:szCs w:val="21"/>
                      <w:lang w:bidi="ar"/>
                    </w:rPr>
                    <w:t>固废</w:t>
                  </w:r>
                </w:p>
              </w:tc>
              <w:tc>
                <w:tcPr>
                  <w:tcW w:w="570"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S</w:t>
                  </w:r>
                  <w:r>
                    <w:rPr>
                      <w:rFonts w:hint="eastAsia" w:ascii="Times New Roman" w:hAnsi="Times New Roman" w:cs="Times New Roman"/>
                      <w:color w:val="auto"/>
                      <w:kern w:val="2"/>
                      <w:sz w:val="21"/>
                      <w:szCs w:val="21"/>
                      <w:vertAlign w:val="subscript"/>
                      <w:lang w:val="en-US" w:eastAsia="zh-CN" w:bidi="ar"/>
                    </w:rPr>
                    <w:t>1</w:t>
                  </w:r>
                </w:p>
              </w:tc>
              <w:tc>
                <w:tcPr>
                  <w:tcW w:w="1725"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lang w:val="en-US" w:eastAsia="zh-CN" w:bidi="ar"/>
                    </w:rPr>
                  </w:pPr>
                  <w:r>
                    <w:rPr>
                      <w:rFonts w:hint="eastAsia"/>
                      <w:color w:val="auto"/>
                      <w:szCs w:val="21"/>
                      <w:lang w:bidi="ar"/>
                    </w:rPr>
                    <w:t>废包装</w:t>
                  </w:r>
                  <w:r>
                    <w:rPr>
                      <w:rFonts w:hint="eastAsia"/>
                      <w:color w:val="auto"/>
                      <w:szCs w:val="21"/>
                      <w:lang w:val="en-US" w:eastAsia="zh-CN" w:bidi="ar"/>
                    </w:rPr>
                    <w:t>材料</w:t>
                  </w:r>
                </w:p>
              </w:tc>
              <w:tc>
                <w:tcPr>
                  <w:tcW w:w="1133"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投料</w:t>
                  </w:r>
                </w:p>
              </w:tc>
              <w:tc>
                <w:tcPr>
                  <w:tcW w:w="1384"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lang w:eastAsia="zh-CN" w:bidi="ar"/>
                    </w:rPr>
                  </w:pPr>
                  <w:r>
                    <w:rPr>
                      <w:rFonts w:hint="eastAsia" w:cs="Times New Roman"/>
                      <w:color w:val="auto"/>
                      <w:sz w:val="21"/>
                      <w:szCs w:val="21"/>
                      <w:lang w:val="en-US" w:eastAsia="zh-CN" w:bidi="ar"/>
                    </w:rPr>
                    <w:t>包装袋、纸箱</w:t>
                  </w:r>
                </w:p>
              </w:tc>
              <w:tc>
                <w:tcPr>
                  <w:tcW w:w="2856" w:type="dxa"/>
                  <w:vMerge w:val="restart"/>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continue"/>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p>
              </w:tc>
              <w:tc>
                <w:tcPr>
                  <w:tcW w:w="570"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S</w:t>
                  </w:r>
                  <w:r>
                    <w:rPr>
                      <w:rFonts w:hint="eastAsia" w:ascii="Times New Roman" w:hAnsi="Times New Roman" w:cs="Times New Roman"/>
                      <w:color w:val="auto"/>
                      <w:kern w:val="2"/>
                      <w:sz w:val="21"/>
                      <w:szCs w:val="21"/>
                      <w:vertAlign w:val="subscript"/>
                      <w:lang w:val="en-US" w:eastAsia="zh-CN" w:bidi="ar"/>
                    </w:rPr>
                    <w:t>2</w:t>
                  </w:r>
                </w:p>
              </w:tc>
              <w:tc>
                <w:tcPr>
                  <w:tcW w:w="1725"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cs="Times New Roman"/>
                      <w:color w:val="auto"/>
                      <w:sz w:val="21"/>
                      <w:szCs w:val="21"/>
                      <w:lang w:val="en-US" w:eastAsia="zh-CN" w:bidi="ar"/>
                    </w:rPr>
                  </w:pPr>
                  <w:r>
                    <w:rPr>
                      <w:rFonts w:hint="eastAsia" w:cs="Times New Roman"/>
                      <w:color w:val="auto"/>
                      <w:sz w:val="21"/>
                      <w:szCs w:val="21"/>
                      <w:lang w:val="en-US" w:eastAsia="zh-CN" w:bidi="ar"/>
                    </w:rPr>
                    <w:t>产品废边角料</w:t>
                  </w:r>
                </w:p>
              </w:tc>
              <w:tc>
                <w:tcPr>
                  <w:tcW w:w="1133"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eastAsia" w:cs="Times New Roman"/>
                      <w:color w:val="auto"/>
                      <w:sz w:val="21"/>
                      <w:szCs w:val="21"/>
                      <w:lang w:val="en-US" w:eastAsia="zh-CN" w:bidi="ar"/>
                    </w:rPr>
                  </w:pPr>
                  <w:r>
                    <w:rPr>
                      <w:rFonts w:hint="eastAsia" w:cs="Times New Roman"/>
                      <w:color w:val="auto"/>
                      <w:sz w:val="21"/>
                      <w:szCs w:val="21"/>
                      <w:lang w:val="en-US" w:eastAsia="zh-CN" w:bidi="ar"/>
                    </w:rPr>
                    <w:t>产品修整</w:t>
                  </w:r>
                </w:p>
              </w:tc>
              <w:tc>
                <w:tcPr>
                  <w:tcW w:w="1384"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eastAsia" w:cs="Times New Roman"/>
                      <w:color w:val="auto"/>
                      <w:sz w:val="21"/>
                      <w:szCs w:val="21"/>
                      <w:lang w:val="en-US" w:eastAsia="zh-CN" w:bidi="ar"/>
                    </w:rPr>
                  </w:pPr>
                  <w:r>
                    <w:rPr>
                      <w:rFonts w:hint="eastAsia" w:cs="Times New Roman"/>
                      <w:color w:val="auto"/>
                      <w:sz w:val="21"/>
                      <w:szCs w:val="21"/>
                      <w:lang w:val="en-US" w:eastAsia="zh-CN" w:bidi="ar"/>
                    </w:rPr>
                    <w:t>塑料</w:t>
                  </w:r>
                </w:p>
              </w:tc>
              <w:tc>
                <w:tcPr>
                  <w:tcW w:w="2856" w:type="dxa"/>
                  <w:vMerge w:val="continue"/>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kern w:val="2"/>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continue"/>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bidi="ar"/>
                    </w:rPr>
                  </w:pPr>
                </w:p>
              </w:tc>
              <w:tc>
                <w:tcPr>
                  <w:tcW w:w="570"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cs="Times New Roman"/>
                      <w:color w:val="auto"/>
                      <w:kern w:val="2"/>
                      <w:sz w:val="21"/>
                      <w:szCs w:val="21"/>
                      <w:lang w:val="en-US" w:eastAsia="zh-CN" w:bidi="ar"/>
                    </w:rPr>
                    <w:t>S</w:t>
                  </w:r>
                  <w:r>
                    <w:rPr>
                      <w:rFonts w:hint="eastAsia" w:ascii="Times New Roman" w:hAnsi="Times New Roman" w:cs="Times New Roman"/>
                      <w:color w:val="auto"/>
                      <w:kern w:val="2"/>
                      <w:sz w:val="21"/>
                      <w:szCs w:val="21"/>
                      <w:vertAlign w:val="subscript"/>
                      <w:lang w:val="en-US" w:eastAsia="zh-CN" w:bidi="ar"/>
                    </w:rPr>
                    <w:t>3</w:t>
                  </w:r>
                </w:p>
              </w:tc>
              <w:tc>
                <w:tcPr>
                  <w:tcW w:w="1725"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lang w:eastAsia="zh-CN" w:bidi="ar"/>
                    </w:rPr>
                  </w:pPr>
                  <w:r>
                    <w:rPr>
                      <w:rFonts w:hint="eastAsia" w:cs="Times New Roman"/>
                      <w:color w:val="auto"/>
                      <w:sz w:val="21"/>
                      <w:szCs w:val="21"/>
                      <w:lang w:val="en-US" w:eastAsia="zh-CN" w:bidi="ar"/>
                    </w:rPr>
                    <w:t>不合格产品</w:t>
                  </w:r>
                </w:p>
              </w:tc>
              <w:tc>
                <w:tcPr>
                  <w:tcW w:w="1133"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产品检验</w:t>
                  </w:r>
                </w:p>
              </w:tc>
              <w:tc>
                <w:tcPr>
                  <w:tcW w:w="1384"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eastAsia" w:ascii="Times New Roman" w:hAnsi="Times New Roman" w:eastAsia="宋体" w:cs="Times New Roman"/>
                      <w:color w:val="auto"/>
                      <w:sz w:val="21"/>
                      <w:szCs w:val="21"/>
                      <w:lang w:val="en-US" w:eastAsia="zh-CN" w:bidi="ar"/>
                    </w:rPr>
                  </w:pPr>
                  <w:r>
                    <w:rPr>
                      <w:rFonts w:hint="eastAsia" w:cs="Times New Roman"/>
                      <w:color w:val="auto"/>
                      <w:sz w:val="21"/>
                      <w:szCs w:val="21"/>
                      <w:lang w:val="en-US" w:eastAsia="zh-CN" w:bidi="ar"/>
                    </w:rPr>
                    <w:t>塑料</w:t>
                  </w:r>
                </w:p>
              </w:tc>
              <w:tc>
                <w:tcPr>
                  <w:tcW w:w="2856" w:type="dxa"/>
                  <w:vMerge w:val="continue"/>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kern w:val="2"/>
                      <w:sz w:val="21"/>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continue"/>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bidi="ar"/>
                    </w:rPr>
                  </w:pPr>
                </w:p>
              </w:tc>
              <w:tc>
                <w:tcPr>
                  <w:tcW w:w="570"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eastAsia" w:ascii="Times New Roman" w:hAnsi="Times New Roman" w:eastAsia="宋体" w:cs="宋体"/>
                      <w:kern w:val="2"/>
                      <w:sz w:val="21"/>
                      <w:szCs w:val="21"/>
                      <w:lang w:val="en-US" w:eastAsia="zh-CN" w:bidi="ar"/>
                    </w:rPr>
                  </w:pPr>
                  <w:r>
                    <w:rPr>
                      <w:rFonts w:hint="eastAsia" w:ascii="Times New Roman" w:hAnsi="Times New Roman" w:cs="Times New Roman"/>
                      <w:color w:val="auto"/>
                      <w:kern w:val="2"/>
                      <w:sz w:val="21"/>
                      <w:szCs w:val="21"/>
                      <w:lang w:val="en-US" w:eastAsia="zh-CN" w:bidi="ar"/>
                    </w:rPr>
                    <w:t>S</w:t>
                  </w:r>
                  <w:r>
                    <w:rPr>
                      <w:rFonts w:hint="eastAsia" w:ascii="Times New Roman" w:hAnsi="Times New Roman" w:cs="Times New Roman"/>
                      <w:color w:val="auto"/>
                      <w:kern w:val="2"/>
                      <w:sz w:val="21"/>
                      <w:szCs w:val="21"/>
                      <w:vertAlign w:val="subscript"/>
                      <w:lang w:val="en-US" w:eastAsia="zh-CN" w:bidi="ar"/>
                    </w:rPr>
                    <w:t>4</w:t>
                  </w:r>
                </w:p>
              </w:tc>
              <w:tc>
                <w:tcPr>
                  <w:tcW w:w="1725"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宋体"/>
                      <w:kern w:val="2"/>
                      <w:sz w:val="21"/>
                      <w:szCs w:val="21"/>
                      <w:lang w:val="en-US" w:eastAsia="zh-CN" w:bidi="ar"/>
                    </w:rPr>
                  </w:pPr>
                  <w:r>
                    <w:rPr>
                      <w:rFonts w:hint="eastAsia" w:ascii="Times New Roman" w:hAnsi="Times New Roman" w:cs="宋体"/>
                      <w:kern w:val="2"/>
                      <w:sz w:val="21"/>
                      <w:szCs w:val="21"/>
                      <w:lang w:bidi="ar"/>
                    </w:rPr>
                    <w:t>废气处理设施</w:t>
                  </w:r>
                </w:p>
              </w:tc>
              <w:tc>
                <w:tcPr>
                  <w:tcW w:w="1133"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宋体"/>
                      <w:kern w:val="2"/>
                      <w:sz w:val="21"/>
                      <w:szCs w:val="21"/>
                      <w:lang w:val="en-US" w:eastAsia="zh-CN" w:bidi="ar"/>
                    </w:rPr>
                  </w:pPr>
                  <w:r>
                    <w:rPr>
                      <w:rFonts w:hint="eastAsia" w:ascii="Times New Roman" w:hAnsi="Times New Roman" w:cs="宋体"/>
                      <w:kern w:val="2"/>
                      <w:sz w:val="21"/>
                      <w:szCs w:val="21"/>
                      <w:lang w:bidi="ar"/>
                    </w:rPr>
                    <w:t>废活性炭</w:t>
                  </w:r>
                </w:p>
              </w:tc>
              <w:tc>
                <w:tcPr>
                  <w:tcW w:w="1384"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宋体"/>
                      <w:kern w:val="2"/>
                      <w:sz w:val="21"/>
                      <w:szCs w:val="21"/>
                      <w:lang w:val="en-US" w:eastAsia="zh-CN" w:bidi="ar"/>
                    </w:rPr>
                  </w:pPr>
                  <w:r>
                    <w:rPr>
                      <w:rFonts w:hint="eastAsia" w:ascii="Times New Roman" w:hAnsi="Times New Roman" w:cs="宋体"/>
                      <w:kern w:val="2"/>
                      <w:sz w:val="21"/>
                      <w:szCs w:val="21"/>
                      <w:lang w:val="en-US" w:eastAsia="zh-CN" w:bidi="ar"/>
                    </w:rPr>
                    <w:t>废活性炭</w:t>
                  </w:r>
                </w:p>
              </w:tc>
              <w:tc>
                <w:tcPr>
                  <w:tcW w:w="2856" w:type="dxa"/>
                  <w:vMerge w:val="restart"/>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bidi="ar"/>
                    </w:rPr>
                  </w:pPr>
                  <w:r>
                    <w:rPr>
                      <w:rFonts w:hint="eastAsia" w:ascii="Times New Roman" w:hAnsi="Times New Roman" w:cs="宋体"/>
                      <w:kern w:val="2"/>
                      <w:sz w:val="21"/>
                      <w:szCs w:val="21"/>
                      <w:lang w:bidi="ar"/>
                    </w:rPr>
                    <w:t>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continue"/>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bidi="ar"/>
                    </w:rPr>
                  </w:pPr>
                </w:p>
              </w:tc>
              <w:tc>
                <w:tcPr>
                  <w:tcW w:w="570"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eastAsia" w:ascii="Times New Roman" w:hAnsi="Times New Roman" w:cs="Times New Roman"/>
                      <w:color w:val="auto"/>
                      <w:kern w:val="2"/>
                      <w:sz w:val="21"/>
                      <w:szCs w:val="21"/>
                      <w:lang w:val="en-US" w:eastAsia="zh-CN" w:bidi="ar"/>
                    </w:rPr>
                  </w:pPr>
                  <w:r>
                    <w:rPr>
                      <w:rFonts w:hint="eastAsia" w:ascii="Times New Roman" w:hAnsi="Times New Roman" w:cs="Times New Roman"/>
                      <w:kern w:val="2"/>
                      <w:sz w:val="21"/>
                      <w:szCs w:val="21"/>
                      <w:lang w:val="en-US" w:eastAsia="zh-CN" w:bidi="ar"/>
                    </w:rPr>
                    <w:t>S</w:t>
                  </w:r>
                  <w:r>
                    <w:rPr>
                      <w:rFonts w:hint="eastAsia" w:ascii="Times New Roman" w:hAnsi="Times New Roman" w:cs="Times New Roman"/>
                      <w:kern w:val="2"/>
                      <w:sz w:val="21"/>
                      <w:szCs w:val="21"/>
                      <w:vertAlign w:val="subscript"/>
                      <w:lang w:val="en-US" w:eastAsia="zh-CN" w:bidi="ar"/>
                    </w:rPr>
                    <w:t>5</w:t>
                  </w:r>
                </w:p>
              </w:tc>
              <w:tc>
                <w:tcPr>
                  <w:tcW w:w="1725"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宋体"/>
                      <w:kern w:val="2"/>
                      <w:sz w:val="21"/>
                      <w:szCs w:val="21"/>
                      <w:lang w:val="en-US" w:eastAsia="zh-CN" w:bidi="ar"/>
                    </w:rPr>
                  </w:pPr>
                  <w:r>
                    <w:rPr>
                      <w:rFonts w:hint="eastAsia" w:ascii="Times New Roman" w:hAnsi="Times New Roman" w:cs="宋体"/>
                      <w:kern w:val="2"/>
                      <w:sz w:val="21"/>
                      <w:szCs w:val="21"/>
                      <w:lang w:val="en-US" w:eastAsia="zh-CN" w:bidi="ar"/>
                    </w:rPr>
                    <w:t>废机油</w:t>
                  </w:r>
                </w:p>
              </w:tc>
              <w:tc>
                <w:tcPr>
                  <w:tcW w:w="1133"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宋体"/>
                      <w:kern w:val="2"/>
                      <w:sz w:val="21"/>
                      <w:szCs w:val="21"/>
                      <w:lang w:val="en-US" w:eastAsia="zh-CN" w:bidi="ar"/>
                    </w:rPr>
                  </w:pPr>
                  <w:r>
                    <w:rPr>
                      <w:rFonts w:hint="eastAsia" w:ascii="Times New Roman" w:hAnsi="Times New Roman" w:cs="宋体"/>
                      <w:kern w:val="2"/>
                      <w:sz w:val="21"/>
                      <w:szCs w:val="21"/>
                      <w:lang w:val="en-US" w:eastAsia="zh-CN" w:bidi="ar"/>
                    </w:rPr>
                    <w:t>设备维修</w:t>
                  </w:r>
                </w:p>
              </w:tc>
              <w:tc>
                <w:tcPr>
                  <w:tcW w:w="1384" w:type="dxa"/>
                  <w:noWrap w:val="0"/>
                  <w:vAlign w:val="center"/>
                </w:tcPr>
                <w:p>
                  <w:pPr>
                    <w:pStyle w:val="29"/>
                    <w:keepNext w:val="0"/>
                    <w:keepLines w:val="0"/>
                    <w:widowControl w:val="0"/>
                    <w:suppressLineNumbers w:val="0"/>
                    <w:spacing w:before="0" w:beforeAutospacing="0" w:after="0" w:afterAutospacing="0"/>
                    <w:ind w:left="0" w:leftChars="0" w:right="0" w:rightChars="0"/>
                    <w:jc w:val="center"/>
                    <w:rPr>
                      <w:rFonts w:hint="eastAsia" w:ascii="Times New Roman" w:hAnsi="Times New Roman" w:cs="宋体"/>
                      <w:kern w:val="2"/>
                      <w:sz w:val="21"/>
                      <w:szCs w:val="21"/>
                      <w:lang w:bidi="ar"/>
                    </w:rPr>
                  </w:pPr>
                  <w:r>
                    <w:rPr>
                      <w:rFonts w:hint="eastAsia" w:ascii="Times New Roman" w:hAnsi="Times New Roman" w:cs="宋体"/>
                      <w:kern w:val="2"/>
                      <w:sz w:val="21"/>
                      <w:szCs w:val="21"/>
                      <w:lang w:bidi="ar"/>
                    </w:rPr>
                    <w:t>废矿物油</w:t>
                  </w:r>
                </w:p>
              </w:tc>
              <w:tc>
                <w:tcPr>
                  <w:tcW w:w="2856" w:type="dxa"/>
                  <w:vMerge w:val="continue"/>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cs="宋体"/>
                      <w:kern w:val="2"/>
                      <w:sz w:val="21"/>
                      <w:szCs w:val="21"/>
                      <w:lang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0" w:type="dxa"/>
                  <w:vMerge w:val="continue"/>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bidi="ar"/>
                    </w:rPr>
                  </w:pPr>
                </w:p>
              </w:tc>
              <w:tc>
                <w:tcPr>
                  <w:tcW w:w="570"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cs="Times New Roman"/>
                      <w:kern w:val="2"/>
                      <w:sz w:val="21"/>
                      <w:szCs w:val="21"/>
                      <w:lang w:val="en-US" w:eastAsia="zh-CN" w:bidi="ar"/>
                    </w:rPr>
                    <w:t>S</w:t>
                  </w:r>
                  <w:r>
                    <w:rPr>
                      <w:rFonts w:hint="eastAsia" w:ascii="Times New Roman" w:hAnsi="Times New Roman" w:cs="Times New Roman"/>
                      <w:kern w:val="2"/>
                      <w:sz w:val="21"/>
                      <w:szCs w:val="21"/>
                      <w:vertAlign w:val="subscript"/>
                      <w:lang w:val="en-US" w:eastAsia="zh-CN" w:bidi="ar"/>
                    </w:rPr>
                    <w:t>6</w:t>
                  </w:r>
                </w:p>
              </w:tc>
              <w:tc>
                <w:tcPr>
                  <w:tcW w:w="1725"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生活垃圾</w:t>
                  </w:r>
                </w:p>
              </w:tc>
              <w:tc>
                <w:tcPr>
                  <w:tcW w:w="1133"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rPr>
                    <w:t>员工日常生活</w:t>
                  </w:r>
                </w:p>
              </w:tc>
              <w:tc>
                <w:tcPr>
                  <w:tcW w:w="1384" w:type="dxa"/>
                  <w:noWrap w:val="0"/>
                  <w:vAlign w:val="center"/>
                </w:tcPr>
                <w:p>
                  <w:pPr>
                    <w:keepNext w:val="0"/>
                    <w:keepLines w:val="0"/>
                    <w:suppressLineNumbers w:val="0"/>
                    <w:tabs>
                      <w:tab w:val="left" w:pos="2604"/>
                    </w:tabs>
                    <w:adjustRightInd w:val="0"/>
                    <w:snapToGrid w:val="0"/>
                    <w:spacing w:before="0" w:beforeAutospacing="0" w:after="0" w:afterAutospacing="0"/>
                    <w:ind w:left="0" w:right="0"/>
                    <w:jc w:val="center"/>
                    <w:rPr>
                      <w:rFonts w:hint="default" w:ascii="Times New Roman" w:hAnsi="Times New Roman" w:eastAsia="宋体" w:cs="Times New Roman"/>
                      <w:sz w:val="21"/>
                      <w:szCs w:val="21"/>
                      <w:lang w:bidi="ar"/>
                    </w:rPr>
                  </w:pPr>
                  <w:r>
                    <w:rPr>
                      <w:rFonts w:hint="default" w:ascii="Times New Roman" w:hAnsi="Times New Roman" w:eastAsia="宋体" w:cs="Times New Roman"/>
                      <w:sz w:val="21"/>
                      <w:szCs w:val="21"/>
                      <w:lang w:bidi="ar"/>
                    </w:rPr>
                    <w:t>纸屑、果皮、塑料盒、塑料袋等</w:t>
                  </w:r>
                </w:p>
              </w:tc>
              <w:tc>
                <w:tcPr>
                  <w:tcW w:w="2856" w:type="dxa"/>
                  <w:noWrap w:val="0"/>
                  <w:vAlign w:val="center"/>
                </w:tcPr>
                <w:p>
                  <w:pPr>
                    <w:pStyle w:val="29"/>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kern w:val="2"/>
                      <w:sz w:val="21"/>
                      <w:szCs w:val="21"/>
                      <w:lang w:bidi="ar"/>
                    </w:rPr>
                  </w:pPr>
                  <w:r>
                    <w:rPr>
                      <w:rFonts w:hint="default" w:ascii="Times New Roman" w:hAnsi="Times New Roman" w:eastAsia="宋体" w:cs="Times New Roman"/>
                      <w:kern w:val="2"/>
                      <w:sz w:val="21"/>
                      <w:szCs w:val="21"/>
                      <w:lang w:bidi="ar"/>
                    </w:rPr>
                    <w:t>由环卫部门处置</w:t>
                  </w:r>
                </w:p>
              </w:tc>
            </w:tr>
          </w:tbl>
          <w:p>
            <w:pPr>
              <w:keepNext w:val="0"/>
              <w:keepLines w:val="0"/>
              <w:suppressLineNumbers w:val="0"/>
              <w:adjustRightInd w:val="0"/>
              <w:snapToGrid w:val="0"/>
              <w:spacing w:before="0" w:beforeAutospacing="0" w:after="0" w:afterAutospacing="0"/>
              <w:ind w:left="0" w:right="0"/>
              <w:rPr>
                <w:rFonts w:hint="default" w:ascii="宋体" w:hAnsi="宋体" w:cs="Times New Roman"/>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727" w:type="dxa"/>
            <w:noWrap w:val="0"/>
            <w:vAlign w:val="center"/>
          </w:tcPr>
          <w:p>
            <w:pPr>
              <w:pStyle w:val="29"/>
              <w:keepNext w:val="0"/>
              <w:keepLines w:val="0"/>
              <w:suppressLineNumbers w:val="0"/>
              <w:adjustRightInd w:val="0"/>
              <w:snapToGrid w:val="0"/>
              <w:spacing w:before="0" w:beforeAutospacing="0" w:after="0" w:afterAutospacing="0"/>
              <w:ind w:left="0" w:right="0"/>
              <w:jc w:val="center"/>
              <w:rPr>
                <w:rFonts w:hint="default" w:cs="宋体"/>
                <w:sz w:val="21"/>
                <w:szCs w:val="21"/>
              </w:rPr>
            </w:pPr>
            <w:r>
              <w:rPr>
                <w:rFonts w:hint="eastAsia" w:cs="宋体"/>
                <w:bCs/>
                <w:kern w:val="2"/>
                <w:sz w:val="21"/>
                <w:szCs w:val="21"/>
              </w:rPr>
              <w:t>与项目有关的原有环境污染问题</w:t>
            </w:r>
          </w:p>
        </w:tc>
        <w:tc>
          <w:tcPr>
            <w:tcW w:w="833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Times New Roman"/>
                <w:bCs/>
                <w:szCs w:val="21"/>
                <w:lang w:val="en-US" w:eastAsia="zh-CN"/>
              </w:rPr>
            </w:pPr>
            <w:r>
              <w:rPr>
                <w:rFonts w:hint="eastAsia" w:cs="Times New Roman"/>
                <w:color w:val="000000"/>
                <w:kern w:val="2"/>
                <w:sz w:val="24"/>
                <w:szCs w:val="20"/>
                <w:highlight w:val="none"/>
                <w:lang w:val="en-US" w:eastAsia="zh-CN" w:bidi="ar-SA"/>
              </w:rPr>
              <w:t>本项目为新建，不存在原有污染情况。</w:t>
            </w:r>
          </w:p>
        </w:tc>
      </w:tr>
    </w:tbl>
    <w:p>
      <w:pPr>
        <w:pStyle w:val="29"/>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
        <w:bidi w:val="0"/>
        <w:ind w:left="432" w:leftChars="0" w:hanging="432" w:firstLineChars="0"/>
      </w:pPr>
      <w:bookmarkStart w:id="64" w:name="_Toc8559"/>
      <w:bookmarkStart w:id="65" w:name="_Toc5162"/>
      <w:bookmarkStart w:id="66" w:name="OLE_LINK1"/>
      <w:r>
        <w:rPr>
          <w:rFonts w:hint="eastAsia"/>
        </w:rPr>
        <w:t>区域环境质量现状、环境保护目标及评价标准</w:t>
      </w:r>
      <w:bookmarkEnd w:id="64"/>
      <w:bookmarkEnd w:id="65"/>
    </w:p>
    <w:bookmarkEnd w:id="66"/>
    <w:tbl>
      <w:tblPr>
        <w:tblStyle w:val="32"/>
        <w:tblW w:w="9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3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5" w:hRule="atLeast"/>
          <w:jc w:val="center"/>
        </w:trPr>
        <w:tc>
          <w:tcPr>
            <w:tcW w:w="72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highlight w:val="none"/>
              </w:rPr>
            </w:pPr>
            <w:r>
              <w:rPr>
                <w:rFonts w:hint="eastAsia" w:ascii="宋体" w:hAnsi="宋体" w:cs="宋体"/>
                <w:kern w:val="0"/>
                <w:szCs w:val="21"/>
                <w:highlight w:val="none"/>
              </w:rPr>
              <w:t>区域</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highlight w:val="none"/>
              </w:rPr>
            </w:pPr>
            <w:r>
              <w:rPr>
                <w:rFonts w:hint="eastAsia" w:ascii="宋体" w:hAnsi="宋体" w:cs="宋体"/>
                <w:kern w:val="0"/>
                <w:szCs w:val="21"/>
                <w:highlight w:val="none"/>
              </w:rPr>
              <w:t>环境</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highlight w:val="none"/>
              </w:rPr>
            </w:pPr>
            <w:r>
              <w:rPr>
                <w:rFonts w:hint="eastAsia" w:ascii="宋体" w:hAnsi="宋体" w:cs="宋体"/>
                <w:kern w:val="0"/>
                <w:szCs w:val="21"/>
                <w:highlight w:val="none"/>
              </w:rPr>
              <w:t>质量</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highlight w:val="none"/>
              </w:rPr>
            </w:pPr>
            <w:r>
              <w:rPr>
                <w:rFonts w:hint="eastAsia" w:ascii="宋体" w:hAnsi="宋体" w:cs="宋体"/>
                <w:kern w:val="0"/>
                <w:szCs w:val="21"/>
                <w:highlight w:val="none"/>
              </w:rPr>
              <w:t>现状</w:t>
            </w:r>
          </w:p>
        </w:tc>
        <w:tc>
          <w:tcPr>
            <w:tcW w:w="8340" w:type="dxa"/>
            <w:tcBorders>
              <w:tl2br w:val="nil"/>
              <w:tr2bl w:val="nil"/>
            </w:tcBorders>
            <w:noWrap w:val="0"/>
            <w:vAlign w:val="center"/>
          </w:tcPr>
          <w:p>
            <w:pPr>
              <w:pStyle w:val="3"/>
              <w:keepNext w:val="0"/>
              <w:keepLines w:val="0"/>
              <w:suppressLineNumbers w:val="0"/>
              <w:bidi w:val="0"/>
              <w:spacing w:before="0" w:beforeAutospacing="0" w:after="0" w:afterAutospacing="0"/>
              <w:ind w:left="0" w:leftChars="0" w:right="0" w:firstLine="0" w:firstLineChars="0"/>
              <w:rPr>
                <w:rFonts w:hint="default"/>
                <w:lang w:val="en-US" w:eastAsia="zh-CN"/>
              </w:rPr>
            </w:pPr>
            <w:bookmarkStart w:id="67" w:name="_Toc13480"/>
            <w:bookmarkStart w:id="68" w:name="_Toc29359"/>
            <w:r>
              <w:rPr>
                <w:rFonts w:hint="eastAsia"/>
                <w:lang w:val="en-US" w:eastAsia="zh-CN"/>
              </w:rPr>
              <w:t>大气环境质量</w:t>
            </w:r>
            <w:bookmarkEnd w:id="67"/>
            <w:bookmarkEnd w:id="68"/>
            <w:r>
              <w:rPr>
                <w:rFonts w:hint="eastAsia"/>
                <w:lang w:val="en-US" w:eastAsia="zh-CN"/>
              </w:rPr>
              <w:t>现状</w:t>
            </w:r>
          </w:p>
          <w:p>
            <w:pPr>
              <w:pStyle w:val="4"/>
              <w:suppressLineNumbers w:val="0"/>
              <w:bidi w:val="0"/>
              <w:spacing w:before="0" w:beforeAutospacing="0" w:after="0" w:afterAutospacing="0"/>
              <w:ind w:left="720" w:leftChars="0" w:right="0" w:hanging="720" w:firstLineChars="0"/>
              <w:rPr>
                <w:rFonts w:hint="default"/>
                <w:lang w:val="en-US"/>
              </w:rPr>
            </w:pPr>
            <w:bookmarkStart w:id="69" w:name="_Toc10353"/>
            <w:r>
              <w:rPr>
                <w:rFonts w:hint="default"/>
              </w:rPr>
              <w:t>环境</w:t>
            </w:r>
            <w:bookmarkEnd w:id="69"/>
            <w:r>
              <w:rPr>
                <w:rFonts w:hint="eastAsia"/>
                <w:lang w:val="en-US" w:eastAsia="zh-CN"/>
              </w:rPr>
              <w:t>空气质量功能区划</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32"/>
                <w:highlight w:val="none"/>
                <w14:textFill>
                  <w14:solidFill>
                    <w14:schemeClr w14:val="tx1"/>
                  </w14:solidFill>
                </w14:textFill>
              </w:rPr>
            </w:pPr>
            <w:r>
              <w:rPr>
                <w:rFonts w:hint="default" w:ascii="Times New Roman" w:hAnsi="Times New Roman" w:eastAsia="宋体" w:cs="Times New Roman"/>
                <w:color w:val="000000" w:themeColor="text1"/>
                <w:sz w:val="24"/>
                <w:szCs w:val="32"/>
                <w:highlight w:val="none"/>
                <w14:textFill>
                  <w14:solidFill>
                    <w14:schemeClr w14:val="tx1"/>
                  </w14:solidFill>
                </w14:textFill>
              </w:rPr>
              <w:t>根据福州市人民政府榕政综[2014]30号文件正式批准实施《福州市环境空气质量功能区划(报批稿)》的规定，项目所在区域环境空气功能规划为二类区，环境空气质量执行《环境空气质量标准》(GB3095-2012)及其修改单中的二级标准，具体详见</w:t>
            </w:r>
            <w:r>
              <w:rPr>
                <w:rFonts w:hint="eastAsia" w:cs="Times New Roman"/>
                <w:color w:val="000000" w:themeColor="text1"/>
                <w:sz w:val="24"/>
                <w:szCs w:val="32"/>
                <w:highlight w:val="none"/>
                <w:lang w:val="en-US" w:eastAsia="zh-CN"/>
                <w14:textFill>
                  <w14:solidFill>
                    <w14:schemeClr w14:val="tx1"/>
                  </w14:solidFill>
                </w14:textFill>
              </w:rPr>
              <w:t>下表</w:t>
            </w:r>
            <w:r>
              <w:rPr>
                <w:rFonts w:hint="default" w:ascii="Times New Roman" w:hAnsi="Times New Roman" w:eastAsia="宋体" w:cs="Times New Roman"/>
                <w:color w:val="000000" w:themeColor="text1"/>
                <w:sz w:val="24"/>
                <w:szCs w:val="32"/>
                <w:highlight w:val="none"/>
                <w14:textFill>
                  <w14:solidFill>
                    <w14:schemeClr w14:val="tx1"/>
                  </w14:solidFill>
                </w14:textFill>
              </w:rPr>
              <w:t>。</w:t>
            </w:r>
          </w:p>
          <w:p>
            <w:pPr>
              <w:pStyle w:val="42"/>
              <w:keepNext w:val="0"/>
              <w:keepLines w:val="0"/>
              <w:suppressLineNumbers w:val="0"/>
              <w:bidi w:val="0"/>
              <w:spacing w:beforeAutospacing="0" w:after="0" w:afterAutospacing="0"/>
              <w:ind w:left="0" w:leftChars="0" w:right="0" w:firstLine="0" w:firstLineChars="0"/>
              <w:rPr>
                <w:rFonts w:hint="default"/>
                <w:lang w:val="en-US" w:eastAsia="zh-CN"/>
              </w:rPr>
            </w:pPr>
            <w:r>
              <w:rPr>
                <w:rFonts w:hint="eastAsia"/>
                <w:lang w:val="en-US" w:eastAsia="zh-CN"/>
              </w:rPr>
              <w:t>环境空气质量标准（摘录）</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13"/>
              <w:gridCol w:w="1413"/>
              <w:gridCol w:w="1414"/>
              <w:gridCol w:w="1414"/>
              <w:gridCol w:w="247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污染物名称</w:t>
                  </w: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取值时间</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szCs w:val="21"/>
                    </w:rPr>
                  </w:pPr>
                  <w:r>
                    <w:rPr>
                      <w:rFonts w:hint="eastAsia"/>
                      <w:szCs w:val="21"/>
                    </w:rPr>
                    <w:t>单位</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浓度限值</w:t>
                  </w:r>
                </w:p>
              </w:tc>
              <w:tc>
                <w:tcPr>
                  <w:tcW w:w="2470"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标准来源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restart"/>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PM</w:t>
                  </w:r>
                  <w:r>
                    <w:rPr>
                      <w:rFonts w:hint="default"/>
                      <w:szCs w:val="21"/>
                      <w:vertAlign w:val="subscript"/>
                    </w:rPr>
                    <w:t>10</w:t>
                  </w: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年平均</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70</w:t>
                  </w:r>
                </w:p>
              </w:tc>
              <w:tc>
                <w:tcPr>
                  <w:tcW w:w="2470" w:type="dxa"/>
                  <w:vMerge w:val="restart"/>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《环境空气质量标准》</w:t>
                  </w:r>
                  <w:r>
                    <w:rPr>
                      <w:rFonts w:hint="eastAsia"/>
                      <w:szCs w:val="21"/>
                    </w:rPr>
                    <w:t>（</w:t>
                  </w:r>
                  <w:r>
                    <w:rPr>
                      <w:rFonts w:hint="default"/>
                      <w:szCs w:val="21"/>
                    </w:rPr>
                    <w:t>GB3095-2012</w:t>
                  </w:r>
                  <w:r>
                    <w:rPr>
                      <w:rFonts w:hint="eastAsia"/>
                      <w:szCs w:val="21"/>
                    </w:rPr>
                    <w:t>）</w:t>
                  </w:r>
                  <w:r>
                    <w:rPr>
                      <w:rFonts w:hint="default"/>
                      <w:szCs w:val="21"/>
                    </w:rPr>
                    <w:t>及其修改单中的</w:t>
                  </w:r>
                  <w:r>
                    <w:rPr>
                      <w:rFonts w:hint="eastAsia"/>
                      <w:szCs w:val="21"/>
                    </w:rPr>
                    <w:t>二级浓度限值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24小时平均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150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restart"/>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PM</w:t>
                  </w:r>
                  <w:r>
                    <w:rPr>
                      <w:rFonts w:hint="default"/>
                      <w:szCs w:val="21"/>
                      <w:vertAlign w:val="subscript"/>
                    </w:rPr>
                    <w:t>2.5</w:t>
                  </w: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年平均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35</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24小时平均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75</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restart"/>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SO</w:t>
                  </w:r>
                  <w:r>
                    <w:rPr>
                      <w:rFonts w:hint="default"/>
                      <w:szCs w:val="21"/>
                      <w:vertAlign w:val="subscript"/>
                    </w:rPr>
                    <w:t>2</w:t>
                  </w: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年平均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60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24小时平均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150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500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restart"/>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NO</w:t>
                  </w:r>
                  <w:r>
                    <w:rPr>
                      <w:rFonts w:hint="default"/>
                      <w:szCs w:val="21"/>
                      <w:vertAlign w:val="subscript"/>
                    </w:rPr>
                    <w:t>2</w:t>
                  </w: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年平均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40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24小时平均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80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200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restart"/>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CO</w:t>
                  </w: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24小时平均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eastAsia"/>
                      <w:szCs w:val="21"/>
                      <w:lang w:val="en-US" w:eastAsia="zh-CN"/>
                    </w:rPr>
                    <w:t>m</w:t>
                  </w:r>
                  <w:r>
                    <w:rPr>
                      <w:rFonts w:hint="default"/>
                      <w:szCs w:val="21"/>
                    </w:rPr>
                    <w:t>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4</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eastAsia"/>
                      <w:szCs w:val="21"/>
                      <w:lang w:val="en-US" w:eastAsia="zh-CN"/>
                    </w:rPr>
                    <w:t>m</w:t>
                  </w:r>
                  <w:r>
                    <w:rPr>
                      <w:rFonts w:hint="default"/>
                      <w:szCs w:val="21"/>
                    </w:rPr>
                    <w:t>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restart"/>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O</w:t>
                  </w:r>
                  <w:r>
                    <w:rPr>
                      <w:rFonts w:hint="default"/>
                      <w:szCs w:val="21"/>
                      <w:vertAlign w:val="subscript"/>
                    </w:rPr>
                    <w:t>3</w:t>
                  </w: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8小时平均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160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413"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1小时平均</w:t>
                  </w:r>
                </w:p>
              </w:tc>
              <w:tc>
                <w:tcPr>
                  <w:tcW w:w="1414"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szCs w:val="21"/>
                    </w:rPr>
                  </w:pPr>
                  <w:r>
                    <w:rPr>
                      <w:rFonts w:hint="default"/>
                      <w:szCs w:val="21"/>
                    </w:rPr>
                    <w:t>μg/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200</w:t>
                  </w:r>
                </w:p>
              </w:tc>
              <w:tc>
                <w:tcPr>
                  <w:tcW w:w="2470" w:type="dxa"/>
                  <w:vMerge w:val="continue"/>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非甲烷总烃</w:t>
                  </w:r>
                </w:p>
              </w:tc>
              <w:tc>
                <w:tcPr>
                  <w:tcW w:w="1413"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1小时平均</w:t>
                  </w:r>
                </w:p>
              </w:tc>
              <w:tc>
                <w:tcPr>
                  <w:tcW w:w="14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i w:val="0"/>
                      <w:iCs w:val="0"/>
                      <w:szCs w:val="21"/>
                      <w:lang w:val="en-US" w:eastAsia="zh-CN"/>
                    </w:rPr>
                    <w:t>m</w:t>
                  </w:r>
                  <w:r>
                    <w:rPr>
                      <w:rFonts w:hint="default"/>
                      <w:szCs w:val="21"/>
                    </w:rPr>
                    <w:t>g/</w:t>
                  </w:r>
                  <w:r>
                    <w:rPr>
                      <w:rFonts w:hint="default"/>
                      <w:szCs w:val="21"/>
                      <w:lang w:val="en-US" w:eastAsia="zh-CN"/>
                    </w:rPr>
                    <w:t>m</w:t>
                  </w:r>
                  <w:r>
                    <w:rPr>
                      <w:rFonts w:hint="default"/>
                      <w:szCs w:val="21"/>
                      <w:vertAlign w:val="superscript"/>
                      <w:lang w:val="en-US" w:eastAsia="zh-CN"/>
                    </w:rPr>
                    <w:t>3</w:t>
                  </w:r>
                </w:p>
              </w:tc>
              <w:tc>
                <w:tcPr>
                  <w:tcW w:w="1414"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2</w:t>
                  </w:r>
                </w:p>
              </w:tc>
              <w:tc>
                <w:tcPr>
                  <w:tcW w:w="2470"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《大气污染物综合排放标准详解》</w:t>
                  </w:r>
                </w:p>
              </w:tc>
            </w:tr>
          </w:tbl>
          <w:p>
            <w:pPr>
              <w:pStyle w:val="4"/>
              <w:numPr>
                <w:ilvl w:val="2"/>
                <w:numId w:val="0"/>
              </w:numPr>
              <w:suppressLineNumbers w:val="0"/>
              <w:bidi w:val="0"/>
              <w:spacing w:before="0" w:beforeAutospacing="0" w:after="0" w:afterAutospacing="0" w:line="240" w:lineRule="auto"/>
              <w:ind w:leftChars="0" w:right="0" w:rightChars="0"/>
              <w:rPr>
                <w:rFonts w:hint="default"/>
              </w:rPr>
            </w:pPr>
          </w:p>
          <w:p>
            <w:pPr>
              <w:pStyle w:val="4"/>
              <w:suppressLineNumbers w:val="0"/>
              <w:bidi w:val="0"/>
              <w:spacing w:beforeAutospacing="0" w:after="0" w:afterAutospacing="0"/>
              <w:ind w:left="720" w:leftChars="0" w:right="0" w:hanging="720" w:firstLineChars="0"/>
              <w:rPr>
                <w:rFonts w:hint="default"/>
              </w:rPr>
            </w:pPr>
            <w:bookmarkStart w:id="70" w:name="_Toc3134"/>
            <w:r>
              <w:rPr>
                <w:rFonts w:hint="default"/>
              </w:rPr>
              <w:t>区域大气环境质量现状</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32"/>
                <w:highlight w:val="none"/>
                <w14:textFill>
                  <w14:solidFill>
                    <w14:schemeClr w14:val="tx1"/>
                  </w14:solidFill>
                </w14:textFill>
              </w:rPr>
            </w:pPr>
            <w:r>
              <w:rPr>
                <w:rFonts w:hint="default" w:ascii="Times New Roman" w:hAnsi="Times New Roman" w:eastAsia="宋体" w:cs="Times New Roman"/>
                <w:color w:val="000000" w:themeColor="text1"/>
                <w:sz w:val="24"/>
                <w:szCs w:val="32"/>
                <w:highlight w:val="none"/>
                <w14:textFill>
                  <w14:solidFill>
                    <w14:schemeClr w14:val="tx1"/>
                  </w14:solidFill>
                </w14:textFill>
              </w:rPr>
              <w:t>（1）城市达标区域判断</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000000" w:themeColor="text1"/>
                <w:sz w:val="24"/>
                <w:szCs w:val="32"/>
                <w:highlight w:val="none"/>
                <w14:textFill>
                  <w14:solidFill>
                    <w14:schemeClr w14:val="tx1"/>
                  </w14:solidFill>
                </w14:textFill>
              </w:rPr>
            </w:pPr>
            <w:r>
              <w:rPr>
                <w:rFonts w:hint="default" w:ascii="Times New Roman" w:hAnsi="Times New Roman" w:eastAsia="宋体" w:cs="Times New Roman"/>
                <w:color w:val="000000" w:themeColor="text1"/>
                <w:sz w:val="24"/>
                <w:szCs w:val="32"/>
                <w:highlight w:val="none"/>
                <w14:textFill>
                  <w14:solidFill>
                    <w14:schemeClr w14:val="tx1"/>
                  </w14:solidFill>
                </w14:textFill>
              </w:rPr>
              <w:t>根据福州市连江县人民政府网址发布的《连江县202</w:t>
            </w:r>
            <w:r>
              <w:rPr>
                <w:rFonts w:hint="eastAsia" w:cs="Times New Roman"/>
                <w:color w:val="000000" w:themeColor="text1"/>
                <w:sz w:val="24"/>
                <w:szCs w:val="32"/>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32"/>
                <w:highlight w:val="none"/>
                <w14:textFill>
                  <w14:solidFill>
                    <w14:schemeClr w14:val="tx1"/>
                  </w14:solidFill>
                </w14:textFill>
              </w:rPr>
              <w:t>年1月~12月环境质量月通报报表》可知，连江县202</w:t>
            </w:r>
            <w:r>
              <w:rPr>
                <w:rFonts w:hint="eastAsia" w:cs="Times New Roman"/>
                <w:color w:val="000000" w:themeColor="text1"/>
                <w:sz w:val="24"/>
                <w:szCs w:val="32"/>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32"/>
                <w:highlight w:val="none"/>
                <w14:textFill>
                  <w14:solidFill>
                    <w14:schemeClr w14:val="tx1"/>
                  </w14:solidFill>
                </w14:textFill>
              </w:rPr>
              <w:t>全年大气环境质量均可达到《环境空气质量标准》(GB3095-2012）及其修改单中的二级标准。详见</w:t>
            </w:r>
            <w:r>
              <w:rPr>
                <w:rFonts w:hint="eastAsia" w:cs="Times New Roman"/>
                <w:color w:val="000000" w:themeColor="text1"/>
                <w:sz w:val="24"/>
                <w:szCs w:val="32"/>
                <w:highlight w:val="none"/>
                <w:lang w:val="en-US" w:eastAsia="zh-CN"/>
                <w14:textFill>
                  <w14:solidFill>
                    <w14:schemeClr w14:val="tx1"/>
                  </w14:solidFill>
                </w14:textFill>
              </w:rPr>
              <w:t>下表</w:t>
            </w:r>
            <w:r>
              <w:rPr>
                <w:rFonts w:hint="default" w:ascii="Times New Roman" w:hAnsi="Times New Roman" w:eastAsia="宋体" w:cs="Times New Roman"/>
                <w:color w:val="000000" w:themeColor="text1"/>
                <w:sz w:val="24"/>
                <w:szCs w:val="32"/>
                <w:highlight w:val="none"/>
                <w14:textFill>
                  <w14:solidFill>
                    <w14:schemeClr w14:val="tx1"/>
                  </w14:solidFill>
                </w14:textFill>
              </w:rPr>
              <w:t>。</w:t>
            </w:r>
          </w:p>
          <w:p>
            <w:pPr>
              <w:pStyle w:val="42"/>
              <w:keepNext w:val="0"/>
              <w:keepLines w:val="0"/>
              <w:suppressLineNumbers w:val="0"/>
              <w:bidi w:val="0"/>
              <w:spacing w:beforeAutospacing="0" w:after="0" w:afterAutospacing="0"/>
              <w:ind w:left="0" w:leftChars="0" w:right="0" w:firstLine="0" w:firstLineChars="0"/>
              <w:rPr>
                <w:rFonts w:hint="default"/>
                <w:lang w:val="en-US" w:eastAsia="zh-CN"/>
              </w:rPr>
            </w:pPr>
            <w:r>
              <w:rPr>
                <w:rFonts w:hint="default"/>
                <w:lang w:val="en-US" w:eastAsia="zh-CN"/>
              </w:rPr>
              <w:t>连江县202</w:t>
            </w:r>
            <w:r>
              <w:rPr>
                <w:rFonts w:hint="eastAsia"/>
                <w:lang w:val="en-US" w:eastAsia="zh-CN"/>
              </w:rPr>
              <w:t>3</w:t>
            </w:r>
            <w:r>
              <w:rPr>
                <w:rFonts w:hint="default"/>
                <w:lang w:val="en-US" w:eastAsia="zh-CN"/>
              </w:rPr>
              <w:t>年1月~12月环境质量一览表</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25"/>
              <w:gridCol w:w="991"/>
              <w:gridCol w:w="1276"/>
              <w:gridCol w:w="1139"/>
              <w:gridCol w:w="1178"/>
              <w:gridCol w:w="1197"/>
              <w:gridCol w:w="121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监测项目</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vertAlign w:val="subscript"/>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μg/</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w:t>
                  </w:r>
                </w:p>
              </w:tc>
              <w:tc>
                <w:tcPr>
                  <w:tcW w:w="1276"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rPr>
                    <w:t>g/</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vertAlign w:val="subscript"/>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μg/</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vertAlign w:val="subscript"/>
                    </w:rPr>
                  </w:pP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p>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μg/</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vertAlign w:val="subscript"/>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μg/</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vertAlign w:val="subscript"/>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p>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μg/</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1276"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71</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31</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80</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99</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37</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106</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43</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103</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34</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95</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6</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81</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2</w:t>
                  </w:r>
                  <w:r>
                    <w:rPr>
                      <w:rFonts w:hint="eastAsia" w:cs="Times New Roman"/>
                      <w:sz w:val="21"/>
                      <w:szCs w:val="21"/>
                      <w:lang w:val="en-US" w:eastAsia="zh-CN"/>
                    </w:rPr>
                    <w:t>0</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95</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33</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12月</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0.6</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72</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31</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年平均值</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0.54</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7.83</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89.5</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30.08</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16.08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25"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达标情况</w:t>
                  </w:r>
                </w:p>
              </w:tc>
              <w:tc>
                <w:tcPr>
                  <w:tcW w:w="991"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达标</w:t>
                  </w:r>
                </w:p>
              </w:tc>
              <w:tc>
                <w:tcPr>
                  <w:tcW w:w="1276" w:type="dxa"/>
                  <w:tcBorders>
                    <w:tl2br w:val="nil"/>
                    <w:tr2bl w:val="nil"/>
                  </w:tcBorders>
                  <w:noWrap w:val="0"/>
                  <w:vAlign w:val="center"/>
                </w:tcPr>
                <w:p>
                  <w:pPr>
                    <w:keepNext w:val="0"/>
                    <w:keepLines w:val="0"/>
                    <w:suppressLineNumbers w:val="0"/>
                    <w:bidi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达标</w:t>
                  </w:r>
                </w:p>
              </w:tc>
              <w:tc>
                <w:tcPr>
                  <w:tcW w:w="1139"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达标</w:t>
                  </w:r>
                </w:p>
              </w:tc>
              <w:tc>
                <w:tcPr>
                  <w:tcW w:w="117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达标</w:t>
                  </w:r>
                </w:p>
              </w:tc>
              <w:tc>
                <w:tcPr>
                  <w:tcW w:w="1197"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达标</w:t>
                  </w:r>
                </w:p>
              </w:tc>
              <w:tc>
                <w:tcPr>
                  <w:tcW w:w="1218" w:type="dxa"/>
                  <w:tcBorders>
                    <w:tl2br w:val="nil"/>
                    <w:tr2bl w:val="nil"/>
                  </w:tcBorders>
                  <w:noWrap w:val="0"/>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达标</w:t>
                  </w:r>
                </w:p>
              </w:tc>
            </w:tr>
          </w:tbl>
          <w:p>
            <w:pPr>
              <w:keepNext w:val="0"/>
              <w:keepLines w:val="0"/>
              <w:suppressLineNumbers w:val="0"/>
              <w:spacing w:before="0" w:beforeAutospacing="0" w:after="0" w:afterAutospacing="0"/>
              <w:ind w:left="0" w:right="0"/>
              <w:rPr>
                <w:rFonts w:hint="default"/>
              </w:rPr>
            </w:pPr>
          </w:p>
          <w:p>
            <w:pPr>
              <w:pStyle w:val="43"/>
              <w:keepNext w:val="0"/>
              <w:keepLines w:val="0"/>
              <w:suppressLineNumbers w:val="0"/>
              <w:spacing w:before="0" w:beforeAutospacing="0" w:after="0" w:afterAutospacing="0" w:line="360" w:lineRule="auto"/>
              <w:ind w:left="0" w:leftChars="0" w:right="0" w:firstLine="480" w:firstLineChars="200"/>
              <w:rPr>
                <w:rFonts w:hint="eastAsia" w:cs="Times New Roman"/>
                <w:color w:val="000000" w:themeColor="text1"/>
                <w:sz w:val="24"/>
                <w:szCs w:val="32"/>
                <w:highlight w:val="none"/>
                <w:lang w:eastAsia="zh-CN"/>
                <w14:textFill>
                  <w14:solidFill>
                    <w14:schemeClr w14:val="tx1"/>
                  </w14:solidFill>
                </w14:textFill>
              </w:rPr>
            </w:pPr>
            <w:r>
              <w:rPr>
                <w:rFonts w:hint="eastAsia" w:cs="Times New Roman"/>
                <w:color w:val="000000" w:themeColor="text1"/>
                <w:sz w:val="24"/>
                <w:szCs w:val="32"/>
                <w:highlight w:val="none"/>
                <w:lang w:eastAsia="zh-CN"/>
                <w14:textFill>
                  <w14:solidFill>
                    <w14:schemeClr w14:val="tx1"/>
                  </w14:solidFill>
                </w14:textFill>
              </w:rPr>
              <w:t>（2）引用资料的有效性分析</w:t>
            </w:r>
          </w:p>
          <w:p>
            <w:pPr>
              <w:pStyle w:val="43"/>
              <w:keepNext w:val="0"/>
              <w:keepLines w:val="0"/>
              <w:suppressLineNumbers w:val="0"/>
              <w:spacing w:before="0" w:beforeAutospacing="0" w:after="0" w:afterAutospacing="0" w:line="360" w:lineRule="auto"/>
              <w:ind w:left="0" w:leftChars="0" w:right="0" w:firstLine="480" w:firstLineChars="200"/>
              <w:rPr>
                <w:rFonts w:hint="eastAsia" w:cs="Times New Roman"/>
                <w:color w:val="000000" w:themeColor="text1"/>
                <w:sz w:val="24"/>
                <w:szCs w:val="32"/>
                <w:highlight w:val="none"/>
                <w:lang w:eastAsia="zh-CN"/>
                <w14:textFill>
                  <w14:solidFill>
                    <w14:schemeClr w14:val="tx1"/>
                  </w14:solidFill>
                </w14:textFill>
              </w:rPr>
            </w:pPr>
            <w:r>
              <w:rPr>
                <w:rFonts w:hint="eastAsia" w:cs="Times New Roman"/>
                <w:color w:val="000000" w:themeColor="text1"/>
                <w:sz w:val="24"/>
                <w:szCs w:val="32"/>
                <w:highlight w:val="none"/>
                <w:lang w:eastAsia="zh-CN"/>
                <w14:textFill>
                  <w14:solidFill>
                    <w14:schemeClr w14:val="tx1"/>
                  </w14:solidFill>
                </w14:textFill>
              </w:rPr>
              <w:t>根据《建设项目环境影响报告表编制技术指南（污染影响类）（试行）》（环办环评〔2020〕33号）的要求：“大气环境区域环境质量现状常规污染物引用与建设项目距离近的有效数据，包括近3年的规划环境影响评价的监测数据，国家、地方环境空气质量监测网数据或生态环境主管部门公开发布的质量数据等，排放国家、地方环境空气质量标准中有标准限值要求的特征污染物时，引用建设项目周边5千米范围内近3年的现有监测数据”。本评价常规污染因子选取福州市连江县人民政府网址发布的环境空气质量现状信息，符合《建设项目环境影响报告表编制技术指南（污染影响类）（试行）》（环办环评〔2020〕33号）</w:t>
            </w:r>
            <w:r>
              <w:rPr>
                <w:rFonts w:hint="eastAsia" w:cs="Times New Roman"/>
                <w:color w:val="000000" w:themeColor="text1"/>
                <w:sz w:val="24"/>
                <w:szCs w:val="32"/>
                <w:highlight w:val="none"/>
                <w:lang w:val="en-US" w:eastAsia="zh-CN"/>
                <w14:textFill>
                  <w14:solidFill>
                    <w14:schemeClr w14:val="tx1"/>
                  </w14:solidFill>
                </w14:textFill>
              </w:rPr>
              <w:t>相关</w:t>
            </w:r>
            <w:r>
              <w:rPr>
                <w:rFonts w:hint="eastAsia" w:cs="Times New Roman"/>
                <w:color w:val="000000" w:themeColor="text1"/>
                <w:sz w:val="24"/>
                <w:szCs w:val="32"/>
                <w:highlight w:val="none"/>
                <w:lang w:eastAsia="zh-CN"/>
                <w14:textFill>
                  <w14:solidFill>
                    <w14:schemeClr w14:val="tx1"/>
                  </w14:solidFill>
                </w14:textFill>
              </w:rPr>
              <w:t>要求。</w:t>
            </w:r>
          </w:p>
          <w:p>
            <w:pPr>
              <w:pStyle w:val="43"/>
              <w:keepNext w:val="0"/>
              <w:keepLines w:val="0"/>
              <w:suppressLineNumbers w:val="0"/>
              <w:spacing w:before="0" w:beforeAutospacing="0" w:after="0" w:afterAutospacing="0" w:line="360" w:lineRule="auto"/>
              <w:ind w:left="0" w:right="0" w:firstLine="480"/>
              <w:rPr>
                <w:rFonts w:hint="eastAsia" w:eastAsia="宋体"/>
                <w:snapToGrid w:val="0"/>
                <w:color w:val="auto"/>
                <w:kern w:val="0"/>
                <w:szCs w:val="20"/>
                <w:lang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snapToGrid w:val="0"/>
                <w:color w:val="auto"/>
                <w:kern w:val="0"/>
                <w:szCs w:val="20"/>
              </w:rPr>
              <w:t>其他污染物环境质量现状</w:t>
            </w:r>
          </w:p>
          <w:p>
            <w:pPr>
              <w:pStyle w:val="43"/>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default"/>
                <w:color w:val="auto"/>
              </w:rPr>
              <w:t>本项目大气特征污染物主要为</w:t>
            </w:r>
            <w:r>
              <w:rPr>
                <w:rFonts w:hint="eastAsia"/>
                <w:color w:val="auto"/>
                <w:lang w:val="en-US" w:eastAsia="zh-CN"/>
              </w:rPr>
              <w:t>非甲烷总烃</w:t>
            </w:r>
            <w:r>
              <w:rPr>
                <w:rFonts w:hint="eastAsia"/>
                <w:color w:val="auto"/>
              </w:rPr>
              <w:t>，本</w:t>
            </w:r>
            <w:r>
              <w:rPr>
                <w:rFonts w:hint="eastAsia"/>
                <w:color w:val="auto"/>
                <w:lang w:val="en-US" w:eastAsia="zh-CN"/>
              </w:rPr>
              <w:t>次</w:t>
            </w:r>
            <w:r>
              <w:rPr>
                <w:rFonts w:hint="eastAsia"/>
                <w:color w:val="auto"/>
              </w:rPr>
              <w:t>评价</w:t>
            </w:r>
            <w:r>
              <w:rPr>
                <w:rFonts w:hint="eastAsia"/>
                <w:color w:val="auto"/>
                <w:lang w:val="en-US" w:eastAsia="zh-CN"/>
              </w:rPr>
              <w:t>委托</w:t>
            </w:r>
            <w:r>
              <w:rPr>
                <w:rFonts w:hint="default"/>
                <w:color w:val="auto"/>
                <w:szCs w:val="24"/>
              </w:rPr>
              <w:t>福州中一检测科技有限公司</w:t>
            </w:r>
            <w:r>
              <w:rPr>
                <w:rFonts w:hint="eastAsia"/>
                <w:color w:val="auto"/>
              </w:rPr>
              <w:t>于</w:t>
            </w:r>
            <w:r>
              <w:rPr>
                <w:rFonts w:hint="default"/>
                <w:color w:val="auto"/>
              </w:rPr>
              <w:t>202</w:t>
            </w:r>
            <w:r>
              <w:rPr>
                <w:rFonts w:hint="eastAsia"/>
                <w:color w:val="auto"/>
                <w:lang w:val="en-US" w:eastAsia="zh-CN"/>
              </w:rPr>
              <w:t>4</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28</w:t>
            </w:r>
            <w:r>
              <w:rPr>
                <w:rFonts w:hint="eastAsia"/>
                <w:color w:val="auto"/>
              </w:rPr>
              <w:t>日至</w:t>
            </w:r>
            <w:r>
              <w:rPr>
                <w:rFonts w:hint="eastAsia"/>
                <w:color w:val="auto"/>
                <w:lang w:val="en-US" w:eastAsia="zh-CN"/>
              </w:rPr>
              <w:t>5</w:t>
            </w:r>
            <w:r>
              <w:rPr>
                <w:rFonts w:hint="eastAsia"/>
                <w:color w:val="auto"/>
              </w:rPr>
              <w:t>月</w:t>
            </w:r>
            <w:r>
              <w:rPr>
                <w:rFonts w:hint="eastAsia"/>
                <w:color w:val="auto"/>
                <w:lang w:val="en-US" w:eastAsia="zh-CN"/>
              </w:rPr>
              <w:t>30</w:t>
            </w:r>
            <w:r>
              <w:rPr>
                <w:rFonts w:hint="eastAsia"/>
                <w:color w:val="auto"/>
              </w:rPr>
              <w:t>日</w:t>
            </w:r>
            <w:r>
              <w:rPr>
                <w:rFonts w:hint="eastAsia"/>
                <w:color w:val="auto"/>
                <w:lang w:val="en-US" w:eastAsia="zh-CN"/>
              </w:rPr>
              <w:t>的</w:t>
            </w:r>
            <w:r>
              <w:rPr>
                <w:rFonts w:hint="eastAsia"/>
                <w:color w:val="auto"/>
              </w:rPr>
              <w:t>现状监测数据，</w:t>
            </w:r>
            <w:r>
              <w:rPr>
                <w:rFonts w:hint="eastAsia"/>
                <w:color w:val="auto"/>
                <w:lang w:val="en-US" w:eastAsia="zh-CN"/>
              </w:rPr>
              <w:t>监测小时均值</w:t>
            </w:r>
            <w:r>
              <w:rPr>
                <w:rFonts w:hint="eastAsia"/>
                <w:color w:val="auto"/>
                <w:lang w:eastAsia="zh-CN"/>
              </w:rPr>
              <w:t>，连续</w:t>
            </w:r>
            <w:r>
              <w:rPr>
                <w:rFonts w:hint="eastAsia"/>
                <w:color w:val="auto"/>
                <w:lang w:val="en-US" w:eastAsia="zh-CN"/>
              </w:rPr>
              <w:t>监测</w:t>
            </w:r>
            <w:r>
              <w:rPr>
                <w:rFonts w:hint="eastAsia"/>
                <w:color w:val="auto"/>
                <w:lang w:eastAsia="zh-CN"/>
              </w:rPr>
              <w:t>3天。</w:t>
            </w:r>
            <w:r>
              <w:rPr>
                <w:rFonts w:hint="eastAsia"/>
                <w:color w:val="auto"/>
              </w:rPr>
              <w:t>监测点位于本项目</w:t>
            </w:r>
            <w:r>
              <w:rPr>
                <w:rFonts w:hint="eastAsia"/>
                <w:color w:val="auto"/>
                <w:lang w:val="en-US" w:eastAsia="zh-CN"/>
              </w:rPr>
              <w:t>西侧0.32</w:t>
            </w:r>
            <w:r>
              <w:rPr>
                <w:rFonts w:hint="eastAsia"/>
                <w:color w:val="auto"/>
              </w:rPr>
              <w:t>km，监测结果见下表</w:t>
            </w:r>
            <w:r>
              <w:rPr>
                <w:rFonts w:hint="eastAsia"/>
                <w:color w:val="auto"/>
                <w:lang w:eastAsia="zh-CN"/>
              </w:rPr>
              <w:t>，</w:t>
            </w:r>
            <w:r>
              <w:rPr>
                <w:rFonts w:hint="eastAsia"/>
                <w:color w:val="auto"/>
                <w:highlight w:val="none"/>
              </w:rPr>
              <w:t>监测点位见附图</w:t>
            </w:r>
            <w:r>
              <w:rPr>
                <w:rFonts w:hint="eastAsia"/>
                <w:color w:val="auto"/>
                <w:highlight w:val="none"/>
                <w:lang w:val="en-US" w:eastAsia="zh-CN"/>
              </w:rPr>
              <w:t>6</w:t>
            </w:r>
            <w:r>
              <w:rPr>
                <w:rFonts w:hint="eastAsia"/>
                <w:color w:val="auto"/>
                <w:highlight w:val="none"/>
              </w:rPr>
              <w:t>。</w:t>
            </w:r>
          </w:p>
          <w:p>
            <w:pPr>
              <w:pStyle w:val="42"/>
              <w:keepNext w:val="0"/>
              <w:keepLines w:val="0"/>
              <w:suppressLineNumbers w:val="0"/>
              <w:bidi w:val="0"/>
              <w:spacing w:beforeAutospacing="0" w:after="0" w:afterAutospacing="0"/>
              <w:ind w:left="0" w:leftChars="0" w:right="0" w:firstLine="0" w:firstLineChars="0"/>
              <w:rPr>
                <w:rFonts w:hint="eastAsia"/>
                <w:color w:val="auto"/>
                <w:lang w:val="en-US" w:eastAsia="zh-CN"/>
              </w:rPr>
            </w:pPr>
            <w:r>
              <w:rPr>
                <w:rFonts w:hint="eastAsia"/>
                <w:color w:val="auto"/>
                <w:lang w:val="en-US" w:eastAsia="zh-CN"/>
              </w:rPr>
              <w:t xml:space="preserve">非甲烷总烃现状监测与评价结果一览表 </w:t>
            </w:r>
          </w:p>
          <w:p>
            <w:pPr>
              <w:pStyle w:val="43"/>
              <w:spacing w:line="360" w:lineRule="auto"/>
              <w:ind w:firstLine="480" w:firstLineChars="200"/>
              <w:rPr>
                <w:rFonts w:hint="eastAsia"/>
                <w:lang w:val="en-US" w:eastAsia="zh-CN"/>
              </w:rPr>
            </w:pPr>
            <w:r>
              <w:rPr>
                <w:rFonts w:hint="eastAsia" w:cs="Times New Roman"/>
                <w:sz w:val="24"/>
                <w:szCs w:val="24"/>
                <w:lang w:val="en-US" w:eastAsia="zh-CN"/>
              </w:rPr>
              <w:t>涉及商业机密</w:t>
            </w:r>
          </w:p>
          <w:p>
            <w:pPr>
              <w:pStyle w:val="43"/>
              <w:keepNext w:val="0"/>
              <w:keepLines w:val="0"/>
              <w:suppressLineNumbers w:val="0"/>
              <w:spacing w:before="0" w:beforeLines="0" w:beforeAutospacing="0" w:after="0" w:afterAutospacing="0"/>
              <w:ind w:left="0" w:right="0" w:firstLine="480"/>
              <w:rPr>
                <w:rFonts w:hint="eastAsia"/>
                <w:color w:val="auto"/>
                <w:szCs w:val="24"/>
              </w:rPr>
            </w:pPr>
            <w:r>
              <w:rPr>
                <w:rFonts w:hint="default" w:ascii="Times New Roman" w:hAnsi="Times New Roman" w:eastAsia="宋体" w:cs="Times New Roman"/>
                <w:color w:val="auto"/>
                <w:highlight w:val="none"/>
                <w:lang w:val="en-US" w:eastAsia="zh-CN"/>
              </w:rPr>
              <w:t>根据监测结果可知，项目</w:t>
            </w:r>
            <w:r>
              <w:rPr>
                <w:rFonts w:hint="eastAsia" w:cs="Times New Roman"/>
                <w:color w:val="auto"/>
                <w:highlight w:val="none"/>
                <w:lang w:val="en-US" w:eastAsia="zh-CN"/>
              </w:rPr>
              <w:t>所在区域</w:t>
            </w:r>
            <w:r>
              <w:rPr>
                <w:rFonts w:hint="default" w:ascii="Times New Roman" w:hAnsi="Times New Roman" w:eastAsia="宋体" w:cs="Times New Roman"/>
                <w:color w:val="auto"/>
                <w:highlight w:val="none"/>
                <w:lang w:val="en-US" w:eastAsia="zh-CN"/>
              </w:rPr>
              <w:t>非甲烷总烃满足《</w:t>
            </w:r>
            <w:r>
              <w:rPr>
                <w:rFonts w:hint="default"/>
                <w:color w:val="auto"/>
                <w:highlight w:val="none"/>
              </w:rPr>
              <w:t>大气污染物综合排放标准详解》</w:t>
            </w:r>
            <w:r>
              <w:rPr>
                <w:rFonts w:hint="default" w:ascii="Times New Roman" w:hAnsi="Times New Roman" w:eastAsia="宋体" w:cs="Times New Roman"/>
                <w:color w:val="auto"/>
                <w:highlight w:val="none"/>
                <w:lang w:val="en-US" w:eastAsia="zh-CN"/>
              </w:rPr>
              <w:t>中的相关</w:t>
            </w:r>
            <w:r>
              <w:rPr>
                <w:rFonts w:hint="default"/>
                <w:color w:val="auto"/>
              </w:rPr>
              <w:t>标准限值</w:t>
            </w:r>
            <w:r>
              <w:rPr>
                <w:rFonts w:hint="default" w:ascii="Times New Roman" w:hAnsi="Times New Roman" w:eastAsia="宋体" w:cs="Times New Roman"/>
                <w:color w:val="auto"/>
                <w:highlight w:val="none"/>
                <w:lang w:val="en-US" w:eastAsia="zh-CN"/>
              </w:rPr>
              <w:t>，</w:t>
            </w:r>
            <w:r>
              <w:rPr>
                <w:rFonts w:hint="eastAsia"/>
                <w:color w:val="auto"/>
                <w:szCs w:val="24"/>
              </w:rPr>
              <w:t>区域环境空气质量现状良好。</w:t>
            </w:r>
          </w:p>
          <w:p>
            <w:pPr>
              <w:pStyle w:val="3"/>
              <w:keepNext w:val="0"/>
              <w:keepLines w:val="0"/>
              <w:suppressLineNumbers w:val="0"/>
              <w:bidi w:val="0"/>
              <w:spacing w:before="0" w:beforeLines="0" w:beforeAutospacing="0" w:afterAutospacing="0"/>
              <w:ind w:left="0" w:leftChars="0" w:right="0" w:firstLine="0" w:firstLineChars="0"/>
              <w:rPr>
                <w:rFonts w:hint="eastAsia"/>
                <w:lang w:val="en-US" w:eastAsia="zh-CN"/>
              </w:rPr>
            </w:pPr>
            <w:r>
              <w:rPr>
                <w:rFonts w:hint="eastAsia"/>
                <w:lang w:val="en-US" w:eastAsia="zh-CN"/>
              </w:rPr>
              <w:t>地表水环境质量现状</w:t>
            </w:r>
          </w:p>
          <w:p>
            <w:pPr>
              <w:pStyle w:val="4"/>
              <w:suppressLineNumbers w:val="0"/>
              <w:bidi w:val="0"/>
              <w:spacing w:before="0" w:beforeLines="0" w:beforeAutospacing="0" w:after="0" w:afterAutospacing="0"/>
              <w:ind w:left="720" w:leftChars="0" w:right="0" w:hanging="720" w:firstLineChars="0"/>
              <w:rPr>
                <w:rFonts w:hint="eastAsia"/>
                <w:lang w:val="en-US" w:eastAsia="zh-CN"/>
              </w:rPr>
            </w:pPr>
            <w:r>
              <w:rPr>
                <w:rFonts w:hint="eastAsia"/>
                <w:lang w:val="en-US" w:eastAsia="zh-CN"/>
              </w:rPr>
              <w:t>地表水功能区划</w:t>
            </w:r>
          </w:p>
          <w:p>
            <w:pPr>
              <w:pStyle w:val="43"/>
              <w:keepNext w:val="0"/>
              <w:keepLines w:val="0"/>
              <w:suppressLineNumbers w:val="0"/>
              <w:spacing w:before="0" w:beforeLines="0" w:beforeAutospacing="0" w:after="0" w:afterAutospacing="0"/>
              <w:ind w:left="0" w:right="0" w:firstLine="480"/>
              <w:rPr>
                <w:rFonts w:hint="default"/>
                <w:color w:val="auto"/>
                <w:highlight w:val="none"/>
              </w:rPr>
            </w:pPr>
            <w:r>
              <w:rPr>
                <w:rFonts w:hint="default"/>
                <w:color w:val="auto"/>
                <w:highlight w:val="none"/>
              </w:rPr>
              <w:t>项目所在区域地表水为敖江二级支流牛溪及其支流，牛溪在本项目西侧1.1km处，根据福建省人民政府闽政文【2006】133号批准《福州市地表水环境功能区划定方案》，牛溪全河段为渔业用水、工业用水、农业用水，环境功能类别为Ⅲ类，水质执行《地表水环境质量标准》(GB3838-2002)中的Ⅲ类标准。</w:t>
            </w:r>
          </w:p>
          <w:p>
            <w:pPr>
              <w:pStyle w:val="42"/>
              <w:keepNext w:val="0"/>
              <w:keepLines w:val="0"/>
              <w:suppressLineNumbers w:val="0"/>
              <w:bidi w:val="0"/>
              <w:spacing w:beforeAutospacing="0" w:after="0" w:afterAutospacing="0"/>
              <w:ind w:left="0" w:leftChars="0" w:right="0" w:firstLine="0" w:firstLineChars="0"/>
              <w:rPr>
                <w:rFonts w:hint="eastAsia"/>
                <w:lang w:val="en-US" w:eastAsia="zh-CN"/>
              </w:rPr>
            </w:pPr>
            <w:r>
              <w:rPr>
                <w:rFonts w:hint="eastAsia"/>
                <w:lang w:val="en-US" w:eastAsia="zh-CN"/>
              </w:rPr>
              <w:t>地表水环境质量标准（摘录）单位：mg/L（除pH值外）</w:t>
            </w:r>
          </w:p>
          <w:tbl>
            <w:tblPr>
              <w:tblStyle w:val="32"/>
              <w:tblW w:w="5000" w:type="pct"/>
              <w:jc w:val="center"/>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097"/>
              <w:gridCol w:w="1372"/>
              <w:gridCol w:w="1097"/>
              <w:gridCol w:w="2252"/>
              <w:gridCol w:w="2306"/>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097"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eastAsia" w:cs="Times New Roman"/>
                      <w:i w:val="0"/>
                      <w:iCs w:val="0"/>
                      <w:color w:val="auto"/>
                      <w:kern w:val="0"/>
                      <w:sz w:val="21"/>
                      <w:szCs w:val="21"/>
                      <w:highlight w:val="none"/>
                      <w:u w:val="none"/>
                      <w:lang w:val="en-US" w:eastAsia="zh-CN" w:bidi="ar"/>
                    </w:rPr>
                    <w:t>序号</w:t>
                  </w:r>
                </w:p>
              </w:tc>
              <w:tc>
                <w:tcPr>
                  <w:tcW w:w="1372"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项目</w:t>
                  </w:r>
                </w:p>
              </w:tc>
              <w:tc>
                <w:tcPr>
                  <w:tcW w:w="1097" w:type="dxa"/>
                  <w:vMerge w:val="restart"/>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firstLine="210" w:firstLineChars="100"/>
                    <w:jc w:val="both"/>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单位</w:t>
                  </w:r>
                </w:p>
              </w:tc>
              <w:tc>
                <w:tcPr>
                  <w:tcW w:w="2252" w:type="dxa"/>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标准值</w:t>
                  </w:r>
                </w:p>
              </w:tc>
              <w:tc>
                <w:tcPr>
                  <w:tcW w:w="2306"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auto"/>
                      <w:sz w:val="21"/>
                      <w:szCs w:val="21"/>
                      <w:highlight w:val="none"/>
                      <w:u w:val="none"/>
                    </w:rPr>
                  </w:pPr>
                  <w:r>
                    <w:rPr>
                      <w:rFonts w:hint="default" w:ascii="Times New Roman" w:hAnsi="Times New Roman" w:eastAsia="宋体" w:cs="Times New Roman"/>
                      <w:i w:val="0"/>
                      <w:iCs w:val="0"/>
                      <w:color w:val="auto"/>
                      <w:kern w:val="0"/>
                      <w:sz w:val="21"/>
                      <w:szCs w:val="21"/>
                      <w:highlight w:val="none"/>
                      <w:u w:val="none"/>
                      <w:lang w:val="en-US" w:eastAsia="zh-CN" w:bidi="ar"/>
                    </w:rPr>
                    <w:t>标准名称与级（类）别</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09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eastAsia" w:cs="Times New Roman"/>
                      <w:i w:val="0"/>
                      <w:iCs w:val="0"/>
                      <w:color w:val="000000"/>
                      <w:kern w:val="0"/>
                      <w:sz w:val="21"/>
                      <w:szCs w:val="21"/>
                      <w:highlight w:val="none"/>
                      <w:u w:val="none"/>
                      <w:lang w:val="en-US" w:eastAsia="zh-CN" w:bidi="ar"/>
                    </w:rPr>
                    <w:t>1</w:t>
                  </w:r>
                </w:p>
              </w:tc>
              <w:tc>
                <w:tcPr>
                  <w:tcW w:w="137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pH</w:t>
                  </w:r>
                </w:p>
              </w:tc>
              <w:tc>
                <w:tcPr>
                  <w:tcW w:w="1097"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无量纲</w:t>
                  </w:r>
                </w:p>
              </w:tc>
              <w:tc>
                <w:tcPr>
                  <w:tcW w:w="225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6～</w:t>
                  </w:r>
                  <w:r>
                    <w:rPr>
                      <w:rFonts w:hint="eastAsia" w:cs="Times New Roman"/>
                      <w:i w:val="0"/>
                      <w:iCs w:val="0"/>
                      <w:color w:val="000000"/>
                      <w:kern w:val="0"/>
                      <w:sz w:val="21"/>
                      <w:szCs w:val="21"/>
                      <w:highlight w:val="none"/>
                      <w:u w:val="none"/>
                      <w:lang w:val="en-US" w:eastAsia="zh-CN" w:bidi="ar"/>
                    </w:rPr>
                    <w:t>9</w:t>
                  </w:r>
                </w:p>
              </w:tc>
              <w:tc>
                <w:tcPr>
                  <w:tcW w:w="2306"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《地表水环境质量标准》(GB3838-2002)Ⅲ类标准</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09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i w:val="0"/>
                      <w:iCs w:val="0"/>
                      <w:color w:val="000000"/>
                      <w:sz w:val="21"/>
                      <w:szCs w:val="21"/>
                      <w:highlight w:val="none"/>
                      <w:u w:val="none"/>
                      <w:lang w:val="en-US" w:eastAsia="zh-CN"/>
                    </w:rPr>
                  </w:pPr>
                  <w:r>
                    <w:rPr>
                      <w:rFonts w:hint="eastAsia" w:cs="Times New Roman"/>
                      <w:i w:val="0"/>
                      <w:iCs w:val="0"/>
                      <w:color w:val="000000"/>
                      <w:sz w:val="21"/>
                      <w:szCs w:val="21"/>
                      <w:highlight w:val="none"/>
                      <w:u w:val="none"/>
                      <w:lang w:val="en-US" w:eastAsia="zh-CN"/>
                    </w:rPr>
                    <w:t>2</w:t>
                  </w:r>
                </w:p>
              </w:tc>
              <w:tc>
                <w:tcPr>
                  <w:tcW w:w="137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lang w:val="en-US"/>
                    </w:rPr>
                  </w:pPr>
                  <w:r>
                    <w:rPr>
                      <w:rFonts w:hint="default" w:ascii="Times New Roman" w:hAnsi="Times New Roman" w:eastAsia="宋体" w:cs="Times New Roman"/>
                      <w:i w:val="0"/>
                      <w:iCs w:val="0"/>
                      <w:color w:val="000000"/>
                      <w:kern w:val="0"/>
                      <w:sz w:val="21"/>
                      <w:szCs w:val="21"/>
                      <w:highlight w:val="none"/>
                      <w:u w:val="none"/>
                      <w:lang w:val="en-US" w:eastAsia="zh-CN" w:bidi="ar"/>
                    </w:rPr>
                    <w:t>COD</w:t>
                  </w:r>
                  <w:r>
                    <w:rPr>
                      <w:rFonts w:hint="eastAsia" w:cs="Times New Roman"/>
                      <w:i w:val="0"/>
                      <w:iCs w:val="0"/>
                      <w:color w:val="000000"/>
                      <w:kern w:val="0"/>
                      <w:sz w:val="21"/>
                      <w:szCs w:val="21"/>
                      <w:highlight w:val="none"/>
                      <w:u w:val="none"/>
                      <w:vertAlign w:val="subscript"/>
                      <w:lang w:val="en-US" w:eastAsia="zh-CN" w:bidi="ar"/>
                    </w:rPr>
                    <w:t>Mn</w:t>
                  </w:r>
                  <w:r>
                    <w:rPr>
                      <w:rFonts w:hint="default" w:ascii="Times New Roman" w:hAnsi="Times New Roman" w:eastAsia="宋体" w:cs="Times New Roman"/>
                      <w:i w:val="0"/>
                      <w:iCs w:val="0"/>
                      <w:color w:val="000000"/>
                      <w:kern w:val="0"/>
                      <w:sz w:val="21"/>
                      <w:szCs w:val="21"/>
                      <w:highlight w:val="none"/>
                      <w:u w:val="none"/>
                      <w:lang w:val="en-US" w:eastAsia="zh-CN" w:bidi="ar"/>
                    </w:rPr>
                    <w:t>≤</w:t>
                  </w:r>
                </w:p>
              </w:tc>
              <w:tc>
                <w:tcPr>
                  <w:tcW w:w="1097"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mg/L</w:t>
                  </w:r>
                </w:p>
              </w:tc>
              <w:tc>
                <w:tcPr>
                  <w:tcW w:w="225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lang w:val="en-US"/>
                    </w:rPr>
                  </w:pPr>
                  <w:r>
                    <w:rPr>
                      <w:rFonts w:hint="eastAsia" w:cs="Times New Roman"/>
                      <w:i w:val="0"/>
                      <w:iCs w:val="0"/>
                      <w:color w:val="000000"/>
                      <w:kern w:val="0"/>
                      <w:sz w:val="21"/>
                      <w:szCs w:val="21"/>
                      <w:highlight w:val="none"/>
                      <w:u w:val="none"/>
                      <w:lang w:val="en-US" w:eastAsia="zh-CN" w:bidi="ar"/>
                    </w:rPr>
                    <w:t>6</w:t>
                  </w:r>
                </w:p>
              </w:tc>
              <w:tc>
                <w:tcPr>
                  <w:tcW w:w="2306"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1"/>
                      <w:szCs w:val="21"/>
                      <w:highlight w:val="none"/>
                      <w:u w:val="none"/>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09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i w:val="0"/>
                      <w:iCs w:val="0"/>
                      <w:color w:val="000000"/>
                      <w:sz w:val="21"/>
                      <w:szCs w:val="21"/>
                      <w:highlight w:val="none"/>
                      <w:u w:val="none"/>
                      <w:lang w:val="en-US" w:eastAsia="zh-CN"/>
                    </w:rPr>
                  </w:pPr>
                  <w:r>
                    <w:rPr>
                      <w:rFonts w:hint="eastAsia" w:cs="Times New Roman"/>
                      <w:i w:val="0"/>
                      <w:iCs w:val="0"/>
                      <w:color w:val="000000"/>
                      <w:sz w:val="21"/>
                      <w:szCs w:val="21"/>
                      <w:highlight w:val="none"/>
                      <w:u w:val="none"/>
                      <w:lang w:val="en-US" w:eastAsia="zh-CN"/>
                    </w:rPr>
                    <w:t>3</w:t>
                  </w:r>
                </w:p>
              </w:tc>
              <w:tc>
                <w:tcPr>
                  <w:tcW w:w="137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eastAsia" w:cs="Times New Roman"/>
                      <w:i w:val="0"/>
                      <w:iCs w:val="0"/>
                      <w:color w:val="000000"/>
                      <w:kern w:val="0"/>
                      <w:sz w:val="21"/>
                      <w:szCs w:val="21"/>
                      <w:highlight w:val="none"/>
                      <w:u w:val="none"/>
                      <w:lang w:val="en-US" w:eastAsia="zh-CN" w:bidi="ar"/>
                    </w:rPr>
                    <w:t>NH</w:t>
                  </w:r>
                  <w:r>
                    <w:rPr>
                      <w:rFonts w:hint="eastAsia" w:cs="Times New Roman"/>
                      <w:i w:val="0"/>
                      <w:iCs w:val="0"/>
                      <w:color w:val="000000"/>
                      <w:kern w:val="0"/>
                      <w:sz w:val="21"/>
                      <w:szCs w:val="21"/>
                      <w:highlight w:val="none"/>
                      <w:u w:val="none"/>
                      <w:vertAlign w:val="subscript"/>
                      <w:lang w:val="en-US" w:eastAsia="zh-CN" w:bidi="ar"/>
                    </w:rPr>
                    <w:t>3</w:t>
                  </w:r>
                  <w:r>
                    <w:rPr>
                      <w:rFonts w:hint="eastAsia" w:cs="Times New Roman"/>
                      <w:i w:val="0"/>
                      <w:iCs w:val="0"/>
                      <w:color w:val="000000"/>
                      <w:kern w:val="0"/>
                      <w:sz w:val="21"/>
                      <w:szCs w:val="21"/>
                      <w:highlight w:val="none"/>
                      <w:u w:val="none"/>
                      <w:lang w:val="en-US" w:eastAsia="zh-CN" w:bidi="ar"/>
                    </w:rPr>
                    <w:t>-N</w:t>
                  </w:r>
                  <w:r>
                    <w:rPr>
                      <w:rFonts w:hint="default" w:ascii="Times New Roman" w:hAnsi="Times New Roman" w:eastAsia="宋体" w:cs="Times New Roman"/>
                      <w:i w:val="0"/>
                      <w:iCs w:val="0"/>
                      <w:color w:val="000000"/>
                      <w:kern w:val="0"/>
                      <w:sz w:val="21"/>
                      <w:szCs w:val="21"/>
                      <w:highlight w:val="none"/>
                      <w:u w:val="none"/>
                      <w:lang w:val="en-US" w:eastAsia="zh-CN" w:bidi="ar"/>
                    </w:rPr>
                    <w:t>≤</w:t>
                  </w:r>
                </w:p>
              </w:tc>
              <w:tc>
                <w:tcPr>
                  <w:tcW w:w="109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1"/>
                      <w:szCs w:val="21"/>
                      <w:highlight w:val="none"/>
                      <w:u w:val="none"/>
                    </w:rPr>
                  </w:pPr>
                </w:p>
              </w:tc>
              <w:tc>
                <w:tcPr>
                  <w:tcW w:w="225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lang w:val="en-US"/>
                    </w:rPr>
                  </w:pPr>
                  <w:r>
                    <w:rPr>
                      <w:rFonts w:hint="eastAsia" w:cs="Times New Roman"/>
                      <w:i w:val="0"/>
                      <w:iCs w:val="0"/>
                      <w:color w:val="000000"/>
                      <w:kern w:val="0"/>
                      <w:sz w:val="21"/>
                      <w:szCs w:val="21"/>
                      <w:highlight w:val="none"/>
                      <w:u w:val="none"/>
                      <w:lang w:val="en-US" w:eastAsia="zh-CN" w:bidi="ar"/>
                    </w:rPr>
                    <w:t>1.0</w:t>
                  </w:r>
                </w:p>
              </w:tc>
              <w:tc>
                <w:tcPr>
                  <w:tcW w:w="2306"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1"/>
                      <w:szCs w:val="21"/>
                      <w:highlight w:val="none"/>
                      <w:u w:val="none"/>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09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i w:val="0"/>
                      <w:iCs w:val="0"/>
                      <w:color w:val="000000"/>
                      <w:sz w:val="21"/>
                      <w:szCs w:val="21"/>
                      <w:highlight w:val="none"/>
                      <w:u w:val="none"/>
                      <w:lang w:val="en-US" w:eastAsia="zh-CN"/>
                    </w:rPr>
                  </w:pPr>
                  <w:r>
                    <w:rPr>
                      <w:rFonts w:hint="eastAsia" w:cs="Times New Roman"/>
                      <w:i w:val="0"/>
                      <w:iCs w:val="0"/>
                      <w:color w:val="000000"/>
                      <w:sz w:val="21"/>
                      <w:szCs w:val="21"/>
                      <w:highlight w:val="none"/>
                      <w:u w:val="none"/>
                      <w:lang w:val="en-US" w:eastAsia="zh-CN"/>
                    </w:rPr>
                    <w:t>4</w:t>
                  </w:r>
                </w:p>
              </w:tc>
              <w:tc>
                <w:tcPr>
                  <w:tcW w:w="137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BOD</w:t>
                  </w:r>
                  <w:r>
                    <w:rPr>
                      <w:rFonts w:hint="default" w:ascii="Times New Roman" w:hAnsi="Times New Roman" w:eastAsia="宋体" w:cs="Times New Roman"/>
                      <w:i w:val="0"/>
                      <w:iCs w:val="0"/>
                      <w:color w:val="000000"/>
                      <w:kern w:val="0"/>
                      <w:sz w:val="21"/>
                      <w:szCs w:val="21"/>
                      <w:highlight w:val="none"/>
                      <w:u w:val="none"/>
                      <w:vertAlign w:val="subscript"/>
                      <w:lang w:val="en-US" w:eastAsia="zh-CN" w:bidi="ar"/>
                    </w:rPr>
                    <w:t>5</w:t>
                  </w:r>
                  <w:r>
                    <w:rPr>
                      <w:rFonts w:hint="default" w:ascii="Times New Roman" w:hAnsi="Times New Roman" w:eastAsia="宋体" w:cs="Times New Roman"/>
                      <w:i w:val="0"/>
                      <w:iCs w:val="0"/>
                      <w:color w:val="000000"/>
                      <w:kern w:val="0"/>
                      <w:sz w:val="21"/>
                      <w:szCs w:val="21"/>
                      <w:highlight w:val="none"/>
                      <w:u w:val="none"/>
                      <w:lang w:val="en-US" w:eastAsia="zh-CN" w:bidi="ar"/>
                    </w:rPr>
                    <w:t>≤</w:t>
                  </w:r>
                </w:p>
              </w:tc>
              <w:tc>
                <w:tcPr>
                  <w:tcW w:w="109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1"/>
                      <w:szCs w:val="21"/>
                      <w:highlight w:val="none"/>
                      <w:u w:val="none"/>
                    </w:rPr>
                  </w:pPr>
                </w:p>
              </w:tc>
              <w:tc>
                <w:tcPr>
                  <w:tcW w:w="225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rPr>
                  </w:pPr>
                  <w:r>
                    <w:rPr>
                      <w:rFonts w:hint="eastAsia" w:cs="Times New Roman"/>
                      <w:i w:val="0"/>
                      <w:iCs w:val="0"/>
                      <w:color w:val="000000"/>
                      <w:kern w:val="0"/>
                      <w:sz w:val="21"/>
                      <w:szCs w:val="21"/>
                      <w:highlight w:val="none"/>
                      <w:u w:val="none"/>
                      <w:lang w:val="en-US" w:eastAsia="zh-CN" w:bidi="ar"/>
                    </w:rPr>
                    <w:t>4</w:t>
                  </w:r>
                </w:p>
              </w:tc>
              <w:tc>
                <w:tcPr>
                  <w:tcW w:w="2306"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1"/>
                      <w:szCs w:val="21"/>
                      <w:highlight w:val="none"/>
                      <w:u w:val="none"/>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40" w:hRule="atLeast"/>
                <w:jc w:val="center"/>
              </w:trPr>
              <w:tc>
                <w:tcPr>
                  <w:tcW w:w="1097"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i w:val="0"/>
                      <w:iCs w:val="0"/>
                      <w:color w:val="000000"/>
                      <w:sz w:val="21"/>
                      <w:szCs w:val="21"/>
                      <w:highlight w:val="none"/>
                      <w:u w:val="none"/>
                      <w:lang w:val="en-US" w:eastAsia="zh-CN"/>
                    </w:rPr>
                  </w:pPr>
                  <w:r>
                    <w:rPr>
                      <w:rFonts w:hint="eastAsia" w:cs="Times New Roman"/>
                      <w:i w:val="0"/>
                      <w:iCs w:val="0"/>
                      <w:color w:val="000000"/>
                      <w:sz w:val="21"/>
                      <w:szCs w:val="21"/>
                      <w:highlight w:val="none"/>
                      <w:u w:val="none"/>
                      <w:lang w:val="en-US" w:eastAsia="zh-CN"/>
                    </w:rPr>
                    <w:t>5</w:t>
                  </w:r>
                </w:p>
              </w:tc>
              <w:tc>
                <w:tcPr>
                  <w:tcW w:w="137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lang w:val="en-US"/>
                    </w:rPr>
                  </w:pPr>
                  <w:r>
                    <w:rPr>
                      <w:rFonts w:hint="eastAsia" w:ascii="Times New Roman" w:hAnsi="Times New Roman" w:cs="Times New Roman"/>
                      <w:i w:val="0"/>
                      <w:iCs w:val="0"/>
                      <w:color w:val="000000"/>
                      <w:kern w:val="0"/>
                      <w:sz w:val="21"/>
                      <w:szCs w:val="21"/>
                      <w:highlight w:val="none"/>
                      <w:u w:val="none"/>
                      <w:lang w:val="en-US" w:eastAsia="zh-CN" w:bidi="ar"/>
                    </w:rPr>
                    <w:t>石油类</w:t>
                  </w:r>
                  <w:r>
                    <w:rPr>
                      <w:rFonts w:hint="default" w:ascii="Times New Roman" w:hAnsi="Times New Roman" w:eastAsia="宋体" w:cs="Times New Roman"/>
                      <w:i w:val="0"/>
                      <w:iCs w:val="0"/>
                      <w:color w:val="000000"/>
                      <w:kern w:val="0"/>
                      <w:sz w:val="21"/>
                      <w:szCs w:val="21"/>
                      <w:highlight w:val="none"/>
                      <w:u w:val="none"/>
                      <w:lang w:val="en-US" w:eastAsia="zh-CN" w:bidi="ar"/>
                    </w:rPr>
                    <w:t>≤</w:t>
                  </w:r>
                </w:p>
              </w:tc>
              <w:tc>
                <w:tcPr>
                  <w:tcW w:w="1097"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1"/>
                      <w:szCs w:val="21"/>
                      <w:highlight w:val="none"/>
                      <w:u w:val="none"/>
                    </w:rPr>
                  </w:pPr>
                </w:p>
              </w:tc>
              <w:tc>
                <w:tcPr>
                  <w:tcW w:w="2252"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1"/>
                      <w:szCs w:val="21"/>
                      <w:highlight w:val="none"/>
                      <w:u w:val="none"/>
                      <w:lang w:val="en-US"/>
                    </w:rPr>
                  </w:pPr>
                  <w:r>
                    <w:rPr>
                      <w:rFonts w:hint="eastAsia" w:cs="Times New Roman"/>
                      <w:i w:val="0"/>
                      <w:iCs w:val="0"/>
                      <w:color w:val="000000"/>
                      <w:kern w:val="0"/>
                      <w:sz w:val="21"/>
                      <w:szCs w:val="21"/>
                      <w:highlight w:val="none"/>
                      <w:u w:val="none"/>
                      <w:lang w:val="en-US" w:eastAsia="zh-CN" w:bidi="ar"/>
                    </w:rPr>
                    <w:t>0.05</w:t>
                  </w:r>
                </w:p>
              </w:tc>
              <w:tc>
                <w:tcPr>
                  <w:tcW w:w="2306"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1"/>
                      <w:szCs w:val="21"/>
                      <w:highlight w:val="none"/>
                      <w:u w:val="none"/>
                    </w:rPr>
                  </w:pPr>
                </w:p>
              </w:tc>
            </w:tr>
          </w:tbl>
          <w:p>
            <w:pPr>
              <w:pStyle w:val="4"/>
              <w:suppressLineNumbers w:val="0"/>
              <w:bidi w:val="0"/>
              <w:spacing w:beforeAutospacing="0" w:after="0" w:afterAutospacing="0"/>
              <w:ind w:left="720" w:leftChars="0" w:right="0" w:hanging="720" w:firstLineChars="0"/>
              <w:rPr>
                <w:rFonts w:hint="eastAsia"/>
                <w:lang w:val="en-US" w:eastAsia="zh-CN"/>
              </w:rPr>
            </w:pPr>
            <w:bookmarkStart w:id="71" w:name="_Toc13945"/>
            <w:r>
              <w:rPr>
                <w:rFonts w:hint="eastAsia"/>
                <w:lang w:val="en-US" w:eastAsia="zh-CN"/>
              </w:rPr>
              <w:t>地表水环境质量现状</w:t>
            </w:r>
            <w:bookmarkEnd w:id="71"/>
          </w:p>
          <w:p>
            <w:pPr>
              <w:pStyle w:val="43"/>
              <w:keepNext w:val="0"/>
              <w:keepLines w:val="0"/>
              <w:suppressLineNumbers w:val="0"/>
              <w:spacing w:before="0" w:beforeAutospacing="0" w:after="0" w:afterAutospacing="0" w:line="360" w:lineRule="auto"/>
              <w:ind w:left="0" w:leftChars="0" w:right="0" w:firstLine="480" w:firstLineChars="200"/>
              <w:rPr>
                <w:rFonts w:hint="eastAsia"/>
                <w:lang w:val="en-US" w:eastAsia="zh-CN"/>
              </w:rPr>
            </w:pPr>
            <w:r>
              <w:rPr>
                <w:rFonts w:hint="eastAsia" w:cs="Times New Roman"/>
                <w:color w:val="000000" w:themeColor="text1"/>
                <w:sz w:val="24"/>
                <w:szCs w:val="32"/>
                <w:highlight w:val="none"/>
                <w:lang w:val="en-US" w:eastAsia="zh-CN"/>
                <w14:textFill>
                  <w14:solidFill>
                    <w14:schemeClr w14:val="tx1"/>
                  </w14:solidFill>
                </w14:textFill>
              </w:rPr>
              <w:t>（</w:t>
            </w:r>
            <w:r>
              <w:rPr>
                <w:rFonts w:hint="default" w:cs="Times New Roman"/>
                <w:color w:val="000000" w:themeColor="text1"/>
                <w:sz w:val="24"/>
                <w:szCs w:val="32"/>
                <w:highlight w:val="none"/>
                <w:lang w:val="en-US" w:eastAsia="zh-CN"/>
                <w14:textFill>
                  <w14:solidFill>
                    <w14:schemeClr w14:val="tx1"/>
                  </w14:solidFill>
                </w14:textFill>
              </w:rPr>
              <w:t>1</w:t>
            </w:r>
            <w:r>
              <w:rPr>
                <w:rFonts w:hint="eastAsia" w:cs="Times New Roman"/>
                <w:color w:val="000000" w:themeColor="text1"/>
                <w:sz w:val="24"/>
                <w:szCs w:val="32"/>
                <w:highlight w:val="none"/>
                <w:lang w:val="en-US" w:eastAsia="zh-CN"/>
                <w14:textFill>
                  <w14:solidFill>
                    <w14:schemeClr w14:val="tx1"/>
                  </w14:solidFill>
                </w14:textFill>
              </w:rPr>
              <w:t>）环境质量现状调查</w:t>
            </w:r>
          </w:p>
          <w:p>
            <w:pPr>
              <w:pStyle w:val="43"/>
              <w:keepNext w:val="0"/>
              <w:keepLines w:val="0"/>
              <w:suppressLineNumbers w:val="0"/>
              <w:spacing w:before="0" w:beforeAutospacing="0" w:after="0" w:afterAutospacing="0" w:line="360" w:lineRule="auto"/>
              <w:ind w:left="0" w:right="0" w:firstLine="480"/>
              <w:rPr>
                <w:rFonts w:hint="default"/>
                <w:szCs w:val="24"/>
                <w:highlight w:val="none"/>
              </w:rPr>
            </w:pPr>
            <w:r>
              <w:rPr>
                <w:rFonts w:hint="default"/>
                <w:szCs w:val="24"/>
                <w:highlight w:val="none"/>
              </w:rPr>
              <w:t>项目周边地表水为牛溪，牛溪为敖江支流，根据福州市连江环境监测站2024年4月发布的《连江县环境质量月通报报表》，敖江（监测点位长汀），</w:t>
            </w:r>
            <w:r>
              <w:rPr>
                <w:rFonts w:hint="eastAsia"/>
                <w:szCs w:val="24"/>
                <w:highlight w:val="none"/>
                <w:lang w:val="en-US" w:eastAsia="zh-CN"/>
              </w:rPr>
              <w:t>牛溪（监测点位陀市桥）</w:t>
            </w:r>
            <w:r>
              <w:rPr>
                <w:rFonts w:hint="default"/>
                <w:szCs w:val="24"/>
                <w:highlight w:val="none"/>
              </w:rPr>
              <w:t>水质类别均可达到地表水Ⅲ类标准，达标率为100%。</w:t>
            </w:r>
          </w:p>
          <w:p>
            <w:pPr>
              <w:pStyle w:val="42"/>
              <w:keepNext w:val="0"/>
              <w:keepLines w:val="0"/>
              <w:suppressLineNumbers w:val="0"/>
              <w:bidi w:val="0"/>
              <w:spacing w:beforeAutospacing="0" w:after="0" w:afterAutospacing="0"/>
              <w:ind w:left="0" w:leftChars="0" w:right="0" w:firstLine="0" w:firstLineChars="0"/>
              <w:rPr>
                <w:rFonts w:hint="default" w:ascii="Times New Roman" w:hAnsi="Times New Roman" w:cs="Times New Roman"/>
                <w:lang w:val="en-US" w:eastAsia="zh-CN"/>
              </w:rPr>
            </w:pPr>
            <w:r>
              <w:rPr>
                <w:rFonts w:hint="eastAsia" w:ascii="Times New Roman" w:hAnsi="Times New Roman" w:cs="Times New Roman"/>
                <w:lang w:val="en-US" w:eastAsia="zh-CN"/>
              </w:rPr>
              <w:t>连江县地表水</w:t>
            </w:r>
            <w:r>
              <w:rPr>
                <w:rFonts w:hint="default" w:ascii="Times New Roman" w:hAnsi="Times New Roman" w:cs="Times New Roman"/>
                <w:lang w:val="en-US" w:eastAsia="zh-CN"/>
              </w:rPr>
              <w:t>流域水质状况（节选）</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989"/>
              <w:gridCol w:w="1262"/>
              <w:gridCol w:w="1262"/>
              <w:gridCol w:w="1159"/>
              <w:gridCol w:w="12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0"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水域类型</w:t>
                  </w:r>
                </w:p>
              </w:tc>
              <w:tc>
                <w:tcPr>
                  <w:tcW w:w="1989"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highlight w:val="none"/>
                    </w:rPr>
                  </w:pPr>
                  <w:r>
                    <w:rPr>
                      <w:rFonts w:hint="eastAsia" w:ascii="Times New Roman" w:hAnsi="Times New Roman" w:eastAsia="宋体" w:cs="Times New Roman"/>
                      <w:b w:val="0"/>
                      <w:bCs w:val="0"/>
                      <w:color w:val="auto"/>
                      <w:sz w:val="21"/>
                      <w:szCs w:val="21"/>
                      <w:highlight w:val="none"/>
                    </w:rPr>
                    <w:t>水域名称</w:t>
                  </w:r>
                </w:p>
              </w:tc>
              <w:tc>
                <w:tcPr>
                  <w:tcW w:w="126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水质标准</w:t>
                  </w:r>
                </w:p>
              </w:tc>
              <w:tc>
                <w:tcPr>
                  <w:tcW w:w="126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水质类别</w:t>
                  </w:r>
                </w:p>
              </w:tc>
              <w:tc>
                <w:tcPr>
                  <w:tcW w:w="1159" w:type="dxa"/>
                  <w:vMerge w:val="restart"/>
                  <w:tcBorders>
                    <w:tl2br w:val="nil"/>
                    <w:tr2bl w:val="nil"/>
                  </w:tcBorders>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超标项目</w:t>
                  </w:r>
                </w:p>
              </w:tc>
              <w:tc>
                <w:tcPr>
                  <w:tcW w:w="1252" w:type="dxa"/>
                  <w:vMerge w:val="restart"/>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超标倍数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0"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highlight w:val="none"/>
                    </w:rPr>
                  </w:pPr>
                </w:p>
              </w:tc>
              <w:tc>
                <w:tcPr>
                  <w:tcW w:w="1989"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highlight w:val="none"/>
                    </w:rPr>
                  </w:pPr>
                </w:p>
              </w:tc>
              <w:tc>
                <w:tcPr>
                  <w:tcW w:w="126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highlight w:val="none"/>
                    </w:rPr>
                  </w:pPr>
                </w:p>
              </w:tc>
              <w:tc>
                <w:tcPr>
                  <w:tcW w:w="126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本期</w:t>
                  </w:r>
                </w:p>
              </w:tc>
              <w:tc>
                <w:tcPr>
                  <w:tcW w:w="1159"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p>
              </w:tc>
              <w:tc>
                <w:tcPr>
                  <w:tcW w:w="1252" w:type="dxa"/>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地表水</w:t>
                  </w:r>
                </w:p>
              </w:tc>
              <w:tc>
                <w:tcPr>
                  <w:tcW w:w="1989"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长汀</w:t>
                  </w:r>
                </w:p>
              </w:tc>
              <w:tc>
                <w:tcPr>
                  <w:tcW w:w="1262"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地表水</w:t>
                  </w:r>
                  <w:r>
                    <w:rPr>
                      <w:rFonts w:hint="eastAsia" w:cs="Times New Roman"/>
                      <w:color w:val="auto"/>
                      <w:szCs w:val="21"/>
                      <w:highlight w:val="none"/>
                      <w:lang w:val="en-US" w:eastAsia="zh-CN"/>
                    </w:rPr>
                    <w:t>Ⅲ</w:t>
                  </w:r>
                </w:p>
              </w:tc>
              <w:tc>
                <w:tcPr>
                  <w:tcW w:w="1262"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地表水</w:t>
                  </w:r>
                  <w:r>
                    <w:rPr>
                      <w:rFonts w:hint="default" w:ascii="宋体" w:hAnsi="宋体" w:eastAsia="宋体" w:cs="宋体"/>
                      <w:sz w:val="21"/>
                      <w:szCs w:val="21"/>
                    </w:rPr>
                    <w:t>Ⅱ</w:t>
                  </w:r>
                </w:p>
              </w:tc>
              <w:tc>
                <w:tcPr>
                  <w:tcW w:w="115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w:t>
                  </w:r>
                </w:p>
              </w:tc>
              <w:tc>
                <w:tcPr>
                  <w:tcW w:w="125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highlight w:val="none"/>
                      <w:lang w:val="en-US" w:eastAsia="zh-CN"/>
                    </w:rPr>
                  </w:pPr>
                  <w:r>
                    <w:rPr>
                      <w:rFonts w:hint="eastAsia" w:cs="Times New Roman"/>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0"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地表水</w:t>
                  </w:r>
                </w:p>
              </w:tc>
              <w:tc>
                <w:tcPr>
                  <w:tcW w:w="198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陀市桥</w:t>
                  </w:r>
                </w:p>
              </w:tc>
              <w:tc>
                <w:tcPr>
                  <w:tcW w:w="1262"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地表水</w:t>
                  </w:r>
                  <w:r>
                    <w:rPr>
                      <w:rFonts w:hint="eastAsia" w:cs="Times New Roman"/>
                      <w:color w:val="auto"/>
                      <w:szCs w:val="21"/>
                      <w:highlight w:val="none"/>
                      <w:lang w:val="en-US" w:eastAsia="zh-CN"/>
                    </w:rPr>
                    <w:t>Ⅲ</w:t>
                  </w:r>
                </w:p>
              </w:tc>
              <w:tc>
                <w:tcPr>
                  <w:tcW w:w="1262" w:type="dxa"/>
                  <w:tcBorders>
                    <w:tl2br w:val="nil"/>
                    <w:tr2bl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地表水</w:t>
                  </w:r>
                  <w:r>
                    <w:rPr>
                      <w:rFonts w:hint="eastAsia" w:cs="Times New Roman"/>
                      <w:color w:val="auto"/>
                      <w:szCs w:val="21"/>
                      <w:highlight w:val="none"/>
                      <w:lang w:val="en-US" w:eastAsia="zh-CN"/>
                    </w:rPr>
                    <w:t>Ⅲ</w:t>
                  </w:r>
                </w:p>
              </w:tc>
              <w:tc>
                <w:tcPr>
                  <w:tcW w:w="1159"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w:t>
                  </w:r>
                </w:p>
              </w:tc>
              <w:tc>
                <w:tcPr>
                  <w:tcW w:w="1252"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cs="Times New Roman"/>
                      <w:color w:val="auto"/>
                      <w:szCs w:val="21"/>
                      <w:highlight w:val="none"/>
                      <w:lang w:val="en-US" w:eastAsia="zh-CN"/>
                    </w:rPr>
                  </w:pPr>
                  <w:r>
                    <w:rPr>
                      <w:rFonts w:hint="eastAsia" w:cs="Times New Roman"/>
                      <w:color w:val="auto"/>
                      <w:szCs w:val="21"/>
                      <w:highlight w:val="none"/>
                      <w:lang w:val="en-US" w:eastAsia="zh-CN"/>
                    </w:rPr>
                    <w:t>/</w:t>
                  </w:r>
                </w:p>
              </w:tc>
            </w:tr>
          </w:tbl>
          <w:p>
            <w:pPr>
              <w:pStyle w:val="4"/>
              <w:numPr>
                <w:ilvl w:val="2"/>
                <w:numId w:val="0"/>
              </w:numPr>
              <w:suppressLineNumbers w:val="0"/>
              <w:bidi w:val="0"/>
              <w:spacing w:beforeAutospacing="0" w:after="0" w:afterAutospacing="0"/>
              <w:ind w:leftChars="0" w:right="0" w:rightChars="0" w:firstLine="480" w:firstLineChars="200"/>
              <w:rPr>
                <w:rFonts w:hint="eastAsia" w:ascii="Times New Roman" w:hAnsi="Times New Roman" w:eastAsia="宋体" w:cs="Times New Roman"/>
                <w:b w:val="0"/>
                <w:color w:val="000000"/>
                <w:kern w:val="2"/>
                <w:sz w:val="24"/>
                <w:szCs w:val="20"/>
                <w:highlight w:val="none"/>
                <w:lang w:val="en-US" w:eastAsia="zh-CN" w:bidi="ar-SA"/>
              </w:rPr>
            </w:pPr>
            <w:r>
              <w:rPr>
                <w:rFonts w:hint="eastAsia" w:ascii="Times New Roman" w:hAnsi="Times New Roman" w:eastAsia="宋体" w:cs="Times New Roman"/>
                <w:b w:val="0"/>
                <w:color w:val="000000"/>
                <w:kern w:val="2"/>
                <w:sz w:val="24"/>
                <w:szCs w:val="20"/>
                <w:highlight w:val="none"/>
                <w:lang w:val="en-US" w:eastAsia="zh-CN" w:bidi="ar-SA"/>
              </w:rPr>
              <w:t>（2）引用资料的有效性分析</w:t>
            </w:r>
          </w:p>
          <w:p>
            <w:pPr>
              <w:pStyle w:val="4"/>
              <w:numPr>
                <w:ilvl w:val="2"/>
                <w:numId w:val="0"/>
              </w:numPr>
              <w:suppressLineNumbers w:val="0"/>
              <w:bidi w:val="0"/>
              <w:spacing w:before="0" w:beforeAutospacing="0" w:after="0" w:afterAutospacing="0"/>
              <w:ind w:leftChars="0" w:right="0" w:rightChars="0" w:firstLine="480" w:firstLineChars="200"/>
              <w:rPr>
                <w:rFonts w:hint="eastAsia" w:ascii="Times New Roman" w:hAnsi="Times New Roman" w:eastAsia="宋体" w:cs="Times New Roman"/>
                <w:b w:val="0"/>
                <w:color w:val="000000"/>
                <w:kern w:val="2"/>
                <w:sz w:val="24"/>
                <w:szCs w:val="20"/>
                <w:highlight w:val="none"/>
                <w:lang w:val="en-US" w:eastAsia="zh-CN" w:bidi="ar-SA"/>
              </w:rPr>
            </w:pPr>
            <w:r>
              <w:rPr>
                <w:rFonts w:hint="eastAsia" w:ascii="Times New Roman" w:hAnsi="Times New Roman" w:eastAsia="宋体" w:cs="Times New Roman"/>
                <w:b w:val="0"/>
                <w:color w:val="000000"/>
                <w:kern w:val="2"/>
                <w:sz w:val="24"/>
                <w:szCs w:val="20"/>
                <w:highlight w:val="none"/>
                <w:lang w:val="en-US" w:eastAsia="zh-CN" w:bidi="ar-SA"/>
              </w:rPr>
              <w:t>根据《建设项目环境影响报告表编制技术指南（污染影响类）（试行）》（环办环评〔2020〕33号）的要求：“地表水环境区域环境质量现状引用与建设项目距离近的有效数据，包括近3年的规划环境影响评价的监测数据，所在流域控制单元内国家、地方控制断面监测数据，生态环境主管部门发布的水环境质量数据或地表水达标情况的结论”。本次评价选取连江县人民政府网站发布的水环境状况信息，符合《建设项目环境影响报告表编制技术指南（污染影响类）（试行）》（环办环评〔2020〕33号）的要求。</w:t>
            </w:r>
          </w:p>
          <w:bookmarkEnd w:id="70"/>
          <w:p>
            <w:pPr>
              <w:pStyle w:val="3"/>
              <w:keepNext w:val="0"/>
              <w:keepLines w:val="0"/>
              <w:suppressLineNumbers w:val="0"/>
              <w:bidi w:val="0"/>
              <w:spacing w:before="0" w:beforeAutospacing="0" w:after="0" w:afterAutospacing="0"/>
              <w:ind w:left="0" w:leftChars="0" w:right="0" w:firstLine="0" w:firstLineChars="0"/>
              <w:rPr>
                <w:rFonts w:hint="eastAsia"/>
                <w:lang w:val="en-US" w:eastAsia="zh-CN"/>
              </w:rPr>
            </w:pPr>
            <w:r>
              <w:rPr>
                <w:rFonts w:hint="eastAsia"/>
                <w:lang w:val="en-US" w:eastAsia="zh-CN"/>
              </w:rPr>
              <w:t>声环境质量现状</w:t>
            </w:r>
          </w:p>
          <w:p>
            <w:pPr>
              <w:pStyle w:val="4"/>
              <w:suppressLineNumbers w:val="0"/>
              <w:bidi w:val="0"/>
              <w:spacing w:before="0" w:beforeAutospacing="0" w:after="0" w:afterAutospacing="0"/>
              <w:ind w:left="720" w:leftChars="0" w:right="0" w:hanging="720" w:firstLineChars="0"/>
              <w:rPr>
                <w:rFonts w:hint="default"/>
                <w:lang w:val="en-US" w:eastAsia="zh-CN"/>
              </w:rPr>
            </w:pPr>
            <w:r>
              <w:rPr>
                <w:rFonts w:hint="eastAsia"/>
                <w:lang w:val="en-US" w:eastAsia="zh-CN"/>
              </w:rPr>
              <w:t>声环境功能区</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rPr>
              <w:t>本项目位于</w:t>
            </w:r>
            <w:r>
              <w:rPr>
                <w:rFonts w:hint="default"/>
                <w:highlight w:val="none"/>
              </w:rPr>
              <w:t>连江县东湖镇福州现代物流城内，</w:t>
            </w:r>
            <w:r>
              <w:rPr>
                <w:rFonts w:hint="default" w:ascii="Times New Roman" w:hAnsi="Times New Roman" w:eastAsia="宋体" w:cs="Times New Roman"/>
                <w:highlight w:val="none"/>
              </w:rPr>
              <w:t>根据《声环境功能区划分技术规范》(GB/T15190-2014)，项目所在区域声环境为</w:t>
            </w:r>
            <w:r>
              <w:rPr>
                <w:rFonts w:hint="eastAsia" w:cs="Times New Roman"/>
                <w:highlight w:val="none"/>
                <w:lang w:val="en-US" w:eastAsia="zh-CN"/>
              </w:rPr>
              <w:t>3</w:t>
            </w:r>
            <w:r>
              <w:rPr>
                <w:rFonts w:hint="default" w:ascii="Times New Roman" w:hAnsi="Times New Roman" w:eastAsia="宋体" w:cs="Times New Roman"/>
                <w:highlight w:val="none"/>
              </w:rPr>
              <w:t>类功能区，声环境功能执行《声环境质量标准》(GB3096-2008)表1中</w:t>
            </w:r>
            <w:r>
              <w:rPr>
                <w:rFonts w:hint="eastAsia" w:cs="Times New Roman"/>
                <w:highlight w:val="none"/>
                <w:lang w:val="en-US" w:eastAsia="zh-CN"/>
              </w:rPr>
              <w:t>3</w:t>
            </w:r>
            <w:r>
              <w:rPr>
                <w:rFonts w:hint="default" w:ascii="Times New Roman" w:hAnsi="Times New Roman" w:eastAsia="宋体" w:cs="Times New Roman"/>
                <w:highlight w:val="none"/>
              </w:rPr>
              <w:t>类标准</w:t>
            </w:r>
            <w:r>
              <w:rPr>
                <w:rFonts w:hint="eastAsia" w:cs="Times New Roman"/>
                <w:highlight w:val="none"/>
                <w:lang w:eastAsia="zh-CN"/>
              </w:rPr>
              <w:t>。项目</w:t>
            </w:r>
            <w:r>
              <w:rPr>
                <w:rFonts w:hint="eastAsia" w:cs="Times New Roman"/>
                <w:color w:val="auto"/>
                <w:highlight w:val="none"/>
                <w:lang w:val="en-US" w:eastAsia="zh-CN"/>
              </w:rPr>
              <w:t>东侧厂界</w:t>
            </w:r>
            <w:r>
              <w:rPr>
                <w:rFonts w:hint="eastAsia" w:cs="Times New Roman"/>
                <w:highlight w:val="none"/>
                <w:lang w:val="en-US" w:eastAsia="zh-CN"/>
              </w:rPr>
              <w:t>临104国道，</w:t>
            </w:r>
            <w:r>
              <w:rPr>
                <w:rFonts w:hint="eastAsia" w:cs="Times New Roman"/>
                <w:highlight w:val="none"/>
                <w:lang w:eastAsia="zh-CN"/>
              </w:rPr>
              <w:t>执行《声环境质量标准》（GB3096-2008）中的4类标准。</w:t>
            </w:r>
          </w:p>
          <w:p>
            <w:pPr>
              <w:pStyle w:val="42"/>
              <w:keepNext w:val="0"/>
              <w:keepLines w:val="0"/>
              <w:suppressLineNumbers w:val="0"/>
              <w:bidi w:val="0"/>
              <w:spacing w:beforeAutospacing="0" w:after="0" w:afterAutospacing="0"/>
              <w:ind w:left="0" w:leftChars="0" w:right="0" w:firstLine="0" w:firstLineChars="0"/>
              <w:rPr>
                <w:rFonts w:hint="default"/>
                <w:lang w:val="en-US" w:eastAsia="zh-CN"/>
              </w:rPr>
            </w:pPr>
            <w:r>
              <w:rPr>
                <w:rFonts w:hint="eastAsia"/>
                <w:lang w:val="en-US" w:eastAsia="zh-CN"/>
              </w:rPr>
              <w:t>声环境质量标准 单位dB（A）</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55"/>
              <w:gridCol w:w="2691"/>
              <w:gridCol w:w="16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5" w:type="dxa"/>
                  <w:vMerge w:val="restart"/>
                  <w:tcBorders>
                    <w:tl2br w:val="nil"/>
                    <w:tr2bl w:val="nil"/>
                  </w:tcBorders>
                  <w:noWrap w:val="0"/>
                  <w:vAlign w:val="center"/>
                </w:tcPr>
                <w:p>
                  <w:pPr>
                    <w:pStyle w:val="86"/>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声环境功能类别</w:t>
                  </w:r>
                </w:p>
              </w:tc>
              <w:tc>
                <w:tcPr>
                  <w:tcW w:w="4369" w:type="dxa"/>
                  <w:gridSpan w:val="2"/>
                  <w:tcBorders>
                    <w:tl2br w:val="nil"/>
                    <w:tr2bl w:val="nil"/>
                  </w:tcBorders>
                  <w:noWrap w:val="0"/>
                  <w:vAlign w:val="center"/>
                </w:tcPr>
                <w:p>
                  <w:pPr>
                    <w:pStyle w:val="86"/>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环境噪声限值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5" w:type="dxa"/>
                  <w:vMerge w:val="continue"/>
                  <w:tcBorders>
                    <w:tl2br w:val="nil"/>
                    <w:tr2bl w:val="nil"/>
                  </w:tcBorders>
                  <w:noWrap w:val="0"/>
                  <w:vAlign w:val="center"/>
                </w:tcPr>
                <w:p>
                  <w:pPr>
                    <w:pStyle w:val="86"/>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p>
              </w:tc>
              <w:tc>
                <w:tcPr>
                  <w:tcW w:w="2691"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昼间</w:t>
                  </w:r>
                </w:p>
              </w:tc>
              <w:tc>
                <w:tcPr>
                  <w:tcW w:w="1678"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5"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000000" w:themeColor="text1"/>
                      <w:sz w:val="21"/>
                      <w:szCs w:val="21"/>
                      <w:highlight w:val="none"/>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3</w:t>
                  </w: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类</w:t>
                  </w:r>
                </w:p>
              </w:tc>
              <w:tc>
                <w:tcPr>
                  <w:tcW w:w="2691"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14:textFill>
                        <w14:solidFill>
                          <w14:schemeClr w14:val="tx1"/>
                        </w14:solidFill>
                      </w14:textFill>
                    </w:rPr>
                    <w:t>6</w:t>
                  </w: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5</w:t>
                  </w:r>
                </w:p>
              </w:tc>
              <w:tc>
                <w:tcPr>
                  <w:tcW w:w="1678"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5</w:t>
                  </w: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55"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right="0"/>
                    <w:jc w:val="center"/>
                    <w:rPr>
                      <w:rFonts w:hint="default" w:ascii="Times New Roman" w:hAnsi="Times New Roman" w:cs="Times New Roman"/>
                      <w:b w:val="0"/>
                      <w:bCs/>
                      <w:color w:val="000000" w:themeColor="text1"/>
                      <w:sz w:val="21"/>
                      <w:szCs w:val="21"/>
                      <w:highlight w:val="none"/>
                      <w:lang w:val="en-US" w:eastAsia="zh-CN"/>
                      <w14:textFill>
                        <w14:solidFill>
                          <w14:schemeClr w14:val="tx1"/>
                        </w14:solidFill>
                      </w14:textFill>
                    </w:rPr>
                  </w:pPr>
                  <w:bookmarkStart w:id="72" w:name="_Toc26361"/>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4类</w:t>
                  </w:r>
                </w:p>
              </w:tc>
              <w:tc>
                <w:tcPr>
                  <w:tcW w:w="2691"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70</w:t>
                  </w:r>
                </w:p>
              </w:tc>
              <w:tc>
                <w:tcPr>
                  <w:tcW w:w="1678" w:type="dxa"/>
                  <w:tcBorders>
                    <w:tl2br w:val="nil"/>
                    <w:tr2bl w:val="nil"/>
                  </w:tcBorders>
                  <w:noWrap w:val="0"/>
                  <w:vAlign w:val="center"/>
                </w:tcPr>
                <w:p>
                  <w:pPr>
                    <w:pStyle w:val="86"/>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highlight w:val="none"/>
                      <w:lang w:val="en-US" w:eastAsia="zh-CN"/>
                      <w14:textFill>
                        <w14:solidFill>
                          <w14:schemeClr w14:val="tx1"/>
                        </w14:solidFill>
                      </w14:textFill>
                    </w:rPr>
                    <w:t>55</w:t>
                  </w:r>
                </w:p>
              </w:tc>
            </w:tr>
          </w:tbl>
          <w:p>
            <w:pPr>
              <w:pStyle w:val="4"/>
              <w:suppressLineNumbers w:val="0"/>
              <w:bidi w:val="0"/>
              <w:spacing w:beforeAutospacing="0" w:after="0" w:afterAutospacing="0"/>
              <w:ind w:left="720" w:leftChars="0" w:right="0" w:hanging="720" w:firstLineChars="0"/>
              <w:rPr>
                <w:rFonts w:hint="eastAsia"/>
                <w:lang w:val="en-US" w:eastAsia="zh-CN"/>
              </w:rPr>
            </w:pPr>
            <w:r>
              <w:rPr>
                <w:rFonts w:hint="eastAsia"/>
                <w:lang w:val="en-US" w:eastAsia="zh-CN"/>
              </w:rPr>
              <w:t>声环境质量现状</w:t>
            </w:r>
            <w:bookmarkEnd w:id="72"/>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根据《建设项目环境影响报告表编制技术指南（污染影响类）（试行）》（环办环评〔2020〕33号）的要求：厂界外周边50米范围内存在声环境保护目标的建设项目，应监测保护目标声环境质量现状并评价达标情况。厂界外周边50</w:t>
            </w:r>
            <w:r>
              <w:rPr>
                <w:rFonts w:hint="eastAsia" w:cs="Times New Roman"/>
                <w:sz w:val="24"/>
                <w:szCs w:val="24"/>
                <w:highlight w:val="none"/>
                <w:lang w:val="en-US" w:eastAsia="zh-CN"/>
              </w:rPr>
              <w:t>米</w:t>
            </w:r>
            <w:r>
              <w:rPr>
                <w:rFonts w:hint="default" w:ascii="Times New Roman" w:hAnsi="Times New Roman" w:eastAsia="宋体" w:cs="Times New Roman"/>
                <w:sz w:val="24"/>
                <w:szCs w:val="24"/>
                <w:highlight w:val="none"/>
                <w:lang w:val="en-US" w:eastAsia="zh-CN"/>
              </w:rPr>
              <w:t>范围内无声环境保护目标的建设项目，不再要求提供声环境质量现状监测数据。根据现场调查，项目厂界外50m范围内均为其他工业企业，无声环境保护目标，因此，本评价不进行声环境质量现状监测</w:t>
            </w:r>
            <w:r>
              <w:rPr>
                <w:rFonts w:hint="eastAsia" w:cs="Times New Roman"/>
                <w:sz w:val="24"/>
                <w:szCs w:val="24"/>
                <w:highlight w:val="none"/>
                <w:lang w:val="en-US" w:eastAsia="zh-CN"/>
              </w:rPr>
              <w:t>。</w:t>
            </w:r>
          </w:p>
          <w:p>
            <w:pPr>
              <w:pStyle w:val="3"/>
              <w:keepNext w:val="0"/>
              <w:keepLines w:val="0"/>
              <w:suppressLineNumbers w:val="0"/>
              <w:bidi w:val="0"/>
              <w:spacing w:before="0" w:beforeAutospacing="0" w:after="0" w:afterAutospacing="0"/>
              <w:ind w:left="0" w:leftChars="0" w:right="0" w:firstLine="0" w:firstLineChars="0"/>
              <w:rPr>
                <w:rFonts w:hint="default"/>
                <w:lang w:val="en-US" w:eastAsia="zh-CN"/>
              </w:rPr>
            </w:pPr>
            <w:bookmarkStart w:id="73" w:name="_Toc9436"/>
            <w:r>
              <w:rPr>
                <w:rFonts w:hint="eastAsia"/>
                <w:lang w:val="en-US" w:eastAsia="zh-CN"/>
              </w:rPr>
              <w:t>生态环境</w:t>
            </w:r>
            <w:bookmarkEnd w:id="73"/>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本项目租赁福建</w:t>
            </w:r>
            <w:r>
              <w:rPr>
                <w:rFonts w:hint="eastAsia" w:cs="Times New Roman"/>
                <w:highlight w:val="none"/>
                <w:lang w:val="en-US" w:eastAsia="zh-CN"/>
              </w:rPr>
              <w:t>和谐钢结构工程</w:t>
            </w:r>
            <w:r>
              <w:rPr>
                <w:rFonts w:hint="default" w:ascii="Times New Roman" w:hAnsi="Times New Roman" w:eastAsia="宋体" w:cs="Times New Roman"/>
                <w:highlight w:val="none"/>
              </w:rPr>
              <w:t>有限公司</w:t>
            </w:r>
            <w:r>
              <w:rPr>
                <w:rFonts w:hint="eastAsia" w:cs="Times New Roman"/>
                <w:highlight w:val="none"/>
                <w:lang w:eastAsia="zh-CN"/>
              </w:rPr>
              <w:t>现有</w:t>
            </w:r>
            <w:r>
              <w:rPr>
                <w:rFonts w:hint="eastAsia" w:cs="Times New Roman"/>
                <w:highlight w:val="none"/>
                <w:lang w:val="en-US" w:eastAsia="zh-CN"/>
              </w:rPr>
              <w:t>厂房</w:t>
            </w:r>
            <w:r>
              <w:rPr>
                <w:rFonts w:hint="default" w:ascii="Times New Roman" w:hAnsi="Times New Roman" w:eastAsia="宋体" w:cs="Times New Roman"/>
                <w:highlight w:val="none"/>
              </w:rPr>
              <w:t>进行加工生产，不新增用地，用地范围内无生态环境保护目标，根据《建设项目环境影响报告表编制技术指南（污染影响类）》（试行），本项目无需进行生态环境现状调查。</w:t>
            </w:r>
          </w:p>
          <w:p>
            <w:pPr>
              <w:pStyle w:val="3"/>
              <w:keepNext w:val="0"/>
              <w:keepLines w:val="0"/>
              <w:suppressLineNumbers w:val="0"/>
              <w:bidi w:val="0"/>
              <w:spacing w:before="0" w:beforeAutospacing="0" w:after="0" w:afterAutospacing="0"/>
              <w:ind w:left="0" w:leftChars="0" w:right="0" w:firstLine="0" w:firstLineChars="0"/>
              <w:rPr>
                <w:rFonts w:hint="default"/>
                <w:lang w:val="en-US" w:eastAsia="zh-CN"/>
              </w:rPr>
            </w:pPr>
            <w:bookmarkStart w:id="74" w:name="_Toc8431"/>
            <w:r>
              <w:rPr>
                <w:rFonts w:hint="eastAsia"/>
                <w:lang w:val="en-US" w:eastAsia="zh-CN"/>
              </w:rPr>
              <w:t>地下水、土壤</w:t>
            </w:r>
            <w:bookmarkEnd w:id="74"/>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b/>
                <w:bCs/>
                <w:color w:val="auto"/>
                <w:highlight w:val="none"/>
              </w:rPr>
            </w:pPr>
            <w:r>
              <w:rPr>
                <w:rFonts w:hint="default" w:ascii="Times New Roman" w:hAnsi="Times New Roman" w:eastAsia="宋体" w:cs="Times New Roman"/>
                <w:color w:val="auto"/>
                <w:highlight w:val="none"/>
              </w:rPr>
              <w:t>《建设项目环境影响报告表编制技术指南（污染影响类）》（试行）中表明：</w:t>
            </w:r>
            <w:r>
              <w:rPr>
                <w:rFonts w:hint="eastAsia" w:cs="Times New Roman"/>
                <w:color w:val="auto"/>
                <w:highlight w:val="none"/>
                <w:lang w:eastAsia="zh-CN"/>
              </w:rPr>
              <w:t>“</w:t>
            </w:r>
            <w:r>
              <w:rPr>
                <w:rFonts w:hint="default" w:ascii="Times New Roman" w:hAnsi="Times New Roman" w:eastAsia="宋体" w:cs="Times New Roman"/>
                <w:b/>
                <w:bCs/>
                <w:color w:val="auto"/>
                <w:highlight w:val="none"/>
              </w:rPr>
              <w:t>原则上不开展地下水、土壤环境质量现状调查</w:t>
            </w:r>
            <w:r>
              <w:rPr>
                <w:rFonts w:hint="eastAsia" w:cs="Times New Roman"/>
                <w:b/>
                <w:bCs/>
                <w:color w:val="auto"/>
                <w:highlight w:val="none"/>
                <w:lang w:eastAsia="zh-CN"/>
              </w:rPr>
              <w:t>。</w:t>
            </w:r>
            <w:r>
              <w:rPr>
                <w:rFonts w:hint="eastAsia"/>
                <w:b/>
                <w:bCs/>
                <w:color w:val="auto"/>
                <w:highlight w:val="none"/>
              </w:rPr>
              <w:t>建设项目存在土壤、地下水环境污染途径的，应结合污染源、保护目标分布情况开展现状调查以留作背景值。</w:t>
            </w:r>
            <w:r>
              <w:rPr>
                <w:rFonts w:hint="eastAsia" w:cs="Times New Roman"/>
                <w:color w:val="auto"/>
                <w:highlight w:val="none"/>
                <w:lang w:eastAsia="zh-CN"/>
              </w:rPr>
              <w:t>”</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highlight w:val="none"/>
              </w:rPr>
            </w:pPr>
            <w:r>
              <w:rPr>
                <w:rFonts w:hint="default" w:ascii="Times New Roman" w:hAnsi="Times New Roman" w:eastAsia="宋体" w:cs="Times New Roman"/>
                <w:highlight w:val="none"/>
              </w:rPr>
              <w:t>根据现场勘查，项目用地周边以城市道路、</w:t>
            </w:r>
            <w:r>
              <w:rPr>
                <w:rFonts w:hint="eastAsia" w:cs="Times New Roman"/>
                <w:highlight w:val="none"/>
                <w:lang w:val="en-US" w:eastAsia="zh-CN"/>
              </w:rPr>
              <w:t>工业</w:t>
            </w:r>
            <w:r>
              <w:rPr>
                <w:rFonts w:hint="default" w:ascii="Times New Roman" w:hAnsi="Times New Roman" w:eastAsia="宋体" w:cs="Times New Roman"/>
                <w:highlight w:val="none"/>
              </w:rPr>
              <w:t>企业等为主；项目厂区地面</w:t>
            </w:r>
            <w:r>
              <w:rPr>
                <w:rFonts w:hint="eastAsia" w:cs="Times New Roman"/>
                <w:highlight w:val="none"/>
                <w:lang w:val="en-US" w:eastAsia="zh-CN"/>
              </w:rPr>
              <w:t>过道</w:t>
            </w:r>
            <w:r>
              <w:rPr>
                <w:rFonts w:hint="default" w:ascii="Times New Roman" w:hAnsi="Times New Roman" w:eastAsia="宋体" w:cs="Times New Roman"/>
                <w:highlight w:val="none"/>
              </w:rPr>
              <w:t>及车间均硬化，生产过程中不存在土壤、地下水环境污染源，基本不会对土壤、地下水产生影响。且</w:t>
            </w:r>
            <w:r>
              <w:rPr>
                <w:rFonts w:hint="default" w:ascii="Times New Roman" w:hAnsi="Times New Roman" w:eastAsia="宋体" w:cs="Times New Roman"/>
                <w:color w:val="auto"/>
                <w:highlight w:val="none"/>
              </w:rPr>
              <w:t>项目</w:t>
            </w:r>
            <w:r>
              <w:rPr>
                <w:rFonts w:hint="default" w:ascii="Times New Roman" w:hAnsi="Times New Roman" w:eastAsia="宋体" w:cs="Times New Roman"/>
                <w:highlight w:val="none"/>
              </w:rPr>
              <w:t>厂界外500m范围内无地下水集中式饮用水水源和热水、矿泉水、泉水等特殊地下水资源。</w:t>
            </w:r>
            <w:r>
              <w:rPr>
                <w:rFonts w:hint="eastAsia" w:cs="Times New Roman"/>
                <w:highlight w:val="none"/>
                <w:lang w:val="en-US" w:eastAsia="zh-CN"/>
              </w:rPr>
              <w:t>因此</w:t>
            </w:r>
            <w:r>
              <w:rPr>
                <w:rFonts w:hint="default" w:ascii="Times New Roman" w:hAnsi="Times New Roman" w:eastAsia="宋体" w:cs="Times New Roman"/>
                <w:highlight w:val="none"/>
              </w:rPr>
              <w:t>，</w:t>
            </w:r>
            <w:r>
              <w:rPr>
                <w:rFonts w:hint="default" w:ascii="Times New Roman" w:hAnsi="Times New Roman" w:eastAsia="宋体" w:cs="Times New Roman"/>
                <w:color w:val="auto"/>
                <w:highlight w:val="none"/>
              </w:rPr>
              <w:t>本项目不开展地下水、土壤环境质量现状调查。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30" w:hRule="atLeast"/>
          <w:jc w:val="center"/>
        </w:trPr>
        <w:tc>
          <w:tcPr>
            <w:tcW w:w="72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环境</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保护</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 w:val="24"/>
                <w:szCs w:val="24"/>
              </w:rPr>
              <w:t>目标</w:t>
            </w:r>
          </w:p>
        </w:tc>
        <w:tc>
          <w:tcPr>
            <w:tcW w:w="8340" w:type="dxa"/>
            <w:tcBorders>
              <w:tl2br w:val="nil"/>
              <w:tr2bl w:val="nil"/>
            </w:tcBorders>
            <w:noWrap w:val="0"/>
            <w:vAlign w:val="center"/>
          </w:tcPr>
          <w:p>
            <w:pPr>
              <w:pStyle w:val="3"/>
              <w:keepNext w:val="0"/>
              <w:keepLines w:val="0"/>
              <w:suppressLineNumbers w:val="0"/>
              <w:bidi w:val="0"/>
              <w:spacing w:before="0" w:beforeAutospacing="0" w:after="0" w:afterAutospacing="0"/>
              <w:ind w:left="0" w:leftChars="0" w:right="0" w:firstLine="0" w:firstLineChars="0"/>
              <w:rPr>
                <w:rFonts w:hint="default"/>
              </w:rPr>
            </w:pPr>
            <w:bookmarkStart w:id="75" w:name="_Toc23538"/>
            <w:bookmarkStart w:id="76" w:name="_Toc30030"/>
            <w:r>
              <w:rPr>
                <w:rFonts w:hint="default"/>
              </w:rPr>
              <w:t>环境保护目标</w:t>
            </w:r>
          </w:p>
          <w:bookmarkEnd w:id="75"/>
          <w:bookmarkEnd w:id="76"/>
          <w:p>
            <w:pPr>
              <w:pStyle w:val="43"/>
              <w:keepNext w:val="0"/>
              <w:keepLines w:val="0"/>
              <w:suppressLineNumbers w:val="0"/>
              <w:spacing w:before="0" w:beforeAutospacing="0" w:after="0" w:afterAutospacing="0"/>
              <w:ind w:left="0" w:right="0" w:firstLine="480"/>
              <w:rPr>
                <w:rFonts w:hint="eastAsia" w:cs="Times New Roman"/>
                <w:lang w:val="en-US" w:eastAsia="zh-CN"/>
              </w:rPr>
            </w:pPr>
            <w:r>
              <w:rPr>
                <w:rFonts w:hint="default" w:ascii="Times New Roman" w:hAnsi="Times New Roman" w:eastAsia="宋体" w:cs="Times New Roman"/>
                <w:lang w:val="en-US" w:eastAsia="zh-CN"/>
              </w:rPr>
              <w:t>本项目大气环境(厂界外500m)、地表水环境、声环境(厂界外50m)见</w:t>
            </w:r>
            <w:r>
              <w:rPr>
                <w:rFonts w:hint="eastAsia" w:cs="Times New Roman"/>
                <w:lang w:val="en-US" w:eastAsia="zh-CN"/>
              </w:rPr>
              <w:t>下</w:t>
            </w:r>
            <w:r>
              <w:rPr>
                <w:rFonts w:hint="default" w:ascii="Times New Roman" w:hAnsi="Times New Roman" w:eastAsia="宋体" w:cs="Times New Roman"/>
                <w:lang w:val="en-US" w:eastAsia="zh-CN"/>
              </w:rPr>
              <w:t>表。</w:t>
            </w:r>
            <w:r>
              <w:rPr>
                <w:rFonts w:hint="eastAsia" w:cs="Times New Roman"/>
                <w:lang w:val="en-US" w:eastAsia="zh-CN"/>
              </w:rPr>
              <w:t>（详见附图2）</w:t>
            </w:r>
          </w:p>
          <w:p>
            <w:pPr>
              <w:pStyle w:val="42"/>
              <w:keepNext w:val="0"/>
              <w:keepLines w:val="0"/>
              <w:suppressLineNumbers w:val="0"/>
              <w:bidi w:val="0"/>
              <w:spacing w:beforeAutospacing="0" w:after="0" w:afterAutospacing="0"/>
              <w:ind w:left="0" w:leftChars="0" w:right="0" w:firstLine="0" w:firstLineChars="0"/>
              <w:rPr>
                <w:rFonts w:hint="eastAsia"/>
                <w:lang w:val="en-US" w:eastAsia="zh-CN"/>
              </w:rPr>
            </w:pPr>
            <w:r>
              <w:rPr>
                <w:rFonts w:hint="eastAsia"/>
                <w:lang w:val="en-US" w:eastAsia="zh-CN"/>
              </w:rPr>
              <w:t>环境保护目标一览表</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595"/>
              <w:gridCol w:w="1507"/>
              <w:gridCol w:w="1396"/>
              <w:gridCol w:w="26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0"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环境</w:t>
                  </w:r>
                </w:p>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要素</w:t>
                  </w:r>
                </w:p>
              </w:tc>
              <w:tc>
                <w:tcPr>
                  <w:tcW w:w="1595"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环境保护对</w:t>
                  </w:r>
                </w:p>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象名称</w:t>
                  </w:r>
                </w:p>
              </w:tc>
              <w:tc>
                <w:tcPr>
                  <w:tcW w:w="1507"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相对项目的方位和最近距离</w:t>
                  </w:r>
                </w:p>
              </w:tc>
              <w:tc>
                <w:tcPr>
                  <w:tcW w:w="1396"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目标规模</w:t>
                  </w:r>
                </w:p>
              </w:tc>
              <w:tc>
                <w:tcPr>
                  <w:tcW w:w="2666"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0"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环境</w:t>
                  </w:r>
                </w:p>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空气</w:t>
                  </w:r>
                </w:p>
              </w:tc>
              <w:tc>
                <w:tcPr>
                  <w:tcW w:w="1595"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飞石村</w:t>
                  </w:r>
                </w:p>
              </w:tc>
              <w:tc>
                <w:tcPr>
                  <w:tcW w:w="1507"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南</w:t>
                  </w:r>
                  <w:r>
                    <w:rPr>
                      <w:rFonts w:hint="default" w:ascii="Times New Roman" w:hAnsi="Times New Roman" w:eastAsia="宋体" w:cs="Times New Roman"/>
                      <w:szCs w:val="21"/>
                    </w:rPr>
                    <w:t>侧</w:t>
                  </w:r>
                  <w:r>
                    <w:rPr>
                      <w:rFonts w:hint="default" w:ascii="Times New Roman" w:hAnsi="Times New Roman" w:eastAsia="宋体" w:cs="Times New Roman"/>
                      <w:szCs w:val="21"/>
                      <w:lang w:val="en-US" w:eastAsia="zh-CN"/>
                    </w:rPr>
                    <w:t>35</w:t>
                  </w:r>
                  <w:r>
                    <w:rPr>
                      <w:rFonts w:hint="default" w:ascii="Times New Roman" w:hAnsi="Times New Roman" w:eastAsia="宋体" w:cs="Times New Roman"/>
                      <w:szCs w:val="21"/>
                    </w:rPr>
                    <w:t>0m</w:t>
                  </w:r>
                </w:p>
              </w:tc>
              <w:tc>
                <w:tcPr>
                  <w:tcW w:w="1396"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800人</w:t>
                  </w:r>
                </w:p>
              </w:tc>
              <w:tc>
                <w:tcPr>
                  <w:tcW w:w="2666"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《环境空气质量标准》(GB3095-2012)及其修改单二级标准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0"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地表水环境</w:t>
                  </w:r>
                </w:p>
              </w:tc>
              <w:tc>
                <w:tcPr>
                  <w:tcW w:w="1595"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Cs w:val="21"/>
                      <w:lang w:val="en-US" w:eastAsia="zh-CN"/>
                    </w:rPr>
                  </w:pPr>
                  <w:r>
                    <w:rPr>
                      <w:rFonts w:hint="eastAsia" w:cs="Times New Roman"/>
                      <w:szCs w:val="21"/>
                      <w:lang w:val="en-US" w:eastAsia="zh-CN"/>
                    </w:rPr>
                    <w:t>牛溪</w:t>
                  </w:r>
                </w:p>
              </w:tc>
              <w:tc>
                <w:tcPr>
                  <w:tcW w:w="1507"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西</w:t>
                  </w:r>
                  <w:r>
                    <w:rPr>
                      <w:rFonts w:hint="default" w:ascii="Times New Roman" w:hAnsi="Times New Roman" w:eastAsia="宋体" w:cs="Times New Roman"/>
                      <w:szCs w:val="21"/>
                    </w:rPr>
                    <w:t>侧1</w:t>
                  </w:r>
                  <w:r>
                    <w:rPr>
                      <w:rFonts w:hint="default" w:ascii="Times New Roman" w:hAnsi="Times New Roman" w:eastAsia="宋体" w:cs="Times New Roman"/>
                      <w:szCs w:val="21"/>
                      <w:lang w:val="en-US" w:eastAsia="zh-CN"/>
                    </w:rPr>
                    <w:t>100</w:t>
                  </w:r>
                  <w:r>
                    <w:rPr>
                      <w:rFonts w:hint="default" w:ascii="Times New Roman" w:hAnsi="Times New Roman" w:eastAsia="宋体" w:cs="Times New Roman"/>
                      <w:szCs w:val="21"/>
                    </w:rPr>
                    <w:t>m</w:t>
                  </w:r>
                </w:p>
              </w:tc>
              <w:tc>
                <w:tcPr>
                  <w:tcW w:w="1396"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宋体" w:cs="Times New Roman"/>
                      <w:szCs w:val="21"/>
                      <w:lang w:eastAsia="zh-CN"/>
                    </w:rPr>
                  </w:pPr>
                  <w:r>
                    <w:rPr>
                      <w:rFonts w:hint="eastAsia" w:cs="Times New Roman"/>
                      <w:szCs w:val="21"/>
                      <w:lang w:val="en-US" w:eastAsia="zh-CN"/>
                    </w:rPr>
                    <w:t>/</w:t>
                  </w:r>
                </w:p>
              </w:tc>
              <w:tc>
                <w:tcPr>
                  <w:tcW w:w="2666"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《地表水环境质量标准》(GB3838-2002)Ⅲ类标准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0"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声环境</w:t>
                  </w:r>
                </w:p>
              </w:tc>
              <w:tc>
                <w:tcPr>
                  <w:tcW w:w="7164" w:type="dxa"/>
                  <w:gridSpan w:val="4"/>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项目厂界外50m范围内无声环境保护目标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0" w:type="dxa"/>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地下水</w:t>
                  </w:r>
                </w:p>
              </w:tc>
              <w:tc>
                <w:tcPr>
                  <w:tcW w:w="7164" w:type="dxa"/>
                  <w:gridSpan w:val="4"/>
                  <w:noWrap w:val="0"/>
                  <w:vAlign w:val="center"/>
                </w:tcPr>
                <w:p>
                  <w:pPr>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szCs w:val="21"/>
                    </w:rPr>
                  </w:pPr>
                  <w:r>
                    <w:rPr>
                      <w:rFonts w:hint="default" w:ascii="Times New Roman" w:hAnsi="Times New Roman" w:eastAsia="宋体" w:cs="Times New Roman"/>
                      <w:szCs w:val="21"/>
                    </w:rPr>
                    <w:t>厂界外500</w:t>
                  </w:r>
                  <w:r>
                    <w:rPr>
                      <w:rFonts w:hint="default" w:ascii="Times New Roman" w:hAnsi="Times New Roman" w:eastAsia="宋体" w:cs="Times New Roman"/>
                      <w:szCs w:val="21"/>
                      <w:lang w:val="en-US" w:eastAsia="zh-CN"/>
                    </w:rPr>
                    <w:t>米</w:t>
                  </w:r>
                  <w:r>
                    <w:rPr>
                      <w:rFonts w:hint="default" w:ascii="Times New Roman" w:hAnsi="Times New Roman" w:eastAsia="宋体" w:cs="Times New Roman"/>
                      <w:szCs w:val="21"/>
                    </w:rPr>
                    <w:t>范围内无地下水集中式饮用水水源和热水、矿泉水、泉水等特殊地下水资源。</w:t>
                  </w:r>
                </w:p>
              </w:tc>
            </w:tr>
          </w:tbl>
          <w:p>
            <w:pPr>
              <w:pStyle w:val="83"/>
              <w:keepNext w:val="0"/>
              <w:keepLines w:val="0"/>
              <w:suppressLineNumbers w:val="0"/>
              <w:spacing w:before="0" w:beforeAutospacing="0" w:after="0" w:afterAutospacing="0"/>
              <w:ind w:left="0" w:right="0" w:firstLine="0" w:firstLineChars="0"/>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721" w:type="dxa"/>
            <w:tcBorders>
              <w:tl2br w:val="nil"/>
              <w:tr2bl w:val="nil"/>
            </w:tcBorders>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污染</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物排</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放控</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制标</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 w:val="24"/>
                <w:szCs w:val="24"/>
              </w:rPr>
              <w:t>准</w:t>
            </w:r>
          </w:p>
        </w:tc>
        <w:tc>
          <w:tcPr>
            <w:tcW w:w="8340" w:type="dxa"/>
            <w:tcBorders>
              <w:tl2br w:val="nil"/>
              <w:tr2bl w:val="nil"/>
            </w:tcBorders>
            <w:noWrap w:val="0"/>
            <w:vAlign w:val="center"/>
          </w:tcPr>
          <w:p>
            <w:pPr>
              <w:pStyle w:val="3"/>
              <w:keepNext w:val="0"/>
              <w:keepLines w:val="0"/>
              <w:suppressLineNumbers w:val="0"/>
              <w:bidi w:val="0"/>
              <w:spacing w:before="0" w:beforeAutospacing="0" w:after="0" w:afterAutospacing="0"/>
              <w:ind w:left="0" w:leftChars="0" w:right="0" w:firstLine="0" w:firstLineChars="0"/>
              <w:rPr>
                <w:rFonts w:hint="default"/>
              </w:rPr>
            </w:pPr>
            <w:bookmarkStart w:id="77" w:name="_Toc18404"/>
            <w:bookmarkStart w:id="78" w:name="_Toc10664"/>
            <w:r>
              <w:rPr>
                <w:rFonts w:hint="eastAsia"/>
                <w:lang w:val="en-US" w:eastAsia="zh-CN"/>
              </w:rPr>
              <w:t>污染物排放控制标准</w:t>
            </w:r>
          </w:p>
          <w:p>
            <w:pPr>
              <w:pStyle w:val="4"/>
              <w:suppressLineNumbers w:val="0"/>
              <w:bidi w:val="0"/>
              <w:spacing w:before="0" w:beforeAutospacing="0" w:after="0" w:afterAutospacing="0"/>
              <w:ind w:left="720" w:leftChars="0" w:right="0" w:hanging="720" w:firstLineChars="0"/>
              <w:rPr>
                <w:rFonts w:hint="default"/>
                <w:color w:val="auto"/>
              </w:rPr>
            </w:pPr>
            <w:r>
              <w:rPr>
                <w:rFonts w:hint="eastAsia"/>
                <w:color w:val="auto"/>
                <w:lang w:val="en-US" w:eastAsia="zh-CN"/>
              </w:rPr>
              <w:t>大</w:t>
            </w:r>
            <w:r>
              <w:rPr>
                <w:rFonts w:hint="default"/>
                <w:color w:val="auto"/>
              </w:rPr>
              <w:t>气</w:t>
            </w:r>
            <w:r>
              <w:rPr>
                <w:rFonts w:hint="eastAsia"/>
                <w:color w:val="auto"/>
                <w:lang w:val="en-US" w:eastAsia="zh-CN"/>
              </w:rPr>
              <w:t>污染物</w:t>
            </w:r>
            <w:r>
              <w:rPr>
                <w:rFonts w:hint="default"/>
                <w:color w:val="auto"/>
              </w:rPr>
              <w:t>排放标准</w:t>
            </w:r>
            <w:bookmarkEnd w:id="77"/>
            <w:bookmarkEnd w:id="78"/>
          </w:p>
          <w:p>
            <w:pPr>
              <w:pStyle w:val="43"/>
              <w:keepNext w:val="0"/>
              <w:keepLines w:val="0"/>
              <w:suppressLineNumbers w:val="0"/>
              <w:spacing w:before="0" w:beforeAutospacing="0" w:after="0" w:afterAutospacing="0"/>
              <w:ind w:left="0" w:right="0" w:firstLine="480"/>
              <w:rPr>
                <w:rFonts w:hint="default" w:eastAsia="宋体"/>
                <w:bCs/>
                <w:kern w:val="28"/>
                <w:szCs w:val="24"/>
                <w:lang w:val="en-US" w:eastAsia="zh-CN" w:bidi="ar"/>
              </w:rPr>
            </w:pPr>
            <w:bookmarkStart w:id="79" w:name="_Ref11732"/>
            <w:r>
              <w:rPr>
                <w:rFonts w:hint="eastAsia"/>
                <w:bCs/>
                <w:kern w:val="28"/>
                <w:szCs w:val="24"/>
                <w:lang w:eastAsia="zh-CN" w:bidi="ar"/>
              </w:rPr>
              <w:t>（</w:t>
            </w:r>
            <w:r>
              <w:rPr>
                <w:rFonts w:hint="eastAsia"/>
                <w:bCs/>
                <w:kern w:val="28"/>
                <w:szCs w:val="24"/>
                <w:lang w:val="en-US" w:eastAsia="zh-CN" w:bidi="ar"/>
              </w:rPr>
              <w:t>1</w:t>
            </w:r>
            <w:r>
              <w:rPr>
                <w:rFonts w:hint="eastAsia"/>
                <w:bCs/>
                <w:kern w:val="28"/>
                <w:szCs w:val="24"/>
                <w:lang w:eastAsia="zh-CN" w:bidi="ar"/>
              </w:rPr>
              <w:t>）</w:t>
            </w:r>
            <w:r>
              <w:rPr>
                <w:rFonts w:hint="eastAsia"/>
                <w:bCs/>
                <w:kern w:val="28"/>
                <w:szCs w:val="24"/>
                <w:lang w:val="en-US" w:eastAsia="zh-CN" w:bidi="ar"/>
              </w:rPr>
              <w:t>注塑废气</w:t>
            </w:r>
          </w:p>
          <w:p>
            <w:pPr>
              <w:pStyle w:val="43"/>
              <w:keepNext w:val="0"/>
              <w:keepLines w:val="0"/>
              <w:suppressLineNumbers w:val="0"/>
              <w:spacing w:before="0" w:beforeAutospacing="0" w:after="0" w:afterAutospacing="0"/>
              <w:ind w:left="0" w:right="0" w:firstLine="480"/>
              <w:rPr>
                <w:rFonts w:hint="default"/>
                <w:bCs/>
                <w:kern w:val="28"/>
                <w:szCs w:val="24"/>
                <w:lang w:bidi="ar"/>
              </w:rPr>
            </w:pPr>
            <w:r>
              <w:rPr>
                <w:rFonts w:hint="eastAsia"/>
                <w:bCs/>
                <w:kern w:val="28"/>
                <w:szCs w:val="24"/>
                <w:lang w:bidi="ar"/>
              </w:rPr>
              <w:t>本项目</w:t>
            </w:r>
            <w:r>
              <w:rPr>
                <w:rFonts w:hint="eastAsia"/>
              </w:rPr>
              <w:t>注塑</w:t>
            </w:r>
            <w:r>
              <w:rPr>
                <w:rFonts w:hint="eastAsia"/>
                <w:lang w:val="en-US" w:eastAsia="zh-CN"/>
              </w:rPr>
              <w:t>过程</w:t>
            </w:r>
            <w:r>
              <w:rPr>
                <w:rFonts w:hint="eastAsia"/>
              </w:rPr>
              <w:t>产生的非甲烷总烃</w:t>
            </w:r>
            <w:r>
              <w:rPr>
                <w:rFonts w:hint="eastAsia"/>
                <w:lang w:val="en-US" w:eastAsia="zh-CN"/>
              </w:rPr>
              <w:t>收集后采用二级</w:t>
            </w:r>
            <w:r>
              <w:rPr>
                <w:rFonts w:hint="eastAsia"/>
                <w:color w:val="auto"/>
                <w:highlight w:val="none"/>
              </w:rPr>
              <w:t>活性炭吸附装置</w:t>
            </w:r>
            <w:r>
              <w:rPr>
                <w:rFonts w:hint="eastAsia"/>
                <w:color w:val="auto"/>
                <w:highlight w:val="none"/>
                <w:lang w:val="en-US" w:eastAsia="zh-CN"/>
              </w:rPr>
              <w:t>进行处理，通过</w:t>
            </w:r>
            <w:r>
              <w:rPr>
                <w:rFonts w:hint="eastAsia"/>
              </w:rPr>
              <w:t>一根</w:t>
            </w:r>
            <w:r>
              <w:rPr>
                <w:rFonts w:hint="eastAsia"/>
                <w:lang w:val="en-US" w:eastAsia="zh-CN"/>
              </w:rPr>
              <w:t>15m高</w:t>
            </w:r>
            <w:r>
              <w:rPr>
                <w:rFonts w:hint="eastAsia"/>
              </w:rPr>
              <w:t>排气筒（DA001）排放。</w:t>
            </w:r>
            <w:r>
              <w:rPr>
                <w:rFonts w:hint="eastAsia"/>
                <w:szCs w:val="21"/>
                <w:lang w:bidi="ar"/>
              </w:rPr>
              <w:t>因此，项目注塑</w:t>
            </w:r>
            <w:r>
              <w:rPr>
                <w:rFonts w:hint="eastAsia"/>
              </w:rPr>
              <w:t>产生的非甲烷总烃执行</w:t>
            </w:r>
            <w:r>
              <w:rPr>
                <w:rFonts w:hint="eastAsia"/>
                <w:bCs/>
                <w:kern w:val="28"/>
                <w:szCs w:val="24"/>
                <w:lang w:bidi="ar"/>
              </w:rPr>
              <w:t>《合成树脂工业污染物排放标准》（</w:t>
            </w:r>
            <w:r>
              <w:rPr>
                <w:rFonts w:hint="default"/>
                <w:bCs/>
                <w:kern w:val="28"/>
                <w:szCs w:val="24"/>
                <w:lang w:bidi="ar"/>
              </w:rPr>
              <w:t>GB31572-2015</w:t>
            </w:r>
            <w:r>
              <w:rPr>
                <w:rFonts w:hint="eastAsia"/>
                <w:bCs/>
                <w:color w:val="auto"/>
                <w:kern w:val="28"/>
                <w:szCs w:val="24"/>
                <w:lang w:bidi="ar"/>
              </w:rPr>
              <w:t>）</w:t>
            </w:r>
            <w:r>
              <w:rPr>
                <w:rFonts w:hint="eastAsia"/>
                <w:bCs/>
                <w:color w:val="auto"/>
                <w:kern w:val="28"/>
                <w:szCs w:val="24"/>
                <w:lang w:val="en-US" w:eastAsia="zh-CN" w:bidi="ar"/>
              </w:rPr>
              <w:t>及其修改单表</w:t>
            </w:r>
            <w:r>
              <w:rPr>
                <w:rFonts w:hint="eastAsia"/>
                <w:bCs/>
                <w:kern w:val="28"/>
                <w:szCs w:val="24"/>
                <w:lang w:val="en-US" w:eastAsia="zh-CN" w:bidi="ar"/>
              </w:rPr>
              <w:t>5大气污染物特别排放限值及</w:t>
            </w:r>
            <w:r>
              <w:rPr>
                <w:rFonts w:hint="eastAsia"/>
                <w:bCs/>
                <w:kern w:val="28"/>
                <w:szCs w:val="24"/>
                <w:lang w:bidi="ar"/>
              </w:rPr>
              <w:t>表</w:t>
            </w:r>
            <w:r>
              <w:rPr>
                <w:rFonts w:hint="default"/>
                <w:bCs/>
                <w:kern w:val="28"/>
                <w:szCs w:val="24"/>
                <w:lang w:bidi="ar"/>
              </w:rPr>
              <w:t>9</w:t>
            </w:r>
            <w:r>
              <w:rPr>
                <w:rFonts w:hint="eastAsia"/>
                <w:bCs/>
                <w:kern w:val="28"/>
                <w:szCs w:val="24"/>
                <w:lang w:bidi="ar"/>
              </w:rPr>
              <w:t>中相关标准要求。</w:t>
            </w:r>
          </w:p>
          <w:p>
            <w:pPr>
              <w:pStyle w:val="43"/>
              <w:keepNext w:val="0"/>
              <w:keepLines w:val="0"/>
              <w:suppressLineNumbers w:val="0"/>
              <w:spacing w:before="0" w:beforeAutospacing="0" w:after="0" w:afterAutospacing="0"/>
              <w:ind w:left="0" w:right="0" w:firstLine="480"/>
              <w:rPr>
                <w:rFonts w:hint="default"/>
              </w:rPr>
            </w:pPr>
            <w:r>
              <w:rPr>
                <w:rFonts w:hint="eastAsia"/>
                <w:lang w:val="en-US" w:eastAsia="zh-CN"/>
              </w:rPr>
              <w:t>非甲烷总烃厂内监控点处1h浓度平均值及</w:t>
            </w:r>
            <w:r>
              <w:rPr>
                <w:rFonts w:hint="eastAsia"/>
              </w:rPr>
              <w:t>任意一</w:t>
            </w:r>
            <w:r>
              <w:rPr>
                <w:rFonts w:hint="eastAsia"/>
                <w:lang w:val="en-US" w:eastAsia="zh-CN"/>
              </w:rPr>
              <w:t>次</w:t>
            </w:r>
            <w:r>
              <w:rPr>
                <w:rFonts w:hint="eastAsia"/>
              </w:rPr>
              <w:t>浓度值</w:t>
            </w:r>
            <w:r>
              <w:rPr>
                <w:rFonts w:hint="eastAsia"/>
                <w:lang w:val="en-US" w:eastAsia="zh-CN"/>
              </w:rPr>
              <w:t>执行</w:t>
            </w:r>
            <w:r>
              <w:rPr>
                <w:rFonts w:hint="eastAsia"/>
              </w:rPr>
              <w:t>《挥发性有机物无组织排放控制标准》（</w:t>
            </w:r>
            <w:r>
              <w:rPr>
                <w:rFonts w:hint="default"/>
              </w:rPr>
              <w:t>GB37822-2019</w:t>
            </w:r>
            <w:r>
              <w:rPr>
                <w:rFonts w:hint="eastAsia"/>
              </w:rPr>
              <w:t>）附录</w:t>
            </w:r>
            <w:r>
              <w:rPr>
                <w:rFonts w:hint="default"/>
              </w:rPr>
              <w:t>A</w:t>
            </w:r>
            <w:r>
              <w:rPr>
                <w:rFonts w:hint="eastAsia"/>
              </w:rPr>
              <w:t>中表</w:t>
            </w:r>
            <w:r>
              <w:rPr>
                <w:rFonts w:hint="default"/>
              </w:rPr>
              <w:t>A.1</w:t>
            </w:r>
            <w:r>
              <w:rPr>
                <w:rFonts w:hint="eastAsia"/>
                <w:lang w:val="en-US" w:eastAsia="zh-CN"/>
              </w:rPr>
              <w:t>特别排放</w:t>
            </w:r>
            <w:r>
              <w:rPr>
                <w:rFonts w:hint="eastAsia"/>
              </w:rPr>
              <w:t>标准限值。</w:t>
            </w:r>
          </w:p>
          <w:p>
            <w:pPr>
              <w:pStyle w:val="43"/>
              <w:keepNext w:val="0"/>
              <w:keepLines w:val="0"/>
              <w:suppressLineNumbers w:val="0"/>
              <w:spacing w:before="0" w:beforeAutospacing="0" w:after="0" w:afterAutospacing="0"/>
              <w:ind w:left="0" w:right="0" w:firstLine="480"/>
              <w:rPr>
                <w:rFonts w:hint="default"/>
              </w:rPr>
            </w:pPr>
            <w:r>
              <w:rPr>
                <w:rFonts w:hint="default"/>
              </w:rPr>
              <w:t>具体标准限值见</w:t>
            </w:r>
            <w:r>
              <w:rPr>
                <w:rFonts w:hint="eastAsia"/>
              </w:rPr>
              <w:t>下表</w:t>
            </w:r>
            <w:r>
              <w:rPr>
                <w:rFonts w:hint="default"/>
              </w:rPr>
              <w:t>。</w:t>
            </w:r>
          </w:p>
          <w:p>
            <w:pPr>
              <w:pStyle w:val="42"/>
              <w:keepNext w:val="0"/>
              <w:keepLines w:val="0"/>
              <w:suppressLineNumbers w:val="0"/>
              <w:spacing w:beforeAutospacing="0" w:after="0" w:afterAutospacing="0"/>
              <w:ind w:right="0" w:firstLine="0" w:firstLineChars="0"/>
              <w:rPr>
                <w:rFonts w:hint="eastAsia" w:eastAsia="宋体"/>
                <w:lang w:val="en-US" w:eastAsia="zh-CN"/>
              </w:rPr>
            </w:pPr>
            <w:r>
              <w:rPr>
                <w:rFonts w:hint="eastAsia"/>
              </w:rPr>
              <w:t>《合成树脂工业污染物排放标准》（GB31572-201</w:t>
            </w:r>
            <w:r>
              <w:rPr>
                <w:rFonts w:hint="eastAsia"/>
                <w:color w:val="auto"/>
              </w:rPr>
              <w:t>5）</w:t>
            </w:r>
            <w:r>
              <w:rPr>
                <w:rFonts w:hint="eastAsia"/>
                <w:color w:val="auto"/>
                <w:lang w:val="en-US" w:eastAsia="zh-CN"/>
              </w:rPr>
              <w:t>及其修改单</w:t>
            </w:r>
            <w:r>
              <w:rPr>
                <w:rFonts w:hint="eastAsia"/>
                <w:lang w:val="en-US" w:eastAsia="zh-CN"/>
              </w:rPr>
              <w:t>摘录</w:t>
            </w:r>
          </w:p>
          <w:tbl>
            <w:tblPr>
              <w:tblStyle w:val="3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54"/>
              <w:gridCol w:w="1476"/>
              <w:gridCol w:w="1874"/>
              <w:gridCol w:w="2480"/>
              <w:gridCol w:w="144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2" w:type="dxa"/>
                  <w:vMerge w:val="restart"/>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序号</w:t>
                  </w:r>
                </w:p>
              </w:tc>
              <w:tc>
                <w:tcPr>
                  <w:tcW w:w="1161" w:type="dxa"/>
                  <w:vMerge w:val="restart"/>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污染物名称</w:t>
                  </w:r>
                </w:p>
              </w:tc>
              <w:tc>
                <w:tcPr>
                  <w:tcW w:w="1474" w:type="dxa"/>
                  <w:vMerge w:val="restart"/>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排放限值（</w:t>
                  </w:r>
                  <w:r>
                    <w:rPr>
                      <w:rFonts w:hint="default" w:ascii="Times New Roman" w:hAnsi="Times New Roman"/>
                      <w:kern w:val="2"/>
                      <w:sz w:val="21"/>
                      <w:szCs w:val="21"/>
                      <w:lang w:bidi="ar"/>
                    </w:rPr>
                    <w:t>mg/m</w:t>
                  </w:r>
                  <w:r>
                    <w:rPr>
                      <w:rFonts w:hint="default" w:ascii="Times New Roman" w:hAnsi="Times New Roman"/>
                      <w:kern w:val="2"/>
                      <w:sz w:val="21"/>
                      <w:szCs w:val="21"/>
                      <w:vertAlign w:val="superscript"/>
                      <w:lang w:bidi="ar"/>
                    </w:rPr>
                    <w:t>3</w:t>
                  </w:r>
                  <w:r>
                    <w:rPr>
                      <w:rFonts w:hint="eastAsia" w:ascii="Times New Roman" w:hAnsi="Times New Roman" w:cs="宋体"/>
                      <w:kern w:val="2"/>
                      <w:sz w:val="21"/>
                      <w:szCs w:val="21"/>
                      <w:lang w:bidi="ar"/>
                    </w:rPr>
                    <w:t>）</w:t>
                  </w:r>
                </w:p>
              </w:tc>
              <w:tc>
                <w:tcPr>
                  <w:tcW w:w="3084" w:type="dxa"/>
                  <w:gridSpan w:val="2"/>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cs="宋体"/>
                      <w:kern w:val="2"/>
                      <w:sz w:val="21"/>
                      <w:szCs w:val="21"/>
                      <w:lang w:bidi="ar"/>
                    </w:rPr>
                    <w:t>无组织排放监控浓度限值</w:t>
                  </w:r>
                  <w:r>
                    <w:rPr>
                      <w:rFonts w:hint="eastAsia" w:ascii="Times New Roman" w:hAnsi="Times New Roman" w:cs="宋体"/>
                      <w:kern w:val="2"/>
                      <w:sz w:val="21"/>
                      <w:szCs w:val="21"/>
                      <w:lang w:bidi="ar"/>
                    </w:rPr>
                    <w:t>（</w:t>
                  </w:r>
                  <w:r>
                    <w:rPr>
                      <w:rFonts w:hint="default" w:ascii="Times New Roman" w:hAnsi="Times New Roman"/>
                      <w:kern w:val="2"/>
                      <w:sz w:val="21"/>
                      <w:szCs w:val="21"/>
                      <w:lang w:bidi="ar"/>
                    </w:rPr>
                    <w:t>mg/m</w:t>
                  </w:r>
                  <w:r>
                    <w:rPr>
                      <w:rFonts w:hint="default" w:ascii="Times New Roman" w:hAnsi="Times New Roman"/>
                      <w:kern w:val="2"/>
                      <w:sz w:val="21"/>
                      <w:szCs w:val="21"/>
                      <w:vertAlign w:val="superscript"/>
                      <w:lang w:bidi="ar"/>
                    </w:rPr>
                    <w:t>3</w:t>
                  </w:r>
                  <w:r>
                    <w:rPr>
                      <w:rFonts w:hint="eastAsia" w:ascii="Times New Roman" w:hAnsi="Times New Roman" w:cs="宋体"/>
                      <w:kern w:val="2"/>
                      <w:sz w:val="21"/>
                      <w:szCs w:val="21"/>
                      <w:lang w:bidi="ar"/>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2"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sz w:val="21"/>
                      <w:szCs w:val="21"/>
                    </w:rPr>
                  </w:pPr>
                </w:p>
              </w:tc>
              <w:tc>
                <w:tcPr>
                  <w:tcW w:w="1161"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sz w:val="21"/>
                      <w:szCs w:val="21"/>
                    </w:rPr>
                  </w:pPr>
                </w:p>
              </w:tc>
              <w:tc>
                <w:tcPr>
                  <w:tcW w:w="1474"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sz w:val="21"/>
                      <w:szCs w:val="21"/>
                    </w:rPr>
                  </w:pPr>
                </w:p>
              </w:tc>
              <w:tc>
                <w:tcPr>
                  <w:tcW w:w="1951"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cs="宋体"/>
                      <w:kern w:val="2"/>
                      <w:sz w:val="21"/>
                      <w:szCs w:val="21"/>
                      <w:lang w:bidi="ar"/>
                    </w:rPr>
                    <w:t>监控点</w:t>
                  </w:r>
                </w:p>
              </w:tc>
              <w:tc>
                <w:tcPr>
                  <w:tcW w:w="1133"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浓度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72"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eastAsia" w:eastAsia="宋体"/>
                      <w:sz w:val="21"/>
                      <w:szCs w:val="21"/>
                      <w:lang w:eastAsia="zh-CN"/>
                    </w:rPr>
                  </w:pPr>
                  <w:r>
                    <w:rPr>
                      <w:rFonts w:hint="eastAsia" w:ascii="Times New Roman" w:hAnsi="Times New Roman"/>
                      <w:kern w:val="2"/>
                      <w:sz w:val="21"/>
                      <w:szCs w:val="21"/>
                      <w:lang w:val="en-US" w:eastAsia="zh-CN" w:bidi="ar"/>
                    </w:rPr>
                    <w:t>1</w:t>
                  </w:r>
                </w:p>
              </w:tc>
              <w:tc>
                <w:tcPr>
                  <w:tcW w:w="1161"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非甲烷总烃</w:t>
                  </w:r>
                </w:p>
              </w:tc>
              <w:tc>
                <w:tcPr>
                  <w:tcW w:w="1474"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eastAsia="宋体"/>
                      <w:sz w:val="21"/>
                      <w:szCs w:val="21"/>
                      <w:lang w:val="en-US" w:eastAsia="zh-CN"/>
                    </w:rPr>
                  </w:pPr>
                  <w:r>
                    <w:rPr>
                      <w:rFonts w:hint="eastAsia" w:ascii="Times New Roman" w:hAnsi="Times New Roman"/>
                      <w:kern w:val="2"/>
                      <w:sz w:val="21"/>
                      <w:szCs w:val="21"/>
                      <w:lang w:val="en-US" w:eastAsia="zh-CN" w:bidi="ar"/>
                    </w:rPr>
                    <w:t>60</w:t>
                  </w:r>
                </w:p>
              </w:tc>
              <w:tc>
                <w:tcPr>
                  <w:tcW w:w="1951"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厂界</w:t>
                  </w:r>
                </w:p>
              </w:tc>
              <w:tc>
                <w:tcPr>
                  <w:tcW w:w="1133"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default" w:ascii="Times New Roman" w:hAnsi="Times New Roman"/>
                      <w:kern w:val="2"/>
                      <w:sz w:val="21"/>
                      <w:szCs w:val="21"/>
                      <w:lang w:bidi="ar"/>
                    </w:rPr>
                    <w:t>4.0</w:t>
                  </w:r>
                </w:p>
              </w:tc>
            </w:tr>
          </w:tbl>
          <w:p>
            <w:pPr>
              <w:pStyle w:val="42"/>
              <w:keepNext w:val="0"/>
              <w:keepLines w:val="0"/>
              <w:suppressLineNumbers w:val="0"/>
              <w:spacing w:beforeAutospacing="0" w:after="0" w:afterAutospacing="0"/>
              <w:ind w:right="0" w:firstLine="0" w:firstLineChars="0"/>
              <w:rPr>
                <w:rFonts w:hint="default"/>
                <w:color w:val="auto"/>
              </w:rPr>
            </w:pPr>
            <w:r>
              <w:rPr>
                <w:rFonts w:hint="eastAsia"/>
                <w:color w:val="auto"/>
              </w:rPr>
              <w:t>项目非甲烷总烃厂区内无组织排放标准</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203"/>
              <w:gridCol w:w="2313"/>
              <w:gridCol w:w="923"/>
              <w:gridCol w:w="20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028" w:type="pct"/>
                  <w:vMerge w:val="restar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污染因子</w:t>
                  </w:r>
                </w:p>
              </w:tc>
              <w:tc>
                <w:tcPr>
                  <w:tcW w:w="740" w:type="pct"/>
                  <w:vMerge w:val="restar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监控</w:t>
                  </w:r>
                </w:p>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区域</w:t>
                  </w:r>
                </w:p>
              </w:tc>
              <w:tc>
                <w:tcPr>
                  <w:tcW w:w="1423" w:type="pct"/>
                  <w:vMerge w:val="restar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限值含义</w:t>
                  </w:r>
                </w:p>
              </w:tc>
              <w:tc>
                <w:tcPr>
                  <w:tcW w:w="568" w:type="pct"/>
                  <w:vMerge w:val="restar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单位</w:t>
                  </w:r>
                </w:p>
              </w:tc>
              <w:tc>
                <w:tcPr>
                  <w:tcW w:w="1239" w:type="pc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相关标准浓度限值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028" w:type="pct"/>
                  <w:vMerge w:val="continue"/>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p>
              </w:tc>
              <w:tc>
                <w:tcPr>
                  <w:tcW w:w="740" w:type="pct"/>
                  <w:vMerge w:val="continue"/>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p>
              </w:tc>
              <w:tc>
                <w:tcPr>
                  <w:tcW w:w="1423" w:type="pct"/>
                  <w:vMerge w:val="continue"/>
                  <w:tcBorders>
                    <w:tl2br w:val="nil"/>
                    <w:tr2bl w:val="nil"/>
                  </w:tcBorders>
                  <w:tcMar>
                    <w:left w:w="0" w:type="dxa"/>
                    <w:right w:w="0"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p>
              </w:tc>
              <w:tc>
                <w:tcPr>
                  <w:tcW w:w="568" w:type="pct"/>
                  <w:vMerge w:val="continue"/>
                  <w:tcBorders>
                    <w:tl2br w:val="nil"/>
                    <w:tr2bl w:val="nil"/>
                  </w:tcBorders>
                  <w:tcMar>
                    <w:left w:w="0" w:type="dxa"/>
                    <w:right w:w="0"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p>
              </w:tc>
              <w:tc>
                <w:tcPr>
                  <w:tcW w:w="1239" w:type="pct"/>
                  <w:tcBorders>
                    <w:tl2br w:val="nil"/>
                    <w:tr2bl w:val="nil"/>
                  </w:tcBorders>
                  <w:tcMar>
                    <w:left w:w="0" w:type="dxa"/>
                    <w:right w:w="0"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028" w:type="pct"/>
                  <w:vMerge w:val="restar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eastAsia" w:ascii="Times New Roman" w:hAnsi="Times New Roman" w:cs="宋体"/>
                      <w:kern w:val="2"/>
                      <w:sz w:val="21"/>
                      <w:szCs w:val="21"/>
                      <w:lang w:bidi="ar"/>
                    </w:rPr>
                    <w:t>非甲烷总烃</w:t>
                  </w:r>
                </w:p>
              </w:tc>
              <w:tc>
                <w:tcPr>
                  <w:tcW w:w="740" w:type="pct"/>
                  <w:vMerge w:val="restar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厂区内</w:t>
                  </w:r>
                </w:p>
              </w:tc>
              <w:tc>
                <w:tcPr>
                  <w:tcW w:w="1423" w:type="pc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1h平均浓度值</w:t>
                  </w:r>
                </w:p>
              </w:tc>
              <w:tc>
                <w:tcPr>
                  <w:tcW w:w="568" w:type="pct"/>
                  <w:vMerge w:val="restar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eastAsia" w:eastAsia="宋体"/>
                      <w:color w:val="000000" w:themeColor="text1"/>
                      <w:szCs w:val="21"/>
                      <w:lang w:val="en-US" w:eastAsia="zh-CN"/>
                      <w14:textFill>
                        <w14:solidFill>
                          <w14:schemeClr w14:val="tx1"/>
                        </w14:solidFill>
                      </w14:textFill>
                    </w:rPr>
                  </w:pPr>
                  <w:r>
                    <w:rPr>
                      <w:rFonts w:hint="default" w:ascii="Times New Roman" w:hAnsi="Times New Roman"/>
                      <w:kern w:val="2"/>
                      <w:sz w:val="21"/>
                      <w:szCs w:val="21"/>
                      <w:lang w:bidi="ar"/>
                    </w:rPr>
                    <w:t>mg/m</w:t>
                  </w:r>
                  <w:r>
                    <w:rPr>
                      <w:rFonts w:hint="eastAsia"/>
                      <w:kern w:val="2"/>
                      <w:sz w:val="21"/>
                      <w:szCs w:val="21"/>
                      <w:vertAlign w:val="superscript"/>
                      <w:lang w:val="en-US" w:eastAsia="zh-CN" w:bidi="ar"/>
                    </w:rPr>
                    <w:t>3</w:t>
                  </w:r>
                </w:p>
              </w:tc>
              <w:tc>
                <w:tcPr>
                  <w:tcW w:w="1239" w:type="pc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028" w:type="pct"/>
                  <w:vMerge w:val="continue"/>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p>
              </w:tc>
              <w:tc>
                <w:tcPr>
                  <w:tcW w:w="740" w:type="pct"/>
                  <w:vMerge w:val="continue"/>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p>
              </w:tc>
              <w:tc>
                <w:tcPr>
                  <w:tcW w:w="1423" w:type="pc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r>
                    <w:rPr>
                      <w:rFonts w:hint="default"/>
                      <w:color w:val="000000" w:themeColor="text1"/>
                      <w:szCs w:val="21"/>
                      <w14:textFill>
                        <w14:solidFill>
                          <w14:schemeClr w14:val="tx1"/>
                        </w14:solidFill>
                      </w14:textFill>
                    </w:rPr>
                    <w:t>任意一次浓度值</w:t>
                  </w:r>
                </w:p>
              </w:tc>
              <w:tc>
                <w:tcPr>
                  <w:tcW w:w="568" w:type="pct"/>
                  <w:vMerge w:val="continue"/>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right="0"/>
                    <w:rPr>
                      <w:rFonts w:hint="default"/>
                      <w:color w:val="000000" w:themeColor="text1"/>
                      <w:szCs w:val="21"/>
                      <w14:textFill>
                        <w14:solidFill>
                          <w14:schemeClr w14:val="tx1"/>
                        </w14:solidFill>
                      </w14:textFill>
                    </w:rPr>
                  </w:pPr>
                </w:p>
              </w:tc>
              <w:tc>
                <w:tcPr>
                  <w:tcW w:w="1239" w:type="pct"/>
                  <w:tcBorders>
                    <w:tl2br w:val="nil"/>
                    <w:tr2bl w:val="nil"/>
                  </w:tcBorders>
                  <w:tcMar>
                    <w:left w:w="28" w:type="dxa"/>
                    <w:right w:w="28" w:type="dxa"/>
                  </w:tcMar>
                  <w:vAlign w:val="center"/>
                </w:tcPr>
                <w:p>
                  <w:pPr>
                    <w:pStyle w:val="46"/>
                    <w:keepNext w:val="0"/>
                    <w:keepLines w:val="0"/>
                    <w:suppressLineNumbers w:val="0"/>
                    <w:spacing w:before="0" w:beforeAutospacing="0" w:after="0" w:afterAutospacing="0"/>
                    <w:ind w:left="0" w:right="0"/>
                    <w:rPr>
                      <w:rFonts w:hint="default"/>
                      <w:szCs w:val="21"/>
                    </w:rPr>
                  </w:pPr>
                  <w:r>
                    <w:rPr>
                      <w:rFonts w:hint="eastAsia"/>
                      <w:color w:val="000000" w:themeColor="text1"/>
                      <w:szCs w:val="21"/>
                      <w:lang w:val="en-US" w:eastAsia="zh-CN"/>
                      <w14:textFill>
                        <w14:solidFill>
                          <w14:schemeClr w14:val="tx1"/>
                        </w14:solidFill>
                      </w14:textFill>
                    </w:rPr>
                    <w:t>20</w:t>
                  </w:r>
                </w:p>
              </w:tc>
            </w:tr>
            <w:bookmarkEnd w:id="79"/>
          </w:tbl>
          <w:p>
            <w:pPr>
              <w:pStyle w:val="43"/>
              <w:keepNext w:val="0"/>
              <w:keepLines w:val="0"/>
              <w:suppressLineNumbers w:val="0"/>
              <w:spacing w:before="0" w:beforeAutospacing="0" w:after="0" w:afterAutospacing="0"/>
              <w:ind w:left="0" w:right="0" w:firstLine="480"/>
              <w:rPr>
                <w:rFonts w:hint="eastAsia" w:ascii="Times New Roman" w:hAnsi="Times New Roman" w:cs="Times New Roman"/>
                <w:lang w:val="en-US" w:eastAsia="zh-CN"/>
              </w:rPr>
            </w:pPr>
            <w:r>
              <w:rPr>
                <w:rFonts w:hint="eastAsia" w:ascii="Times New Roman" w:hAnsi="Times New Roman" w:cs="Times New Roman"/>
                <w:lang w:val="en-US" w:eastAsia="zh-CN"/>
              </w:rPr>
              <w:t>（2）臭气</w:t>
            </w:r>
          </w:p>
          <w:p>
            <w:pPr>
              <w:pStyle w:val="43"/>
              <w:keepNext w:val="0"/>
              <w:keepLines w:val="0"/>
              <w:suppressLineNumbers w:val="0"/>
              <w:spacing w:before="0" w:beforeAutospacing="0" w:after="0" w:afterAutospacing="0"/>
              <w:ind w:left="0" w:right="0" w:firstLine="480"/>
              <w:rPr>
                <w:rFonts w:hint="eastAsia" w:ascii="Times New Roman" w:hAnsi="Times New Roman" w:cs="Times New Roman"/>
                <w:lang w:eastAsia="zh-CN"/>
              </w:rPr>
            </w:pPr>
            <w:r>
              <w:rPr>
                <w:rFonts w:hint="eastAsia" w:ascii="Times New Roman" w:hAnsi="Times New Roman" w:cs="Times New Roman"/>
                <w:lang w:val="en-US" w:eastAsia="zh-CN"/>
              </w:rPr>
              <w:t>本项目注塑过程中会产生臭气，</w:t>
            </w:r>
            <w:r>
              <w:rPr>
                <w:rFonts w:hint="eastAsia" w:ascii="Times New Roman" w:hAnsi="Times New Roman" w:cs="Times New Roman"/>
              </w:rPr>
              <w:t>臭气浓度排放</w:t>
            </w:r>
            <w:r>
              <w:rPr>
                <w:rFonts w:hint="eastAsia" w:ascii="Times New Roman" w:hAnsi="Times New Roman" w:cs="Times New Roman"/>
                <w:lang w:val="en-US" w:eastAsia="zh-CN"/>
              </w:rPr>
              <w:t>执行</w:t>
            </w:r>
            <w:r>
              <w:rPr>
                <w:rFonts w:hint="eastAsia" w:ascii="Times New Roman" w:hAnsi="Times New Roman" w:cs="Times New Roman"/>
              </w:rPr>
              <w:t>《恶臭污染物排放标准》(GB 14554-93)表</w:t>
            </w:r>
            <w:r>
              <w:rPr>
                <w:rFonts w:hint="eastAsia" w:ascii="Times New Roman" w:hAnsi="Times New Roman" w:cs="Times New Roman"/>
                <w:lang w:eastAsia="zh-CN"/>
              </w:rPr>
              <w:t>1</w:t>
            </w:r>
            <w:r>
              <w:rPr>
                <w:rFonts w:hint="eastAsia" w:ascii="Times New Roman" w:hAnsi="Times New Roman" w:cs="Times New Roman"/>
              </w:rPr>
              <w:t>、</w:t>
            </w:r>
            <w:r>
              <w:rPr>
                <w:rFonts w:hint="eastAsia" w:ascii="Times New Roman" w:hAnsi="Times New Roman" w:cs="Times New Roman"/>
                <w:lang w:val="en-US" w:eastAsia="zh-CN"/>
              </w:rPr>
              <w:t>表2</w:t>
            </w:r>
            <w:r>
              <w:rPr>
                <w:rFonts w:hint="eastAsia" w:ascii="Times New Roman" w:hAnsi="Times New Roman" w:cs="Times New Roman"/>
              </w:rPr>
              <w:t>中相关标准要求</w:t>
            </w:r>
            <w:r>
              <w:rPr>
                <w:rFonts w:hint="eastAsia" w:ascii="Times New Roman" w:hAnsi="Times New Roman" w:cs="Times New Roman"/>
                <w:lang w:eastAsia="zh-CN"/>
              </w:rPr>
              <w:t>。</w:t>
            </w:r>
          </w:p>
          <w:p>
            <w:pPr>
              <w:pStyle w:val="43"/>
              <w:keepNext w:val="0"/>
              <w:keepLines w:val="0"/>
              <w:suppressLineNumbers w:val="0"/>
              <w:spacing w:before="0" w:beforeAutospacing="0" w:after="0" w:afterAutospacing="0"/>
              <w:ind w:left="0" w:right="0" w:firstLine="480"/>
              <w:rPr>
                <w:rFonts w:hint="eastAsia" w:ascii="Times New Roman" w:hAnsi="Times New Roman" w:cs="Times New Roman"/>
              </w:rPr>
            </w:pPr>
            <w:r>
              <w:rPr>
                <w:rFonts w:hint="eastAsia" w:ascii="Times New Roman" w:hAnsi="Times New Roman" w:cs="Times New Roman"/>
              </w:rPr>
              <w:t>具体标准限值见下表。</w:t>
            </w:r>
          </w:p>
          <w:p>
            <w:pPr>
              <w:pStyle w:val="42"/>
              <w:keepNext w:val="0"/>
              <w:keepLines w:val="0"/>
              <w:suppressLineNumbers w:val="0"/>
              <w:spacing w:beforeAutospacing="0" w:after="0" w:afterAutospacing="0"/>
              <w:ind w:right="0"/>
              <w:rPr>
                <w:rFonts w:hint="eastAsia" w:ascii="Times New Roman" w:hAnsi="Times New Roman" w:cs="Times New Roman"/>
              </w:rPr>
            </w:pPr>
            <w:r>
              <w:rPr>
                <w:rFonts w:hint="eastAsia" w:ascii="Times New Roman" w:hAnsi="Times New Roman" w:cs="Times New Roman"/>
              </w:rPr>
              <w:t>项目</w:t>
            </w:r>
            <w:r>
              <w:rPr>
                <w:rFonts w:hint="eastAsia" w:ascii="Times New Roman" w:hAnsi="Times New Roman" w:cs="Times New Roman"/>
                <w:lang w:val="en-US" w:eastAsia="zh-CN"/>
              </w:rPr>
              <w:t>臭气</w:t>
            </w:r>
            <w:r>
              <w:rPr>
                <w:rFonts w:hint="eastAsia" w:ascii="Times New Roman" w:hAnsi="Times New Roman" w:cs="Times New Roman"/>
              </w:rPr>
              <w:t>厂</w:t>
            </w:r>
            <w:r>
              <w:rPr>
                <w:rFonts w:hint="eastAsia" w:cs="Times New Roman"/>
                <w:lang w:val="en-US" w:eastAsia="zh-CN"/>
              </w:rPr>
              <w:t>界</w:t>
            </w:r>
            <w:r>
              <w:rPr>
                <w:rFonts w:hint="eastAsia" w:ascii="Times New Roman" w:hAnsi="Times New Roman" w:cs="Times New Roman"/>
              </w:rPr>
              <w:t>无组织排放标准</w:t>
            </w:r>
          </w:p>
          <w:tbl>
            <w:tblPr>
              <w:tblStyle w:val="3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54"/>
              <w:gridCol w:w="1476"/>
              <w:gridCol w:w="1874"/>
              <w:gridCol w:w="392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54" w:type="dxa"/>
                  <w:vMerge w:val="restart"/>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序号</w:t>
                  </w:r>
                </w:p>
              </w:tc>
              <w:tc>
                <w:tcPr>
                  <w:tcW w:w="1476" w:type="dxa"/>
                  <w:vMerge w:val="restart"/>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污染物名称</w:t>
                  </w:r>
                </w:p>
              </w:tc>
              <w:tc>
                <w:tcPr>
                  <w:tcW w:w="1874" w:type="dxa"/>
                  <w:vMerge w:val="restart"/>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val="en-US" w:eastAsia="zh-CN" w:bidi="ar"/>
                    </w:rPr>
                    <w:t>单位</w:t>
                  </w:r>
                </w:p>
              </w:tc>
              <w:tc>
                <w:tcPr>
                  <w:tcW w:w="3920"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eastAsia" w:cs="宋体"/>
                      <w:kern w:val="2"/>
                      <w:sz w:val="21"/>
                      <w:szCs w:val="21"/>
                      <w:lang w:val="en-US" w:eastAsia="zh-CN" w:bidi="ar"/>
                    </w:rPr>
                  </w:pPr>
                  <w:r>
                    <w:rPr>
                      <w:rFonts w:hint="eastAsia" w:cs="宋体"/>
                      <w:kern w:val="2"/>
                      <w:sz w:val="21"/>
                      <w:szCs w:val="21"/>
                      <w:lang w:val="en-US" w:eastAsia="zh-CN" w:bidi="ar"/>
                    </w:rPr>
                    <w:t>二级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54"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sz w:val="21"/>
                      <w:szCs w:val="21"/>
                    </w:rPr>
                  </w:pPr>
                </w:p>
              </w:tc>
              <w:tc>
                <w:tcPr>
                  <w:tcW w:w="1476"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sz w:val="21"/>
                      <w:szCs w:val="21"/>
                    </w:rPr>
                  </w:pPr>
                </w:p>
              </w:tc>
              <w:tc>
                <w:tcPr>
                  <w:tcW w:w="1874"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default"/>
                      <w:sz w:val="21"/>
                      <w:szCs w:val="21"/>
                    </w:rPr>
                  </w:pPr>
                </w:p>
              </w:tc>
              <w:tc>
                <w:tcPr>
                  <w:tcW w:w="3920"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eastAsia="宋体"/>
                      <w:sz w:val="21"/>
                      <w:szCs w:val="21"/>
                      <w:lang w:val="en-US" w:eastAsia="zh-CN"/>
                    </w:rPr>
                  </w:pPr>
                  <w:r>
                    <w:rPr>
                      <w:rFonts w:hint="eastAsia" w:cs="宋体"/>
                      <w:kern w:val="2"/>
                      <w:sz w:val="21"/>
                      <w:szCs w:val="21"/>
                      <w:lang w:val="en-US" w:eastAsia="zh-CN" w:bidi="ar"/>
                    </w:rPr>
                    <w:t>新扩改建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54"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eastAsia" w:eastAsia="宋体"/>
                      <w:sz w:val="21"/>
                      <w:szCs w:val="21"/>
                      <w:lang w:eastAsia="zh-CN"/>
                    </w:rPr>
                  </w:pPr>
                  <w:r>
                    <w:rPr>
                      <w:rFonts w:hint="eastAsia" w:ascii="Times New Roman" w:hAnsi="Times New Roman"/>
                      <w:kern w:val="2"/>
                      <w:sz w:val="21"/>
                      <w:szCs w:val="21"/>
                      <w:lang w:val="en-US" w:eastAsia="zh-CN" w:bidi="ar"/>
                    </w:rPr>
                    <w:t>1</w:t>
                  </w:r>
                </w:p>
              </w:tc>
              <w:tc>
                <w:tcPr>
                  <w:tcW w:w="1476"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eastAsia="宋体"/>
                      <w:sz w:val="21"/>
                      <w:szCs w:val="21"/>
                      <w:lang w:val="en-US" w:eastAsia="zh-CN"/>
                    </w:rPr>
                  </w:pPr>
                  <w:r>
                    <w:rPr>
                      <w:rFonts w:hint="eastAsia" w:ascii="Times New Roman" w:hAnsi="Times New Roman" w:cs="宋体"/>
                      <w:kern w:val="2"/>
                      <w:sz w:val="21"/>
                      <w:szCs w:val="21"/>
                      <w:lang w:val="en-US" w:eastAsia="zh-CN" w:bidi="ar"/>
                    </w:rPr>
                    <w:t>臭气浓度</w:t>
                  </w:r>
                </w:p>
              </w:tc>
              <w:tc>
                <w:tcPr>
                  <w:tcW w:w="1874"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eastAsia" w:eastAsia="宋体"/>
                      <w:sz w:val="21"/>
                      <w:szCs w:val="21"/>
                      <w:lang w:eastAsia="zh-CN"/>
                    </w:rPr>
                  </w:pPr>
                  <w:r>
                    <w:rPr>
                      <w:rFonts w:hint="eastAsia" w:ascii="Times New Roman" w:hAnsi="Times New Roman"/>
                      <w:kern w:val="2"/>
                      <w:sz w:val="21"/>
                      <w:szCs w:val="21"/>
                      <w:lang w:val="en-US" w:eastAsia="zh-CN" w:bidi="ar"/>
                    </w:rPr>
                    <w:t>无量纲</w:t>
                  </w:r>
                </w:p>
              </w:tc>
              <w:tc>
                <w:tcPr>
                  <w:tcW w:w="392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eastAsia="宋体"/>
                      <w:sz w:val="21"/>
                      <w:szCs w:val="21"/>
                      <w:lang w:val="en-US" w:eastAsia="zh-CN"/>
                    </w:rPr>
                  </w:pPr>
                  <w:r>
                    <w:rPr>
                      <w:rFonts w:hint="eastAsia"/>
                      <w:sz w:val="21"/>
                      <w:szCs w:val="21"/>
                      <w:lang w:val="en-US" w:eastAsia="zh-CN"/>
                    </w:rPr>
                    <w:t>20</w:t>
                  </w:r>
                </w:p>
              </w:tc>
            </w:tr>
          </w:tbl>
          <w:p>
            <w:pPr>
              <w:keepNext w:val="0"/>
              <w:keepLines w:val="0"/>
              <w:suppressLineNumbers w:val="0"/>
              <w:spacing w:before="0" w:beforeAutospacing="0" w:after="0" w:afterAutospacing="0"/>
              <w:ind w:left="0" w:right="0"/>
              <w:rPr>
                <w:rFonts w:hint="eastAsia"/>
                <w:lang w:val="en-US" w:eastAsia="zh-CN"/>
              </w:rPr>
            </w:pPr>
          </w:p>
          <w:p>
            <w:pPr>
              <w:pStyle w:val="42"/>
              <w:keepNext w:val="0"/>
              <w:keepLines w:val="0"/>
              <w:suppressLineNumbers w:val="0"/>
              <w:spacing w:beforeAutospacing="0" w:after="0" w:afterAutospacing="0"/>
              <w:ind w:right="0"/>
              <w:rPr>
                <w:rFonts w:hint="eastAsia" w:ascii="Times New Roman" w:hAnsi="Times New Roman" w:cs="Times New Roman"/>
                <w:color w:val="000000"/>
                <w:lang w:val="en-US" w:eastAsia="zh-CN"/>
              </w:rPr>
            </w:pPr>
            <w:bookmarkStart w:id="80" w:name="_Toc2175"/>
            <w:bookmarkStart w:id="81" w:name="_Toc2400"/>
            <w:r>
              <w:rPr>
                <w:rFonts w:hint="eastAsia" w:ascii="Times New Roman" w:hAnsi="Times New Roman" w:cs="Times New Roman"/>
                <w:color w:val="000000"/>
                <w:lang w:val="en-US" w:eastAsia="zh-CN"/>
              </w:rPr>
              <w:t>恶臭污染物排放标准值</w:t>
            </w:r>
          </w:p>
          <w:tbl>
            <w:tblPr>
              <w:tblStyle w:val="3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54"/>
              <w:gridCol w:w="1476"/>
              <w:gridCol w:w="1874"/>
              <w:gridCol w:w="392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54"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序号</w:t>
                  </w:r>
                </w:p>
              </w:tc>
              <w:tc>
                <w:tcPr>
                  <w:tcW w:w="1476"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2"/>
                      <w:sz w:val="21"/>
                      <w:szCs w:val="21"/>
                      <w:lang w:bidi="ar"/>
                    </w:rPr>
                    <w:t>污染物名称</w:t>
                  </w:r>
                </w:p>
              </w:tc>
              <w:tc>
                <w:tcPr>
                  <w:tcW w:w="1874"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kern w:val="2"/>
                      <w:sz w:val="21"/>
                      <w:szCs w:val="21"/>
                      <w:lang w:val="en-US" w:eastAsia="zh-CN" w:bidi="ar"/>
                    </w:rPr>
                    <w:t>排气筒高度</w:t>
                  </w:r>
                </w:p>
              </w:tc>
              <w:tc>
                <w:tcPr>
                  <w:tcW w:w="3920"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kern w:val="2"/>
                      <w:sz w:val="21"/>
                      <w:szCs w:val="21"/>
                      <w:lang w:val="en-US" w:eastAsia="zh-CN" w:bidi="ar"/>
                    </w:rPr>
                    <w:t>标准值（无量纲）</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54"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eastAsia="zh-CN"/>
                    </w:rPr>
                  </w:pPr>
                  <w:r>
                    <w:rPr>
                      <w:rFonts w:hint="eastAsia" w:ascii="Times New Roman" w:hAnsi="Times New Roman" w:cs="Times New Roman"/>
                      <w:kern w:val="2"/>
                      <w:sz w:val="21"/>
                      <w:szCs w:val="21"/>
                      <w:lang w:val="en-US" w:eastAsia="zh-CN" w:bidi="ar"/>
                    </w:rPr>
                    <w:t>1</w:t>
                  </w:r>
                </w:p>
              </w:tc>
              <w:tc>
                <w:tcPr>
                  <w:tcW w:w="1476"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
                    </w:rPr>
                    <w:t>臭气浓度</w:t>
                  </w:r>
                </w:p>
              </w:tc>
              <w:tc>
                <w:tcPr>
                  <w:tcW w:w="1874"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kern w:val="2"/>
                      <w:sz w:val="21"/>
                      <w:szCs w:val="21"/>
                      <w:lang w:val="en-US" w:eastAsia="zh-CN" w:bidi="ar"/>
                    </w:rPr>
                    <w:t>15m</w:t>
                  </w:r>
                </w:p>
              </w:tc>
              <w:tc>
                <w:tcPr>
                  <w:tcW w:w="3920" w:type="dxa"/>
                  <w:tcBorders>
                    <w:tl2br w:val="nil"/>
                    <w:tr2bl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2000</w:t>
                  </w:r>
                </w:p>
              </w:tc>
            </w:tr>
          </w:tbl>
          <w:p>
            <w:pPr>
              <w:pStyle w:val="4"/>
              <w:numPr>
                <w:ilvl w:val="-1"/>
                <w:numId w:val="0"/>
              </w:numPr>
              <w:suppressLineNumbers w:val="0"/>
              <w:bidi w:val="0"/>
              <w:spacing w:beforeAutospacing="0" w:after="0" w:afterAutospacing="0"/>
              <w:ind w:left="0" w:leftChars="0" w:right="0" w:firstLine="0" w:firstLineChars="0"/>
              <w:rPr>
                <w:rFonts w:hint="default"/>
                <w:color w:val="auto"/>
                <w:lang w:val="en-US" w:eastAsia="zh-CN"/>
              </w:rPr>
            </w:pPr>
          </w:p>
          <w:p>
            <w:pPr>
              <w:pStyle w:val="4"/>
              <w:suppressLineNumbers w:val="0"/>
              <w:bidi w:val="0"/>
              <w:spacing w:beforeAutospacing="0" w:after="0" w:afterAutospacing="0"/>
              <w:ind w:left="720" w:leftChars="0" w:right="0" w:hanging="720" w:firstLineChars="0"/>
              <w:rPr>
                <w:rFonts w:hint="default"/>
                <w:color w:val="auto"/>
              </w:rPr>
            </w:pPr>
            <w:r>
              <w:rPr>
                <w:rFonts w:hint="default"/>
                <w:color w:val="auto"/>
              </w:rPr>
              <w:t>废水排放标准</w:t>
            </w:r>
            <w:bookmarkEnd w:id="80"/>
            <w:bookmarkEnd w:id="81"/>
          </w:p>
          <w:p>
            <w:pPr>
              <w:pStyle w:val="121"/>
              <w:widowControl/>
              <w:ind w:firstLine="480"/>
              <w:rPr>
                <w:rFonts w:hint="default" w:ascii="Times New Roman" w:hAnsi="Times New Roman" w:eastAsia="宋体" w:cs="Times New Roman"/>
                <w:color w:val="auto"/>
                <w:sz w:val="24"/>
                <w:szCs w:val="24"/>
                <w:highlight w:val="none"/>
                <w:lang w:val="en-US" w:eastAsia="zh-CN"/>
              </w:rPr>
            </w:pPr>
            <w:r>
              <w:rPr>
                <w:rFonts w:hint="eastAsia" w:cs="Times New Roman"/>
                <w:color w:val="auto"/>
                <w:lang w:val="en-US" w:eastAsia="zh-CN"/>
              </w:rPr>
              <w:t>项目运营期废水主要为</w:t>
            </w:r>
            <w:r>
              <w:rPr>
                <w:rFonts w:hint="default" w:ascii="Times New Roman" w:hAnsi="Times New Roman" w:eastAsia="宋体" w:cs="Times New Roman"/>
                <w:color w:val="auto"/>
                <w:sz w:val="24"/>
                <w:szCs w:val="24"/>
                <w:highlight w:val="none"/>
              </w:rPr>
              <w:t>生活污水</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生活污水</w:t>
            </w:r>
            <w:r>
              <w:rPr>
                <w:rFonts w:hint="default" w:ascii="Times New Roman" w:hAnsi="Times New Roman" w:eastAsia="宋体" w:cs="Times New Roman"/>
                <w:color w:val="auto"/>
                <w:sz w:val="24"/>
                <w:szCs w:val="24"/>
                <w:highlight w:val="none"/>
              </w:rPr>
              <w:t>经化粪池处理后</w:t>
            </w:r>
            <w:r>
              <w:rPr>
                <w:rFonts w:hint="eastAsia" w:cs="Times New Roman"/>
                <w:color w:val="auto"/>
                <w:sz w:val="24"/>
                <w:szCs w:val="24"/>
                <w:highlight w:val="none"/>
                <w:lang w:val="en-US" w:eastAsia="zh-CN"/>
              </w:rPr>
              <w:t>排入市政污水管网，纳入连江县</w:t>
            </w:r>
            <w:r>
              <w:rPr>
                <w:rFonts w:hint="eastAsia" w:ascii="Times New Roman" w:hAnsi="Times New Roman" w:eastAsia="宋体" w:cs="Times New Roman"/>
                <w:color w:val="auto"/>
                <w:sz w:val="24"/>
                <w:szCs w:val="24"/>
                <w:highlight w:val="none"/>
                <w:lang w:val="en-US" w:eastAsia="zh-CN"/>
              </w:rPr>
              <w:t>污水处理厂处理</w:t>
            </w:r>
            <w:r>
              <w:rPr>
                <w:rFonts w:hint="default" w:ascii="Times New Roman" w:hAnsi="Times New Roman" w:eastAsia="宋体" w:cs="Times New Roman"/>
                <w:color w:val="auto"/>
                <w:sz w:val="24"/>
                <w:szCs w:val="24"/>
                <w:highlight w:val="none"/>
                <w:lang w:val="en-US" w:eastAsia="zh-CN"/>
              </w:rPr>
              <w:t>。</w:t>
            </w:r>
          </w:p>
          <w:p>
            <w:pPr>
              <w:pStyle w:val="121"/>
              <w:widowControl/>
              <w:ind w:firstLine="480"/>
              <w:rPr>
                <w:rFonts w:hint="default" w:ascii="Times New Roman" w:hAnsi="Times New Roman" w:eastAsia="宋体" w:cs="Times New Roman"/>
                <w:highlight w:val="none"/>
                <w:lang w:val="en-US" w:eastAsia="zh-CN"/>
              </w:rPr>
            </w:pPr>
            <w:r>
              <w:rPr>
                <w:rFonts w:hint="eastAsia" w:eastAsia="宋体" w:cs="Times New Roman"/>
                <w:color w:val="auto"/>
                <w:sz w:val="24"/>
                <w:szCs w:val="24"/>
                <w:highlight w:val="none"/>
                <w:lang w:val="en-US" w:eastAsia="zh-CN"/>
              </w:rPr>
              <w:t>生活污水</w:t>
            </w:r>
            <w:r>
              <w:rPr>
                <w:rFonts w:hint="default" w:ascii="Times New Roman" w:hAnsi="Times New Roman" w:eastAsia="宋体" w:cs="Times New Roman"/>
                <w:color w:val="auto"/>
                <w:sz w:val="24"/>
                <w:szCs w:val="24"/>
                <w:highlight w:val="none"/>
              </w:rPr>
              <w:t>各</w:t>
            </w:r>
            <w:r>
              <w:rPr>
                <w:rFonts w:hint="default" w:ascii="Times New Roman" w:hAnsi="Times New Roman" w:eastAsia="宋体" w:cs="Times New Roman"/>
                <w:color w:val="auto"/>
                <w:highlight w:val="none"/>
              </w:rPr>
              <w:t>污染物排放执行《污水综合排放标准》（GB8978-1996）表4中三级标准，氨氮参照执行《污水排入城镇下水道水质标准》(GB/T31962-2015)表1的B等级标准</w:t>
            </w:r>
            <w:r>
              <w:rPr>
                <w:rFonts w:hint="default" w:ascii="Times New Roman" w:hAnsi="Times New Roman" w:eastAsia="宋体" w:cs="Times New Roman"/>
                <w:color w:val="auto"/>
                <w:highlight w:val="none"/>
                <w:lang w:eastAsia="zh-CN"/>
              </w:rPr>
              <w:t>。连江县污水处理厂尾水排放执行《城镇污水处理厂污染物排放标准》（GB18918-2002）及其修改单表1中的一级A标准</w:t>
            </w:r>
            <w:r>
              <w:rPr>
                <w:rFonts w:hint="eastAsia" w:cs="Times New Roman"/>
                <w:color w:val="auto"/>
                <w:highlight w:val="none"/>
                <w:lang w:eastAsia="zh-CN"/>
              </w:rPr>
              <w:t>，</w:t>
            </w:r>
            <w:r>
              <w:rPr>
                <w:rFonts w:hint="default" w:ascii="Times New Roman" w:hAnsi="Times New Roman" w:eastAsia="宋体" w:cs="Times New Roman"/>
                <w:color w:val="auto"/>
                <w:highlight w:val="none"/>
              </w:rPr>
              <w:t>详见</w:t>
            </w:r>
            <w:r>
              <w:rPr>
                <w:rFonts w:hint="eastAsia" w:cs="Times New Roman"/>
                <w:color w:val="auto"/>
                <w:highlight w:val="none"/>
                <w:lang w:val="en-US" w:eastAsia="zh-CN"/>
              </w:rPr>
              <w:t>下表</w:t>
            </w:r>
            <w:r>
              <w:rPr>
                <w:rFonts w:hint="default" w:ascii="Times New Roman" w:hAnsi="Times New Roman" w:eastAsia="宋体" w:cs="Times New Roman"/>
                <w:color w:val="auto"/>
                <w:highlight w:val="none"/>
              </w:rPr>
              <w:t>。</w:t>
            </w:r>
          </w:p>
          <w:p>
            <w:pPr>
              <w:pStyle w:val="42"/>
              <w:keepNext w:val="0"/>
              <w:keepLines w:val="0"/>
              <w:pageBreakBefore w:val="0"/>
              <w:widowControl w:val="0"/>
              <w:suppressLineNumbers w:val="0"/>
              <w:tabs>
                <w:tab w:val="clear" w:pos="2126"/>
              </w:tabs>
              <w:kinsoku/>
              <w:wordWrap/>
              <w:overflowPunct/>
              <w:topLinePunct w:val="0"/>
              <w:autoSpaceDE/>
              <w:autoSpaceDN/>
              <w:bidi w:val="0"/>
              <w:adjustRightInd/>
              <w:snapToGrid/>
              <w:spacing w:before="0" w:beforeLines="0" w:beforeAutospacing="0" w:after="0" w:afterAutospacing="0"/>
              <w:ind w:right="0"/>
              <w:textAlignment w:val="auto"/>
              <w:rPr>
                <w:rFonts w:hint="default" w:ascii="Times New Roman" w:hAnsi="Times New Roman" w:eastAsia="宋体" w:cs="Times New Roman"/>
                <w:highlight w:val="none"/>
              </w:rPr>
            </w:pPr>
            <w:bookmarkStart w:id="82" w:name="_Ref11605"/>
            <w:r>
              <w:rPr>
                <w:rFonts w:hint="default" w:ascii="Times New Roman" w:hAnsi="Times New Roman" w:eastAsia="宋体" w:cs="Times New Roman"/>
                <w:highlight w:val="none"/>
              </w:rPr>
              <w:t>项目</w:t>
            </w:r>
            <w:r>
              <w:rPr>
                <w:rFonts w:hint="default" w:ascii="Times New Roman" w:hAnsi="Times New Roman" w:eastAsia="宋体" w:cs="Times New Roman"/>
                <w:highlight w:val="none"/>
                <w:lang w:val="en-US" w:eastAsia="zh-CN"/>
              </w:rPr>
              <w:t>生产废水</w:t>
            </w:r>
            <w:r>
              <w:rPr>
                <w:rFonts w:hint="default" w:ascii="Times New Roman" w:hAnsi="Times New Roman" w:eastAsia="宋体" w:cs="Times New Roman"/>
                <w:highlight w:val="none"/>
              </w:rPr>
              <w:t xml:space="preserve">排放执行标准 </w:t>
            </w:r>
            <w:bookmarkEnd w:id="82"/>
          </w:p>
          <w:tbl>
            <w:tblPr>
              <w:tblStyle w:val="32"/>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3542"/>
              <w:gridCol w:w="743"/>
              <w:gridCol w:w="989"/>
              <w:gridCol w:w="1091"/>
              <w:gridCol w:w="796"/>
              <w:gridCol w:w="963"/>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3542" w:type="dxa"/>
                  <w:vMerge w:val="restart"/>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污染物名称</w:t>
                  </w:r>
                </w:p>
              </w:tc>
              <w:tc>
                <w:tcPr>
                  <w:tcW w:w="4582" w:type="dxa"/>
                  <w:gridSpan w:val="5"/>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排放浓度mg/L</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3542" w:type="dxa"/>
                  <w:vMerge w:val="continue"/>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p>
              </w:tc>
              <w:tc>
                <w:tcPr>
                  <w:tcW w:w="743"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pH</w:t>
                  </w:r>
                </w:p>
              </w:tc>
              <w:tc>
                <w:tcPr>
                  <w:tcW w:w="989"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COD</w:t>
                  </w:r>
                </w:p>
              </w:tc>
              <w:tc>
                <w:tcPr>
                  <w:tcW w:w="1091"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BOD</w:t>
                  </w:r>
                  <w:r>
                    <w:rPr>
                      <w:rFonts w:hint="default" w:ascii="Times New Roman" w:hAnsi="Times New Roman" w:eastAsia="宋体" w:cs="Times New Roman"/>
                      <w:sz w:val="21"/>
                      <w:szCs w:val="21"/>
                      <w:highlight w:val="none"/>
                      <w:vertAlign w:val="subscript"/>
                    </w:rPr>
                    <w:t>5</w:t>
                  </w:r>
                </w:p>
              </w:tc>
              <w:tc>
                <w:tcPr>
                  <w:tcW w:w="796"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SS</w:t>
                  </w:r>
                </w:p>
              </w:tc>
              <w:tc>
                <w:tcPr>
                  <w:tcW w:w="963"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氨氮</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3542"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GB8978-1996 表4中三级标准</w:t>
                  </w:r>
                </w:p>
              </w:tc>
              <w:tc>
                <w:tcPr>
                  <w:tcW w:w="743"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6-9</w:t>
                  </w:r>
                </w:p>
              </w:tc>
              <w:tc>
                <w:tcPr>
                  <w:tcW w:w="989"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500</w:t>
                  </w:r>
                </w:p>
              </w:tc>
              <w:tc>
                <w:tcPr>
                  <w:tcW w:w="1091"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300</w:t>
                  </w:r>
                </w:p>
              </w:tc>
              <w:tc>
                <w:tcPr>
                  <w:tcW w:w="796"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400</w:t>
                  </w:r>
                </w:p>
              </w:tc>
              <w:tc>
                <w:tcPr>
                  <w:tcW w:w="963"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45*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3542"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highlight w:val="none"/>
                    </w:rPr>
                  </w:pPr>
                  <w:bookmarkStart w:id="83" w:name="_Toc12981"/>
                  <w:bookmarkStart w:id="84" w:name="_Toc1938"/>
                  <w:r>
                    <w:rPr>
                      <w:rFonts w:hint="default" w:ascii="Times New Roman" w:hAnsi="Times New Roman" w:eastAsia="宋体" w:cs="Times New Roman"/>
                      <w:sz w:val="21"/>
                      <w:szCs w:val="21"/>
                      <w:highlight w:val="none"/>
                    </w:rPr>
                    <w:t>GB18918-2002中一级A标准</w:t>
                  </w:r>
                </w:p>
              </w:tc>
              <w:tc>
                <w:tcPr>
                  <w:tcW w:w="743"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6-9</w:t>
                  </w:r>
                </w:p>
              </w:tc>
              <w:tc>
                <w:tcPr>
                  <w:tcW w:w="989"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cs="Times New Roman"/>
                      <w:sz w:val="21"/>
                      <w:szCs w:val="21"/>
                      <w:highlight w:val="none"/>
                      <w:lang w:val="en-US" w:eastAsia="zh-CN"/>
                    </w:rPr>
                  </w:pPr>
                  <w:r>
                    <w:rPr>
                      <w:rFonts w:hint="eastAsia" w:cs="Times New Roman"/>
                      <w:sz w:val="21"/>
                      <w:szCs w:val="21"/>
                      <w:highlight w:val="none"/>
                      <w:lang w:val="en-US" w:eastAsia="zh-CN"/>
                    </w:rPr>
                    <w:t>50</w:t>
                  </w:r>
                </w:p>
              </w:tc>
              <w:tc>
                <w:tcPr>
                  <w:tcW w:w="1091"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cs="Times New Roman"/>
                      <w:sz w:val="21"/>
                      <w:szCs w:val="21"/>
                      <w:highlight w:val="none"/>
                      <w:lang w:val="en-US" w:eastAsia="zh-CN"/>
                    </w:rPr>
                  </w:pPr>
                  <w:r>
                    <w:rPr>
                      <w:rFonts w:hint="eastAsia" w:cs="Times New Roman"/>
                      <w:sz w:val="21"/>
                      <w:szCs w:val="21"/>
                      <w:highlight w:val="none"/>
                      <w:lang w:val="en-US" w:eastAsia="zh-CN"/>
                    </w:rPr>
                    <w:t>10</w:t>
                  </w:r>
                </w:p>
              </w:tc>
              <w:tc>
                <w:tcPr>
                  <w:tcW w:w="796"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cs="Times New Roman"/>
                      <w:sz w:val="21"/>
                      <w:szCs w:val="21"/>
                      <w:highlight w:val="none"/>
                      <w:lang w:val="en-US" w:eastAsia="zh-CN"/>
                    </w:rPr>
                  </w:pPr>
                  <w:r>
                    <w:rPr>
                      <w:rFonts w:hint="eastAsia" w:cs="Times New Roman"/>
                      <w:sz w:val="21"/>
                      <w:szCs w:val="21"/>
                      <w:highlight w:val="none"/>
                      <w:lang w:val="en-US" w:eastAsia="zh-CN"/>
                    </w:rPr>
                    <w:t>10</w:t>
                  </w:r>
                </w:p>
              </w:tc>
              <w:tc>
                <w:tcPr>
                  <w:tcW w:w="963" w:type="dxa"/>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cs="Times New Roman"/>
                      <w:sz w:val="21"/>
                      <w:szCs w:val="21"/>
                      <w:highlight w:val="none"/>
                      <w:lang w:val="en-US" w:eastAsia="zh-CN"/>
                    </w:rPr>
                  </w:pPr>
                  <w:r>
                    <w:rPr>
                      <w:rFonts w:hint="eastAsia" w:cs="Times New Roman"/>
                      <w:sz w:val="21"/>
                      <w:szCs w:val="21"/>
                      <w:highlight w:val="none"/>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blHeader/>
                <w:jc w:val="center"/>
              </w:trPr>
              <w:tc>
                <w:tcPr>
                  <w:tcW w:w="8124" w:type="dxa"/>
                  <w:gridSpan w:val="6"/>
                  <w:tcMar>
                    <w:top w:w="0" w:type="dxa"/>
                    <w:left w:w="108" w:type="dxa"/>
                    <w:bottom w:w="0" w:type="dxa"/>
                    <w:right w:w="108" w:type="dxa"/>
                  </w:tcMar>
                  <w:vAlign w:val="center"/>
                </w:tcPr>
                <w:p>
                  <w:pPr>
                    <w:pStyle w:val="46"/>
                    <w:keepNext w:val="0"/>
                    <w:keepLines w:val="0"/>
                    <w:suppressLineNumbers w:val="0"/>
                    <w:spacing w:before="0" w:beforeAutospacing="0" w:after="0" w:afterAutospacing="0"/>
                    <w:ind w:left="0" w:leftChars="0" w:right="0" w:rightChars="0" w:firstLine="0" w:firstLineChars="0"/>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备注：“*”参照执行《污水排入城镇下水道水质标准》(GB/T31962-2015)表1的B等级标准</w:t>
                  </w:r>
                </w:p>
              </w:tc>
            </w:tr>
          </w:tbl>
          <w:p>
            <w:pPr>
              <w:pStyle w:val="4"/>
              <w:suppressLineNumbers w:val="0"/>
              <w:bidi w:val="0"/>
              <w:spacing w:beforeAutospacing="0" w:after="0" w:afterAutospacing="0"/>
              <w:ind w:left="720" w:leftChars="0" w:right="0" w:hanging="720" w:firstLineChars="0"/>
              <w:rPr>
                <w:rFonts w:hint="default"/>
              </w:rPr>
            </w:pPr>
            <w:r>
              <w:rPr>
                <w:rFonts w:hint="default"/>
              </w:rPr>
              <w:t>噪声排放标准</w:t>
            </w:r>
            <w:bookmarkEnd w:id="83"/>
            <w:bookmarkEnd w:id="84"/>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color w:val="auto"/>
              </w:rPr>
              <w:t>运营期</w:t>
            </w:r>
            <w:r>
              <w:rPr>
                <w:rFonts w:hint="default" w:ascii="Times New Roman" w:hAnsi="Times New Roman" w:eastAsia="宋体" w:cs="Times New Roman"/>
              </w:rPr>
              <w:t>厂界噪声执行《工业企业厂界环境噪声排放标准》(GB12348-2008)中的</w:t>
            </w:r>
            <w:r>
              <w:rPr>
                <w:rFonts w:hint="eastAsia" w:ascii="Times New Roman" w:hAnsi="Times New Roman" w:eastAsia="宋体" w:cs="Times New Roman"/>
                <w:lang w:val="en-US" w:eastAsia="zh-CN"/>
              </w:rPr>
              <w:t>3</w:t>
            </w:r>
            <w:r>
              <w:rPr>
                <w:rFonts w:hint="default" w:ascii="Times New Roman" w:hAnsi="Times New Roman" w:eastAsia="宋体" w:cs="Times New Roman"/>
              </w:rPr>
              <w:t>类标准</w:t>
            </w:r>
            <w:r>
              <w:rPr>
                <w:rFonts w:hint="eastAsia" w:cs="Times New Roman"/>
                <w:lang w:eastAsia="zh-CN"/>
              </w:rPr>
              <w:t>，</w:t>
            </w:r>
            <w:r>
              <w:rPr>
                <w:rFonts w:hint="eastAsia" w:cs="Times New Roman"/>
                <w:lang w:val="en-US" w:eastAsia="zh-CN"/>
              </w:rPr>
              <w:t>其中东侧厂界</w:t>
            </w:r>
            <w:r>
              <w:rPr>
                <w:rFonts w:hint="eastAsia"/>
              </w:rPr>
              <w:t>临104国道侧执行</w:t>
            </w:r>
            <w:r>
              <w:rPr>
                <w:rFonts w:hint="eastAsia"/>
                <w:lang w:eastAsia="zh-CN"/>
              </w:rPr>
              <w:t>4</w:t>
            </w:r>
            <w:r>
              <w:rPr>
                <w:rFonts w:hint="eastAsia"/>
              </w:rPr>
              <w:t>类</w:t>
            </w:r>
            <w:r>
              <w:rPr>
                <w:rFonts w:hint="default" w:ascii="Times New Roman" w:hAnsi="Times New Roman" w:eastAsia="宋体" w:cs="Times New Roman"/>
              </w:rPr>
              <w:t>。</w:t>
            </w:r>
          </w:p>
          <w:p>
            <w:pPr>
              <w:pStyle w:val="42"/>
              <w:keepNext w:val="0"/>
              <w:keepLines w:val="0"/>
              <w:suppressLineNumbers w:val="0"/>
              <w:bidi w:val="0"/>
              <w:spacing w:beforeAutospacing="0" w:after="0" w:afterAutospacing="0"/>
              <w:ind w:left="0" w:leftChars="0" w:right="0" w:firstLine="0" w:firstLineChars="0"/>
              <w:rPr>
                <w:rFonts w:hint="default"/>
              </w:rPr>
            </w:pPr>
            <w:bookmarkStart w:id="85" w:name="_Ref65740450"/>
            <w:r>
              <w:rPr>
                <w:rFonts w:hint="eastAsia"/>
              </w:rPr>
              <w:t>项目</w:t>
            </w:r>
            <w:r>
              <w:rPr>
                <w:rFonts w:hint="default"/>
              </w:rPr>
              <w:t>厂界环境噪声排放标准</w:t>
            </w:r>
            <w:bookmarkEnd w:id="85"/>
          </w:p>
          <w:tbl>
            <w:tblPr>
              <w:tblStyle w:val="3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999"/>
              <w:gridCol w:w="1000"/>
              <w:gridCol w:w="1594"/>
              <w:gridCol w:w="1279"/>
              <w:gridCol w:w="325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1999" w:type="dxa"/>
                  <w:gridSpan w:val="2"/>
                  <w:vMerge w:val="restart"/>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污染物名称</w:t>
                  </w:r>
                </w:p>
              </w:tc>
              <w:tc>
                <w:tcPr>
                  <w:tcW w:w="2873" w:type="dxa"/>
                  <w:gridSpan w:val="2"/>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标准值dB（A）</w:t>
                  </w:r>
                </w:p>
              </w:tc>
              <w:tc>
                <w:tcPr>
                  <w:tcW w:w="3252" w:type="dxa"/>
                  <w:vMerge w:val="restart"/>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标准来源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1999" w:type="dxa"/>
                  <w:gridSpan w:val="2"/>
                  <w:vMerge w:val="continue"/>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rPr>
                  </w:pPr>
                </w:p>
              </w:tc>
              <w:tc>
                <w:tcPr>
                  <w:tcW w:w="1594"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rPr>
                  </w:pPr>
                  <w:r>
                    <w:rPr>
                      <w:rFonts w:hint="default" w:ascii="Times New Roman" w:hAnsi="Times New Roman" w:eastAsia="宋体" w:cs="Times New Roman"/>
                      <w:b w:val="0"/>
                      <w:bCs/>
                      <w:sz w:val="21"/>
                      <w:szCs w:val="21"/>
                    </w:rPr>
                    <w:t>昼间</w:t>
                  </w:r>
                </w:p>
              </w:tc>
              <w:tc>
                <w:tcPr>
                  <w:tcW w:w="1279"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夜间</w:t>
                  </w:r>
                </w:p>
              </w:tc>
              <w:tc>
                <w:tcPr>
                  <w:tcW w:w="3252" w:type="dxa"/>
                  <w:vMerge w:val="continue"/>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99" w:type="dxa"/>
                  <w:vMerge w:val="restart"/>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运营期厂界噪声</w:t>
                  </w:r>
                </w:p>
              </w:tc>
              <w:tc>
                <w:tcPr>
                  <w:tcW w:w="1000"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其他厂界</w:t>
                  </w:r>
                </w:p>
              </w:tc>
              <w:tc>
                <w:tcPr>
                  <w:tcW w:w="1594"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6</w:t>
                  </w:r>
                  <w:r>
                    <w:rPr>
                      <w:rFonts w:hint="default" w:ascii="Times New Roman" w:hAnsi="Times New Roman" w:eastAsia="宋体" w:cs="Times New Roman"/>
                      <w:b w:val="0"/>
                      <w:bCs/>
                      <w:sz w:val="21"/>
                      <w:szCs w:val="21"/>
                      <w:lang w:val="en-US" w:eastAsia="zh-CN"/>
                    </w:rPr>
                    <w:t>5</w:t>
                  </w:r>
                </w:p>
              </w:tc>
              <w:tc>
                <w:tcPr>
                  <w:tcW w:w="1279"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lang w:eastAsia="zh-CN"/>
                    </w:rPr>
                  </w:pPr>
                  <w:r>
                    <w:rPr>
                      <w:rFonts w:hint="default" w:ascii="Times New Roman" w:hAnsi="Times New Roman" w:eastAsia="宋体" w:cs="Times New Roman"/>
                      <w:b w:val="0"/>
                      <w:bCs/>
                      <w:sz w:val="21"/>
                      <w:szCs w:val="21"/>
                    </w:rPr>
                    <w:t>5</w:t>
                  </w:r>
                  <w:r>
                    <w:rPr>
                      <w:rFonts w:hint="default" w:ascii="Times New Roman" w:hAnsi="Times New Roman" w:eastAsia="宋体" w:cs="Times New Roman"/>
                      <w:b w:val="0"/>
                      <w:bCs/>
                      <w:sz w:val="21"/>
                      <w:szCs w:val="21"/>
                      <w:lang w:val="en-US" w:eastAsia="zh-CN"/>
                    </w:rPr>
                    <w:t>5</w:t>
                  </w:r>
                </w:p>
              </w:tc>
              <w:tc>
                <w:tcPr>
                  <w:tcW w:w="3252"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《工业企业厂界环境噪声排放标准》GB12348-2008中</w:t>
                  </w:r>
                  <w:r>
                    <w:rPr>
                      <w:rFonts w:hint="default" w:ascii="Times New Roman" w:hAnsi="Times New Roman" w:eastAsia="宋体" w:cs="Times New Roman"/>
                      <w:b w:val="0"/>
                      <w:bCs/>
                      <w:sz w:val="21"/>
                      <w:szCs w:val="21"/>
                      <w:lang w:val="en-US" w:eastAsia="zh-CN"/>
                    </w:rPr>
                    <w:t>3</w:t>
                  </w:r>
                  <w:r>
                    <w:rPr>
                      <w:rFonts w:hint="default" w:ascii="Times New Roman" w:hAnsi="Times New Roman" w:eastAsia="宋体" w:cs="Times New Roman"/>
                      <w:b w:val="0"/>
                      <w:bCs/>
                      <w:sz w:val="21"/>
                      <w:szCs w:val="21"/>
                    </w:rPr>
                    <w:t>类标准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99" w:type="dxa"/>
                  <w:vMerge w:val="continue"/>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p>
              </w:tc>
              <w:tc>
                <w:tcPr>
                  <w:tcW w:w="1000"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东侧厂界</w:t>
                  </w:r>
                </w:p>
              </w:tc>
              <w:tc>
                <w:tcPr>
                  <w:tcW w:w="1594"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eastAsia" w:ascii="Times New Roman" w:hAnsi="Times New Roman" w:cs="Times New Roman"/>
                      <w:b w:val="0"/>
                      <w:bCs/>
                      <w:sz w:val="21"/>
                      <w:szCs w:val="21"/>
                      <w:lang w:val="en-US" w:eastAsia="zh-CN"/>
                    </w:rPr>
                    <w:t>70</w:t>
                  </w:r>
                </w:p>
              </w:tc>
              <w:tc>
                <w:tcPr>
                  <w:tcW w:w="1279"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lang w:eastAsia="zh-CN"/>
                    </w:rPr>
                  </w:pPr>
                  <w:r>
                    <w:rPr>
                      <w:rFonts w:hint="eastAsia" w:ascii="Times New Roman" w:hAnsi="Times New Roman" w:cs="Times New Roman"/>
                      <w:b w:val="0"/>
                      <w:bCs/>
                      <w:sz w:val="21"/>
                      <w:szCs w:val="21"/>
                      <w:lang w:val="en-US" w:eastAsia="zh-CN"/>
                    </w:rPr>
                    <w:t>55</w:t>
                  </w:r>
                </w:p>
              </w:tc>
              <w:tc>
                <w:tcPr>
                  <w:tcW w:w="3252" w:type="dxa"/>
                  <w:noWrap w:val="0"/>
                  <w:vAlign w:val="center"/>
                </w:tcPr>
                <w:p>
                  <w:pPr>
                    <w:pStyle w:val="123"/>
                    <w:keepNext w:val="0"/>
                    <w:keepLines w:val="0"/>
                    <w:pageBreakBefore w:val="0"/>
                    <w:suppressLineNumbers w:val="0"/>
                    <w:kinsoku/>
                    <w:autoSpaceDE/>
                    <w:autoSpaceDN/>
                    <w:snapToGrid/>
                    <w:spacing w:before="0" w:beforeAutospacing="0" w:after="0" w:afterAutospacing="0"/>
                    <w:ind w:left="0" w:right="0"/>
                    <w:jc w:val="center"/>
                    <w:rPr>
                      <w:rFonts w:hint="default" w:ascii="Times New Roman" w:hAnsi="Times New Roman" w:eastAsia="宋体" w:cs="Times New Roman"/>
                      <w:b w:val="0"/>
                      <w:bCs/>
                      <w:sz w:val="21"/>
                      <w:szCs w:val="21"/>
                    </w:rPr>
                  </w:pPr>
                  <w:r>
                    <w:rPr>
                      <w:rFonts w:hint="default" w:ascii="Times New Roman" w:hAnsi="Times New Roman" w:cs="Times New Roman"/>
                      <w:b w:val="0"/>
                      <w:bCs/>
                      <w:sz w:val="21"/>
                      <w:szCs w:val="21"/>
                    </w:rPr>
                    <w:t>《工业企业厂界环境噪声排放标准》GB12348-2008中</w:t>
                  </w:r>
                  <w:r>
                    <w:rPr>
                      <w:rFonts w:hint="eastAsia" w:ascii="Times New Roman" w:hAnsi="Times New Roman" w:cs="Times New Roman"/>
                      <w:b w:val="0"/>
                      <w:bCs/>
                      <w:sz w:val="21"/>
                      <w:szCs w:val="21"/>
                      <w:lang w:eastAsia="zh-CN"/>
                    </w:rPr>
                    <w:t>4</w:t>
                  </w:r>
                  <w:r>
                    <w:rPr>
                      <w:rFonts w:hint="default" w:ascii="Times New Roman" w:hAnsi="Times New Roman" w:cs="Times New Roman"/>
                      <w:b w:val="0"/>
                      <w:bCs/>
                      <w:sz w:val="21"/>
                      <w:szCs w:val="21"/>
                    </w:rPr>
                    <w:t>类标准</w:t>
                  </w:r>
                </w:p>
              </w:tc>
            </w:tr>
          </w:tbl>
          <w:p>
            <w:pPr>
              <w:pStyle w:val="4"/>
              <w:suppressLineNumbers w:val="0"/>
              <w:bidi w:val="0"/>
              <w:spacing w:beforeAutospacing="0" w:after="0" w:afterAutospacing="0"/>
              <w:ind w:left="720" w:leftChars="0" w:right="0" w:hanging="720" w:firstLineChars="0"/>
              <w:rPr>
                <w:rFonts w:hint="default"/>
              </w:rPr>
            </w:pPr>
            <w:bookmarkStart w:id="86" w:name="_Toc20475"/>
            <w:bookmarkStart w:id="87" w:name="_Toc5072"/>
            <w:r>
              <w:rPr>
                <w:rFonts w:hint="default"/>
              </w:rPr>
              <w:t>固体废物</w:t>
            </w:r>
            <w:bookmarkEnd w:id="86"/>
            <w:bookmarkEnd w:id="87"/>
          </w:p>
          <w:p>
            <w:pPr>
              <w:pStyle w:val="43"/>
              <w:keepNext w:val="0"/>
              <w:keepLines w:val="0"/>
              <w:suppressLineNumbers w:val="0"/>
              <w:spacing w:before="0" w:beforeAutospacing="0" w:after="0" w:afterAutospacing="0"/>
              <w:ind w:left="0" w:right="0" w:firstLine="480"/>
              <w:rPr>
                <w:rFonts w:hint="default" w:ascii="Times New Roman" w:hAnsi="Times New Roman" w:cs="Times New Roman"/>
              </w:rPr>
            </w:pPr>
            <w:r>
              <w:rPr>
                <w:rFonts w:hint="default" w:ascii="Times New Roman" w:hAnsi="Times New Roman" w:eastAsia="宋体" w:cs="Times New Roman"/>
              </w:rPr>
              <w:t>本项目一般工业固体废物执行</w:t>
            </w:r>
            <w:r>
              <w:rPr>
                <w:rFonts w:hint="default" w:ascii="Times New Roman" w:hAnsi="Times New Roman" w:eastAsia="宋体" w:cs="Times New Roman"/>
                <w:color w:val="auto"/>
              </w:rPr>
              <w:t>《一般工业固体废物贮存和填埋污染控制标准》（GB18599-2020）</w:t>
            </w:r>
            <w:r>
              <w:rPr>
                <w:rFonts w:hint="default" w:ascii="Times New Roman" w:hAnsi="Times New Roman" w:eastAsia="宋体" w:cs="Times New Roman"/>
              </w:rPr>
              <w:t>；危险废物执行《危险废物贮存污染控制标准》（GB18597-2023）相关要求。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tcBorders>
              <w:tl2br w:val="nil"/>
              <w:tr2bl w:val="nil"/>
            </w:tcBorders>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总量</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 w:val="24"/>
                <w:szCs w:val="24"/>
              </w:rPr>
            </w:pPr>
            <w:r>
              <w:rPr>
                <w:rFonts w:hint="eastAsia" w:ascii="宋体" w:hAnsi="宋体" w:cs="宋体"/>
                <w:kern w:val="0"/>
                <w:sz w:val="24"/>
                <w:szCs w:val="24"/>
              </w:rPr>
              <w:t>控制</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 w:val="24"/>
                <w:szCs w:val="24"/>
              </w:rPr>
              <w:t>指标</w:t>
            </w:r>
          </w:p>
        </w:tc>
        <w:tc>
          <w:tcPr>
            <w:tcW w:w="8340" w:type="dxa"/>
            <w:tcBorders>
              <w:tl2br w:val="nil"/>
              <w:tr2bl w:val="nil"/>
            </w:tcBorders>
            <w:noWrap w:val="0"/>
            <w:vAlign w:val="center"/>
          </w:tcPr>
          <w:p>
            <w:pPr>
              <w:pStyle w:val="3"/>
              <w:keepNext w:val="0"/>
              <w:keepLines w:val="0"/>
              <w:suppressLineNumbers w:val="0"/>
              <w:bidi w:val="0"/>
              <w:spacing w:before="0" w:beforeAutospacing="0" w:after="0" w:afterAutospacing="0"/>
              <w:ind w:left="0" w:leftChars="0" w:right="0" w:firstLine="0" w:firstLineChars="0"/>
              <w:rPr>
                <w:rFonts w:hint="default"/>
              </w:rPr>
            </w:pPr>
            <w:bookmarkStart w:id="88" w:name="_Toc22536"/>
            <w:bookmarkStart w:id="89" w:name="_Toc24101"/>
            <w:bookmarkStart w:id="90" w:name="_Toc18142"/>
            <w:bookmarkStart w:id="91" w:name="_Toc30076"/>
            <w:bookmarkStart w:id="92" w:name="_Toc19702"/>
            <w:bookmarkStart w:id="93" w:name="_Toc551"/>
            <w:r>
              <w:rPr>
                <w:rFonts w:hint="default"/>
              </w:rPr>
              <w:t>总量控制</w:t>
            </w:r>
            <w:bookmarkEnd w:id="88"/>
            <w:bookmarkEnd w:id="89"/>
            <w:bookmarkEnd w:id="90"/>
            <w:bookmarkEnd w:id="91"/>
            <w:bookmarkEnd w:id="92"/>
            <w:bookmarkEnd w:id="93"/>
            <w:r>
              <w:rPr>
                <w:rFonts w:hint="eastAsia"/>
                <w:lang w:val="en-US" w:eastAsia="zh-CN"/>
              </w:rPr>
              <w:t>指标</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根据《福建省建设项目主要污染物排放总量指标管理办法(试行)的通知》(闽环发[2014]13号)、《福建省关于全面实施排污权有偿使用和交易工作的意见》(政2016号54号)等文件要求，现阶段福建省主要污染物排放总量指标为COD、NH</w:t>
            </w:r>
            <w:r>
              <w:rPr>
                <w:rFonts w:hint="default" w:ascii="Times New Roman" w:hAnsi="Times New Roman" w:eastAsia="宋体" w:cs="Times New Roman"/>
                <w:vertAlign w:val="subscript"/>
              </w:rPr>
              <w:t>3</w:t>
            </w:r>
            <w:r>
              <w:rPr>
                <w:rFonts w:hint="default" w:ascii="Times New Roman" w:hAnsi="Times New Roman" w:eastAsia="宋体" w:cs="Times New Roman"/>
              </w:rPr>
              <w:t>-N、SO</w:t>
            </w:r>
            <w:r>
              <w:rPr>
                <w:rFonts w:hint="default" w:ascii="Times New Roman" w:hAnsi="Times New Roman" w:eastAsia="宋体" w:cs="Times New Roman"/>
                <w:vertAlign w:val="subscript"/>
              </w:rPr>
              <w:t>2</w:t>
            </w:r>
            <w:r>
              <w:rPr>
                <w:rFonts w:hint="default" w:ascii="Times New Roman" w:hAnsi="Times New Roman" w:eastAsia="宋体" w:cs="Times New Roman"/>
              </w:rPr>
              <w:t>、NOx。同时根据《福建省大气污染防治条例》，结合《福州市环境保护局关于印发福州市大气污染联防控联治工作方案的通知》(榕环保综[2018]386号)等文件要求，VOCs指标也属于总量控制指标。</w:t>
            </w:r>
          </w:p>
          <w:p>
            <w:pPr>
              <w:pStyle w:val="4"/>
              <w:suppressLineNumbers w:val="0"/>
              <w:bidi w:val="0"/>
              <w:spacing w:before="0" w:beforeAutospacing="0" w:after="0" w:afterAutospacing="0"/>
              <w:ind w:left="720" w:leftChars="0" w:right="0" w:hanging="720" w:firstLineChars="0"/>
              <w:rPr>
                <w:rFonts w:hint="eastAsia"/>
                <w:lang w:val="en-US" w:eastAsia="zh-CN"/>
              </w:rPr>
            </w:pPr>
            <w:r>
              <w:rPr>
                <w:rFonts w:hint="eastAsia"/>
                <w:lang w:val="en-US" w:eastAsia="zh-CN"/>
              </w:rPr>
              <w:t>废水主要污染物排放总量</w:t>
            </w:r>
          </w:p>
          <w:p>
            <w:pPr>
              <w:pStyle w:val="43"/>
              <w:keepNext w:val="0"/>
              <w:keepLines w:val="0"/>
              <w:suppressLineNumbers w:val="0"/>
              <w:spacing w:before="0" w:beforeAutospacing="0" w:after="0" w:afterAutospacing="0" w:line="360" w:lineRule="auto"/>
              <w:ind w:left="0" w:leftChars="0" w:right="0" w:firstLine="480" w:firstLineChars="200"/>
              <w:rPr>
                <w:rFonts w:hint="default" w:ascii="Times New Roman" w:hAnsi="Times New Roman" w:eastAsia="宋体" w:cs="Times New Roman"/>
                <w:highlight w:val="none"/>
              </w:rPr>
            </w:pPr>
            <w:r>
              <w:rPr>
                <w:rFonts w:hint="eastAsia" w:cs="Times New Roman"/>
                <w:szCs w:val="22"/>
                <w:lang w:val="en-US" w:eastAsia="zh-CN" w:bidi="ar"/>
              </w:rPr>
              <w:t>项目冷却水经循环使用后定期补充蒸发损耗部分，不排放。</w:t>
            </w:r>
            <w:r>
              <w:rPr>
                <w:rStyle w:val="55"/>
                <w:rFonts w:hint="default"/>
                <w:color w:val="auto"/>
                <w:highlight w:val="none"/>
              </w:rPr>
              <w:t>生活污水经化粪池处理后</w:t>
            </w:r>
            <w:r>
              <w:rPr>
                <w:rStyle w:val="55"/>
                <w:rFonts w:hint="eastAsia"/>
                <w:color w:val="auto"/>
                <w:highlight w:val="none"/>
                <w:lang w:val="en-US" w:eastAsia="zh-CN"/>
              </w:rPr>
              <w:t>排入市政污水管网纳入连江县污水处理厂处理</w:t>
            </w:r>
            <w:r>
              <w:rPr>
                <w:rStyle w:val="55"/>
                <w:rFonts w:hint="default"/>
                <w:color w:val="auto"/>
                <w:highlight w:val="none"/>
                <w:lang w:val="en-US" w:eastAsia="zh-CN"/>
              </w:rPr>
              <w:t>。</w:t>
            </w:r>
            <w:r>
              <w:rPr>
                <w:rFonts w:hint="default" w:ascii="Times New Roman" w:hAnsi="Times New Roman" w:eastAsia="宋体" w:cs="Times New Roman"/>
                <w:color w:val="auto"/>
                <w:highlight w:val="none"/>
              </w:rPr>
              <w:t>根据《福建</w:t>
            </w:r>
            <w:r>
              <w:rPr>
                <w:rFonts w:hint="default" w:ascii="Times New Roman" w:hAnsi="Times New Roman" w:eastAsia="宋体" w:cs="Times New Roman"/>
                <w:highlight w:val="none"/>
              </w:rPr>
              <w:t>省环保厅关于进一步加快推进排污权有偿使用和交易工作的意见》（闽环发[2015]6号）中相关规定</w:t>
            </w:r>
            <w:r>
              <w:rPr>
                <w:rFonts w:hint="eastAsia" w:cs="Times New Roman"/>
                <w:highlight w:val="none"/>
                <w:lang w:eastAsia="zh-CN"/>
              </w:rPr>
              <w:t>“</w:t>
            </w:r>
            <w:r>
              <w:rPr>
                <w:rFonts w:hint="default" w:ascii="Times New Roman" w:hAnsi="Times New Roman" w:eastAsia="宋体" w:cs="Times New Roman"/>
                <w:highlight w:val="none"/>
              </w:rPr>
              <w:t>对于水污染物，仅核定工业废水部分</w:t>
            </w:r>
            <w:r>
              <w:rPr>
                <w:rFonts w:hint="eastAsia" w:cs="Times New Roman"/>
                <w:highlight w:val="none"/>
                <w:lang w:eastAsia="zh-CN"/>
              </w:rPr>
              <w:t>”</w:t>
            </w:r>
            <w:r>
              <w:rPr>
                <w:rFonts w:hint="default" w:ascii="Times New Roman" w:hAnsi="Times New Roman" w:eastAsia="宋体" w:cs="Times New Roman"/>
                <w:highlight w:val="none"/>
              </w:rPr>
              <w:t>，因此，本项目生活污水中COD、氨氮无需购买总量。</w:t>
            </w:r>
          </w:p>
          <w:p>
            <w:pPr>
              <w:pStyle w:val="4"/>
              <w:suppressLineNumbers w:val="0"/>
              <w:bidi w:val="0"/>
              <w:spacing w:before="0" w:beforeAutospacing="0" w:after="0" w:afterAutospacing="0"/>
              <w:ind w:left="720" w:leftChars="0" w:right="0" w:hanging="720" w:firstLineChars="0"/>
              <w:rPr>
                <w:rFonts w:hint="default"/>
                <w:color w:val="auto"/>
                <w:lang w:val="en-US" w:eastAsia="zh-CN"/>
              </w:rPr>
            </w:pPr>
            <w:r>
              <w:rPr>
                <w:rFonts w:hint="default"/>
                <w:color w:val="auto"/>
                <w:lang w:val="en-US" w:eastAsia="zh-CN"/>
              </w:rPr>
              <w:t>废气主要污染物排放总量</w:t>
            </w:r>
          </w:p>
          <w:p>
            <w:pPr>
              <w:pStyle w:val="43"/>
              <w:keepNext w:val="0"/>
              <w:keepLines w:val="0"/>
              <w:suppressLineNumbers w:val="0"/>
              <w:spacing w:before="0" w:beforeAutospacing="0" w:after="0" w:afterAutospacing="0" w:line="360" w:lineRule="auto"/>
              <w:ind w:left="0" w:right="0" w:firstLine="480"/>
              <w:rPr>
                <w:rFonts w:hint="default"/>
                <w:highlight w:val="none"/>
              </w:rPr>
            </w:pPr>
            <w:r>
              <w:rPr>
                <w:rFonts w:hint="default"/>
                <w:highlight w:val="none"/>
              </w:rPr>
              <w:t>根据《福州市环境保护局关于印发福州市大气污染联防控联治工作方案的通知》榕环保综[2018]386号：VOCs排放实行区域内倍量替代，新、改扩建涉VOCs排放项目，应从源头加强控制，使用低(无)VOCs含量的原辅材料，加强废气收集、安装高效治理设施；根据《2022年度福州市蓝天碧水碧海净土保卫战行动计划》(榕环委办[2022]49号)：实施新建项目VOCs排放区域内1.2及以上倍量替代。因此，本项目排放的VOCs总量由建设单位向福州市连江生态环境局申请区域倍量替代，最终的总量控制指标以生态环境行政主管部门核定的总量为准。</w:t>
            </w:r>
          </w:p>
          <w:p>
            <w:pPr>
              <w:pStyle w:val="42"/>
              <w:keepNext w:val="0"/>
              <w:keepLines w:val="0"/>
              <w:suppressLineNumbers w:val="0"/>
              <w:bidi w:val="0"/>
              <w:spacing w:beforeAutospacing="0" w:after="0" w:afterAutospacing="0"/>
              <w:ind w:left="0" w:leftChars="0" w:right="0" w:firstLine="0" w:firstLineChars="0"/>
              <w:rPr>
                <w:rFonts w:hint="default" w:eastAsia="宋体"/>
                <w:color w:val="auto"/>
              </w:rPr>
            </w:pPr>
            <w:r>
              <w:rPr>
                <w:rFonts w:hint="default" w:eastAsia="宋体"/>
                <w:color w:val="auto"/>
              </w:rPr>
              <w:t>项目总量控制指标情况汇总表</w:t>
            </w:r>
          </w:p>
          <w:tbl>
            <w:tblPr>
              <w:tblStyle w:val="32"/>
              <w:tblW w:w="5000" w:type="pct"/>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741"/>
              <w:gridCol w:w="1656"/>
              <w:gridCol w:w="3529"/>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pct"/>
                  <w:tcBorders>
                    <w:top w:val="single" w:color="auto" w:sz="12" w:space="0"/>
                    <w:left w:val="nil"/>
                    <w:bottom w:val="single" w:color="auto" w:sz="4" w:space="0"/>
                    <w:right w:val="single" w:color="auto" w:sz="4" w:space="0"/>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lang w:eastAsia="en-US"/>
                    </w:rPr>
                  </w:pPr>
                  <w:r>
                    <w:rPr>
                      <w:rFonts w:hint="eastAsia" w:ascii="Times New Roman" w:hAnsi="Times New Roman" w:cs="宋体"/>
                      <w:kern w:val="2"/>
                      <w:sz w:val="21"/>
                      <w:szCs w:val="21"/>
                      <w:lang w:eastAsia="en-US" w:bidi="ar"/>
                    </w:rPr>
                    <w:t>污染物类别</w:t>
                  </w:r>
                </w:p>
              </w:tc>
              <w:tc>
                <w:tcPr>
                  <w:tcW w:w="1071" w:type="pct"/>
                  <w:tcBorders>
                    <w:top w:val="single" w:color="auto" w:sz="12"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cs="宋体"/>
                      <w:kern w:val="2"/>
                      <w:sz w:val="21"/>
                      <w:szCs w:val="21"/>
                      <w:lang w:eastAsia="en-US" w:bidi="ar"/>
                    </w:rPr>
                  </w:pPr>
                  <w:r>
                    <w:rPr>
                      <w:rFonts w:hint="eastAsia" w:ascii="Times New Roman" w:hAnsi="Times New Roman" w:cs="宋体"/>
                      <w:kern w:val="2"/>
                      <w:sz w:val="21"/>
                      <w:szCs w:val="21"/>
                      <w:lang w:eastAsia="en-US" w:bidi="ar"/>
                    </w:rPr>
                    <w:t>总量控制</w:t>
                  </w:r>
                </w:p>
                <w:p>
                  <w:pPr>
                    <w:pStyle w:val="29"/>
                    <w:keepNext w:val="0"/>
                    <w:keepLines w:val="0"/>
                    <w:widowControl w:val="0"/>
                    <w:suppressLineNumbers w:val="0"/>
                    <w:spacing w:before="0" w:beforeAutospacing="0" w:after="0" w:afterAutospacing="0"/>
                    <w:ind w:left="0" w:right="0"/>
                    <w:jc w:val="center"/>
                    <w:rPr>
                      <w:rFonts w:hint="default"/>
                      <w:sz w:val="21"/>
                      <w:szCs w:val="21"/>
                      <w:lang w:eastAsia="en-US"/>
                    </w:rPr>
                  </w:pPr>
                  <w:r>
                    <w:rPr>
                      <w:rFonts w:hint="eastAsia" w:ascii="Times New Roman" w:hAnsi="Times New Roman" w:cs="宋体"/>
                      <w:kern w:val="2"/>
                      <w:sz w:val="21"/>
                      <w:szCs w:val="21"/>
                      <w:lang w:eastAsia="en-US" w:bidi="ar"/>
                    </w:rPr>
                    <w:t>项目</w:t>
                  </w:r>
                </w:p>
              </w:tc>
              <w:tc>
                <w:tcPr>
                  <w:tcW w:w="1019" w:type="pct"/>
                  <w:tcBorders>
                    <w:top w:val="single" w:color="auto" w:sz="12"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预测排放量总量</w:t>
                  </w:r>
                  <w:r>
                    <w:rPr>
                      <w:rFonts w:hint="default" w:ascii="Times New Roman" w:hAnsi="Times New Roman"/>
                      <w:kern w:val="2"/>
                      <w:sz w:val="21"/>
                      <w:szCs w:val="21"/>
                      <w:lang w:bidi="ar"/>
                    </w:rPr>
                    <w:t>(t/a)</w:t>
                  </w:r>
                </w:p>
              </w:tc>
              <w:tc>
                <w:tcPr>
                  <w:tcW w:w="2171" w:type="pct"/>
                  <w:tcBorders>
                    <w:top w:val="single" w:color="auto" w:sz="12" w:space="0"/>
                    <w:left w:val="single" w:color="auto" w:sz="4" w:space="0"/>
                    <w:bottom w:val="single" w:color="auto" w:sz="4" w:space="0"/>
                    <w:right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备注</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pct"/>
                  <w:tcBorders>
                    <w:top w:val="single" w:color="auto" w:sz="4" w:space="0"/>
                    <w:left w:val="nil"/>
                    <w:bottom w:val="single" w:color="auto" w:sz="12" w:space="0"/>
                    <w:right w:val="single" w:color="auto" w:sz="4" w:space="0"/>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废气</w:t>
                  </w:r>
                </w:p>
              </w:tc>
              <w:tc>
                <w:tcPr>
                  <w:tcW w:w="1071" w:type="pct"/>
                  <w:tcBorders>
                    <w:top w:val="single" w:color="auto" w:sz="4" w:space="0"/>
                    <w:left w:val="single" w:color="auto" w:sz="4" w:space="0"/>
                    <w:bottom w:val="single" w:color="auto" w:sz="12" w:space="0"/>
                    <w:right w:val="single" w:color="auto" w:sz="4" w:space="0"/>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非甲烷总烃</w:t>
                  </w:r>
                </w:p>
              </w:tc>
              <w:tc>
                <w:tcPr>
                  <w:tcW w:w="1019" w:type="pct"/>
                  <w:tcBorders>
                    <w:top w:val="single" w:color="auto" w:sz="4" w:space="0"/>
                    <w:left w:val="single" w:color="auto" w:sz="4" w:space="0"/>
                    <w:bottom w:val="single" w:color="auto" w:sz="12" w:space="0"/>
                    <w:right w:val="single" w:color="auto" w:sz="4" w:space="0"/>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ascii="Times New Roman" w:hAnsi="Times New Roman" w:eastAsia="宋体"/>
                      <w:sz w:val="21"/>
                      <w:szCs w:val="21"/>
                      <w:highlight w:val="none"/>
                      <w:lang w:val="en-US" w:eastAsia="zh-CN"/>
                    </w:rPr>
                  </w:pPr>
                  <w:r>
                    <w:rPr>
                      <w:rFonts w:hint="eastAsia" w:ascii="Times New Roman" w:hAnsi="Times New Roman"/>
                      <w:sz w:val="21"/>
                      <w:szCs w:val="21"/>
                      <w:highlight w:val="none"/>
                      <w:lang w:val="en-US" w:eastAsia="zh-CN"/>
                    </w:rPr>
                    <w:t>2.376</w:t>
                  </w:r>
                </w:p>
              </w:tc>
              <w:tc>
                <w:tcPr>
                  <w:tcW w:w="2171" w:type="pct"/>
                  <w:tcBorders>
                    <w:top w:val="single" w:color="auto" w:sz="4" w:space="0"/>
                    <w:left w:val="single" w:color="auto" w:sz="4" w:space="0"/>
                    <w:bottom w:val="single" w:color="auto" w:sz="12" w:space="0"/>
                    <w:right w:val="nil"/>
                  </w:tcBorders>
                  <w:shd w:val="clear" w:color="auto" w:fill="auto"/>
                  <w:vAlign w:val="center"/>
                </w:tcPr>
                <w:p>
                  <w:pPr>
                    <w:pStyle w:val="29"/>
                    <w:keepNext w:val="0"/>
                    <w:keepLines w:val="0"/>
                    <w:widowControl w:val="0"/>
                    <w:suppressLineNumbers w:val="0"/>
                    <w:spacing w:before="0" w:beforeAutospacing="0" w:after="0" w:afterAutospacing="0"/>
                    <w:ind w:left="0" w:right="0"/>
                    <w:jc w:val="center"/>
                    <w:rPr>
                      <w:rFonts w:hint="default"/>
                      <w:sz w:val="21"/>
                      <w:szCs w:val="21"/>
                    </w:rPr>
                  </w:pPr>
                  <w:r>
                    <w:rPr>
                      <w:rFonts w:hint="eastAsia" w:ascii="Times New Roman" w:hAnsi="Times New Roman" w:cs="宋体"/>
                      <w:kern w:val="2"/>
                      <w:sz w:val="21"/>
                      <w:szCs w:val="21"/>
                      <w:lang w:bidi="ar"/>
                    </w:rPr>
                    <w:t>通过</w:t>
                  </w:r>
                  <w:r>
                    <w:rPr>
                      <w:rFonts w:hint="eastAsia" w:ascii="Times New Roman" w:hAnsi="Times New Roman" w:cs="宋体"/>
                      <w:kern w:val="2"/>
                      <w:sz w:val="21"/>
                      <w:szCs w:val="21"/>
                      <w:lang w:val="en-US" w:eastAsia="zh-CN" w:bidi="ar"/>
                    </w:rPr>
                    <w:t>福州市连江</w:t>
                  </w:r>
                  <w:r>
                    <w:rPr>
                      <w:rFonts w:hint="eastAsia" w:ascii="Times New Roman" w:hAnsi="Times New Roman" w:cs="宋体"/>
                      <w:kern w:val="2"/>
                      <w:sz w:val="21"/>
                      <w:szCs w:val="21"/>
                      <w:lang w:bidi="ar"/>
                    </w:rPr>
                    <w:t>生态环境局进行</w:t>
                  </w:r>
                  <w:r>
                    <w:rPr>
                      <w:rFonts w:hint="eastAsia" w:ascii="Times New Roman" w:hAnsi="Times New Roman" w:cs="宋体"/>
                      <w:kern w:val="2"/>
                      <w:sz w:val="21"/>
                      <w:szCs w:val="21"/>
                      <w:lang w:val="en-US" w:eastAsia="zh-CN" w:bidi="ar"/>
                    </w:rPr>
                    <w:t>总量</w:t>
                  </w:r>
                  <w:r>
                    <w:rPr>
                      <w:rFonts w:hint="eastAsia" w:ascii="Times New Roman" w:hAnsi="Times New Roman" w:cs="宋体"/>
                      <w:kern w:val="2"/>
                      <w:sz w:val="21"/>
                      <w:szCs w:val="21"/>
                      <w:lang w:bidi="ar"/>
                    </w:rPr>
                    <w:t>调剂</w:t>
                  </w:r>
                </w:p>
              </w:tc>
            </w:tr>
          </w:tbl>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highlight w:val="none"/>
              </w:rPr>
            </w:pPr>
          </w:p>
          <w:p>
            <w:pPr>
              <w:pStyle w:val="43"/>
              <w:keepNext w:val="0"/>
              <w:keepLines w:val="0"/>
              <w:suppressLineNumbers w:val="0"/>
              <w:spacing w:before="0" w:beforeAutospacing="0" w:after="0" w:afterAutospacing="0" w:line="360" w:lineRule="auto"/>
              <w:ind w:left="0" w:right="0" w:firstLine="0" w:firstLineChars="0"/>
              <w:rPr>
                <w:rFonts w:hint="default" w:ascii="Times New Roman" w:hAnsi="Times New Roman" w:eastAsia="宋体" w:cs="Times New Roman"/>
                <w:highlight w:val="none"/>
              </w:rPr>
            </w:pPr>
          </w:p>
          <w:p>
            <w:pPr>
              <w:pStyle w:val="43"/>
              <w:keepNext w:val="0"/>
              <w:keepLines w:val="0"/>
              <w:suppressLineNumbers w:val="0"/>
              <w:spacing w:before="0" w:beforeAutospacing="0" w:after="0" w:afterAutospacing="0" w:line="360" w:lineRule="auto"/>
              <w:ind w:left="0" w:leftChars="0" w:right="0" w:firstLine="0" w:firstLineChars="0"/>
              <w:rPr>
                <w:rFonts w:hint="default" w:ascii="Times New Roman" w:hAnsi="Times New Roman" w:eastAsia="宋体" w:cs="Times New Roman"/>
                <w:highlight w:val="none"/>
              </w:rPr>
            </w:pPr>
          </w:p>
        </w:tc>
      </w:tr>
    </w:tbl>
    <w:p>
      <w:pPr>
        <w:pStyle w:val="2"/>
        <w:bidi w:val="0"/>
        <w:ind w:left="432" w:leftChars="0" w:hanging="432" w:firstLineChars="0"/>
      </w:pPr>
      <w:r>
        <w:br w:type="page"/>
      </w:r>
      <w:bookmarkStart w:id="94" w:name="_Toc13779"/>
      <w:bookmarkStart w:id="95" w:name="_Toc5359"/>
      <w:r>
        <w:rPr>
          <w:rFonts w:hint="eastAsia"/>
        </w:rPr>
        <w:t>主要环境影响和保护措施</w:t>
      </w:r>
      <w:bookmarkEnd w:id="94"/>
      <w:bookmarkEnd w:id="95"/>
    </w:p>
    <w:tbl>
      <w:tblPr>
        <w:tblStyle w:val="32"/>
        <w:tblW w:w="8981" w:type="dxa"/>
        <w:jc w:val="center"/>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Layout w:type="fixed"/>
        <w:tblCellMar>
          <w:top w:w="0" w:type="dxa"/>
          <w:left w:w="108" w:type="dxa"/>
          <w:bottom w:w="0" w:type="dxa"/>
          <w:right w:w="108" w:type="dxa"/>
        </w:tblCellMar>
      </w:tblPr>
      <w:tblGrid>
        <w:gridCol w:w="684"/>
        <w:gridCol w:w="8297"/>
      </w:tblGrid>
      <w:tr>
        <w:tblPrEx>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PrEx>
        <w:trPr>
          <w:trHeight w:val="90" w:hRule="atLeast"/>
          <w:jc w:val="center"/>
        </w:trPr>
        <w:tc>
          <w:tcPr>
            <w:tcW w:w="684" w:type="dxa"/>
            <w:tcBorders>
              <w:bottom w:val="single" w:color="auto" w:sz="8" w:space="0"/>
              <w:tl2br w:val="nil"/>
              <w:tr2bl w:val="nil"/>
            </w:tcBorders>
            <w:noWrap w:val="0"/>
            <w:tcMar>
              <w:left w:w="28" w:type="dxa"/>
              <w:right w:w="28" w:type="dxa"/>
            </w:tcMar>
            <w:vAlign w:val="center"/>
          </w:tcPr>
          <w:p>
            <w:pPr>
              <w:pStyle w:val="29"/>
              <w:keepNext w:val="0"/>
              <w:keepLines w:val="0"/>
              <w:suppressLineNumbers w:val="0"/>
              <w:adjustRightInd w:val="0"/>
              <w:snapToGrid w:val="0"/>
              <w:spacing w:before="0" w:beforeAutospacing="0" w:after="0" w:afterAutospacing="0"/>
              <w:ind w:left="0" w:right="0"/>
              <w:jc w:val="center"/>
              <w:rPr>
                <w:rFonts w:hint="default" w:cs="宋体"/>
                <w:kern w:val="2"/>
                <w:sz w:val="24"/>
                <w:szCs w:val="24"/>
              </w:rPr>
            </w:pPr>
          </w:p>
          <w:p>
            <w:pPr>
              <w:pStyle w:val="29"/>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kern w:val="2"/>
                <w:sz w:val="24"/>
                <w:szCs w:val="24"/>
                <w:lang w:val="en-US" w:eastAsia="zh-CN" w:bidi="ar-SA"/>
              </w:rPr>
            </w:pPr>
          </w:p>
          <w:p>
            <w:pPr>
              <w:pStyle w:val="29"/>
              <w:keepNext w:val="0"/>
              <w:keepLines w:val="0"/>
              <w:suppressLineNumbers w:val="0"/>
              <w:adjustRightInd w:val="0"/>
              <w:snapToGrid w:val="0"/>
              <w:spacing w:before="0" w:beforeAutospacing="0" w:after="0" w:afterAutospacing="0"/>
              <w:ind w:left="0" w:right="0"/>
              <w:jc w:val="both"/>
              <w:rPr>
                <w:rFonts w:hint="eastAsia" w:ascii="宋体" w:hAnsi="宋体" w:eastAsia="宋体" w:cs="宋体"/>
                <w:kern w:val="2"/>
                <w:sz w:val="24"/>
                <w:szCs w:val="24"/>
                <w:lang w:val="en-US" w:eastAsia="zh-CN" w:bidi="ar-SA"/>
              </w:rPr>
            </w:pPr>
          </w:p>
          <w:p>
            <w:pPr>
              <w:pStyle w:val="29"/>
              <w:keepNext w:val="0"/>
              <w:keepLines w:val="0"/>
              <w:suppressLineNumbers w:val="0"/>
              <w:adjustRightInd w:val="0"/>
              <w:snapToGrid w:val="0"/>
              <w:spacing w:before="0" w:beforeAutospacing="0" w:after="0" w:afterAutospacing="0"/>
              <w:ind w:left="0" w:right="0"/>
              <w:jc w:val="center"/>
              <w:rPr>
                <w:rFonts w:hint="default" w:cs="宋体"/>
                <w:kern w:val="2"/>
                <w:sz w:val="24"/>
                <w:szCs w:val="24"/>
              </w:rPr>
            </w:pPr>
            <w:r>
              <w:rPr>
                <w:rFonts w:hint="eastAsia" w:cs="宋体"/>
                <w:kern w:val="2"/>
                <w:sz w:val="24"/>
                <w:szCs w:val="24"/>
                <w:lang w:val="en-US" w:eastAsia="zh-CN" w:bidi="ar-SA"/>
              </w:rPr>
              <w:t>施工</w:t>
            </w:r>
            <w:r>
              <w:rPr>
                <w:rFonts w:hint="eastAsia" w:ascii="宋体" w:hAnsi="宋体" w:eastAsia="宋体" w:cs="宋体"/>
                <w:kern w:val="2"/>
                <w:sz w:val="24"/>
                <w:szCs w:val="24"/>
                <w:lang w:val="en-US" w:eastAsia="zh-CN" w:bidi="ar-SA"/>
              </w:rPr>
              <w:t>期环境影响和保护措施</w:t>
            </w:r>
          </w:p>
          <w:p>
            <w:pPr>
              <w:pStyle w:val="29"/>
              <w:keepNext w:val="0"/>
              <w:keepLines w:val="0"/>
              <w:suppressLineNumbers w:val="0"/>
              <w:adjustRightInd w:val="0"/>
              <w:snapToGrid w:val="0"/>
              <w:spacing w:before="0" w:beforeAutospacing="0" w:after="0" w:afterAutospacing="0"/>
              <w:ind w:left="0" w:right="0"/>
              <w:jc w:val="center"/>
              <w:rPr>
                <w:rFonts w:hint="default" w:cs="宋体"/>
                <w:kern w:val="2"/>
                <w:sz w:val="24"/>
                <w:szCs w:val="24"/>
              </w:rPr>
            </w:pPr>
          </w:p>
          <w:p>
            <w:pPr>
              <w:pStyle w:val="29"/>
              <w:keepNext w:val="0"/>
              <w:keepLines w:val="0"/>
              <w:suppressLineNumbers w:val="0"/>
              <w:adjustRightInd w:val="0"/>
              <w:snapToGrid w:val="0"/>
              <w:spacing w:before="0" w:beforeAutospacing="0" w:after="0" w:afterAutospacing="0"/>
              <w:ind w:left="0" w:right="0"/>
              <w:jc w:val="both"/>
              <w:rPr>
                <w:rFonts w:hint="eastAsia" w:ascii="宋体" w:hAnsi="宋体" w:cs="宋体"/>
                <w:bCs/>
                <w:sz w:val="24"/>
                <w:szCs w:val="24"/>
              </w:rPr>
            </w:pPr>
          </w:p>
          <w:p>
            <w:pPr>
              <w:pStyle w:val="128"/>
              <w:keepNext w:val="0"/>
              <w:keepLines w:val="0"/>
              <w:suppressLineNumbers w:val="0"/>
              <w:spacing w:before="0" w:beforeAutospacing="0" w:after="0" w:afterAutospacing="0"/>
              <w:ind w:left="0" w:leftChars="0" w:right="0" w:firstLine="0" w:firstLineChars="0"/>
              <w:jc w:val="center"/>
              <w:rPr>
                <w:rFonts w:hint="eastAsia" w:cs="宋体"/>
                <w:kern w:val="2"/>
                <w:sz w:val="24"/>
                <w:szCs w:val="24"/>
              </w:rPr>
            </w:pPr>
          </w:p>
        </w:tc>
        <w:tc>
          <w:tcPr>
            <w:tcW w:w="8297" w:type="dxa"/>
            <w:tcBorders>
              <w:bottom w:val="single" w:color="auto" w:sz="8" w:space="0"/>
              <w:tl2br w:val="nil"/>
              <w:tr2bl w:val="nil"/>
            </w:tcBorders>
            <w:noWrap w:val="0"/>
            <w:vAlign w:val="top"/>
          </w:tcPr>
          <w:p>
            <w:pPr>
              <w:pStyle w:val="43"/>
              <w:keepNext w:val="0"/>
              <w:keepLines w:val="0"/>
              <w:suppressLineNumbers w:val="0"/>
              <w:spacing w:before="0" w:beforeAutospacing="0" w:after="0" w:afterAutospacing="0"/>
              <w:ind w:left="0" w:leftChars="0" w:right="0" w:firstLine="480" w:firstLineChars="0"/>
              <w:jc w:val="both"/>
              <w:rPr>
                <w:rFonts w:hint="default" w:ascii="Times New Roman" w:hAnsi="Times New Roman" w:eastAsia="宋体" w:cs="Times New Roman"/>
              </w:rPr>
            </w:pPr>
            <w:r>
              <w:rPr>
                <w:rFonts w:hint="default" w:ascii="Times New Roman" w:hAnsi="Times New Roman" w:eastAsia="宋体" w:cs="Times New Roman"/>
              </w:rPr>
              <w:t>本项目选址于福建省福州市连江县东湖镇国优北路205号（租赁福建</w:t>
            </w:r>
            <w:r>
              <w:rPr>
                <w:rFonts w:hint="eastAsia" w:cs="Times New Roman"/>
                <w:lang w:val="en-US" w:eastAsia="zh-CN"/>
              </w:rPr>
              <w:t>和谐钢结构工程</w:t>
            </w:r>
            <w:r>
              <w:rPr>
                <w:rFonts w:hint="default" w:ascii="Times New Roman" w:hAnsi="Times New Roman" w:eastAsia="宋体" w:cs="Times New Roman"/>
              </w:rPr>
              <w:t>有限公司厂房），根据现场勘查，该厂房主体结构已经建成，因此不存在厂房等主体工程施工期环境影响。项目施工期主要为设备安装、调试阶段产生的环境问题，本项目设备安装、调试简单，且时间较短，因此，随着设备安装、调试完毕后，项目施工期也将结束，施工期环境影响也随着消失，对周边环境影响</w:t>
            </w:r>
            <w:r>
              <w:rPr>
                <w:rFonts w:hint="eastAsia" w:cs="Times New Roman"/>
                <w:lang w:val="en-US" w:eastAsia="zh-CN"/>
              </w:rPr>
              <w:t>较小</w:t>
            </w:r>
            <w:r>
              <w:rPr>
                <w:rFonts w:hint="default" w:ascii="Times New Roman" w:hAnsi="Times New Roman" w:eastAsia="宋体" w:cs="Times New Roman"/>
              </w:rPr>
              <w:t>。</w:t>
            </w:r>
          </w:p>
        </w:tc>
      </w:tr>
      <w:tr>
        <w:tblPrEx>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CellMar>
            <w:top w:w="0" w:type="dxa"/>
            <w:left w:w="108" w:type="dxa"/>
            <w:bottom w:w="0" w:type="dxa"/>
            <w:right w:w="108" w:type="dxa"/>
          </w:tblCellMar>
        </w:tblPrEx>
        <w:trPr>
          <w:trHeight w:val="1357" w:hRule="atLeast"/>
          <w:jc w:val="center"/>
        </w:trPr>
        <w:tc>
          <w:tcPr>
            <w:tcW w:w="684" w:type="dxa"/>
            <w:tcBorders>
              <w:top w:val="single" w:color="auto" w:sz="8" w:space="0"/>
            </w:tcBorders>
            <w:noWrap w:val="0"/>
            <w:tcMar>
              <w:left w:w="28" w:type="dxa"/>
              <w:right w:w="28" w:type="dxa"/>
            </w:tcMar>
            <w:vAlign w:val="center"/>
          </w:tcPr>
          <w:p>
            <w:pPr>
              <w:pStyle w:val="128"/>
              <w:keepNext w:val="0"/>
              <w:keepLines w:val="0"/>
              <w:suppressLineNumbers w:val="0"/>
              <w:spacing w:before="0" w:beforeAutospacing="0" w:after="0" w:afterAutospacing="0"/>
              <w:ind w:left="0" w:leftChars="0" w:right="0" w:firstLine="0" w:firstLineChars="0"/>
              <w:jc w:val="center"/>
              <w:rPr>
                <w:rFonts w:hint="eastAsia" w:ascii="宋体" w:hAnsi="宋体" w:cs="宋体"/>
                <w:bCs/>
                <w:sz w:val="24"/>
                <w:szCs w:val="24"/>
              </w:rPr>
            </w:pPr>
            <w:r>
              <w:rPr>
                <w:rFonts w:hint="eastAsia" w:ascii="宋体" w:hAnsi="宋体" w:eastAsia="宋体" w:cs="宋体"/>
                <w:kern w:val="2"/>
                <w:sz w:val="24"/>
                <w:szCs w:val="24"/>
                <w:lang w:val="en-US" w:eastAsia="zh-CN" w:bidi="ar-SA"/>
              </w:rPr>
              <w:t>运营期环境影响和保护措施</w:t>
            </w:r>
          </w:p>
        </w:tc>
        <w:tc>
          <w:tcPr>
            <w:tcW w:w="8297" w:type="dxa"/>
            <w:tcBorders>
              <w:top w:val="single" w:color="auto" w:sz="8" w:space="0"/>
            </w:tcBorders>
            <w:noWrap w:val="0"/>
            <w:vAlign w:val="center"/>
          </w:tcPr>
          <w:p>
            <w:pPr>
              <w:pStyle w:val="3"/>
              <w:keepNext w:val="0"/>
              <w:keepLines w:val="0"/>
              <w:suppressLineNumbers w:val="0"/>
              <w:bidi w:val="0"/>
              <w:spacing w:before="0" w:beforeAutospacing="0" w:after="0" w:afterAutospacing="0"/>
              <w:ind w:left="0" w:leftChars="0" w:right="0" w:firstLine="0" w:firstLineChars="0"/>
              <w:rPr>
                <w:rFonts w:hint="default"/>
              </w:rPr>
            </w:pPr>
            <w:bookmarkStart w:id="96" w:name="_Toc27135"/>
            <w:bookmarkStart w:id="97" w:name="_Toc12758"/>
            <w:r>
              <w:rPr>
                <w:rFonts w:hint="eastAsia"/>
                <w:lang w:val="en-US" w:eastAsia="zh-CN"/>
              </w:rPr>
              <w:t>运营期大气环境影响</w:t>
            </w:r>
          </w:p>
          <w:bookmarkEnd w:id="96"/>
          <w:bookmarkEnd w:id="97"/>
          <w:p>
            <w:pPr>
              <w:pStyle w:val="4"/>
              <w:suppressLineNumbers w:val="0"/>
              <w:bidi w:val="0"/>
              <w:spacing w:before="0" w:beforeAutospacing="0" w:after="0" w:afterAutospacing="0"/>
              <w:ind w:left="720" w:leftChars="0" w:right="0" w:hanging="720" w:firstLineChars="0"/>
              <w:rPr>
                <w:rFonts w:hint="default"/>
              </w:rPr>
            </w:pPr>
            <w:bookmarkStart w:id="98" w:name="_Toc7657"/>
            <w:r>
              <w:rPr>
                <w:rFonts w:hint="eastAsia"/>
                <w:lang w:val="en-US" w:eastAsia="zh-CN"/>
              </w:rPr>
              <w:t>废</w:t>
            </w:r>
            <w:r>
              <w:rPr>
                <w:rFonts w:hint="eastAsia"/>
              </w:rPr>
              <w:t>气污染源强</w:t>
            </w:r>
            <w:bookmarkEnd w:id="98"/>
          </w:p>
          <w:p>
            <w:pPr>
              <w:pStyle w:val="43"/>
              <w:keepNext w:val="0"/>
              <w:keepLines w:val="0"/>
              <w:suppressLineNumbers w:val="0"/>
              <w:spacing w:before="0" w:beforeAutospacing="0" w:after="0" w:afterAutospacing="0"/>
              <w:ind w:left="0" w:right="0" w:firstLine="480"/>
              <w:rPr>
                <w:rFonts w:hint="eastAsia" w:ascii="Times New Roman" w:hAnsi="Times New Roman" w:eastAsia="宋体"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eastAsia" w:ascii="Times New Roman" w:hAnsi="Times New Roman" w:cs="Times New Roman"/>
                <w:lang w:val="en-US" w:eastAsia="zh-CN"/>
              </w:rPr>
              <w:t>注塑废气</w:t>
            </w:r>
          </w:p>
          <w:p>
            <w:pPr>
              <w:pStyle w:val="43"/>
              <w:keepNext w:val="0"/>
              <w:keepLines w:val="0"/>
              <w:suppressLineNumbers w:val="0"/>
              <w:bidi w:val="0"/>
              <w:spacing w:before="0" w:beforeAutospacing="0" w:after="0" w:afterAutospacing="0"/>
              <w:ind w:left="0" w:right="0" w:firstLine="480" w:firstLineChars="200"/>
              <w:rPr>
                <w:rFonts w:hint="eastAsia"/>
                <w:lang w:val="en-US" w:eastAsia="zh-CN"/>
              </w:rPr>
            </w:pPr>
            <w:r>
              <w:rPr>
                <w:rFonts w:hint="eastAsia"/>
                <w:lang w:val="en-US" w:eastAsia="zh-CN"/>
              </w:rPr>
              <w:t>本项目采用注塑成型工艺，将聚乙烯、聚丙烯在注塑机内注塑成塑料果蔬筐。温度是决定分解反应能否发生的关键性因素，聚乙烯分解温度为300~450℃，聚丙烯分解温度为300~370℃。本项目熔融挤出温度在180~210℃，达不到各类原料的分解温度，因此注塑工序不会发生因物料化学键断裂而产生的热分解废气，但是由于分子间的剪切挤压下发生断链、分解、降解过程中会产生游离单体废气，加热过程中游离单体会挥发出来，产生注塑废气，评价以非甲烷总烃NMHC表征。</w:t>
            </w:r>
          </w:p>
          <w:p>
            <w:pPr>
              <w:pStyle w:val="43"/>
              <w:keepNext w:val="0"/>
              <w:keepLines w:val="0"/>
              <w:suppressLineNumbers w:val="0"/>
              <w:bidi w:val="0"/>
              <w:spacing w:before="0" w:beforeAutospacing="0" w:after="0" w:afterAutospacing="0"/>
              <w:ind w:left="0" w:right="0"/>
              <w:rPr>
                <w:rFonts w:hint="eastAsia"/>
                <w:lang w:val="en-US" w:eastAsia="zh-CN"/>
              </w:rPr>
            </w:pPr>
            <w:r>
              <w:rPr>
                <w:rFonts w:hint="eastAsia"/>
                <w:lang w:val="en-US" w:eastAsia="zh-CN"/>
              </w:rPr>
              <w:t>根据《排放源统计调查产排污核算方法和系数手册》“166塑料制品业系数手册”中2926塑料包装箱及容器制造行业系数表，项目注塑工序挥发性有机物的产污系数为2.70kg/t-产品。本项目的年产量2000t，则非甲烷总烃的产生量为5.4t/a（1.13kg/h）。</w:t>
            </w:r>
          </w:p>
          <w:p>
            <w:pPr>
              <w:pStyle w:val="43"/>
              <w:keepNext w:val="0"/>
              <w:keepLines w:val="0"/>
              <w:suppressLineNumbers w:val="0"/>
              <w:bidi w:val="0"/>
              <w:spacing w:before="0" w:beforeAutospacing="0" w:after="0" w:afterAutospacing="0"/>
              <w:ind w:left="0" w:right="0" w:firstLine="480" w:firstLineChars="200"/>
              <w:rPr>
                <w:rFonts w:hint="default"/>
                <w:color w:val="auto"/>
                <w:lang w:val="en-US" w:eastAsia="zh-CN"/>
              </w:rPr>
            </w:pPr>
            <w:r>
              <w:rPr>
                <w:rFonts w:hint="eastAsia"/>
                <w:lang w:val="en-US" w:eastAsia="zh-CN"/>
              </w:rPr>
              <w:t>由于注塑机为封闭设备，控制温度低于原辅料分解温度，在开机取件时，为防止有机废气溢出，本项目于注塑机取件口设置半密闭罩，收集率为80%，并采用二级活性炭吸附装置处理后由15m高排气筒排放，</w:t>
            </w:r>
            <w:r>
              <w:rPr>
                <w:rFonts w:hint="eastAsia"/>
              </w:rPr>
              <w:t>单级活性炭对有机废气的吸附效率可达到90%以上(改性活性炭对苯废气吸附性能的研究，张丽丹、郭坤敏；新型炭材料，2002年第2期；活性炭对有机废气的吸附，俞筱筱、高华生等，环境科学研究，2007年第5期)。本评价</w:t>
            </w:r>
            <w:r>
              <w:rPr>
                <w:rFonts w:hint="eastAsia"/>
                <w:lang w:val="en-US" w:eastAsia="zh-CN"/>
              </w:rPr>
              <w:t>为二级活性炭吸附装置，</w:t>
            </w:r>
            <w:r>
              <w:rPr>
                <w:rFonts w:hint="eastAsia"/>
                <w:color w:val="auto"/>
                <w:lang w:val="en-US" w:eastAsia="zh-CN"/>
              </w:rPr>
              <w:t>保守取净化效率值为70</w:t>
            </w:r>
            <w:r>
              <w:rPr>
                <w:rFonts w:hint="eastAsia"/>
                <w:color w:val="auto"/>
              </w:rPr>
              <w:t>%，</w:t>
            </w:r>
            <w:r>
              <w:rPr>
                <w:rFonts w:hint="eastAsia"/>
                <w:color w:val="auto"/>
                <w:lang w:val="en-US" w:eastAsia="zh-CN"/>
              </w:rPr>
              <w:t>引风机风量10000m</w:t>
            </w:r>
            <w:r>
              <w:rPr>
                <w:rFonts w:hint="eastAsia"/>
                <w:color w:val="auto"/>
                <w:vertAlign w:val="superscript"/>
                <w:lang w:val="en-US" w:eastAsia="zh-CN"/>
              </w:rPr>
              <w:t>3</w:t>
            </w:r>
            <w:r>
              <w:rPr>
                <w:rFonts w:hint="eastAsia"/>
                <w:color w:val="auto"/>
                <w:lang w:val="en-US" w:eastAsia="zh-CN"/>
              </w:rPr>
              <w:t>/h（按《环境工程设计手册》（湖南科学技术出版社）公式计算，单台所需风量为：3600×集气罩面积×断面平均风速，即：3600×0.8</w:t>
            </w:r>
            <w:r>
              <w:rPr>
                <w:rFonts w:hint="eastAsia"/>
                <w:color w:val="auto"/>
              </w:rPr>
              <w:t>×</w:t>
            </w:r>
            <w:r>
              <w:rPr>
                <w:rFonts w:hint="eastAsia"/>
                <w:color w:val="auto"/>
                <w:lang w:val="en-US" w:eastAsia="zh-CN"/>
              </w:rPr>
              <w:t>0.5=1440m</w:t>
            </w:r>
            <w:r>
              <w:rPr>
                <w:rFonts w:hint="eastAsia"/>
                <w:color w:val="auto"/>
                <w:vertAlign w:val="superscript"/>
                <w:lang w:val="en-US" w:eastAsia="zh-CN"/>
              </w:rPr>
              <w:t>3</w:t>
            </w:r>
            <w:r>
              <w:rPr>
                <w:rFonts w:hint="eastAsia"/>
                <w:color w:val="auto"/>
                <w:lang w:val="en-US" w:eastAsia="zh-CN"/>
              </w:rPr>
              <w:t>/h，共6台设备，为确保废气收集效率，本项目对风量进行预留，拟设风量为10000m</w:t>
            </w:r>
            <w:r>
              <w:rPr>
                <w:rFonts w:hint="eastAsia"/>
                <w:color w:val="auto"/>
                <w:vertAlign w:val="superscript"/>
                <w:lang w:val="en-US" w:eastAsia="zh-CN"/>
              </w:rPr>
              <w:t>3</w:t>
            </w:r>
            <w:r>
              <w:rPr>
                <w:rFonts w:hint="eastAsia"/>
                <w:color w:val="auto"/>
                <w:lang w:val="en-US" w:eastAsia="zh-CN"/>
              </w:rPr>
              <w:t>/h），废气产生量详见下表。</w:t>
            </w:r>
          </w:p>
          <w:p>
            <w:pPr>
              <w:pStyle w:val="42"/>
              <w:keepNext w:val="0"/>
              <w:keepLines w:val="0"/>
              <w:suppressLineNumbers w:val="0"/>
              <w:bidi w:val="0"/>
              <w:spacing w:beforeAutospacing="0" w:after="0" w:afterAutospacing="0"/>
              <w:ind w:left="0" w:leftChars="0" w:right="0" w:firstLine="0" w:firstLineChars="0"/>
              <w:rPr>
                <w:rFonts w:hint="default"/>
                <w:color w:val="auto"/>
                <w:lang w:val="en-US" w:eastAsia="zh-CN"/>
              </w:rPr>
            </w:pPr>
            <w:r>
              <w:rPr>
                <w:rFonts w:hint="eastAsia"/>
                <w:color w:val="auto"/>
                <w:lang w:val="en-US" w:eastAsia="zh-CN"/>
              </w:rPr>
              <w:t>非甲烷总烃产生、治理及排放情况</w:t>
            </w:r>
          </w:p>
          <w:tbl>
            <w:tblPr>
              <w:tblStyle w:val="33"/>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756"/>
              <w:gridCol w:w="1077"/>
              <w:gridCol w:w="864"/>
              <w:gridCol w:w="842"/>
              <w:gridCol w:w="630"/>
              <w:gridCol w:w="17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项目</w:t>
                  </w:r>
                </w:p>
              </w:tc>
              <w:tc>
                <w:tcPr>
                  <w:tcW w:w="1756" w:type="dxa"/>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非甲烷总烃</w:t>
                  </w:r>
                </w:p>
              </w:tc>
              <w:tc>
                <w:tcPr>
                  <w:tcW w:w="1941" w:type="dxa"/>
                  <w:gridSpan w:val="2"/>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firstLine="630" w:firstLineChars="300"/>
                    <w:jc w:val="both"/>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指标</w:t>
                  </w:r>
                </w:p>
              </w:tc>
              <w:tc>
                <w:tcPr>
                  <w:tcW w:w="1472" w:type="dxa"/>
                  <w:gridSpan w:val="2"/>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产排情况</w:t>
                  </w:r>
                </w:p>
              </w:tc>
              <w:tc>
                <w:tcPr>
                  <w:tcW w:w="1758" w:type="dxa"/>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sz w:val="21"/>
                      <w:szCs w:val="21"/>
                    </w:rPr>
                  </w:pPr>
                </w:p>
              </w:tc>
              <w:tc>
                <w:tcPr>
                  <w:tcW w:w="1756"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sz w:val="21"/>
                      <w:szCs w:val="21"/>
                    </w:rPr>
                  </w:pPr>
                </w:p>
              </w:tc>
              <w:tc>
                <w:tcPr>
                  <w:tcW w:w="1941" w:type="dxa"/>
                  <w:gridSpan w:val="2"/>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sz w:val="21"/>
                      <w:szCs w:val="21"/>
                    </w:rPr>
                  </w:pPr>
                </w:p>
              </w:tc>
              <w:tc>
                <w:tcPr>
                  <w:tcW w:w="84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vertAlign w:val="baseline"/>
                      <w:lang w:val="en-US" w:eastAsia="zh-CN"/>
                    </w:rPr>
                    <w:t>t/a</w:t>
                  </w:r>
                </w:p>
              </w:tc>
              <w:tc>
                <w:tcPr>
                  <w:tcW w:w="630"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vertAlign w:val="baseline"/>
                      <w:lang w:val="en-US" w:eastAsia="zh-CN"/>
                    </w:rPr>
                    <w:t>kg/h</w:t>
                  </w:r>
                </w:p>
              </w:tc>
              <w:tc>
                <w:tcPr>
                  <w:tcW w:w="1758"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注塑工序</w:t>
                  </w:r>
                </w:p>
              </w:tc>
              <w:tc>
                <w:tcPr>
                  <w:tcW w:w="1756"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产生量</w:t>
                  </w:r>
                </w:p>
              </w:tc>
              <w:tc>
                <w:tcPr>
                  <w:tcW w:w="1077"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排污系数</w:t>
                  </w:r>
                </w:p>
              </w:tc>
              <w:tc>
                <w:tcPr>
                  <w:tcW w:w="864"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2.7kg/t</w:t>
                  </w:r>
                </w:p>
              </w:tc>
              <w:tc>
                <w:tcPr>
                  <w:tcW w:w="84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5.4</w:t>
                  </w:r>
                </w:p>
              </w:tc>
              <w:tc>
                <w:tcPr>
                  <w:tcW w:w="630"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w:t>
                  </w:r>
                  <w:r>
                    <w:rPr>
                      <w:rFonts w:hint="eastAsia" w:cs="Times New Roman"/>
                      <w:color w:val="auto"/>
                      <w:sz w:val="21"/>
                      <w:szCs w:val="21"/>
                      <w:vertAlign w:val="baseline"/>
                      <w:lang w:val="en-US" w:eastAsia="zh-CN"/>
                    </w:rPr>
                    <w:t>13</w:t>
                  </w:r>
                </w:p>
              </w:tc>
              <w:tc>
                <w:tcPr>
                  <w:tcW w:w="1758" w:type="dxa"/>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both"/>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半密闭罩收集，二级活性炭吸附装置处理后</w:t>
                  </w:r>
                  <w:r>
                    <w:rPr>
                      <w:rFonts w:hint="eastAsia" w:cs="Times New Roman"/>
                      <w:color w:val="auto"/>
                      <w:sz w:val="21"/>
                      <w:szCs w:val="21"/>
                      <w:vertAlign w:val="baseline"/>
                      <w:lang w:val="en-US" w:eastAsia="zh-CN"/>
                    </w:rPr>
                    <w:t>由一根</w:t>
                  </w:r>
                  <w:r>
                    <w:rPr>
                      <w:rFonts w:hint="default" w:ascii="Times New Roman" w:hAnsi="Times New Roman" w:eastAsia="宋体" w:cs="Times New Roman"/>
                      <w:color w:val="auto"/>
                      <w:sz w:val="21"/>
                      <w:szCs w:val="21"/>
                      <w:vertAlign w:val="baseline"/>
                      <w:lang w:val="en-US" w:eastAsia="zh-CN"/>
                    </w:rPr>
                    <w:t>15m</w:t>
                  </w:r>
                  <w:r>
                    <w:rPr>
                      <w:rFonts w:hint="eastAsia" w:cs="Times New Roman"/>
                      <w:color w:val="auto"/>
                      <w:sz w:val="21"/>
                      <w:szCs w:val="21"/>
                      <w:vertAlign w:val="baseline"/>
                      <w:lang w:val="en-US" w:eastAsia="zh-CN"/>
                    </w:rPr>
                    <w:t>高</w:t>
                  </w:r>
                  <w:r>
                    <w:rPr>
                      <w:rFonts w:hint="default" w:ascii="Times New Roman" w:hAnsi="Times New Roman" w:eastAsia="宋体" w:cs="Times New Roman"/>
                      <w:color w:val="auto"/>
                      <w:sz w:val="21"/>
                      <w:szCs w:val="21"/>
                      <w:vertAlign w:val="baseline"/>
                      <w:lang w:val="en-US" w:eastAsia="zh-CN"/>
                    </w:rPr>
                    <w:t>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c>
                <w:tcPr>
                  <w:tcW w:w="1756"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集气罩收集量</w:t>
                  </w:r>
                </w:p>
              </w:tc>
              <w:tc>
                <w:tcPr>
                  <w:tcW w:w="1077"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收集率</w:t>
                  </w:r>
                </w:p>
              </w:tc>
              <w:tc>
                <w:tcPr>
                  <w:tcW w:w="864"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80%</w:t>
                  </w:r>
                </w:p>
              </w:tc>
              <w:tc>
                <w:tcPr>
                  <w:tcW w:w="84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4.32</w:t>
                  </w:r>
                </w:p>
              </w:tc>
              <w:tc>
                <w:tcPr>
                  <w:tcW w:w="630"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0.9</w:t>
                  </w:r>
                </w:p>
              </w:tc>
              <w:tc>
                <w:tcPr>
                  <w:tcW w:w="1758"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c>
                <w:tcPr>
                  <w:tcW w:w="1756"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处理设施去除量</w:t>
                  </w:r>
                </w:p>
              </w:tc>
              <w:tc>
                <w:tcPr>
                  <w:tcW w:w="1077"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处理效率</w:t>
                  </w:r>
                </w:p>
              </w:tc>
              <w:tc>
                <w:tcPr>
                  <w:tcW w:w="864"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7</w:t>
                  </w:r>
                  <w:r>
                    <w:rPr>
                      <w:rFonts w:hint="default" w:ascii="Times New Roman" w:hAnsi="Times New Roman" w:eastAsia="宋体" w:cs="Times New Roman"/>
                      <w:color w:val="auto"/>
                      <w:sz w:val="21"/>
                      <w:szCs w:val="21"/>
                      <w:vertAlign w:val="baseline"/>
                      <w:lang w:val="en-US" w:eastAsia="zh-CN"/>
                    </w:rPr>
                    <w:t>0%</w:t>
                  </w:r>
                </w:p>
              </w:tc>
              <w:tc>
                <w:tcPr>
                  <w:tcW w:w="84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3.</w:t>
                  </w:r>
                  <w:r>
                    <w:rPr>
                      <w:rFonts w:hint="eastAsia" w:cs="Times New Roman"/>
                      <w:color w:val="auto"/>
                      <w:sz w:val="21"/>
                      <w:szCs w:val="21"/>
                      <w:vertAlign w:val="baseline"/>
                      <w:lang w:val="en-US" w:eastAsia="zh-CN"/>
                    </w:rPr>
                    <w:t>024</w:t>
                  </w:r>
                </w:p>
              </w:tc>
              <w:tc>
                <w:tcPr>
                  <w:tcW w:w="630"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0.63</w:t>
                  </w:r>
                </w:p>
              </w:tc>
              <w:tc>
                <w:tcPr>
                  <w:tcW w:w="1758"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c>
                <w:tcPr>
                  <w:tcW w:w="1756"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无组织排放量</w:t>
                  </w:r>
                </w:p>
              </w:tc>
              <w:tc>
                <w:tcPr>
                  <w:tcW w:w="1077"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864"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84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1.08</w:t>
                  </w:r>
                </w:p>
              </w:tc>
              <w:tc>
                <w:tcPr>
                  <w:tcW w:w="630"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0.</w:t>
                  </w:r>
                  <w:r>
                    <w:rPr>
                      <w:rFonts w:hint="eastAsia" w:cs="Times New Roman"/>
                      <w:color w:val="auto"/>
                      <w:sz w:val="21"/>
                      <w:szCs w:val="21"/>
                      <w:vertAlign w:val="baseline"/>
                      <w:lang w:val="en-US" w:eastAsia="zh-CN"/>
                    </w:rPr>
                    <w:t>23</w:t>
                  </w:r>
                </w:p>
              </w:tc>
              <w:tc>
                <w:tcPr>
                  <w:tcW w:w="1758"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c>
                <w:tcPr>
                  <w:tcW w:w="1756"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有组织</w:t>
                  </w:r>
                  <w:r>
                    <w:rPr>
                      <w:rFonts w:hint="default" w:ascii="Times New Roman" w:hAnsi="Times New Roman" w:eastAsia="宋体" w:cs="Times New Roman"/>
                      <w:color w:val="auto"/>
                      <w:sz w:val="21"/>
                      <w:szCs w:val="21"/>
                      <w:vertAlign w:val="baseline"/>
                      <w:lang w:val="en-US" w:eastAsia="zh-CN"/>
                    </w:rPr>
                    <w:t>排放量</w:t>
                  </w:r>
                </w:p>
              </w:tc>
              <w:tc>
                <w:tcPr>
                  <w:tcW w:w="1077"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864"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w:t>
                  </w:r>
                </w:p>
              </w:tc>
              <w:tc>
                <w:tcPr>
                  <w:tcW w:w="84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1.296</w:t>
                  </w:r>
                </w:p>
              </w:tc>
              <w:tc>
                <w:tcPr>
                  <w:tcW w:w="630"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0.27</w:t>
                  </w:r>
                </w:p>
              </w:tc>
              <w:tc>
                <w:tcPr>
                  <w:tcW w:w="1758"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3"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bookmarkStart w:id="99" w:name="_Toc14983"/>
                </w:p>
              </w:tc>
              <w:tc>
                <w:tcPr>
                  <w:tcW w:w="1756"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合计</w:t>
                  </w:r>
                  <w:r>
                    <w:rPr>
                      <w:rFonts w:hint="default" w:ascii="Times New Roman" w:hAnsi="Times New Roman" w:eastAsia="宋体" w:cs="Times New Roman"/>
                      <w:color w:val="auto"/>
                      <w:sz w:val="21"/>
                      <w:szCs w:val="21"/>
                      <w:vertAlign w:val="baseline"/>
                      <w:lang w:val="en-US" w:eastAsia="zh-CN"/>
                    </w:rPr>
                    <w:t>排放量</w:t>
                  </w:r>
                </w:p>
              </w:tc>
              <w:tc>
                <w:tcPr>
                  <w:tcW w:w="1077"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864"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w:t>
                  </w:r>
                </w:p>
              </w:tc>
              <w:tc>
                <w:tcPr>
                  <w:tcW w:w="84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2.376</w:t>
                  </w:r>
                </w:p>
              </w:tc>
              <w:tc>
                <w:tcPr>
                  <w:tcW w:w="630"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0.5</w:t>
                  </w:r>
                </w:p>
              </w:tc>
              <w:tc>
                <w:tcPr>
                  <w:tcW w:w="1758"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right="0"/>
                    <w:jc w:val="center"/>
                    <w:rPr>
                      <w:rFonts w:hint="default" w:ascii="Times New Roman" w:hAnsi="Times New Roman" w:eastAsia="宋体" w:cs="Times New Roman"/>
                      <w:color w:val="auto"/>
                      <w:sz w:val="21"/>
                      <w:szCs w:val="21"/>
                      <w:vertAlign w:val="baseline"/>
                      <w:lang w:val="en-US" w:eastAsia="zh-CN"/>
                    </w:rPr>
                  </w:pPr>
                </w:p>
              </w:tc>
            </w:tr>
          </w:tbl>
          <w:p>
            <w:pPr>
              <w:pStyle w:val="42"/>
              <w:keepNext w:val="0"/>
              <w:keepLines w:val="0"/>
              <w:suppressLineNumbers w:val="0"/>
              <w:bidi w:val="0"/>
              <w:spacing w:before="50" w:beforeAutospacing="0" w:after="0" w:afterAutospacing="0"/>
              <w:ind w:left="0" w:leftChars="0" w:right="0" w:firstLine="0" w:firstLineChars="0"/>
              <w:rPr>
                <w:rFonts w:hint="default" w:ascii="Times New Roman" w:hAnsi="Times New Roman" w:eastAsia="宋体" w:cs="Times New Roman"/>
                <w:b/>
                <w:kern w:val="2"/>
                <w:sz w:val="24"/>
                <w:lang w:val="en-US" w:eastAsia="zh-CN"/>
              </w:rPr>
            </w:pPr>
            <w:r>
              <w:rPr>
                <w:rFonts w:hint="default" w:ascii="Times New Roman" w:hAnsi="Times New Roman" w:eastAsia="宋体" w:cs="Times New Roman"/>
                <w:b/>
                <w:kern w:val="2"/>
                <w:sz w:val="24"/>
                <w:lang w:val="en-US" w:eastAsia="zh-CN"/>
              </w:rPr>
              <w:t>废气排放口基本情况一览表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004"/>
              <w:gridCol w:w="812"/>
              <w:gridCol w:w="2191"/>
              <w:gridCol w:w="625"/>
              <w:gridCol w:w="707"/>
              <w:gridCol w:w="775"/>
              <w:gridCol w:w="11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5" w:type="dxa"/>
                  <w:vMerge w:val="restart"/>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排放口编号</w:t>
                  </w:r>
                </w:p>
              </w:tc>
              <w:tc>
                <w:tcPr>
                  <w:tcW w:w="1004" w:type="dxa"/>
                  <w:vMerge w:val="restart"/>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排放口名称</w:t>
                  </w:r>
                </w:p>
              </w:tc>
              <w:tc>
                <w:tcPr>
                  <w:tcW w:w="812" w:type="dxa"/>
                  <w:vMerge w:val="restart"/>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污染物种类</w:t>
                  </w:r>
                </w:p>
              </w:tc>
              <w:tc>
                <w:tcPr>
                  <w:tcW w:w="2191" w:type="dxa"/>
                  <w:vMerge w:val="restart"/>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排放口地理位置</w:t>
                  </w:r>
                </w:p>
              </w:tc>
              <w:tc>
                <w:tcPr>
                  <w:tcW w:w="2107" w:type="dxa"/>
                  <w:gridSpan w:val="3"/>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排气筒参数</w:t>
                  </w:r>
                </w:p>
              </w:tc>
              <w:tc>
                <w:tcPr>
                  <w:tcW w:w="1122" w:type="dxa"/>
                  <w:vMerge w:val="restart"/>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5" w:type="dxa"/>
                  <w:vMerge w:val="continue"/>
                  <w:tcBorders>
                    <w:tl2br w:val="nil"/>
                    <w:tr2bl w:val="nil"/>
                  </w:tcBorders>
                  <w:vAlign w:val="center"/>
                </w:tcPr>
                <w:p>
                  <w:pPr>
                    <w:pStyle w:val="4"/>
                    <w:suppressLineNumbers w:val="0"/>
                    <w:bidi w:val="0"/>
                    <w:spacing w:beforeAutospacing="0" w:after="0" w:afterAutospacing="0" w:line="240" w:lineRule="auto"/>
                    <w:ind w:right="0" w:rightChars="0"/>
                    <w:jc w:val="center"/>
                    <w:rPr>
                      <w:rFonts w:hint="default" w:ascii="Times New Roman" w:hAnsi="Times New Roman" w:eastAsia="宋体" w:cs="Times New Roman"/>
                      <w:sz w:val="21"/>
                      <w:szCs w:val="21"/>
                    </w:rPr>
                  </w:pPr>
                </w:p>
              </w:tc>
              <w:tc>
                <w:tcPr>
                  <w:tcW w:w="1004" w:type="dxa"/>
                  <w:vMerge w:val="continue"/>
                  <w:tcBorders>
                    <w:tl2br w:val="nil"/>
                    <w:tr2bl w:val="nil"/>
                  </w:tcBorders>
                  <w:vAlign w:val="center"/>
                </w:tcPr>
                <w:p>
                  <w:pPr>
                    <w:pStyle w:val="4"/>
                    <w:suppressLineNumbers w:val="0"/>
                    <w:bidi w:val="0"/>
                    <w:spacing w:beforeAutospacing="0" w:after="0" w:afterAutospacing="0" w:line="240" w:lineRule="auto"/>
                    <w:ind w:right="0" w:rightChars="0"/>
                    <w:jc w:val="center"/>
                    <w:rPr>
                      <w:rFonts w:hint="default" w:ascii="Times New Roman" w:hAnsi="Times New Roman" w:eastAsia="宋体" w:cs="Times New Roman"/>
                      <w:sz w:val="21"/>
                      <w:szCs w:val="21"/>
                    </w:rPr>
                  </w:pPr>
                </w:p>
              </w:tc>
              <w:tc>
                <w:tcPr>
                  <w:tcW w:w="812" w:type="dxa"/>
                  <w:vMerge w:val="continue"/>
                  <w:tcBorders>
                    <w:tl2br w:val="nil"/>
                    <w:tr2bl w:val="nil"/>
                  </w:tcBorders>
                  <w:vAlign w:val="center"/>
                </w:tcPr>
                <w:p>
                  <w:pPr>
                    <w:pStyle w:val="4"/>
                    <w:suppressLineNumbers w:val="0"/>
                    <w:bidi w:val="0"/>
                    <w:spacing w:beforeAutospacing="0" w:after="0" w:afterAutospacing="0" w:line="240" w:lineRule="auto"/>
                    <w:ind w:right="0" w:rightChars="0"/>
                    <w:jc w:val="center"/>
                    <w:rPr>
                      <w:rFonts w:hint="default" w:ascii="Times New Roman" w:hAnsi="Times New Roman" w:eastAsia="宋体" w:cs="Times New Roman"/>
                      <w:sz w:val="21"/>
                      <w:szCs w:val="21"/>
                    </w:rPr>
                  </w:pPr>
                </w:p>
              </w:tc>
              <w:tc>
                <w:tcPr>
                  <w:tcW w:w="2191" w:type="dxa"/>
                  <w:vMerge w:val="continue"/>
                  <w:tcBorders>
                    <w:tl2br w:val="nil"/>
                    <w:tr2bl w:val="nil"/>
                  </w:tcBorders>
                  <w:vAlign w:val="center"/>
                </w:tcPr>
                <w:p>
                  <w:pPr>
                    <w:pStyle w:val="4"/>
                    <w:suppressLineNumbers w:val="0"/>
                    <w:bidi w:val="0"/>
                    <w:spacing w:beforeAutospacing="0" w:after="0" w:afterAutospacing="0" w:line="240" w:lineRule="auto"/>
                    <w:ind w:right="0" w:rightChars="0"/>
                    <w:jc w:val="center"/>
                    <w:rPr>
                      <w:rFonts w:hint="default" w:ascii="Times New Roman" w:hAnsi="Times New Roman" w:eastAsia="宋体" w:cs="Times New Roman"/>
                      <w:sz w:val="21"/>
                      <w:szCs w:val="21"/>
                    </w:rPr>
                  </w:pPr>
                </w:p>
              </w:tc>
              <w:tc>
                <w:tcPr>
                  <w:tcW w:w="625"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高度</w:t>
                  </w:r>
                </w:p>
              </w:tc>
              <w:tc>
                <w:tcPr>
                  <w:tcW w:w="707"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内径</w:t>
                  </w:r>
                </w:p>
              </w:tc>
              <w:tc>
                <w:tcPr>
                  <w:tcW w:w="775"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温度</w:t>
                  </w:r>
                </w:p>
              </w:tc>
              <w:tc>
                <w:tcPr>
                  <w:tcW w:w="1122" w:type="dxa"/>
                  <w:vMerge w:val="continue"/>
                  <w:tcBorders>
                    <w:tl2br w:val="nil"/>
                    <w:tr2bl w:val="nil"/>
                  </w:tcBorders>
                  <w:vAlign w:val="center"/>
                </w:tcPr>
                <w:p>
                  <w:pPr>
                    <w:pStyle w:val="4"/>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5"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DA001</w:t>
                  </w:r>
                </w:p>
              </w:tc>
              <w:tc>
                <w:tcPr>
                  <w:tcW w:w="1004"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注塑废气</w:t>
                  </w:r>
                  <w:r>
                    <w:rPr>
                      <w:rFonts w:hint="eastAsia" w:cs="Times New Roman"/>
                      <w:b w:val="0"/>
                      <w:bCs/>
                      <w:sz w:val="21"/>
                      <w:szCs w:val="21"/>
                      <w:vertAlign w:val="baseline"/>
                      <w:lang w:val="en-US" w:eastAsia="zh-CN"/>
                    </w:rPr>
                    <w:t>排气筒</w:t>
                  </w:r>
                </w:p>
              </w:tc>
              <w:tc>
                <w:tcPr>
                  <w:tcW w:w="812"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非甲烷总烃</w:t>
                  </w:r>
                </w:p>
              </w:tc>
              <w:tc>
                <w:tcPr>
                  <w:tcW w:w="2191"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eastAsia"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经度:119.49614525</w:t>
                  </w:r>
                  <w:r>
                    <w:rPr>
                      <w:rFonts w:hint="eastAsia" w:cs="Times New Roman"/>
                      <w:b w:val="0"/>
                      <w:bCs/>
                      <w:sz w:val="21"/>
                      <w:szCs w:val="21"/>
                      <w:vertAlign w:val="baseline"/>
                      <w:lang w:val="en-US" w:eastAsia="zh-CN"/>
                    </w:rPr>
                    <w:t>°</w:t>
                  </w:r>
                </w:p>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纬度:26.27918154</w:t>
                  </w:r>
                  <w:r>
                    <w:rPr>
                      <w:rFonts w:hint="eastAsia" w:cs="Times New Roman"/>
                      <w:b w:val="0"/>
                      <w:bCs/>
                      <w:sz w:val="21"/>
                      <w:szCs w:val="21"/>
                      <w:vertAlign w:val="baseline"/>
                      <w:lang w:val="en-US" w:eastAsia="zh-CN"/>
                    </w:rPr>
                    <w:t>°</w:t>
                  </w:r>
                </w:p>
              </w:tc>
              <w:tc>
                <w:tcPr>
                  <w:tcW w:w="625"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15m</w:t>
                  </w:r>
                </w:p>
              </w:tc>
              <w:tc>
                <w:tcPr>
                  <w:tcW w:w="707"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0.5m</w:t>
                  </w:r>
                </w:p>
              </w:tc>
              <w:tc>
                <w:tcPr>
                  <w:tcW w:w="775"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25</w:t>
                  </w:r>
                  <w:r>
                    <w:rPr>
                      <w:rFonts w:hint="eastAsia" w:cs="Times New Roman"/>
                      <w:b w:val="0"/>
                      <w:bCs/>
                      <w:sz w:val="21"/>
                      <w:szCs w:val="21"/>
                      <w:vertAlign w:val="baseline"/>
                      <w:lang w:val="en-US" w:eastAsia="zh-CN"/>
                    </w:rPr>
                    <w:t>℃</w:t>
                  </w:r>
                </w:p>
              </w:tc>
              <w:tc>
                <w:tcPr>
                  <w:tcW w:w="1122" w:type="dxa"/>
                  <w:tcBorders>
                    <w:tl2br w:val="nil"/>
                    <w:tr2bl w:val="nil"/>
                  </w:tcBorders>
                  <w:vAlign w:val="center"/>
                </w:tcPr>
                <w:p>
                  <w:pPr>
                    <w:pStyle w:val="4"/>
                    <w:numPr>
                      <w:ilvl w:val="2"/>
                      <w:numId w:val="0"/>
                    </w:numPr>
                    <w:suppressLineNumbers w:val="0"/>
                    <w:bidi w:val="0"/>
                    <w:spacing w:beforeAutospacing="0" w:after="0" w:afterAutospacing="0" w:line="240" w:lineRule="auto"/>
                    <w:ind w:right="0" w:rightChars="0"/>
                    <w:jc w:val="center"/>
                    <w:rPr>
                      <w:rFonts w:hint="default" w:ascii="Times New Roman" w:hAnsi="Times New Roman" w:eastAsia="宋体" w:cs="Times New Roman"/>
                      <w:b w:val="0"/>
                      <w:bCs/>
                      <w:sz w:val="21"/>
                      <w:szCs w:val="21"/>
                      <w:vertAlign w:val="baseline"/>
                      <w:lang w:val="en-US" w:eastAsia="zh-CN"/>
                    </w:rPr>
                  </w:pPr>
                  <w:r>
                    <w:rPr>
                      <w:rFonts w:hint="default" w:ascii="Times New Roman" w:hAnsi="Times New Roman" w:eastAsia="宋体" w:cs="Times New Roman"/>
                      <w:b w:val="0"/>
                      <w:bCs/>
                      <w:sz w:val="21"/>
                      <w:szCs w:val="21"/>
                      <w:vertAlign w:val="baseline"/>
                      <w:lang w:val="en-US" w:eastAsia="zh-CN"/>
                    </w:rPr>
                    <w:t>一般排放口</w:t>
                  </w:r>
                </w:p>
              </w:tc>
            </w:tr>
          </w:tbl>
          <w:p>
            <w:pPr>
              <w:pStyle w:val="43"/>
              <w:keepNext w:val="0"/>
              <w:keepLines w:val="0"/>
              <w:suppressLineNumbers w:val="0"/>
              <w:spacing w:before="0" w:beforeAutospacing="0" w:after="0" w:afterAutospacing="0"/>
              <w:ind w:left="0" w:right="0" w:firstLine="480"/>
              <w:rPr>
                <w:rFonts w:hint="default" w:ascii="Times New Roman" w:hAnsi="Times New Roman" w:cs="Times New Roman"/>
                <w:lang w:val="en-US" w:eastAsia="zh-CN"/>
              </w:rPr>
            </w:pPr>
            <w:r>
              <w:rPr>
                <w:rFonts w:hint="eastAsia" w:ascii="Times New Roman" w:hAnsi="Times New Roman" w:cs="Times New Roman"/>
                <w:lang w:val="en-US" w:eastAsia="zh-CN"/>
              </w:rPr>
              <w:t>（2）臭气</w:t>
            </w:r>
            <w:r>
              <w:rPr>
                <w:rFonts w:hint="eastAsia" w:cs="Times New Roman"/>
                <w:lang w:val="en-US" w:eastAsia="zh-CN"/>
              </w:rPr>
              <w:t>浓度</w:t>
            </w:r>
          </w:p>
          <w:p>
            <w:pPr>
              <w:pStyle w:val="4"/>
              <w:numPr>
                <w:ilvl w:val="-1"/>
                <w:numId w:val="0"/>
              </w:numPr>
              <w:suppressLineNumbers w:val="0"/>
              <w:bidi w:val="0"/>
              <w:spacing w:beforeAutospacing="0" w:after="0" w:afterAutospacing="0"/>
              <w:ind w:left="0" w:leftChars="0" w:right="0" w:firstLine="480" w:firstLineChars="200"/>
              <w:rPr>
                <w:rFonts w:hint="eastAsia" w:cs="Times New Roman"/>
                <w:b w:val="0"/>
                <w:color w:val="000000"/>
                <w:szCs w:val="20"/>
                <w:lang w:eastAsia="zh-CN"/>
              </w:rPr>
            </w:pPr>
            <w:r>
              <w:rPr>
                <w:rFonts w:hint="eastAsia" w:ascii="Times New Roman" w:hAnsi="Times New Roman" w:cs="Times New Roman"/>
                <w:b w:val="0"/>
                <w:color w:val="000000"/>
                <w:szCs w:val="20"/>
              </w:rPr>
              <w:t>项目在热熔注射、冷却成型工序产生少量异味(以臭气浓度表征)，这种异味刺激人的嗅觉器官并引起人们的不适。散发的臭气因原料、生产规模等的不同。由于臭气浓度暂无相关的成熟的核算系数，根据项目物料理化性质分析，物料加工过程无明显的恶臭以及刺激性气味，加工过程中物料性质相对稳定。因此</w:t>
            </w:r>
            <w:r>
              <w:rPr>
                <w:rFonts w:hint="eastAsia" w:cs="Times New Roman"/>
                <w:b w:val="0"/>
                <w:color w:val="000000"/>
                <w:szCs w:val="20"/>
                <w:lang w:eastAsia="zh-CN"/>
              </w:rPr>
              <w:t>，</w:t>
            </w:r>
            <w:r>
              <w:rPr>
                <w:rFonts w:hint="eastAsia" w:ascii="Times New Roman" w:hAnsi="Times New Roman" w:cs="Times New Roman"/>
                <w:b w:val="0"/>
                <w:color w:val="000000"/>
                <w:szCs w:val="20"/>
              </w:rPr>
              <w:t>项目对臭气浓度产排源强不进行量化</w:t>
            </w:r>
            <w:r>
              <w:rPr>
                <w:rFonts w:hint="eastAsia" w:cs="Times New Roman"/>
                <w:b w:val="0"/>
                <w:color w:val="000000"/>
                <w:szCs w:val="20"/>
                <w:lang w:eastAsia="zh-CN"/>
              </w:rPr>
              <w:t>。</w:t>
            </w:r>
          </w:p>
          <w:p>
            <w:pPr>
              <w:pStyle w:val="4"/>
              <w:numPr>
                <w:ilvl w:val="-1"/>
                <w:numId w:val="0"/>
              </w:numPr>
              <w:suppressLineNumbers w:val="0"/>
              <w:bidi w:val="0"/>
              <w:spacing w:beforeAutospacing="0" w:after="0" w:afterAutospacing="0"/>
              <w:ind w:left="0" w:leftChars="0" w:right="0" w:firstLine="480" w:firstLineChars="200"/>
              <w:rPr>
                <w:rFonts w:hint="eastAsia" w:ascii="Times New Roman" w:hAnsi="Times New Roman" w:cs="Times New Roman"/>
                <w:b w:val="0"/>
                <w:color w:val="000000"/>
                <w:szCs w:val="20"/>
                <w:lang w:val="en-US" w:eastAsia="zh-CN"/>
              </w:rPr>
            </w:pPr>
            <w:r>
              <w:rPr>
                <w:rFonts w:hint="eastAsia" w:cs="Times New Roman"/>
                <w:b w:val="0"/>
                <w:color w:val="000000"/>
                <w:szCs w:val="20"/>
                <w:lang w:val="en-US" w:eastAsia="zh-CN"/>
              </w:rPr>
              <w:t>日常生产建议企业在</w:t>
            </w:r>
            <w:r>
              <w:rPr>
                <w:rFonts w:hint="eastAsia" w:ascii="Times New Roman" w:hAnsi="Times New Roman" w:cs="Times New Roman"/>
                <w:b w:val="0"/>
                <w:color w:val="000000"/>
                <w:szCs w:val="20"/>
              </w:rPr>
              <w:t>集气罩周围设软帘，以提高注塑工序废气收集效率，减少恶臭气体的无组织排放量。根据类比同类型企业分析，厂界臭气浓度&lt;20(无量纲),满足《恶臭污染物排放标准》(GB14554-93)表2中排放标准值要求。同时，大气环境保护目标距离项目较远，最近的为厂界</w:t>
            </w:r>
            <w:r>
              <w:rPr>
                <w:rFonts w:hint="eastAsia" w:cs="Times New Roman"/>
                <w:b w:val="0"/>
                <w:color w:val="000000"/>
                <w:szCs w:val="20"/>
                <w:lang w:val="en-US" w:eastAsia="zh-CN"/>
              </w:rPr>
              <w:t>南</w:t>
            </w:r>
            <w:r>
              <w:rPr>
                <w:rFonts w:hint="eastAsia" w:ascii="Times New Roman" w:hAnsi="Times New Roman" w:cs="Times New Roman"/>
                <w:b w:val="0"/>
                <w:color w:val="000000"/>
                <w:szCs w:val="20"/>
              </w:rPr>
              <w:t>侧</w:t>
            </w:r>
            <w:r>
              <w:rPr>
                <w:rFonts w:hint="eastAsia" w:cs="Times New Roman"/>
                <w:b w:val="0"/>
                <w:color w:val="000000"/>
                <w:szCs w:val="20"/>
                <w:lang w:val="en-US" w:eastAsia="zh-CN"/>
              </w:rPr>
              <w:t>350</w:t>
            </w:r>
            <w:r>
              <w:rPr>
                <w:rFonts w:hint="eastAsia" w:ascii="Times New Roman" w:hAnsi="Times New Roman" w:cs="Times New Roman"/>
                <w:b w:val="0"/>
                <w:color w:val="000000"/>
                <w:szCs w:val="20"/>
              </w:rPr>
              <w:t>m</w:t>
            </w:r>
            <w:r>
              <w:rPr>
                <w:rFonts w:hint="eastAsia" w:cs="Times New Roman"/>
                <w:b w:val="0"/>
                <w:color w:val="000000"/>
                <w:szCs w:val="20"/>
                <w:lang w:val="en-US" w:eastAsia="zh-CN"/>
              </w:rPr>
              <w:t>处</w:t>
            </w:r>
            <w:r>
              <w:rPr>
                <w:rFonts w:hint="eastAsia" w:ascii="Times New Roman" w:hAnsi="Times New Roman" w:cs="Times New Roman"/>
                <w:b w:val="0"/>
                <w:color w:val="000000"/>
                <w:szCs w:val="20"/>
              </w:rPr>
              <w:t>的</w:t>
            </w:r>
            <w:r>
              <w:rPr>
                <w:rFonts w:hint="eastAsia" w:cs="Times New Roman"/>
                <w:b w:val="0"/>
                <w:color w:val="000000"/>
                <w:szCs w:val="20"/>
                <w:lang w:val="en-US" w:eastAsia="zh-CN"/>
              </w:rPr>
              <w:t>飞石村</w:t>
            </w:r>
            <w:r>
              <w:rPr>
                <w:rFonts w:hint="eastAsia" w:ascii="Times New Roman" w:hAnsi="Times New Roman" w:cs="Times New Roman"/>
                <w:b w:val="0"/>
                <w:color w:val="000000"/>
                <w:szCs w:val="20"/>
              </w:rPr>
              <w:t>，均位于当地主导风向的侧风向。项目产生的恶臭气体收集处理经扩散衰减后臭气浓度对周边环境敏感目标影响较小。</w:t>
            </w:r>
          </w:p>
          <w:p>
            <w:pPr>
              <w:pStyle w:val="4"/>
              <w:suppressLineNumbers w:val="0"/>
              <w:bidi w:val="0"/>
              <w:spacing w:before="0" w:beforeAutospacing="0" w:after="0" w:afterAutospacing="0"/>
              <w:ind w:left="720" w:leftChars="0" w:right="0" w:hanging="720" w:firstLineChars="0"/>
              <w:rPr>
                <w:rFonts w:hint="eastAsia"/>
                <w:lang w:val="en-US" w:eastAsia="zh-CN"/>
              </w:rPr>
            </w:pPr>
            <w:r>
              <w:rPr>
                <w:rFonts w:hint="eastAsia"/>
                <w:lang w:val="en-US" w:eastAsia="zh-CN"/>
              </w:rPr>
              <w:t>非正常工况下废气源强</w:t>
            </w:r>
          </w:p>
          <w:p>
            <w:pPr>
              <w:keepNext w:val="0"/>
              <w:keepLines w:val="0"/>
              <w:suppressLineNumbers w:val="0"/>
              <w:spacing w:before="0" w:beforeAutospacing="0" w:after="0" w:afterAutospacing="0" w:line="360" w:lineRule="auto"/>
              <w:ind w:left="0" w:right="0" w:firstLine="480" w:firstLineChars="200"/>
              <w:rPr>
                <w:rFonts w:hint="eastAsia" w:cs="Times New Roman"/>
                <w:color w:val="000000"/>
                <w:kern w:val="2"/>
                <w:sz w:val="24"/>
                <w:szCs w:val="20"/>
                <w:lang w:val="en-US" w:eastAsia="zh-CN" w:bidi="ar-SA"/>
              </w:rPr>
            </w:pPr>
            <w:r>
              <w:rPr>
                <w:rFonts w:hint="eastAsia" w:ascii="Times New Roman" w:hAnsi="Times New Roman" w:eastAsia="宋体" w:cs="Times New Roman"/>
                <w:color w:val="000000"/>
                <w:kern w:val="2"/>
                <w:sz w:val="24"/>
                <w:szCs w:val="20"/>
                <w:lang w:val="en-US" w:eastAsia="zh-CN" w:bidi="ar-SA"/>
              </w:rPr>
              <w:t>本项目废气非正常排放主要可能是废气处理设备出现故障，导致非甲烷总烃的超标排放。</w:t>
            </w:r>
            <w:r>
              <w:rPr>
                <w:rFonts w:hint="eastAsia" w:cs="Times New Roman"/>
                <w:color w:val="000000"/>
                <w:kern w:val="2"/>
                <w:sz w:val="24"/>
                <w:szCs w:val="20"/>
                <w:lang w:val="en-US" w:eastAsia="zh-CN" w:bidi="ar-SA"/>
              </w:rPr>
              <w:t>非正常工况主要考虑两种情景，情景一：当集气设备出现故障时废气收集效率为0，</w:t>
            </w:r>
            <w:r>
              <w:rPr>
                <w:rFonts w:hint="eastAsia"/>
                <w:color w:val="000000"/>
                <w:sz w:val="24"/>
                <w:szCs w:val="20"/>
              </w:rPr>
              <w:t>非甲烷总烃</w:t>
            </w:r>
            <w:r>
              <w:rPr>
                <w:rFonts w:hint="eastAsia" w:cs="Times New Roman"/>
                <w:color w:val="000000"/>
                <w:kern w:val="2"/>
                <w:sz w:val="24"/>
                <w:szCs w:val="20"/>
                <w:lang w:val="en-US" w:eastAsia="zh-CN" w:bidi="ar-SA"/>
              </w:rPr>
              <w:t>全部无组织排入大气中；情景二：集气设备完好时，二级活性炭处理装置出现故障，已收集的80%非甲烷总烃未经吸附直接排入大气</w:t>
            </w:r>
            <w:r>
              <w:rPr>
                <w:rFonts w:hint="eastAsia" w:ascii="Times New Roman" w:hAnsi="Times New Roman" w:eastAsia="宋体" w:cs="Times New Roman"/>
                <w:color w:val="000000"/>
                <w:kern w:val="2"/>
                <w:sz w:val="24"/>
                <w:szCs w:val="20"/>
                <w:lang w:val="en-US" w:eastAsia="zh-CN" w:bidi="ar-SA"/>
              </w:rPr>
              <w:t>。废气在非正常排放情况下各污染物排放见</w:t>
            </w:r>
            <w:r>
              <w:rPr>
                <w:rFonts w:hint="eastAsia" w:cs="Times New Roman"/>
                <w:color w:val="000000"/>
                <w:kern w:val="2"/>
                <w:sz w:val="24"/>
                <w:szCs w:val="20"/>
                <w:lang w:val="en-US" w:eastAsia="zh-CN" w:bidi="ar-SA"/>
              </w:rPr>
              <w:t>下表。</w:t>
            </w:r>
          </w:p>
          <w:p>
            <w:pPr>
              <w:pStyle w:val="42"/>
              <w:keepNext w:val="0"/>
              <w:keepLines w:val="0"/>
              <w:suppressLineNumbers w:val="0"/>
              <w:bidi w:val="0"/>
              <w:spacing w:beforeAutospacing="0" w:after="0" w:afterAutospacing="0"/>
              <w:ind w:left="0" w:leftChars="0" w:right="0" w:firstLine="0" w:firstLineChars="0"/>
              <w:rPr>
                <w:rFonts w:hint="eastAsia"/>
                <w:lang w:val="en-US" w:eastAsia="zh-CN"/>
              </w:rPr>
            </w:pPr>
            <w:r>
              <w:rPr>
                <w:rFonts w:hint="eastAsia"/>
                <w:lang w:val="en-US" w:eastAsia="zh-CN"/>
              </w:rPr>
              <w:t>污染源非正常排放情况</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93"/>
              <w:gridCol w:w="727"/>
              <w:gridCol w:w="748"/>
              <w:gridCol w:w="895"/>
              <w:gridCol w:w="865"/>
              <w:gridCol w:w="713"/>
              <w:gridCol w:w="683"/>
              <w:gridCol w:w="14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非正常排放情景</w:t>
                  </w:r>
                </w:p>
              </w:tc>
              <w:tc>
                <w:tcPr>
                  <w:tcW w:w="109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非正常排放原因</w:t>
                  </w:r>
                </w:p>
              </w:tc>
              <w:tc>
                <w:tcPr>
                  <w:tcW w:w="727"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污染物</w:t>
                  </w:r>
                </w:p>
              </w:tc>
              <w:tc>
                <w:tcPr>
                  <w:tcW w:w="748"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非正常排放量t/a</w:t>
                  </w:r>
                </w:p>
              </w:tc>
              <w:tc>
                <w:tcPr>
                  <w:tcW w:w="895"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非正常排放速率</w:t>
                  </w:r>
                </w:p>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kg/h</w:t>
                  </w:r>
                </w:p>
              </w:tc>
              <w:tc>
                <w:tcPr>
                  <w:tcW w:w="865"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非正常排放浓度mg/m³</w:t>
                  </w:r>
                </w:p>
              </w:tc>
              <w:tc>
                <w:tcPr>
                  <w:tcW w:w="71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单次持续时间h</w:t>
                  </w:r>
                </w:p>
              </w:tc>
              <w:tc>
                <w:tcPr>
                  <w:tcW w:w="68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年发生频次</w:t>
                  </w:r>
                </w:p>
              </w:tc>
              <w:tc>
                <w:tcPr>
                  <w:tcW w:w="1485"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应对措施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情景一</w:t>
                  </w:r>
                </w:p>
              </w:tc>
              <w:tc>
                <w:tcPr>
                  <w:tcW w:w="109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集气</w:t>
                  </w:r>
                  <w:r>
                    <w:rPr>
                      <w:rFonts w:hint="default" w:ascii="Times New Roman" w:hAnsi="Times New Roman" w:eastAsia="宋体" w:cs="Times New Roman"/>
                      <w:sz w:val="21"/>
                      <w:szCs w:val="21"/>
                      <w:vertAlign w:val="baseline"/>
                      <w:lang w:val="en-US" w:eastAsia="zh-CN"/>
                    </w:rPr>
                    <w:t>设备出现故障</w:t>
                  </w:r>
                </w:p>
              </w:tc>
              <w:tc>
                <w:tcPr>
                  <w:tcW w:w="727" w:type="dxa"/>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非甲烷总烃</w:t>
                  </w:r>
                </w:p>
              </w:tc>
              <w:tc>
                <w:tcPr>
                  <w:tcW w:w="748" w:type="dxa"/>
                  <w:tcBorders>
                    <w:tl2br w:val="nil"/>
                    <w:tr2bl w:val="nil"/>
                  </w:tcBorders>
                  <w:vAlign w:val="center"/>
                </w:tcPr>
                <w:p>
                  <w:pPr>
                    <w:pStyle w:val="43"/>
                    <w:keepNext w:val="0"/>
                    <w:keepLines w:val="0"/>
                    <w:suppressLineNumbers w:val="0"/>
                    <w:spacing w:before="0" w:beforeAutospacing="0" w:after="0" w:afterAutospacing="0" w:line="240" w:lineRule="auto"/>
                    <w:ind w:left="0" w:right="0" w:firstLine="0" w:firstLineChars="0"/>
                    <w:jc w:val="center"/>
                    <w:rPr>
                      <w:rFonts w:hint="default" w:eastAsia="宋体"/>
                      <w:lang w:val="en-US" w:eastAsia="zh-CN"/>
                    </w:rPr>
                  </w:pPr>
                  <w:r>
                    <w:rPr>
                      <w:rFonts w:hint="eastAsia"/>
                      <w:lang w:val="en-US" w:eastAsia="zh-CN"/>
                    </w:rPr>
                    <w:t>5.4</w:t>
                  </w:r>
                </w:p>
              </w:tc>
              <w:tc>
                <w:tcPr>
                  <w:tcW w:w="895"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1.13</w:t>
                  </w:r>
                </w:p>
              </w:tc>
              <w:tc>
                <w:tcPr>
                  <w:tcW w:w="865"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w:t>
                  </w:r>
                </w:p>
              </w:tc>
              <w:tc>
                <w:tcPr>
                  <w:tcW w:w="71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68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1485" w:type="dxa"/>
                  <w:vMerge w:val="restart"/>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立即停止相关工序的生产，待故障解除后方可恢复生</w:t>
                  </w:r>
                  <w:r>
                    <w:rPr>
                      <w:rFonts w:hint="eastAsia" w:ascii="Times New Roman" w:hAnsi="Times New Roman" w:eastAsia="宋体" w:cs="Times New Roman"/>
                      <w:sz w:val="21"/>
                      <w:szCs w:val="21"/>
                      <w:vertAlign w:val="baseline"/>
                      <w:lang w:val="en-US" w:eastAsia="zh-CN"/>
                    </w:rPr>
                    <w:t>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2"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情景二</w:t>
                  </w:r>
                </w:p>
              </w:tc>
              <w:tc>
                <w:tcPr>
                  <w:tcW w:w="109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二级活性炭吸附装置出现故障</w:t>
                  </w:r>
                </w:p>
              </w:tc>
              <w:tc>
                <w:tcPr>
                  <w:tcW w:w="727"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p>
              </w:tc>
              <w:tc>
                <w:tcPr>
                  <w:tcW w:w="748" w:type="dxa"/>
                  <w:tcBorders>
                    <w:tl2br w:val="nil"/>
                    <w:tr2bl w:val="nil"/>
                  </w:tcBorders>
                  <w:vAlign w:val="center"/>
                </w:tcPr>
                <w:p>
                  <w:pPr>
                    <w:pStyle w:val="43"/>
                    <w:keepNext w:val="0"/>
                    <w:keepLines w:val="0"/>
                    <w:suppressLineNumbers w:val="0"/>
                    <w:spacing w:before="0" w:beforeAutospacing="0" w:after="0" w:afterAutospacing="0" w:line="240" w:lineRule="auto"/>
                    <w:ind w:left="0" w:right="0" w:firstLine="0" w:firstLineChars="0"/>
                    <w:jc w:val="center"/>
                    <w:rPr>
                      <w:rFonts w:hint="default" w:eastAsia="宋体"/>
                      <w:lang w:val="en-US" w:eastAsia="zh-CN"/>
                    </w:rPr>
                  </w:pPr>
                  <w:r>
                    <w:rPr>
                      <w:rFonts w:hint="eastAsia"/>
                      <w:lang w:val="en-US" w:eastAsia="zh-CN"/>
                    </w:rPr>
                    <w:t>4.32</w:t>
                  </w:r>
                </w:p>
              </w:tc>
              <w:tc>
                <w:tcPr>
                  <w:tcW w:w="895"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0.9</w:t>
                  </w:r>
                </w:p>
              </w:tc>
              <w:tc>
                <w:tcPr>
                  <w:tcW w:w="865"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90</w:t>
                  </w:r>
                </w:p>
              </w:tc>
              <w:tc>
                <w:tcPr>
                  <w:tcW w:w="71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w:t>
                  </w:r>
                </w:p>
              </w:tc>
              <w:tc>
                <w:tcPr>
                  <w:tcW w:w="683" w:type="dxa"/>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w:t>
                  </w:r>
                </w:p>
              </w:tc>
              <w:tc>
                <w:tcPr>
                  <w:tcW w:w="1485" w:type="dxa"/>
                  <w:vMerge w:val="continue"/>
                  <w:tcBorders>
                    <w:tl2br w:val="nil"/>
                    <w:tr2bl w:val="nil"/>
                  </w:tcBorders>
                  <w:vAlign w:val="center"/>
                </w:tcPr>
                <w:p>
                  <w:pPr>
                    <w:pStyle w:val="43"/>
                    <w:keepNext w:val="0"/>
                    <w:keepLines w:val="0"/>
                    <w:suppressLineNumbers w:val="0"/>
                    <w:bidi w:val="0"/>
                    <w:spacing w:before="0" w:beforeAutospacing="0" w:after="0" w:afterAutospacing="0" w:line="240" w:lineRule="auto"/>
                    <w:ind w:left="0" w:leftChars="0" w:right="0" w:firstLine="0" w:firstLineChars="0"/>
                    <w:jc w:val="center"/>
                    <w:rPr>
                      <w:rFonts w:hint="default" w:ascii="Times New Roman" w:hAnsi="Times New Roman" w:eastAsia="宋体" w:cs="Times New Roman"/>
                      <w:sz w:val="21"/>
                      <w:szCs w:val="21"/>
                      <w:vertAlign w:val="baseline"/>
                      <w:lang w:val="en-US" w:eastAsia="zh-CN"/>
                    </w:rPr>
                  </w:pPr>
                </w:p>
              </w:tc>
            </w:tr>
          </w:tbl>
          <w:p>
            <w:pPr>
              <w:pStyle w:val="51"/>
              <w:keepNext w:val="0"/>
              <w:keepLines w:val="0"/>
              <w:suppressLineNumbers w:val="0"/>
              <w:spacing w:before="0" w:beforeAutospacing="0" w:after="0" w:afterAutospacing="0" w:line="360" w:lineRule="auto"/>
              <w:ind w:left="0" w:right="0" w:firstLine="480" w:firstLineChars="200"/>
              <w:rPr>
                <w:rFonts w:hint="eastAsia" w:eastAsia="宋体"/>
                <w:lang w:val="en-US" w:eastAsia="zh-CN"/>
              </w:rPr>
            </w:pPr>
            <w:r>
              <w:rPr>
                <w:rFonts w:hint="eastAsia"/>
              </w:rPr>
              <w:t>建议建设单位应定期对设备进行巡检，若发生设备故障，应立即停止生产，并予以检修。</w:t>
            </w:r>
            <w:r>
              <w:rPr>
                <w:rFonts w:hint="eastAsia" w:eastAsia="宋体"/>
                <w:lang w:val="en-US" w:eastAsia="zh-CN"/>
              </w:rPr>
              <w:t>可采取以下措施</w:t>
            </w:r>
            <w:r>
              <w:rPr>
                <w:rFonts w:hint="eastAsia" w:eastAsia="宋体"/>
              </w:rPr>
              <w:t>有效减少非正常排放时间</w:t>
            </w:r>
            <w:r>
              <w:rPr>
                <w:rFonts w:hint="eastAsia" w:eastAsia="宋体"/>
                <w:lang w:eastAsia="zh-CN"/>
              </w:rPr>
              <w:t>：</w:t>
            </w:r>
          </w:p>
          <w:p>
            <w:pPr>
              <w:pStyle w:val="51"/>
              <w:keepNext w:val="0"/>
              <w:keepLines w:val="0"/>
              <w:suppressLineNumbers w:val="0"/>
              <w:spacing w:before="0" w:beforeAutospacing="0" w:after="0" w:afterAutospacing="0" w:line="360" w:lineRule="auto"/>
              <w:ind w:left="0" w:right="0" w:firstLine="480" w:firstLineChars="200"/>
              <w:rPr>
                <w:rFonts w:hint="eastAsia"/>
              </w:rPr>
            </w:pPr>
            <w:r>
              <w:rPr>
                <w:rFonts w:hint="eastAsia"/>
              </w:rPr>
              <w:t>①在开机前对</w:t>
            </w:r>
            <w:r>
              <w:rPr>
                <w:rFonts w:hint="eastAsia" w:eastAsia="宋体"/>
                <w:lang w:val="en-US" w:eastAsia="zh-CN"/>
              </w:rPr>
              <w:t>废气处理设施</w:t>
            </w:r>
            <w:r>
              <w:rPr>
                <w:rFonts w:hint="eastAsia" w:eastAsia="宋体"/>
              </w:rPr>
              <w:t>从设备到输送管道、阀门部件等进行检修</w:t>
            </w:r>
            <w:r>
              <w:rPr>
                <w:rFonts w:hint="eastAsia"/>
              </w:rPr>
              <w:t>，确认</w:t>
            </w:r>
            <w:r>
              <w:rPr>
                <w:rFonts w:hint="eastAsia" w:eastAsia="宋体"/>
                <w:lang w:val="en-US" w:eastAsia="zh-CN"/>
              </w:rPr>
              <w:t>集气设备</w:t>
            </w:r>
            <w:r>
              <w:rPr>
                <w:rFonts w:hint="eastAsia"/>
              </w:rPr>
              <w:t>完好再开机，一旦发现</w:t>
            </w:r>
            <w:r>
              <w:rPr>
                <w:rFonts w:hint="eastAsia" w:eastAsia="宋体"/>
                <w:lang w:val="en-US" w:eastAsia="zh-CN"/>
              </w:rPr>
              <w:t>集气设备存在</w:t>
            </w:r>
            <w:r>
              <w:rPr>
                <w:rFonts w:hint="eastAsia"/>
              </w:rPr>
              <w:t>隐患，</w:t>
            </w:r>
            <w:r>
              <w:rPr>
                <w:rFonts w:hint="eastAsia" w:eastAsia="宋体"/>
                <w:lang w:val="en-US" w:eastAsia="zh-CN"/>
              </w:rPr>
              <w:t>立刻</w:t>
            </w:r>
            <w:r>
              <w:rPr>
                <w:rFonts w:hint="eastAsia"/>
              </w:rPr>
              <w:t>对</w:t>
            </w:r>
            <w:r>
              <w:rPr>
                <w:rFonts w:hint="eastAsia" w:eastAsia="宋体"/>
                <w:lang w:val="en-US" w:eastAsia="zh-CN"/>
              </w:rPr>
              <w:t>集气设备</w:t>
            </w:r>
            <w:r>
              <w:rPr>
                <w:rFonts w:hint="eastAsia"/>
              </w:rPr>
              <w:t>进行维修或更换。</w:t>
            </w:r>
          </w:p>
          <w:p>
            <w:pPr>
              <w:pStyle w:val="51"/>
              <w:keepNext w:val="0"/>
              <w:keepLines w:val="0"/>
              <w:suppressLineNumbers w:val="0"/>
              <w:spacing w:before="0" w:beforeAutospacing="0" w:after="0" w:afterAutospacing="0" w:line="360" w:lineRule="auto"/>
              <w:ind w:left="0" w:right="0" w:firstLine="480" w:firstLineChars="200"/>
              <w:rPr>
                <w:rFonts w:hint="eastAsia"/>
              </w:rPr>
            </w:pPr>
            <w:r>
              <w:rPr>
                <w:rFonts w:hint="eastAsia"/>
              </w:rPr>
              <w:t>②每天开机前对</w:t>
            </w:r>
            <w:r>
              <w:rPr>
                <w:rFonts w:hint="eastAsia" w:eastAsia="宋体"/>
                <w:lang w:val="en-US" w:eastAsia="zh-CN"/>
              </w:rPr>
              <w:t>二级活性炭吸附</w:t>
            </w:r>
            <w:r>
              <w:rPr>
                <w:rFonts w:hint="eastAsia"/>
              </w:rPr>
              <w:t>装置进行检查</w:t>
            </w:r>
            <w:r>
              <w:rPr>
                <w:rFonts w:hint="eastAsia" w:eastAsia="宋体"/>
                <w:lang w:eastAsia="zh-CN"/>
              </w:rPr>
              <w:t>，</w:t>
            </w:r>
            <w:r>
              <w:rPr>
                <w:rFonts w:hint="eastAsia"/>
              </w:rPr>
              <w:t>定期更换活性炭，同时确保项目活性炭吸附装置一次性装填量可满足吸附要求。</w:t>
            </w:r>
          </w:p>
          <w:bookmarkEnd w:id="99"/>
          <w:p>
            <w:pPr>
              <w:pStyle w:val="4"/>
              <w:suppressLineNumbers w:val="0"/>
              <w:bidi w:val="0"/>
              <w:spacing w:before="0" w:beforeAutospacing="0" w:after="0" w:afterAutospacing="0"/>
              <w:ind w:left="720" w:leftChars="0" w:right="0" w:hanging="720" w:firstLineChars="0"/>
              <w:rPr>
                <w:rFonts w:hint="default"/>
              </w:rPr>
            </w:pPr>
            <w:bookmarkStart w:id="100" w:name="_Toc27938"/>
            <w:r>
              <w:rPr>
                <w:rFonts w:hint="eastAsia"/>
                <w:lang w:val="en-US" w:eastAsia="zh-CN"/>
              </w:rPr>
              <w:t>大气环境</w:t>
            </w:r>
            <w:r>
              <w:rPr>
                <w:rFonts w:hint="default"/>
              </w:rPr>
              <w:t>影响分析</w:t>
            </w:r>
            <w:bookmarkEnd w:id="100"/>
          </w:p>
          <w:p>
            <w:pPr>
              <w:pStyle w:val="70"/>
              <w:keepNext w:val="0"/>
              <w:keepLines w:val="0"/>
              <w:suppressLineNumbers w:val="0"/>
              <w:spacing w:before="0" w:beforeAutospacing="0" w:after="0" w:afterAutospacing="0"/>
              <w:ind w:left="0" w:right="0"/>
              <w:jc w:val="both"/>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本项目DA001排气筒非甲烷总烃排放速率为</w:t>
            </w:r>
            <w:r>
              <w:rPr>
                <w:rFonts w:hint="eastAsia" w:ascii="Times New Roman" w:hAnsi="Times New Roman" w:cs="Times New Roman"/>
                <w:color w:val="000000" w:themeColor="text1"/>
                <w:spacing w:val="-3"/>
                <w:sz w:val="24"/>
                <w:highlight w:val="none"/>
                <w:lang w:val="en-US" w:eastAsia="zh-CN"/>
                <w14:textFill>
                  <w14:solidFill>
                    <w14:schemeClr w14:val="tx1"/>
                  </w14:solidFill>
                </w14:textFill>
              </w:rPr>
              <w:t>0.27</w:t>
            </w: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kg/h，排放浓度为</w:t>
            </w:r>
            <w:r>
              <w:rPr>
                <w:rFonts w:hint="eastAsia" w:ascii="Times New Roman" w:hAnsi="Times New Roman" w:cs="Times New Roman"/>
                <w:color w:val="auto"/>
                <w:spacing w:val="-3"/>
                <w:sz w:val="24"/>
                <w:highlight w:val="none"/>
                <w:lang w:val="en-US" w:eastAsia="zh-CN"/>
              </w:rPr>
              <w:t>27</w:t>
            </w:r>
            <w:r>
              <w:rPr>
                <w:rFonts w:hint="default" w:ascii="Times New Roman" w:hAnsi="Times New Roman" w:eastAsia="宋体" w:cs="Times New Roman"/>
                <w:color w:val="auto"/>
                <w:spacing w:val="-3"/>
                <w:sz w:val="24"/>
                <w:highlight w:val="none"/>
                <w:lang w:val="en-US" w:eastAsia="zh-CN"/>
              </w:rPr>
              <w:t>mg/m</w:t>
            </w:r>
            <w:r>
              <w:rPr>
                <w:rFonts w:hint="default" w:ascii="Times New Roman" w:hAnsi="Times New Roman" w:eastAsia="宋体" w:cs="Times New Roman"/>
                <w:color w:val="auto"/>
                <w:spacing w:val="-3"/>
                <w:sz w:val="24"/>
                <w:highlight w:val="none"/>
                <w:vertAlign w:val="superscript"/>
                <w:lang w:val="en-US" w:eastAsia="zh-CN"/>
              </w:rPr>
              <w:t>3</w:t>
            </w:r>
            <w:r>
              <w:rPr>
                <w:rFonts w:hint="default" w:ascii="Times New Roman" w:hAnsi="Times New Roman" w:eastAsia="宋体" w:cs="Times New Roman"/>
                <w:color w:val="auto"/>
                <w:spacing w:val="-3"/>
                <w:sz w:val="24"/>
                <w:highlight w:val="none"/>
                <w:lang w:val="en-US" w:eastAsia="zh-CN"/>
              </w:rPr>
              <w:t>，非</w:t>
            </w: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甲烷总烃单位产品排放量为0.</w:t>
            </w:r>
            <w:r>
              <w:rPr>
                <w:rFonts w:hint="eastAsia" w:ascii="Times New Roman" w:hAnsi="Times New Roman" w:cs="Times New Roman"/>
                <w:color w:val="000000" w:themeColor="text1"/>
                <w:spacing w:val="-3"/>
                <w:sz w:val="24"/>
                <w:highlight w:val="none"/>
                <w:lang w:val="en-US" w:eastAsia="zh-CN"/>
                <w14:textFill>
                  <w14:solidFill>
                    <w14:schemeClr w14:val="tx1"/>
                  </w14:solidFill>
                </w14:textFill>
              </w:rPr>
              <w:t>648</w:t>
            </w: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kg/t产品，非甲烷总烃排放满足《合成树脂工业污染物排放标准》（GB31572-2015）表</w:t>
            </w:r>
            <w:r>
              <w:rPr>
                <w:rFonts w:hint="eastAsia" w:ascii="Times New Roman" w:hAnsi="Times New Roman" w:cs="Times New Roman"/>
                <w:color w:val="000000" w:themeColor="text1"/>
                <w:spacing w:val="-3"/>
                <w:sz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中</w:t>
            </w:r>
            <w:r>
              <w:rPr>
                <w:rFonts w:hint="eastAsia" w:ascii="Times New Roman" w:hAnsi="Times New Roman"/>
                <w:color w:val="000000" w:themeColor="text1"/>
                <w:spacing w:val="-3"/>
                <w:highlight w:val="none"/>
                <w14:textFill>
                  <w14:solidFill>
                    <w14:schemeClr w14:val="tx1"/>
                  </w14:solidFill>
                </w14:textFill>
              </w:rPr>
              <w:t>大气污染物特别排放限</w:t>
            </w:r>
            <w:r>
              <w:rPr>
                <w:rFonts w:hint="eastAsia" w:ascii="Times New Roman" w:hAnsi="Times New Roman"/>
                <w:color w:val="auto"/>
                <w:spacing w:val="-3"/>
                <w:highlight w:val="none"/>
              </w:rPr>
              <w:t>值</w:t>
            </w:r>
            <w:r>
              <w:rPr>
                <w:rFonts w:hint="eastAsia" w:ascii="Times New Roman" w:hAnsi="Times New Roman" w:cs="Times New Roman"/>
                <w:color w:val="auto"/>
                <w:spacing w:val="-3"/>
                <w:sz w:val="24"/>
                <w:highlight w:val="none"/>
                <w:lang w:val="en-US" w:eastAsia="zh-CN"/>
              </w:rPr>
              <w:t>及其修改单</w:t>
            </w:r>
            <w:r>
              <w:rPr>
                <w:rFonts w:hint="default" w:ascii="Times New Roman" w:hAnsi="Times New Roman" w:eastAsia="宋体" w:cs="Times New Roman"/>
                <w:color w:val="auto"/>
                <w:spacing w:val="-3"/>
                <w:sz w:val="24"/>
                <w:highlight w:val="none"/>
                <w:lang w:val="en-US" w:eastAsia="zh-CN"/>
              </w:rPr>
              <w:t>要</w:t>
            </w: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求。</w:t>
            </w:r>
          </w:p>
          <w:p>
            <w:pPr>
              <w:pStyle w:val="70"/>
              <w:keepNext w:val="0"/>
              <w:keepLines w:val="0"/>
              <w:suppressLineNumbers w:val="0"/>
              <w:spacing w:before="0" w:beforeAutospacing="0" w:after="0" w:afterAutospacing="0"/>
              <w:ind w:left="0" w:right="0" w:firstLine="468" w:firstLineChars="200"/>
              <w:jc w:val="both"/>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综述，</w:t>
            </w:r>
            <w:r>
              <w:rPr>
                <w:rFonts w:hint="eastAsia" w:ascii="Times New Roman" w:hAnsi="Times New Roman" w:cs="Times New Roman"/>
                <w:color w:val="000000" w:themeColor="text1"/>
                <w:spacing w:val="-3"/>
                <w:sz w:val="24"/>
                <w:highlight w:val="none"/>
                <w:lang w:val="en-US" w:eastAsia="zh-CN"/>
                <w14:textFill>
                  <w14:solidFill>
                    <w14:schemeClr w14:val="tx1"/>
                  </w14:solidFill>
                </w14:textFill>
              </w:rPr>
              <w:t>项目</w:t>
            </w:r>
            <w:r>
              <w:rPr>
                <w:rFonts w:hint="default" w:ascii="Times New Roman" w:hAnsi="Times New Roman" w:eastAsia="宋体" w:cs="Times New Roman"/>
                <w:color w:val="000000" w:themeColor="text1"/>
                <w:spacing w:val="-3"/>
                <w:sz w:val="24"/>
                <w:highlight w:val="none"/>
                <w:lang w:val="en-US" w:eastAsia="zh-CN"/>
                <w14:textFill>
                  <w14:solidFill>
                    <w14:schemeClr w14:val="tx1"/>
                  </w14:solidFill>
                </w14:textFill>
              </w:rPr>
              <w:t>注塑废气经采取环保措施后，项目大气污染物能做到达标排放，对周边大气环境影响较小。</w:t>
            </w:r>
          </w:p>
          <w:p>
            <w:pPr>
              <w:pStyle w:val="4"/>
              <w:suppressLineNumbers w:val="0"/>
              <w:bidi w:val="0"/>
              <w:spacing w:beforeAutospacing="0" w:after="0" w:afterAutospacing="0" w:line="360" w:lineRule="auto"/>
              <w:ind w:left="720" w:leftChars="0" w:right="0" w:hanging="720" w:firstLineChars="0"/>
              <w:rPr>
                <w:rFonts w:hint="default"/>
              </w:rPr>
            </w:pPr>
            <w:bookmarkStart w:id="101" w:name="_Toc20117"/>
            <w:r>
              <w:rPr>
                <w:rFonts w:hint="default"/>
              </w:rPr>
              <w:t>废气污染治理措施及其可行性分析</w:t>
            </w:r>
          </w:p>
          <w:p>
            <w:pPr>
              <w:keepNext w:val="0"/>
              <w:keepLines w:val="0"/>
              <w:suppressLineNumbers w:val="0"/>
              <w:spacing w:before="0" w:beforeAutospacing="0" w:after="0" w:afterAutospacing="0" w:line="360" w:lineRule="auto"/>
              <w:ind w:left="0" w:right="0" w:firstLine="480" w:firstLineChars="200"/>
              <w:rPr>
                <w:rFonts w:hint="default"/>
                <w:lang w:val="en-US"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有机废气治理措施</w:t>
            </w:r>
            <w:r>
              <w:rPr>
                <w:rFonts w:hint="eastAsia" w:ascii="Times New Roman" w:hAnsi="Times New Roman" w:eastAsia="宋体" w:cs="Times New Roman"/>
                <w:sz w:val="24"/>
                <w:szCs w:val="24"/>
                <w:lang w:val="en-US" w:eastAsia="zh-CN"/>
              </w:rPr>
              <w:t>工艺分析</w:t>
            </w:r>
          </w:p>
          <w:p>
            <w:pPr>
              <w:pStyle w:val="4"/>
              <w:numPr>
                <w:ilvl w:val="2"/>
                <w:numId w:val="0"/>
              </w:numPr>
              <w:suppressLineNumbers w:val="0"/>
              <w:bidi w:val="0"/>
              <w:spacing w:beforeAutospacing="0" w:after="0" w:afterAutospacing="0" w:line="360" w:lineRule="auto"/>
              <w:ind w:leftChars="0" w:right="0" w:rightChars="0" w:firstLine="468" w:firstLineChars="200"/>
              <w:rPr>
                <w:rFonts w:hint="eastAsia"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本项目</w:t>
            </w: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拟在每台注塑机</w:t>
            </w:r>
            <w:r>
              <w:rPr>
                <w:rFonts w:hint="eastAsia" w:cs="Times New Roman"/>
                <w:b w:val="0"/>
                <w:snapToGrid w:val="0"/>
                <w:color w:val="000000" w:themeColor="text1"/>
                <w:spacing w:val="-3"/>
                <w:kern w:val="2"/>
                <w:sz w:val="24"/>
                <w:szCs w:val="24"/>
                <w:highlight w:val="none"/>
                <w:lang w:val="en-US" w:eastAsia="zh-CN" w:bidi="ar-SA"/>
                <w14:textFill>
                  <w14:solidFill>
                    <w14:schemeClr w14:val="tx1"/>
                  </w14:solidFill>
                </w14:textFill>
              </w:rPr>
              <w:t>取件口</w:t>
            </w: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设置集气罩进行收集，风机风量10000m</w:t>
            </w:r>
            <w:r>
              <w:rPr>
                <w:rFonts w:hint="default" w:ascii="Times New Roman" w:hAnsi="Times New Roman" w:eastAsia="宋体" w:cs="Times New Roman"/>
                <w:b w:val="0"/>
                <w:snapToGrid w:val="0"/>
                <w:color w:val="000000" w:themeColor="text1"/>
                <w:spacing w:val="-3"/>
                <w:kern w:val="2"/>
                <w:sz w:val="24"/>
                <w:szCs w:val="24"/>
                <w:highlight w:val="none"/>
                <w:vertAlign w:val="superscript"/>
                <w:lang w:val="en-US" w:eastAsia="zh-CN" w:bidi="ar-SA"/>
                <w14:textFill>
                  <w14:solidFill>
                    <w14:schemeClr w14:val="tx1"/>
                  </w14:solidFill>
                </w14:textFill>
              </w:rPr>
              <w:t>3</w:t>
            </w: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/h，集气效率不低于80%，并采用二级活性炭吸附装置处理</w:t>
            </w:r>
            <w:r>
              <w:rPr>
                <w:rFonts w:hint="eastAsia"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w:t>
            </w:r>
            <w:r>
              <w:rPr>
                <w:rFonts w:hint="eastAsia" w:cs="Times New Roman"/>
                <w:b w:val="0"/>
                <w:snapToGrid w:val="0"/>
                <w:color w:val="000000" w:themeColor="text1"/>
                <w:spacing w:val="-3"/>
                <w:kern w:val="2"/>
                <w:sz w:val="24"/>
                <w:szCs w:val="24"/>
                <w:highlight w:val="none"/>
                <w:lang w:val="en-US" w:eastAsia="zh-CN" w:bidi="ar-SA"/>
                <w14:textFill>
                  <w14:solidFill>
                    <w14:schemeClr w14:val="tx1"/>
                  </w14:solidFill>
                </w14:textFill>
              </w:rPr>
              <w:t>处理后</w:t>
            </w:r>
            <w:r>
              <w:rPr>
                <w:rFonts w:hint="eastAsia"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由一根15m高排气筒高空排放。具体处理工艺流程详见下图。</w:t>
            </w:r>
          </w:p>
          <w:p>
            <w:pPr>
              <w:pStyle w:val="43"/>
              <w:spacing w:line="360" w:lineRule="auto"/>
              <w:ind w:firstLine="480" w:firstLineChars="200"/>
              <w:rPr>
                <w:rFonts w:hint="default"/>
                <w:lang w:val="en-US" w:eastAsia="zh-CN"/>
              </w:rPr>
            </w:pPr>
            <w:r>
              <w:rPr>
                <w:rFonts w:hint="eastAsia" w:cs="Times New Roman"/>
                <w:sz w:val="24"/>
                <w:szCs w:val="24"/>
                <w:lang w:val="en-US" w:eastAsia="zh-CN"/>
              </w:rPr>
              <w:t>涉及商业机密</w:t>
            </w:r>
          </w:p>
          <w:p>
            <w:pPr>
              <w:pStyle w:val="45"/>
              <w:keepNext w:val="0"/>
              <w:keepLines w:val="0"/>
              <w:suppressLineNumbers w:val="0"/>
              <w:bidi w:val="0"/>
              <w:spacing w:before="0" w:beforeAutospacing="0" w:after="0" w:afterAutospacing="0" w:line="360" w:lineRule="auto"/>
              <w:ind w:right="0"/>
              <w:rPr>
                <w:rFonts w:hint="default"/>
                <w:lang w:val="en-US" w:eastAsia="zh-CN"/>
              </w:rPr>
            </w:pPr>
            <w:r>
              <w:rPr>
                <w:rFonts w:hint="eastAsia"/>
              </w:rPr>
              <w:t>项目</w:t>
            </w:r>
            <w:r>
              <w:rPr>
                <w:rFonts w:hint="eastAsia"/>
                <w:lang w:val="en-US" w:eastAsia="zh-CN"/>
              </w:rPr>
              <w:t>有机废气处理工艺</w:t>
            </w:r>
            <w:r>
              <w:rPr>
                <w:rFonts w:hint="eastAsia"/>
              </w:rPr>
              <w:t>图</w:t>
            </w:r>
          </w:p>
          <w:p>
            <w:pPr>
              <w:keepNext w:val="0"/>
              <w:keepLines w:val="0"/>
              <w:suppressLineNumbers w:val="0"/>
              <w:spacing w:before="0" w:beforeAutospacing="0" w:after="0" w:afterAutospacing="0" w:line="360" w:lineRule="auto"/>
              <w:ind w:left="0" w:right="0" w:firstLine="468" w:firstLineChars="200"/>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活性炭吸附工作原理：活性炭，是一种具有多孔结构和大的内部比表面积的材料。由于其大的比表面积、微孔结构、高的吸附能力和很高的表面活性而成为独特的多功能吸附剂，且其价廉易得，可再生活化，同时它可有效去除废水、废气中的大部分有机物和某些无机物，所以它被世界各国广泛地应用于污水及废气的处理、空气净化、回收溶剂等环境保护和资源回收等领域。</w:t>
            </w:r>
          </w:p>
          <w:p>
            <w:pPr>
              <w:keepNext w:val="0"/>
              <w:keepLines w:val="0"/>
              <w:suppressLineNumbers w:val="0"/>
              <w:spacing w:before="0" w:beforeAutospacing="0" w:after="0" w:afterAutospacing="0" w:line="360" w:lineRule="auto"/>
              <w:ind w:left="0" w:right="0" w:firstLine="468" w:firstLineChars="200"/>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活性炭分为粉末活性炭、粒状活性炭及活性炭纤维，但是由于粉末活性炭产生二次污染且不能再生而被限制使用。项目采用粒状活性炭，其粒径500～5000μm，有机废气通过吸附床，与活性炭接触，废气中的有机污染物被吸附在活性炭表面，从而从气流中脱离出来，达到净化效果。本项目活性炭更换频次为1次/季。</w:t>
            </w:r>
          </w:p>
          <w:p>
            <w:pPr>
              <w:keepNext w:val="0"/>
              <w:keepLines w:val="0"/>
              <w:suppressLineNumbers w:val="0"/>
              <w:spacing w:before="0" w:beforeAutospacing="0" w:after="0" w:afterAutospacing="0" w:line="360" w:lineRule="auto"/>
              <w:ind w:left="0" w:right="0" w:firstLine="468" w:firstLineChars="200"/>
              <w:rPr>
                <w:rFonts w:hint="eastAsia" w:cs="Times New Roman"/>
                <w:b w:val="0"/>
                <w:snapToGrid w:val="0"/>
                <w:color w:val="000000" w:themeColor="text1"/>
                <w:spacing w:val="-3"/>
                <w:kern w:val="2"/>
                <w:sz w:val="24"/>
                <w:szCs w:val="24"/>
                <w:highlight w:val="none"/>
                <w:lang w:val="en-US" w:eastAsia="zh-CN" w:bidi="ar-SA"/>
                <w14:textFill>
                  <w14:solidFill>
                    <w14:schemeClr w14:val="tx1"/>
                  </w14:solidFill>
                </w14:textFill>
              </w:rPr>
            </w:pPr>
            <w:r>
              <w:rPr>
                <w:rFonts w:hint="eastAsia" w:cs="Times New Roman"/>
                <w:b w:val="0"/>
                <w:snapToGrid w:val="0"/>
                <w:color w:val="000000" w:themeColor="text1"/>
                <w:spacing w:val="-3"/>
                <w:kern w:val="2"/>
                <w:sz w:val="24"/>
                <w:szCs w:val="24"/>
                <w:highlight w:val="none"/>
                <w:lang w:val="en-US" w:eastAsia="zh-CN" w:bidi="ar-SA"/>
                <w14:textFill>
                  <w14:solidFill>
                    <w14:schemeClr w14:val="tx1"/>
                  </w14:solidFill>
                </w14:textFill>
              </w:rPr>
              <w:t>（2）技术可行性分析</w:t>
            </w:r>
          </w:p>
          <w:p>
            <w:pPr>
              <w:keepNext w:val="0"/>
              <w:keepLines w:val="0"/>
              <w:suppressLineNumbers w:val="0"/>
              <w:spacing w:before="0" w:beforeAutospacing="0" w:after="0" w:afterAutospacing="0" w:line="360" w:lineRule="auto"/>
              <w:ind w:left="0" w:right="0" w:firstLine="468" w:firstLineChars="200"/>
              <w:rPr>
                <w:rFonts w:hint="default" w:cs="Times New Roman"/>
                <w:b w:val="0"/>
                <w:snapToGrid w:val="0"/>
                <w:color w:val="000000" w:themeColor="text1"/>
                <w:spacing w:val="-3"/>
                <w:kern w:val="2"/>
                <w:sz w:val="24"/>
                <w:szCs w:val="24"/>
                <w:highlight w:val="none"/>
                <w:lang w:val="en-US" w:eastAsia="zh-CN" w:bidi="ar-SA"/>
                <w14:textFill>
                  <w14:solidFill>
                    <w14:schemeClr w14:val="tx1"/>
                  </w14:solidFill>
                </w14:textFill>
              </w:rPr>
            </w:pPr>
            <w:r>
              <w:rPr>
                <w:rFonts w:hint="default" w:cs="Times New Roman"/>
                <w:b w:val="0"/>
                <w:snapToGrid w:val="0"/>
                <w:color w:val="000000" w:themeColor="text1"/>
                <w:spacing w:val="-3"/>
                <w:kern w:val="2"/>
                <w:sz w:val="24"/>
                <w:szCs w:val="24"/>
                <w:highlight w:val="none"/>
                <w:lang w:val="en-US" w:eastAsia="zh-CN" w:bidi="ar-SA"/>
                <w14:textFill>
                  <w14:solidFill>
                    <w14:schemeClr w14:val="tx1"/>
                  </w14:solidFill>
                </w14:textFill>
              </w:rPr>
              <w:t>活性炭吸附法具有吸附效率高，运行稳定，工艺成熟，维护费用低等特点。虽然活性炭吸附到一定量时会达到饱和需要定期更换，但初期投资低，维修管理容易等特点而被广泛应用。因此，从一次性投资和运行维护人力、物力、资金等方面分析，结合建设单位经济实力，环评认为采取</w:t>
            </w:r>
            <w:r>
              <w:rPr>
                <w:rFonts w:hint="eastAsia" w:cs="Times New Roman"/>
                <w:b w:val="0"/>
                <w:snapToGrid w:val="0"/>
                <w:color w:val="000000" w:themeColor="text1"/>
                <w:spacing w:val="-3"/>
                <w:kern w:val="2"/>
                <w:sz w:val="24"/>
                <w:szCs w:val="24"/>
                <w:highlight w:val="none"/>
                <w:lang w:val="en-US" w:eastAsia="zh-CN" w:bidi="ar-SA"/>
                <w14:textFill>
                  <w14:solidFill>
                    <w14:schemeClr w14:val="tx1"/>
                  </w14:solidFill>
                </w14:textFill>
              </w:rPr>
              <w:t>二级</w:t>
            </w:r>
            <w:r>
              <w:rPr>
                <w:rFonts w:hint="default" w:cs="Times New Roman"/>
                <w:b w:val="0"/>
                <w:snapToGrid w:val="0"/>
                <w:color w:val="000000" w:themeColor="text1"/>
                <w:spacing w:val="-3"/>
                <w:kern w:val="2"/>
                <w:sz w:val="24"/>
                <w:szCs w:val="24"/>
                <w:highlight w:val="none"/>
                <w:lang w:val="en-US" w:eastAsia="zh-CN" w:bidi="ar-SA"/>
                <w14:textFill>
                  <w14:solidFill>
                    <w14:schemeClr w14:val="tx1"/>
                  </w14:solidFill>
                </w14:textFill>
              </w:rPr>
              <w:t>活性炭吸附的措施治理本项目废气具有经济可行性。</w:t>
            </w:r>
          </w:p>
          <w:p>
            <w:pPr>
              <w:pStyle w:val="4"/>
              <w:numPr>
                <w:ilvl w:val="2"/>
                <w:numId w:val="0"/>
              </w:numPr>
              <w:suppressLineNumbers w:val="0"/>
              <w:bidi w:val="0"/>
              <w:spacing w:beforeAutospacing="0" w:after="0" w:afterAutospacing="0" w:line="360" w:lineRule="auto"/>
              <w:ind w:leftChars="0" w:right="0" w:rightChars="0" w:firstLine="468" w:firstLineChars="200"/>
              <w:rPr>
                <w:rFonts w:hint="eastAsia" w:cs="Times New Roman"/>
                <w:b w:val="0"/>
                <w:snapToGrid w:val="0"/>
                <w:color w:val="000000" w:themeColor="text1"/>
                <w:spacing w:val="-3"/>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对照《排污许可证申请与核发技术规范</w:t>
            </w:r>
            <w:r>
              <w:rPr>
                <w:rFonts w:hint="eastAsia"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橡胶和塑料制品工业</w:t>
            </w: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》（HJ1122-2020）</w:t>
            </w:r>
            <w:r>
              <w:rPr>
                <w:rFonts w:hint="eastAsia" w:cs="Times New Roman"/>
                <w:b w:val="0"/>
                <w:snapToGrid w:val="0"/>
                <w:color w:val="000000" w:themeColor="text1"/>
                <w:spacing w:val="-3"/>
                <w:kern w:val="2"/>
                <w:sz w:val="24"/>
                <w:szCs w:val="24"/>
                <w:highlight w:val="none"/>
                <w:lang w:val="en-US" w:eastAsia="zh-CN" w:bidi="ar-SA"/>
                <w14:textFill>
                  <w14:solidFill>
                    <w14:schemeClr w14:val="tx1"/>
                  </w14:solidFill>
                </w14:textFill>
              </w:rPr>
              <w:t>中附录A表A.2废气治理可行技术参考表，详见下表。</w:t>
            </w:r>
          </w:p>
          <w:p>
            <w:pPr>
              <w:pStyle w:val="42"/>
              <w:keepNext w:val="0"/>
              <w:keepLines w:val="0"/>
              <w:suppressLineNumbers w:val="0"/>
              <w:bidi w:val="0"/>
              <w:spacing w:beforeAutospacing="0" w:after="0" w:afterAutospacing="0"/>
              <w:ind w:left="0" w:leftChars="0" w:right="0" w:firstLine="0"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本项目废气防治可行技术参考表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303"/>
              <w:gridCol w:w="1634"/>
              <w:gridCol w:w="20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产排污环节</w:t>
                  </w:r>
                </w:p>
              </w:tc>
              <w:tc>
                <w:tcPr>
                  <w:tcW w:w="130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污染物种类</w:t>
                  </w:r>
                </w:p>
              </w:tc>
              <w:tc>
                <w:tcPr>
                  <w:tcW w:w="163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过程控制技术</w:t>
                  </w:r>
                </w:p>
              </w:tc>
              <w:tc>
                <w:tcPr>
                  <w:tcW w:w="202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可行技术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2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塑料薄膜制造，塑料板、管、型材制造，塑料丝、绳及编制品制造，泡沫塑料制造，</w:t>
                  </w:r>
                  <w:r>
                    <w:rPr>
                      <w:rFonts w:hint="default" w:ascii="Times New Roman" w:hAnsi="Times New Roman" w:eastAsia="宋体" w:cs="Times New Roman"/>
                      <w:b/>
                      <w:bCs/>
                      <w:sz w:val="21"/>
                      <w:szCs w:val="21"/>
                      <w:vertAlign w:val="baseline"/>
                      <w:lang w:val="en-US" w:eastAsia="zh-CN"/>
                    </w:rPr>
                    <w:t>塑料包装箱及容器制造</w:t>
                  </w:r>
                  <w:r>
                    <w:rPr>
                      <w:rFonts w:hint="default" w:ascii="Times New Roman" w:hAnsi="Times New Roman" w:eastAsia="宋体" w:cs="Times New Roman"/>
                      <w:sz w:val="21"/>
                      <w:szCs w:val="21"/>
                      <w:vertAlign w:val="baseline"/>
                      <w:lang w:val="en-US" w:eastAsia="zh-CN"/>
                    </w:rPr>
                    <w:t>，日用塑料制品制造，人造草坪制造，塑料零件及其他塑料制品制造废气</w:t>
                  </w:r>
                </w:p>
              </w:tc>
              <w:tc>
                <w:tcPr>
                  <w:tcW w:w="1303"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非甲烷总烃</w:t>
                  </w:r>
                </w:p>
              </w:tc>
              <w:tc>
                <w:tcPr>
                  <w:tcW w:w="163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溶剂替代</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密闭过程</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密闭场所</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局部收集</w:t>
                  </w:r>
                </w:p>
              </w:tc>
              <w:tc>
                <w:tcPr>
                  <w:tcW w:w="2021"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喷淋；吸附；吸附浓缩+热力燃烧/催化燃烧</w:t>
                  </w:r>
                </w:p>
              </w:tc>
            </w:tr>
          </w:tbl>
          <w:p>
            <w:pPr>
              <w:keepNext w:val="0"/>
              <w:keepLines w:val="0"/>
              <w:suppressLineNumbers w:val="0"/>
              <w:spacing w:before="0" w:beforeAutospacing="0" w:after="0" w:afterAutospacing="0"/>
              <w:ind w:left="0" w:right="0"/>
              <w:rPr>
                <w:rFonts w:hint="eastAsia"/>
                <w:lang w:val="en-US" w:eastAsia="zh-CN"/>
              </w:rPr>
            </w:pPr>
          </w:p>
          <w:p>
            <w:pPr>
              <w:pStyle w:val="4"/>
              <w:numPr>
                <w:ilvl w:val="2"/>
                <w:numId w:val="0"/>
              </w:numPr>
              <w:suppressLineNumbers w:val="0"/>
              <w:bidi w:val="0"/>
              <w:spacing w:beforeAutospacing="0" w:after="0" w:afterAutospacing="0" w:line="360" w:lineRule="auto"/>
              <w:ind w:leftChars="0" w:right="0" w:rightChars="0" w:firstLine="468" w:firstLineChars="200"/>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本项目使用</w:t>
            </w:r>
            <w:r>
              <w:rPr>
                <w:rFonts w:hint="eastAsia"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PE、PP为原料进行注塑生产塑料果篮</w:t>
            </w: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，废气</w:t>
            </w:r>
            <w:r>
              <w:rPr>
                <w:rFonts w:hint="eastAsia"/>
                <w:b w:val="0"/>
                <w:bCs/>
                <w:lang w:val="en-US" w:eastAsia="zh-CN"/>
              </w:rPr>
              <w:t>处理</w:t>
            </w:r>
            <w:r>
              <w:rPr>
                <w:rFonts w:hint="default" w:ascii="Times New Roman" w:hAnsi="Times New Roman" w:eastAsia="宋体" w:cs="Times New Roman"/>
                <w:b w:val="0"/>
                <w:bCs/>
                <w:snapToGrid w:val="0"/>
                <w:color w:val="000000" w:themeColor="text1"/>
                <w:spacing w:val="-3"/>
                <w:kern w:val="2"/>
                <w:sz w:val="24"/>
                <w:szCs w:val="24"/>
                <w:highlight w:val="none"/>
                <w:lang w:val="en-US" w:eastAsia="zh-CN" w:bidi="ar-SA"/>
                <w14:textFill>
                  <w14:solidFill>
                    <w14:schemeClr w14:val="tx1"/>
                  </w14:solidFill>
                </w14:textFill>
              </w:rPr>
              <w:t>采</w:t>
            </w: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用两级活性炭吸附装置，属于推荐的可行技术，因此</w:t>
            </w:r>
            <w:r>
              <w:rPr>
                <w:rFonts w:hint="eastAsia"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注塑</w:t>
            </w:r>
            <w:r>
              <w:rPr>
                <w:rFonts w:hint="default" w:ascii="Times New Roman" w:hAnsi="Times New Roman" w:eastAsia="宋体" w:cs="Times New Roman"/>
                <w:b w:val="0"/>
                <w:snapToGrid w:val="0"/>
                <w:color w:val="000000" w:themeColor="text1"/>
                <w:spacing w:val="-3"/>
                <w:kern w:val="2"/>
                <w:sz w:val="24"/>
                <w:szCs w:val="24"/>
                <w:highlight w:val="none"/>
                <w:lang w:val="en-US" w:eastAsia="zh-CN" w:bidi="ar-SA"/>
                <w14:textFill>
                  <w14:solidFill>
                    <w14:schemeClr w14:val="tx1"/>
                  </w14:solidFill>
                </w14:textFill>
              </w:rPr>
              <w:t>废气采用的废气处理设施是可行的。</w:t>
            </w:r>
          </w:p>
          <w:p>
            <w:pPr>
              <w:pStyle w:val="29"/>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（3）有机废气</w:t>
            </w:r>
            <w:r>
              <w:rPr>
                <w:rFonts w:hint="default" w:ascii="Times New Roman" w:hAnsi="Times New Roman" w:cs="Times New Roman"/>
                <w:color w:val="auto"/>
                <w:highlight w:val="none"/>
                <w:lang w:val="en-US" w:eastAsia="zh-CN"/>
              </w:rPr>
              <w:t>治理设施环境管理要求</w:t>
            </w:r>
          </w:p>
          <w:p>
            <w:pPr>
              <w:pStyle w:val="43"/>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fldChar w:fldCharType="begin"/>
            </w:r>
            <w:r>
              <w:rPr>
                <w:rFonts w:hint="default"/>
                <w:color w:val="auto"/>
                <w:highlight w:val="none"/>
              </w:rPr>
              <w:instrText xml:space="preserve"> </w:instrText>
            </w:r>
            <w:r>
              <w:rPr>
                <w:rFonts w:hint="eastAsia"/>
                <w:color w:val="auto"/>
                <w:highlight w:val="none"/>
              </w:rPr>
              <w:instrText xml:space="preserve">= 1 \* GB3</w:instrText>
            </w:r>
            <w:r>
              <w:rPr>
                <w:rFonts w:hint="default"/>
                <w:color w:val="auto"/>
                <w:highlight w:val="none"/>
              </w:rPr>
              <w:instrText xml:space="preserve"> </w:instrText>
            </w:r>
            <w:r>
              <w:rPr>
                <w:rFonts w:hint="default"/>
                <w:color w:val="auto"/>
                <w:highlight w:val="none"/>
              </w:rPr>
              <w:fldChar w:fldCharType="separate"/>
            </w:r>
            <w:r>
              <w:rPr>
                <w:rFonts w:hint="eastAsia"/>
                <w:color w:val="auto"/>
                <w:highlight w:val="none"/>
                <w:lang w:val="en-US" w:eastAsia="zh-CN"/>
              </w:rPr>
              <w:t>①</w:t>
            </w:r>
            <w:r>
              <w:rPr>
                <w:rFonts w:hint="default"/>
                <w:color w:val="auto"/>
                <w:highlight w:val="none"/>
              </w:rPr>
              <w:fldChar w:fldCharType="end"/>
            </w:r>
            <w:r>
              <w:rPr>
                <w:rFonts w:hint="eastAsia"/>
                <w:color w:val="auto"/>
                <w:highlight w:val="none"/>
              </w:rPr>
              <w:t>企业应建立健全VOCs治理设施的运行维护规程和台</w:t>
            </w:r>
            <w:r>
              <w:rPr>
                <w:rFonts w:hint="eastAsia"/>
                <w:color w:val="auto"/>
                <w:highlight w:val="none"/>
                <w:lang w:val="en-US" w:eastAsia="zh-CN"/>
              </w:rPr>
              <w:t>账</w:t>
            </w:r>
            <w:r>
              <w:rPr>
                <w:rFonts w:hint="eastAsia"/>
                <w:color w:val="auto"/>
                <w:highlight w:val="none"/>
              </w:rPr>
              <w:t>等日常管理制度，配备专人管理。并根据工艺要求定期对各类设备、电气、自控仪表等进行检修维护，保</w:t>
            </w:r>
            <w:r>
              <w:rPr>
                <w:rFonts w:hint="eastAsia"/>
                <w:color w:val="auto"/>
                <w:highlight w:val="none"/>
                <w:lang w:val="en-US" w:eastAsia="zh-CN"/>
              </w:rPr>
              <w:t>持</w:t>
            </w:r>
            <w:r>
              <w:rPr>
                <w:rFonts w:hint="eastAsia"/>
                <w:color w:val="auto"/>
                <w:highlight w:val="none"/>
              </w:rPr>
              <w:t>设施的稳定运行。</w:t>
            </w:r>
          </w:p>
          <w:p>
            <w:pPr>
              <w:pStyle w:val="43"/>
              <w:keepNext w:val="0"/>
              <w:keepLines w:val="0"/>
              <w:suppressLineNumbers w:val="0"/>
              <w:spacing w:before="0" w:beforeAutospacing="0" w:after="0" w:afterAutospacing="0"/>
              <w:ind w:left="0" w:right="0" w:firstLine="480"/>
              <w:rPr>
                <w:rFonts w:hint="default" w:eastAsia="宋体"/>
                <w:color w:val="auto"/>
                <w:highlight w:val="none"/>
                <w:lang w:val="en-US" w:eastAsia="zh-CN"/>
              </w:rPr>
            </w:pPr>
            <w:r>
              <w:rPr>
                <w:rFonts w:hint="default"/>
                <w:color w:val="auto"/>
                <w:highlight w:val="none"/>
              </w:rPr>
              <w:fldChar w:fldCharType="begin"/>
            </w:r>
            <w:r>
              <w:rPr>
                <w:rFonts w:hint="default"/>
                <w:color w:val="auto"/>
                <w:highlight w:val="none"/>
              </w:rPr>
              <w:instrText xml:space="preserve"> = 2 \* GB3 \* MERGEFORMAT </w:instrText>
            </w:r>
            <w:r>
              <w:rPr>
                <w:rFonts w:hint="default"/>
                <w:color w:val="auto"/>
                <w:highlight w:val="none"/>
              </w:rPr>
              <w:fldChar w:fldCharType="separate"/>
            </w:r>
            <w:r>
              <w:rPr>
                <w:rFonts w:hint="eastAsia"/>
                <w:color w:val="auto"/>
                <w:highlight w:val="none"/>
              </w:rPr>
              <w:t>②</w:t>
            </w:r>
            <w:r>
              <w:rPr>
                <w:rFonts w:hint="default"/>
                <w:color w:val="auto"/>
                <w:highlight w:val="none"/>
              </w:rPr>
              <w:fldChar w:fldCharType="end"/>
            </w:r>
            <w:r>
              <w:rPr>
                <w:rFonts w:hint="eastAsia"/>
                <w:color w:val="auto"/>
                <w:highlight w:val="none"/>
                <w:lang w:val="en-US" w:eastAsia="zh-CN"/>
              </w:rPr>
              <w:t>活性炭需及时定期更换，每季度更换一次且活性炭</w:t>
            </w:r>
            <w:r>
              <w:rPr>
                <w:rFonts w:hint="eastAsia"/>
                <w:color w:val="auto"/>
                <w:highlight w:val="none"/>
              </w:rPr>
              <w:t>碘值</w:t>
            </w:r>
            <w:r>
              <w:rPr>
                <w:rFonts w:hint="eastAsia"/>
                <w:color w:val="auto"/>
                <w:highlight w:val="none"/>
                <w:lang w:val="en-US" w:eastAsia="zh-CN"/>
              </w:rPr>
              <w:t>须</w:t>
            </w:r>
            <w:r>
              <w:rPr>
                <w:rFonts w:hint="eastAsia"/>
                <w:color w:val="auto"/>
                <w:highlight w:val="none"/>
              </w:rPr>
              <w:t>为800mg/g，</w:t>
            </w:r>
            <w:r>
              <w:rPr>
                <w:rFonts w:hint="eastAsia"/>
                <w:color w:val="auto"/>
                <w:highlight w:val="none"/>
                <w:lang w:val="en-US" w:eastAsia="zh-CN"/>
              </w:rPr>
              <w:t>以保证活性炭的吸附效果。</w:t>
            </w:r>
          </w:p>
          <w:p>
            <w:pPr>
              <w:pStyle w:val="43"/>
              <w:keepNext w:val="0"/>
              <w:keepLines w:val="0"/>
              <w:suppressLineNumbers w:val="0"/>
              <w:spacing w:before="0" w:beforeAutospacing="0" w:after="0" w:afterAutospacing="0"/>
              <w:ind w:left="0" w:right="0" w:firstLine="480"/>
              <w:rPr>
                <w:rFonts w:hint="eastAsia"/>
                <w:color w:val="auto"/>
                <w:highlight w:val="none"/>
              </w:rPr>
            </w:pPr>
            <w:r>
              <w:rPr>
                <w:rFonts w:hint="default"/>
                <w:color w:val="auto"/>
                <w:highlight w:val="none"/>
              </w:rPr>
              <w:fldChar w:fldCharType="begin"/>
            </w:r>
            <w:r>
              <w:rPr>
                <w:rFonts w:hint="default"/>
                <w:color w:val="auto"/>
                <w:highlight w:val="none"/>
              </w:rPr>
              <w:instrText xml:space="preserve"> = 3 \* GB3 \* MERGEFORMAT </w:instrText>
            </w:r>
            <w:r>
              <w:rPr>
                <w:rFonts w:hint="default"/>
                <w:color w:val="auto"/>
                <w:highlight w:val="none"/>
              </w:rPr>
              <w:fldChar w:fldCharType="separate"/>
            </w:r>
            <w:r>
              <w:rPr>
                <w:rFonts w:hint="eastAsia"/>
                <w:color w:val="auto"/>
                <w:highlight w:val="none"/>
              </w:rPr>
              <w:t>③</w:t>
            </w:r>
            <w:r>
              <w:rPr>
                <w:rFonts w:hint="default"/>
                <w:color w:val="auto"/>
                <w:highlight w:val="none"/>
              </w:rPr>
              <w:fldChar w:fldCharType="end"/>
            </w:r>
            <w:r>
              <w:rPr>
                <w:rFonts w:hint="eastAsia"/>
                <w:color w:val="auto"/>
                <w:highlight w:val="none"/>
                <w:lang w:val="en-US" w:eastAsia="zh-CN"/>
              </w:rPr>
              <w:t>废活性炭</w:t>
            </w:r>
            <w:r>
              <w:rPr>
                <w:rFonts w:hint="default"/>
                <w:color w:val="auto"/>
                <w:highlight w:val="none"/>
              </w:rPr>
              <w:t>净化材料需密闭储存，按照国家固体废物管理的相关规定处理处置。移交有资质</w:t>
            </w:r>
            <w:r>
              <w:rPr>
                <w:rFonts w:hint="eastAsia"/>
                <w:color w:val="auto"/>
                <w:highlight w:val="none"/>
              </w:rPr>
              <w:t>单位处置</w:t>
            </w:r>
            <w:r>
              <w:rPr>
                <w:rFonts w:hint="default"/>
                <w:color w:val="auto"/>
                <w:highlight w:val="none"/>
              </w:rPr>
              <w:t>，应有规范的危险废物转移记录</w:t>
            </w:r>
            <w:r>
              <w:rPr>
                <w:rFonts w:hint="eastAsia"/>
                <w:color w:val="auto"/>
                <w:highlight w:val="none"/>
              </w:rPr>
              <w:t>。</w:t>
            </w:r>
          </w:p>
          <w:p>
            <w:pPr>
              <w:pStyle w:val="43"/>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fldChar w:fldCharType="begin"/>
            </w:r>
            <w:r>
              <w:rPr>
                <w:rFonts w:hint="default"/>
                <w:color w:val="auto"/>
                <w:highlight w:val="none"/>
              </w:rPr>
              <w:instrText xml:space="preserve"> = 4 \* GB3 \* MERGEFORMAT </w:instrText>
            </w:r>
            <w:r>
              <w:rPr>
                <w:rFonts w:hint="default"/>
                <w:color w:val="auto"/>
                <w:highlight w:val="none"/>
              </w:rPr>
              <w:fldChar w:fldCharType="separate"/>
            </w:r>
            <w:r>
              <w:rPr>
                <w:rFonts w:hint="eastAsia"/>
                <w:color w:val="auto"/>
                <w:highlight w:val="none"/>
              </w:rPr>
              <w:t>④</w:t>
            </w:r>
            <w:r>
              <w:rPr>
                <w:rFonts w:hint="default"/>
                <w:color w:val="auto"/>
                <w:highlight w:val="none"/>
              </w:rPr>
              <w:fldChar w:fldCharType="end"/>
            </w:r>
            <w:r>
              <w:rPr>
                <w:rFonts w:hint="default"/>
                <w:color w:val="auto"/>
                <w:highlight w:val="none"/>
              </w:rPr>
              <w:t>活性炭吸附装置的安装与运行需满足《吸附法工业有机废气治理工程技术规范》（HJ2026-2013）。</w:t>
            </w:r>
          </w:p>
          <w:p>
            <w:pPr>
              <w:pStyle w:val="43"/>
              <w:keepNext w:val="0"/>
              <w:keepLines w:val="0"/>
              <w:suppressLineNumbers w:val="0"/>
              <w:spacing w:before="0" w:beforeAutospacing="0" w:after="0" w:afterAutospacing="0"/>
              <w:ind w:left="0" w:right="0" w:firstLine="480"/>
              <w:rPr>
                <w:rFonts w:hint="default"/>
                <w:color w:val="auto"/>
                <w:highlight w:val="none"/>
              </w:rPr>
            </w:pPr>
            <w:r>
              <w:rPr>
                <w:rFonts w:hint="default"/>
                <w:color w:val="auto"/>
                <w:highlight w:val="none"/>
              </w:rPr>
              <w:fldChar w:fldCharType="begin"/>
            </w:r>
            <w:r>
              <w:rPr>
                <w:rFonts w:hint="default"/>
                <w:color w:val="auto"/>
                <w:highlight w:val="none"/>
              </w:rPr>
              <w:instrText xml:space="preserve"> </w:instrText>
            </w:r>
            <w:r>
              <w:rPr>
                <w:rFonts w:hint="eastAsia"/>
                <w:color w:val="auto"/>
                <w:highlight w:val="none"/>
              </w:rPr>
              <w:instrText xml:space="preserve">= 5 \* GB3</w:instrText>
            </w:r>
            <w:r>
              <w:rPr>
                <w:rFonts w:hint="default"/>
                <w:color w:val="auto"/>
                <w:highlight w:val="none"/>
              </w:rPr>
              <w:instrText xml:space="preserve"> </w:instrText>
            </w:r>
            <w:r>
              <w:rPr>
                <w:rFonts w:hint="default"/>
                <w:color w:val="auto"/>
                <w:highlight w:val="none"/>
              </w:rPr>
              <w:fldChar w:fldCharType="separate"/>
            </w:r>
            <w:r>
              <w:rPr>
                <w:rFonts w:hint="eastAsia"/>
                <w:color w:val="auto"/>
                <w:highlight w:val="none"/>
                <w:lang w:val="en-US" w:eastAsia="zh-CN"/>
              </w:rPr>
              <w:t>⑤</w:t>
            </w:r>
            <w:r>
              <w:rPr>
                <w:rFonts w:hint="default"/>
                <w:color w:val="auto"/>
                <w:highlight w:val="none"/>
              </w:rPr>
              <w:fldChar w:fldCharType="end"/>
            </w:r>
            <w:r>
              <w:rPr>
                <w:rFonts w:hint="default"/>
                <w:color w:val="auto"/>
                <w:highlight w:val="none"/>
              </w:rPr>
              <w:t>吸附装置选型需符合《环境保护产品技术要求工业废气吸附净化装置》（HJ/T386-2007）要求。</w:t>
            </w:r>
          </w:p>
          <w:p>
            <w:pPr>
              <w:pStyle w:val="4"/>
              <w:suppressLineNumbers w:val="0"/>
              <w:bidi w:val="0"/>
              <w:spacing w:before="0" w:beforeAutospacing="0" w:after="0" w:afterAutospacing="0"/>
              <w:ind w:left="720" w:leftChars="0" w:right="0" w:hanging="720" w:firstLineChars="0"/>
              <w:rPr>
                <w:rFonts w:hint="default"/>
              </w:rPr>
            </w:pPr>
            <w:bookmarkStart w:id="102" w:name="_Toc24829"/>
            <w:r>
              <w:rPr>
                <w:rFonts w:hint="eastAsia"/>
              </w:rPr>
              <w:t>环境防护距离</w:t>
            </w:r>
            <w:bookmarkEnd w:id="102"/>
          </w:p>
          <w:p>
            <w:pPr>
              <w:pStyle w:val="90"/>
              <w:keepNext w:val="0"/>
              <w:keepLines w:val="0"/>
              <w:suppressLineNumbers w:val="0"/>
              <w:spacing w:before="0" w:beforeAutospacing="0" w:after="0" w:afterAutospacing="0"/>
              <w:ind w:left="0" w:right="0" w:firstLine="48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据《环境评价技术导则大气环境》</w:t>
            </w:r>
            <w:r>
              <w:rPr>
                <w:rFonts w:hint="eastAsia" w:cs="Times New Roman"/>
                <w:color w:val="000000"/>
                <w:sz w:val="24"/>
                <w:szCs w:val="24"/>
                <w:lang w:eastAsia="zh-CN"/>
              </w:rPr>
              <w:t>（</w:t>
            </w:r>
            <w:r>
              <w:rPr>
                <w:rFonts w:hint="default" w:ascii="Times New Roman" w:hAnsi="Times New Roman" w:eastAsia="宋体" w:cs="Times New Roman"/>
                <w:color w:val="000000"/>
                <w:sz w:val="24"/>
                <w:szCs w:val="24"/>
              </w:rPr>
              <w:t>HJ2.2-2018）中的有关规定，对无组织排放的有毒有害气体可通过设置大气防护距离来解决。根据大气环境防护距离采用环境保护部环境工程评估中心环境质量模拟重点实验室推荐的模式计算，本项目废气在厂界外无超标点，可不设置大气环境防护距离，但为加强管理，本项目根据《大气有害物质无组织排放卫生防护距离推导技术导则》</w:t>
            </w:r>
            <w:r>
              <w:rPr>
                <w:rFonts w:hint="eastAsia" w:cs="Times New Roman"/>
                <w:color w:val="000000"/>
                <w:sz w:val="24"/>
                <w:szCs w:val="24"/>
                <w:lang w:eastAsia="zh-CN"/>
              </w:rPr>
              <w:t>（</w:t>
            </w:r>
            <w:r>
              <w:rPr>
                <w:rFonts w:hint="default" w:ascii="Times New Roman" w:hAnsi="Times New Roman" w:eastAsia="宋体" w:cs="Times New Roman"/>
                <w:color w:val="000000"/>
                <w:sz w:val="24"/>
                <w:szCs w:val="24"/>
              </w:rPr>
              <w:t>GB/T39499-2020）中计算公式核算环境防护距离，无组织排放所需的卫生防护距离计算如下：</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object>
                <v:shape id="_x0000_i1025" o:spt="75" type="#_x0000_t75" style="height:20.2pt;width:168pt;" o:ole="t" filled="f" o:preferrelative="t" stroked="f" coordsize="21600,21600">
                  <v:path/>
                  <v:fill on="f" focussize="0,0"/>
                  <v:stroke on="f"/>
                  <v:imagedata r:id="rId9" o:title=""/>
                  <o:lock v:ext="edit" aspectratio="t"/>
                  <w10:wrap type="none"/>
                  <w10:anchorlock/>
                </v:shape>
                <o:OLEObject Type="Embed" ProgID="Equation.3" ShapeID="_x0000_i1025" DrawAspect="Content" ObjectID="_1468075725" r:id="rId8">
                  <o:LockedField>false</o:LockedField>
                </o:OLEObject>
              </w:object>
            </w:r>
          </w:p>
          <w:p>
            <w:pPr>
              <w:pStyle w:val="90"/>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0" w:firstLineChars="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式中：Q</w:t>
            </w:r>
            <w:r>
              <w:rPr>
                <w:rFonts w:hint="default" w:ascii="Times New Roman" w:hAnsi="Times New Roman" w:eastAsia="宋体" w:cs="Times New Roman"/>
                <w:color w:val="000000"/>
                <w:sz w:val="24"/>
                <w:szCs w:val="24"/>
                <w:vertAlign w:val="subscript"/>
              </w:rPr>
              <w:t>c</w:t>
            </w:r>
            <w:r>
              <w:rPr>
                <w:rFonts w:hint="default" w:ascii="Times New Roman" w:hAnsi="Times New Roman" w:eastAsia="宋体" w:cs="Times New Roman"/>
                <w:color w:val="000000"/>
                <w:sz w:val="24"/>
                <w:szCs w:val="24"/>
              </w:rPr>
              <w:t>—无组织排放量，kg/h；</w:t>
            </w:r>
          </w:p>
          <w:p>
            <w:pPr>
              <w:pStyle w:val="90"/>
              <w:keepNext w:val="0"/>
              <w:keepLines w:val="0"/>
              <w:suppressLineNumbers w:val="0"/>
              <w:spacing w:before="0" w:beforeAutospacing="0" w:after="0" w:afterAutospacing="0"/>
              <w:ind w:left="0" w:right="0" w:firstLineChars="3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w:t>
            </w:r>
            <w:r>
              <w:rPr>
                <w:rFonts w:hint="default" w:ascii="Times New Roman" w:hAnsi="Times New Roman" w:eastAsia="宋体" w:cs="Times New Roman"/>
                <w:color w:val="auto"/>
                <w:sz w:val="24"/>
                <w:szCs w:val="24"/>
                <w:vertAlign w:val="subscript"/>
              </w:rPr>
              <w:t>m</w:t>
            </w:r>
            <w:r>
              <w:rPr>
                <w:rFonts w:hint="default" w:ascii="Times New Roman" w:hAnsi="Times New Roman" w:eastAsia="宋体" w:cs="Times New Roman"/>
                <w:color w:val="auto"/>
                <w:sz w:val="24"/>
                <w:szCs w:val="24"/>
              </w:rPr>
              <w:t>——标准浓度限值，mg/Nm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p>
          <w:p>
            <w:pPr>
              <w:pStyle w:val="90"/>
              <w:keepNext w:val="0"/>
              <w:keepLines w:val="0"/>
              <w:suppressLineNumbers w:val="0"/>
              <w:spacing w:before="0" w:beforeAutospacing="0" w:after="0" w:afterAutospacing="0"/>
              <w:ind w:left="0" w:right="0" w:firstLineChars="3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L——卫生防护带距离，m；</w:t>
            </w:r>
          </w:p>
          <w:p>
            <w:pPr>
              <w:pStyle w:val="90"/>
              <w:keepNext w:val="0"/>
              <w:keepLines w:val="0"/>
              <w:suppressLineNumbers w:val="0"/>
              <w:spacing w:before="0" w:beforeAutospacing="0" w:after="0" w:afterAutospacing="0"/>
              <w:ind w:left="0" w:right="0" w:firstLineChars="3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r——无组织排放源的等效半径，m。根据生产单元占地面积S(m</w:t>
            </w:r>
            <w:r>
              <w:rPr>
                <w:rFonts w:hint="default" w:ascii="Times New Roman" w:hAnsi="Times New Roman" w:eastAsia="宋体" w:cs="Times New Roman"/>
                <w:color w:val="000000"/>
                <w:sz w:val="24"/>
                <w:szCs w:val="24"/>
                <w:vertAlign w:val="superscript"/>
              </w:rPr>
              <w:t>2</w:t>
            </w:r>
            <w:r>
              <w:rPr>
                <w:rFonts w:hint="default" w:ascii="Times New Roman" w:hAnsi="Times New Roman" w:eastAsia="宋体" w:cs="Times New Roman"/>
                <w:color w:val="000000"/>
                <w:sz w:val="24"/>
                <w:szCs w:val="24"/>
              </w:rPr>
              <w:t>）计算，r=(S/π)</w:t>
            </w:r>
            <w:r>
              <w:rPr>
                <w:rFonts w:hint="default" w:ascii="Times New Roman" w:hAnsi="Times New Roman" w:eastAsia="宋体" w:cs="Times New Roman"/>
                <w:color w:val="000000"/>
                <w:sz w:val="24"/>
                <w:szCs w:val="24"/>
                <w:vertAlign w:val="superscript"/>
              </w:rPr>
              <w:t>0.5</w:t>
            </w:r>
            <w:r>
              <w:rPr>
                <w:rFonts w:hint="default" w:ascii="Times New Roman" w:hAnsi="Times New Roman" w:eastAsia="宋体" w:cs="Times New Roman"/>
                <w:color w:val="000000"/>
                <w:sz w:val="24"/>
                <w:szCs w:val="24"/>
              </w:rPr>
              <w:t>。</w:t>
            </w:r>
          </w:p>
          <w:p>
            <w:pPr>
              <w:pStyle w:val="90"/>
              <w:keepNext w:val="0"/>
              <w:keepLines w:val="0"/>
              <w:suppressLineNumbers w:val="0"/>
              <w:spacing w:before="0" w:beforeAutospacing="0" w:after="0" w:afterAutospacing="0"/>
              <w:ind w:left="0" w:right="0" w:firstLine="480"/>
              <w:rPr>
                <w:rFonts w:hint="default" w:ascii="Times New Roman" w:hAnsi="Times New Roman" w:cs="Times New Roman"/>
                <w:color w:val="000000"/>
              </w:rPr>
            </w:pPr>
            <w:r>
              <w:rPr>
                <w:rFonts w:hint="default" w:ascii="Times New Roman" w:hAnsi="Times New Roman" w:eastAsia="宋体" w:cs="Times New Roman"/>
                <w:color w:val="000000"/>
                <w:sz w:val="24"/>
                <w:szCs w:val="24"/>
              </w:rPr>
              <w:t>A、B、C、D—卫生防护距离计算系数，见下表。</w:t>
            </w:r>
          </w:p>
          <w:p>
            <w:pPr>
              <w:pStyle w:val="42"/>
              <w:keepNext w:val="0"/>
              <w:keepLines w:val="0"/>
              <w:suppressLineNumbers w:val="0"/>
              <w:bidi w:val="0"/>
              <w:spacing w:beforeAutospacing="0" w:after="0" w:afterAutospacing="0"/>
              <w:ind w:left="0" w:leftChars="0" w:right="0" w:firstLine="0" w:firstLineChars="0"/>
              <w:rPr>
                <w:rFonts w:hint="default"/>
              </w:rPr>
            </w:pPr>
            <w:r>
              <w:rPr>
                <w:rFonts w:hint="default"/>
              </w:rPr>
              <w:t>计算参数的选择</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1250"/>
              <w:gridCol w:w="1621"/>
              <w:gridCol w:w="1374"/>
              <w:gridCol w:w="13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tblHeader/>
                <w:jc w:val="center"/>
              </w:trPr>
              <w:tc>
                <w:tcPr>
                  <w:tcW w:w="2529"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参数名称</w:t>
                  </w:r>
                </w:p>
              </w:tc>
              <w:tc>
                <w:tcPr>
                  <w:tcW w:w="1281"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w:t>
                  </w:r>
                </w:p>
              </w:tc>
              <w:tc>
                <w:tcPr>
                  <w:tcW w:w="1664"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B</w:t>
                  </w:r>
                </w:p>
              </w:tc>
              <w:tc>
                <w:tcPr>
                  <w:tcW w:w="1410"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w:t>
                  </w:r>
                </w:p>
              </w:tc>
              <w:tc>
                <w:tcPr>
                  <w:tcW w:w="1411"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529"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计算系数</w:t>
                  </w:r>
                </w:p>
              </w:tc>
              <w:tc>
                <w:tcPr>
                  <w:tcW w:w="1281"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400</w:t>
                  </w:r>
                </w:p>
              </w:tc>
              <w:tc>
                <w:tcPr>
                  <w:tcW w:w="1664"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0.010</w:t>
                  </w:r>
                </w:p>
              </w:tc>
              <w:tc>
                <w:tcPr>
                  <w:tcW w:w="1410"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1.85</w:t>
                  </w:r>
                </w:p>
              </w:tc>
              <w:tc>
                <w:tcPr>
                  <w:tcW w:w="1411" w:type="dxa"/>
                  <w:noWrap w:val="0"/>
                  <w:vAlign w:val="center"/>
                </w:tcPr>
                <w:p>
                  <w:pPr>
                    <w:pStyle w:val="130"/>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0.78</w:t>
                  </w:r>
                </w:p>
              </w:tc>
            </w:tr>
          </w:tbl>
          <w:p>
            <w:pPr>
              <w:keepNext w:val="0"/>
              <w:keepLines w:val="0"/>
              <w:suppressLineNumbers w:val="0"/>
              <w:spacing w:before="0" w:beforeAutospacing="0" w:after="0" w:afterAutospacing="0"/>
              <w:ind w:left="0" w:right="0" w:firstLine="420" w:firstLineChars="200"/>
              <w:rPr>
                <w:rFonts w:hint="default" w:ascii="Times New Roman" w:hAnsi="Times New Roman" w:cs="Times New Roman"/>
                <w:color w:val="000000"/>
              </w:rPr>
            </w:pPr>
          </w:p>
          <w:p>
            <w:pPr>
              <w:pStyle w:val="90"/>
              <w:keepNext w:val="0"/>
              <w:keepLines w:val="0"/>
              <w:suppressLineNumbers w:val="0"/>
              <w:spacing w:before="0" w:beforeAutospacing="0" w:after="0" w:afterAutospacing="0"/>
              <w:ind w:left="0" w:right="0" w:firstLine="480"/>
              <w:rPr>
                <w:rFonts w:hint="default" w:ascii="Times New Roman" w:hAnsi="Times New Roman" w:cs="Times New Roman"/>
                <w:color w:val="000000"/>
              </w:rPr>
            </w:pPr>
            <w:r>
              <w:rPr>
                <w:rFonts w:hint="default" w:ascii="Times New Roman" w:hAnsi="Times New Roman" w:cs="Times New Roman"/>
                <w:color w:val="000000"/>
              </w:rPr>
              <w:t>计算结果见下表。</w:t>
            </w:r>
          </w:p>
          <w:p>
            <w:pPr>
              <w:pStyle w:val="42"/>
              <w:keepNext w:val="0"/>
              <w:keepLines w:val="0"/>
              <w:suppressLineNumbers w:val="0"/>
              <w:bidi w:val="0"/>
              <w:spacing w:beforeAutospacing="0" w:after="0" w:afterAutospacing="0"/>
              <w:ind w:left="0" w:leftChars="0" w:right="0" w:firstLine="0" w:firstLineChars="0"/>
              <w:rPr>
                <w:rFonts w:hint="default"/>
              </w:rPr>
            </w:pPr>
            <w:r>
              <w:rPr>
                <w:rFonts w:hint="default"/>
              </w:rPr>
              <w:t>本项目</w:t>
            </w:r>
            <w:r>
              <w:rPr>
                <w:rFonts w:hint="eastAsia"/>
              </w:rPr>
              <w:t>卫生</w:t>
            </w:r>
            <w:r>
              <w:rPr>
                <w:rFonts w:hint="default"/>
              </w:rPr>
              <w:t>防护距离计算结果</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902"/>
              <w:gridCol w:w="1499"/>
              <w:gridCol w:w="1136"/>
              <w:gridCol w:w="1474"/>
              <w:gridCol w:w="967"/>
              <w:gridCol w:w="9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区域</w:t>
                  </w:r>
                </w:p>
              </w:tc>
              <w:tc>
                <w:tcPr>
                  <w:tcW w:w="904"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污染物</w:t>
                  </w:r>
                </w:p>
              </w:tc>
              <w:tc>
                <w:tcPr>
                  <w:tcW w:w="1502"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无组织排放速率</w:t>
                  </w:r>
                  <w:r>
                    <w:rPr>
                      <w:rFonts w:hint="eastAsia" w:cs="Times New Roman"/>
                      <w:color w:val="000000"/>
                      <w:sz w:val="21"/>
                      <w:szCs w:val="21"/>
                      <w:lang w:eastAsia="zh-CN"/>
                    </w:rPr>
                    <w:t>（</w:t>
                  </w:r>
                  <w:r>
                    <w:rPr>
                      <w:rFonts w:hint="default" w:ascii="Times New Roman" w:hAnsi="Times New Roman" w:eastAsia="宋体" w:cs="Times New Roman"/>
                      <w:color w:val="000000"/>
                      <w:sz w:val="21"/>
                      <w:szCs w:val="21"/>
                    </w:rPr>
                    <w:t>kg/h</w:t>
                  </w:r>
                  <w:r>
                    <w:rPr>
                      <w:rFonts w:hint="eastAsia" w:cs="Times New Roman"/>
                      <w:color w:val="000000"/>
                      <w:sz w:val="21"/>
                      <w:szCs w:val="21"/>
                      <w:lang w:eastAsia="zh-CN"/>
                    </w:rPr>
                    <w:t>）</w:t>
                  </w:r>
                </w:p>
              </w:tc>
              <w:tc>
                <w:tcPr>
                  <w:tcW w:w="1138"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质量标准</w:t>
                  </w:r>
                </w:p>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eastAsia" w:cs="Times New Roman"/>
                      <w:color w:val="000000"/>
                      <w:sz w:val="21"/>
                      <w:szCs w:val="21"/>
                      <w:lang w:eastAsia="zh-CN"/>
                    </w:rPr>
                    <w:t>（</w:t>
                  </w:r>
                  <w:r>
                    <w:rPr>
                      <w:rFonts w:hint="default" w:ascii="Times New Roman" w:hAnsi="Times New Roman" w:eastAsia="宋体" w:cs="Times New Roman"/>
                      <w:color w:val="000000"/>
                      <w:sz w:val="21"/>
                      <w:szCs w:val="21"/>
                    </w:rPr>
                    <w:t>mg/m</w:t>
                  </w:r>
                  <w:r>
                    <w:rPr>
                      <w:rFonts w:hint="default" w:ascii="Times New Roman" w:hAnsi="Times New Roman" w:eastAsia="宋体" w:cs="Times New Roman"/>
                      <w:color w:val="000000"/>
                      <w:sz w:val="21"/>
                      <w:szCs w:val="21"/>
                      <w:vertAlign w:val="superscript"/>
                    </w:rPr>
                    <w:t>3</w:t>
                  </w:r>
                  <w:r>
                    <w:rPr>
                      <w:rFonts w:hint="eastAsia" w:cs="Times New Roman"/>
                      <w:color w:val="000000"/>
                      <w:sz w:val="21"/>
                      <w:szCs w:val="21"/>
                      <w:lang w:eastAsia="zh-CN"/>
                    </w:rPr>
                    <w:t>）</w:t>
                  </w:r>
                </w:p>
              </w:tc>
              <w:tc>
                <w:tcPr>
                  <w:tcW w:w="147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生产单元占地面积（m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w:t>
                  </w:r>
                </w:p>
              </w:tc>
              <w:tc>
                <w:tcPr>
                  <w:tcW w:w="96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auto"/>
                      <w:sz w:val="21"/>
                      <w:szCs w:val="21"/>
                    </w:rPr>
                    <w:t>计算值（m</w:t>
                  </w:r>
                  <w:r>
                    <w:rPr>
                      <w:rFonts w:hint="default" w:ascii="Times New Roman" w:hAnsi="Times New Roman" w:eastAsia="宋体" w:cs="Times New Roman"/>
                      <w:color w:val="000000"/>
                      <w:sz w:val="21"/>
                      <w:szCs w:val="21"/>
                    </w:rPr>
                    <w:t>）</w:t>
                  </w:r>
                </w:p>
              </w:tc>
              <w:tc>
                <w:tcPr>
                  <w:tcW w:w="95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提级值（m）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生产</w:t>
                  </w:r>
                  <w:r>
                    <w:rPr>
                      <w:rFonts w:hint="default" w:ascii="Times New Roman" w:hAnsi="Times New Roman" w:eastAsia="宋体" w:cs="Times New Roman"/>
                      <w:color w:val="000000"/>
                      <w:sz w:val="21"/>
                      <w:szCs w:val="21"/>
                      <w:lang w:val="en-US" w:eastAsia="zh-CN"/>
                    </w:rPr>
                    <w:t>区</w:t>
                  </w:r>
                </w:p>
              </w:tc>
              <w:tc>
                <w:tcPr>
                  <w:tcW w:w="904"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非甲烷总烃</w:t>
                  </w:r>
                </w:p>
              </w:tc>
              <w:tc>
                <w:tcPr>
                  <w:tcW w:w="1502" w:type="dxa"/>
                  <w:noWrap w:val="0"/>
                  <w:vAlign w:val="center"/>
                </w:tcPr>
                <w:p>
                  <w:pPr>
                    <w:pStyle w:val="89"/>
                    <w:keepNext w:val="0"/>
                    <w:keepLines w:val="0"/>
                    <w:suppressLineNumbers w:val="0"/>
                    <w:spacing w:before="0" w:beforeAutospacing="0" w:after="0" w:afterAutospacing="0"/>
                    <w:ind w:left="0" w:right="0"/>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0.23</w:t>
                  </w:r>
                </w:p>
              </w:tc>
              <w:tc>
                <w:tcPr>
                  <w:tcW w:w="1138" w:type="dxa"/>
                  <w:noWrap w:val="0"/>
                  <w:vAlign w:val="center"/>
                </w:tcPr>
                <w:p>
                  <w:pPr>
                    <w:pStyle w:val="105"/>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2</w:t>
                  </w:r>
                </w:p>
              </w:tc>
              <w:tc>
                <w:tcPr>
                  <w:tcW w:w="1477"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300</w:t>
                  </w:r>
                </w:p>
              </w:tc>
              <w:tc>
                <w:tcPr>
                  <w:tcW w:w="96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16.09</w:t>
                  </w:r>
                </w:p>
              </w:tc>
              <w:tc>
                <w:tcPr>
                  <w:tcW w:w="959" w:type="dxa"/>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50</w:t>
                  </w:r>
                </w:p>
              </w:tc>
            </w:tr>
          </w:tbl>
          <w:p>
            <w:pPr>
              <w:keepNext w:val="0"/>
              <w:keepLines w:val="0"/>
              <w:suppressLineNumbers w:val="0"/>
              <w:spacing w:before="0" w:beforeAutospacing="0" w:after="0" w:afterAutospacing="0"/>
              <w:ind w:left="0" w:right="0"/>
              <w:rPr>
                <w:rFonts w:hint="default" w:ascii="Times New Roman" w:hAnsi="Times New Roman" w:cs="Times New Roman"/>
                <w:color w:val="000000"/>
              </w:rPr>
            </w:pPr>
          </w:p>
          <w:p>
            <w:pPr>
              <w:keepNext w:val="0"/>
              <w:keepLines w:val="0"/>
              <w:suppressLineNumbers w:val="0"/>
              <w:spacing w:before="0" w:beforeAutospacing="0" w:after="0" w:afterAutospacing="0" w:line="360" w:lineRule="auto"/>
              <w:ind w:left="0" w:right="0" w:firstLine="468" w:firstLineChars="200"/>
              <w:rPr>
                <w:rFonts w:hint="default"/>
                <w:color w:val="auto"/>
                <w:highlight w:val="none"/>
                <w:lang w:val="en-US" w:eastAsia="zh-CN"/>
              </w:rPr>
            </w:pP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因此，本项目卫生防护距离为生产</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区</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外延</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50m</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形成的包络线区域。根据现场调查，本项目周边为空地及其它工业厂房用地，距离项目厂界最近敏感目标为</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南</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侧约</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350m</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处的</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飞石</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村，</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项目</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卫生防护距离包络线范围内无居民点、学校、医院等环境保护目标，因此本项目的建设符合卫生防护要求项目建设符合卫生防护距离要求</w:t>
            </w:r>
            <w:r>
              <w:rPr>
                <w:rFonts w:hint="default" w:ascii="Times New Roman" w:hAnsi="Times New Roman" w:eastAsia="宋体" w:cs="Times New Roman"/>
                <w:snapToGrid w:val="0"/>
                <w:color w:val="auto"/>
                <w:spacing w:val="-3"/>
                <w:kern w:val="2"/>
                <w:sz w:val="24"/>
                <w:szCs w:val="24"/>
                <w:highlight w:val="none"/>
                <w:lang w:val="en-US" w:eastAsia="zh-CN" w:bidi="ar-SA"/>
              </w:rPr>
              <w:t>。环境防护距离包络图见附图</w:t>
            </w:r>
            <w:r>
              <w:rPr>
                <w:rFonts w:hint="eastAsia" w:cs="Times New Roman"/>
                <w:snapToGrid w:val="0"/>
                <w:color w:val="auto"/>
                <w:spacing w:val="-3"/>
                <w:kern w:val="2"/>
                <w:sz w:val="24"/>
                <w:szCs w:val="24"/>
                <w:highlight w:val="none"/>
                <w:lang w:val="en-US" w:eastAsia="zh-CN" w:bidi="ar-SA"/>
              </w:rPr>
              <w:t>7</w:t>
            </w:r>
            <w:r>
              <w:rPr>
                <w:rFonts w:hint="default" w:ascii="Times New Roman" w:hAnsi="Times New Roman" w:eastAsia="宋体" w:cs="Times New Roman"/>
                <w:snapToGrid w:val="0"/>
                <w:color w:val="auto"/>
                <w:spacing w:val="-3"/>
                <w:kern w:val="2"/>
                <w:sz w:val="24"/>
                <w:szCs w:val="24"/>
                <w:highlight w:val="none"/>
                <w:lang w:val="en-US" w:eastAsia="zh-CN" w:bidi="ar-SA"/>
              </w:rPr>
              <w:t>。</w:t>
            </w:r>
          </w:p>
          <w:p>
            <w:pPr>
              <w:pStyle w:val="4"/>
              <w:suppressLineNumbers w:val="0"/>
              <w:bidi w:val="0"/>
              <w:spacing w:before="0" w:beforeAutospacing="0" w:after="0" w:afterAutospacing="0" w:line="360" w:lineRule="auto"/>
              <w:ind w:left="720" w:leftChars="0" w:right="0" w:hanging="720" w:firstLineChars="0"/>
              <w:rPr>
                <w:rFonts w:hint="default"/>
              </w:rPr>
            </w:pPr>
            <w:r>
              <w:rPr>
                <w:rFonts w:hint="eastAsia"/>
              </w:rPr>
              <w:t>污染源监测计划</w:t>
            </w:r>
            <w:bookmarkEnd w:id="101"/>
          </w:p>
          <w:p>
            <w:pPr>
              <w:pStyle w:val="43"/>
              <w:keepNext w:val="0"/>
              <w:keepLines w:val="0"/>
              <w:suppressLineNumbers w:val="0"/>
              <w:spacing w:before="0" w:beforeAutospacing="0" w:after="0" w:afterAutospacing="0"/>
              <w:ind w:left="0" w:right="0" w:firstLine="480"/>
              <w:rPr>
                <w:rFonts w:hint="eastAsia"/>
              </w:rPr>
            </w:pPr>
            <w:bookmarkStart w:id="103" w:name="_Ref3126"/>
            <w:bookmarkStart w:id="104" w:name="_Toc3585"/>
            <w:r>
              <w:rPr>
                <w:rFonts w:hint="default"/>
                <w:color w:val="auto"/>
              </w:rPr>
              <w:t>根据</w:t>
            </w:r>
            <w:r>
              <w:rPr>
                <w:rFonts w:hint="eastAsia"/>
                <w:color w:val="auto"/>
                <w:lang w:val="en-US" w:eastAsia="zh-CN"/>
              </w:rPr>
              <w:t>《</w:t>
            </w:r>
            <w:r>
              <w:rPr>
                <w:rFonts w:hint="eastAsia"/>
                <w:color w:val="auto"/>
              </w:rPr>
              <w:t>排污单位自行监测技术指南</w:t>
            </w:r>
            <w:r>
              <w:rPr>
                <w:rFonts w:hint="eastAsia"/>
                <w:color w:val="auto"/>
                <w:lang w:val="en-US" w:eastAsia="zh-CN"/>
              </w:rPr>
              <w:t xml:space="preserve"> </w:t>
            </w:r>
            <w:r>
              <w:rPr>
                <w:rFonts w:hint="eastAsia"/>
                <w:color w:val="auto"/>
              </w:rPr>
              <w:t>橡胶和塑料制品</w:t>
            </w:r>
            <w:r>
              <w:rPr>
                <w:rFonts w:hint="eastAsia"/>
                <w:lang w:val="en-US" w:eastAsia="zh-CN"/>
              </w:rPr>
              <w:t>》</w:t>
            </w:r>
            <w:r>
              <w:rPr>
                <w:rFonts w:hint="eastAsia"/>
                <w:color w:val="auto"/>
              </w:rPr>
              <w:t>（HJ1207—2021）</w:t>
            </w:r>
            <w:r>
              <w:rPr>
                <w:rFonts w:hint="eastAsia"/>
                <w:lang w:val="en-US" w:eastAsia="zh-CN"/>
              </w:rPr>
              <w:t>的监测要求</w:t>
            </w:r>
            <w:r>
              <w:rPr>
                <w:rFonts w:hint="default"/>
              </w:rPr>
              <w:t>及建设单位自身情况，</w:t>
            </w:r>
            <w:r>
              <w:rPr>
                <w:rFonts w:hint="eastAsia"/>
              </w:rPr>
              <w:t>制定项目废气污染源监测计划，本项目废气污染源监测计划如下表所示。</w:t>
            </w:r>
          </w:p>
          <w:p>
            <w:pPr>
              <w:pStyle w:val="42"/>
              <w:keepNext w:val="0"/>
              <w:keepLines w:val="0"/>
              <w:suppressLineNumbers w:val="0"/>
              <w:bidi w:val="0"/>
              <w:spacing w:before="0" w:beforeLines="0" w:beforeAutospacing="0" w:after="0" w:afterAutospacing="0"/>
              <w:ind w:left="0" w:leftChars="0" w:right="0" w:firstLine="0" w:firstLineChars="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污染源</w:t>
            </w:r>
            <w:r>
              <w:rPr>
                <w:rFonts w:hint="default" w:ascii="Times New Roman" w:hAnsi="Times New Roman" w:eastAsia="宋体" w:cs="Times New Roman"/>
                <w:color w:val="auto"/>
                <w:lang w:val="en-US" w:eastAsia="zh-CN"/>
              </w:rPr>
              <w:t>监测计划</w:t>
            </w:r>
            <w:bookmarkEnd w:id="103"/>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10"/>
              <w:gridCol w:w="689"/>
              <w:gridCol w:w="1059"/>
              <w:gridCol w:w="1732"/>
              <w:gridCol w:w="2732"/>
              <w:gridCol w:w="125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77" w:type="pct"/>
                  <w:tcBorders>
                    <w:tl2br w:val="nil"/>
                    <w:tr2bl w:val="nil"/>
                  </w:tcBorders>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序号</w:t>
                  </w:r>
                </w:p>
              </w:tc>
              <w:tc>
                <w:tcPr>
                  <w:tcW w:w="426"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对象</w:t>
                  </w:r>
                </w:p>
              </w:tc>
              <w:tc>
                <w:tcPr>
                  <w:tcW w:w="655"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监测</w:t>
                  </w:r>
                  <w:r>
                    <w:rPr>
                      <w:rFonts w:hint="eastAsia"/>
                      <w:szCs w:val="21"/>
                    </w:rPr>
                    <w:t>点位</w:t>
                  </w:r>
                </w:p>
              </w:tc>
              <w:tc>
                <w:tcPr>
                  <w:tcW w:w="1071"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监测</w:t>
                  </w:r>
                  <w:r>
                    <w:rPr>
                      <w:rFonts w:hint="eastAsia"/>
                      <w:szCs w:val="21"/>
                    </w:rPr>
                    <w:t>项目</w:t>
                  </w:r>
                </w:p>
              </w:tc>
              <w:tc>
                <w:tcPr>
                  <w:tcW w:w="1690"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执行标准</w:t>
                  </w:r>
                </w:p>
              </w:tc>
              <w:tc>
                <w:tcPr>
                  <w:tcW w:w="778"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监测频</w:t>
                  </w:r>
                  <w:r>
                    <w:rPr>
                      <w:rFonts w:hint="eastAsia"/>
                      <w:szCs w:val="21"/>
                    </w:rPr>
                    <w:t>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4" w:hRule="atLeast"/>
                <w:jc w:val="center"/>
              </w:trPr>
              <w:tc>
                <w:tcPr>
                  <w:tcW w:w="377" w:type="pct"/>
                  <w:vMerge w:val="restart"/>
                  <w:tcBorders>
                    <w:tl2br w:val="nil"/>
                    <w:tr2bl w:val="nil"/>
                  </w:tcBorders>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1</w:t>
                  </w:r>
                </w:p>
              </w:tc>
              <w:tc>
                <w:tcPr>
                  <w:tcW w:w="426" w:type="pct"/>
                  <w:vMerge w:val="restar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有组织</w:t>
                  </w:r>
                  <w:r>
                    <w:rPr>
                      <w:rFonts w:hint="default"/>
                      <w:szCs w:val="21"/>
                    </w:rPr>
                    <w:t>废气</w:t>
                  </w:r>
                </w:p>
              </w:tc>
              <w:tc>
                <w:tcPr>
                  <w:tcW w:w="655" w:type="pct"/>
                  <w:vMerge w:val="restar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注塑废气DA001</w:t>
                  </w:r>
                </w:p>
              </w:tc>
              <w:tc>
                <w:tcPr>
                  <w:tcW w:w="1071"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eastAsia="宋体"/>
                      <w:szCs w:val="21"/>
                      <w:lang w:val="en-US" w:eastAsia="zh-CN"/>
                    </w:rPr>
                  </w:pPr>
                  <w:r>
                    <w:rPr>
                      <w:rFonts w:hint="eastAsia"/>
                      <w:szCs w:val="21"/>
                    </w:rPr>
                    <w:t>非甲烷总烃</w:t>
                  </w:r>
                </w:p>
              </w:tc>
              <w:tc>
                <w:tcPr>
                  <w:tcW w:w="1690" w:type="pct"/>
                  <w:tcBorders>
                    <w:tl2br w:val="nil"/>
                    <w:tr2bl w:val="nil"/>
                  </w:tcBorders>
                  <w:tcMar>
                    <w:left w:w="6" w:type="dxa"/>
                    <w:right w:w="6" w:type="dxa"/>
                  </w:tcMar>
                  <w:vAlign w:val="center"/>
                </w:tcPr>
                <w:p>
                  <w:pPr>
                    <w:pStyle w:val="89"/>
                    <w:keepNext w:val="0"/>
                    <w:keepLines w:val="0"/>
                    <w:suppressLineNumbers w:val="0"/>
                    <w:spacing w:before="0" w:beforeAutospacing="0" w:after="0" w:afterAutospacing="0"/>
                    <w:ind w:left="0" w:right="0"/>
                    <w:rPr>
                      <w:rFonts w:hint="eastAsia" w:eastAsia="宋体"/>
                      <w:szCs w:val="21"/>
                      <w:lang w:eastAsia="zh-CN"/>
                    </w:rPr>
                  </w:pPr>
                  <w:r>
                    <w:rPr>
                      <w:rFonts w:hint="eastAsia"/>
                      <w:szCs w:val="21"/>
                    </w:rPr>
                    <w:t>《合成树脂工业污染物排放标准》（</w:t>
                  </w:r>
                  <w:r>
                    <w:rPr>
                      <w:rFonts w:hint="default"/>
                      <w:szCs w:val="21"/>
                    </w:rPr>
                    <w:t>GB31572-2015</w:t>
                  </w:r>
                  <w:r>
                    <w:rPr>
                      <w:rFonts w:hint="eastAsia"/>
                      <w:szCs w:val="21"/>
                    </w:rPr>
                    <w:t>）表</w:t>
                  </w:r>
                  <w:r>
                    <w:rPr>
                      <w:rFonts w:hint="eastAsia"/>
                      <w:szCs w:val="21"/>
                      <w:lang w:val="en-US" w:eastAsia="zh-CN"/>
                    </w:rPr>
                    <w:t>5</w:t>
                  </w:r>
                  <w:r>
                    <w:rPr>
                      <w:rFonts w:hint="eastAsia"/>
                      <w:szCs w:val="21"/>
                    </w:rPr>
                    <w:t>大气污染物特别排放限值标准</w:t>
                  </w:r>
                </w:p>
              </w:tc>
              <w:tc>
                <w:tcPr>
                  <w:tcW w:w="778"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1次/</w:t>
                  </w:r>
                  <w:r>
                    <w:rPr>
                      <w:rFonts w:hint="eastAsia"/>
                      <w:szCs w:val="21"/>
                      <w:lang w:val="en-US" w:eastAsia="zh-CN"/>
                    </w:rPr>
                    <w:t>半</w:t>
                  </w:r>
                  <w:r>
                    <w:rPr>
                      <w:rFonts w:hint="default"/>
                      <w:szCs w:val="21"/>
                    </w:rPr>
                    <w:t>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14" w:hRule="atLeast"/>
                <w:jc w:val="center"/>
              </w:trPr>
              <w:tc>
                <w:tcPr>
                  <w:tcW w:w="377" w:type="pct"/>
                  <w:vMerge w:val="continue"/>
                  <w:tcBorders>
                    <w:tl2br w:val="nil"/>
                    <w:tr2bl w:val="nil"/>
                  </w:tcBorders>
                  <w:vAlign w:val="center"/>
                </w:tcPr>
                <w:p>
                  <w:pPr>
                    <w:pStyle w:val="46"/>
                    <w:keepNext w:val="0"/>
                    <w:keepLines w:val="0"/>
                    <w:suppressLineNumbers w:val="0"/>
                    <w:spacing w:before="0" w:beforeAutospacing="0" w:after="0" w:afterAutospacing="0"/>
                    <w:ind w:right="0"/>
                    <w:rPr>
                      <w:rFonts w:hint="default"/>
                    </w:rPr>
                  </w:pPr>
                </w:p>
              </w:tc>
              <w:tc>
                <w:tcPr>
                  <w:tcW w:w="426" w:type="pct"/>
                  <w:vMerge w:val="continue"/>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rPr>
                  </w:pPr>
                </w:p>
              </w:tc>
              <w:tc>
                <w:tcPr>
                  <w:tcW w:w="655" w:type="pct"/>
                  <w:vMerge w:val="continue"/>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rPr>
                  </w:pPr>
                </w:p>
              </w:tc>
              <w:tc>
                <w:tcPr>
                  <w:tcW w:w="1071"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eastAsia"/>
                      <w:szCs w:val="21"/>
                    </w:rPr>
                  </w:pPr>
                  <w:r>
                    <w:rPr>
                      <w:rFonts w:hint="eastAsia"/>
                      <w:szCs w:val="21"/>
                      <w:lang w:val="en-US" w:eastAsia="zh-CN"/>
                    </w:rPr>
                    <w:t>臭气浓度</w:t>
                  </w:r>
                </w:p>
              </w:tc>
              <w:tc>
                <w:tcPr>
                  <w:tcW w:w="1690"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eastAsia"/>
                      <w:szCs w:val="21"/>
                    </w:rPr>
                  </w:pPr>
                  <w:r>
                    <w:rPr>
                      <w:rFonts w:hint="eastAsia"/>
                      <w:szCs w:val="21"/>
                    </w:rPr>
                    <w:t>《恶臭污染物排放标准》(GB 14554-93)表2中相关标准要求</w:t>
                  </w:r>
                </w:p>
              </w:tc>
              <w:tc>
                <w:tcPr>
                  <w:tcW w:w="778"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eastAsia"/>
                      <w:szCs w:val="21"/>
                    </w:rPr>
                  </w:pPr>
                  <w:r>
                    <w:rPr>
                      <w:rFonts w:hint="default"/>
                      <w:szCs w:val="21"/>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77" w:type="pct"/>
                  <w:tcBorders>
                    <w:tl2br w:val="nil"/>
                    <w:tr2bl w:val="nil"/>
                  </w:tcBorders>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2</w:t>
                  </w:r>
                </w:p>
              </w:tc>
              <w:tc>
                <w:tcPr>
                  <w:tcW w:w="426" w:type="pct"/>
                  <w:vMerge w:val="restar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无组织废气</w:t>
                  </w:r>
                </w:p>
              </w:tc>
              <w:tc>
                <w:tcPr>
                  <w:tcW w:w="655"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厂内无组织监控点</w:t>
                  </w:r>
                </w:p>
              </w:tc>
              <w:tc>
                <w:tcPr>
                  <w:tcW w:w="1071"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非甲烷总烃</w:t>
                  </w:r>
                </w:p>
              </w:tc>
              <w:tc>
                <w:tcPr>
                  <w:tcW w:w="1690"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《挥发性有机物无组织排放控制标准》（GB37822-2019）附录A中表A.1特别排放标准限值</w:t>
                  </w:r>
                </w:p>
              </w:tc>
              <w:tc>
                <w:tcPr>
                  <w:tcW w:w="778"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1次/年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377" w:type="pct"/>
                  <w:tcBorders>
                    <w:tl2br w:val="nil"/>
                    <w:tr2bl w:val="nil"/>
                  </w:tcBorders>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rPr>
                    <w:t>3</w:t>
                  </w:r>
                </w:p>
              </w:tc>
              <w:tc>
                <w:tcPr>
                  <w:tcW w:w="426" w:type="pct"/>
                  <w:vMerge w:val="continue"/>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p>
              </w:tc>
              <w:tc>
                <w:tcPr>
                  <w:tcW w:w="655"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eastAsia"/>
                      <w:szCs w:val="21"/>
                      <w:lang w:eastAsia="en-US"/>
                    </w:rPr>
                    <w:t>厂界无组织监控点</w:t>
                  </w:r>
                </w:p>
              </w:tc>
              <w:tc>
                <w:tcPr>
                  <w:tcW w:w="1071"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eastAsia="宋体"/>
                      <w:szCs w:val="21"/>
                      <w:lang w:val="en-US" w:eastAsia="zh-CN"/>
                    </w:rPr>
                  </w:pPr>
                  <w:r>
                    <w:rPr>
                      <w:rFonts w:hint="eastAsia"/>
                      <w:szCs w:val="21"/>
                    </w:rPr>
                    <w:t>非甲烷总烃</w:t>
                  </w:r>
                  <w:r>
                    <w:rPr>
                      <w:rFonts w:hint="eastAsia"/>
                      <w:szCs w:val="21"/>
                      <w:lang w:eastAsia="zh-CN"/>
                    </w:rPr>
                    <w:t>、</w:t>
                  </w:r>
                  <w:r>
                    <w:rPr>
                      <w:rFonts w:hint="eastAsia"/>
                      <w:szCs w:val="21"/>
                      <w:lang w:val="en-US" w:eastAsia="zh-CN"/>
                    </w:rPr>
                    <w:t>臭气浓度</w:t>
                  </w:r>
                </w:p>
              </w:tc>
              <w:tc>
                <w:tcPr>
                  <w:tcW w:w="1690"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eastAsia" w:eastAsia="宋体"/>
                      <w:szCs w:val="21"/>
                      <w:lang w:eastAsia="zh-CN"/>
                    </w:rPr>
                  </w:pPr>
                  <w:r>
                    <w:rPr>
                      <w:rFonts w:hint="eastAsia"/>
                      <w:szCs w:val="21"/>
                    </w:rPr>
                    <w:t>《合成树脂工业污染物排放标准》（</w:t>
                  </w:r>
                  <w:r>
                    <w:rPr>
                      <w:rFonts w:hint="default"/>
                      <w:szCs w:val="21"/>
                    </w:rPr>
                    <w:t>GB31572-2015</w:t>
                  </w:r>
                  <w:r>
                    <w:rPr>
                      <w:rFonts w:hint="eastAsia"/>
                      <w:szCs w:val="21"/>
                    </w:rPr>
                    <w:t>）表9标准</w:t>
                  </w:r>
                  <w:r>
                    <w:rPr>
                      <w:rFonts w:hint="eastAsia"/>
                      <w:szCs w:val="21"/>
                      <w:lang w:eastAsia="zh-CN"/>
                    </w:rPr>
                    <w:t>；</w:t>
                  </w:r>
                  <w:r>
                    <w:rPr>
                      <w:rFonts w:hint="eastAsia"/>
                      <w:szCs w:val="21"/>
                    </w:rPr>
                    <w:t>《恶臭污染物排放标准》(GB 14554-93)表</w:t>
                  </w:r>
                  <w:r>
                    <w:rPr>
                      <w:rFonts w:hint="eastAsia"/>
                      <w:szCs w:val="21"/>
                      <w:lang w:eastAsia="zh-CN"/>
                    </w:rPr>
                    <w:t>1</w:t>
                  </w:r>
                  <w:r>
                    <w:rPr>
                      <w:rFonts w:hint="eastAsia"/>
                      <w:szCs w:val="21"/>
                    </w:rPr>
                    <w:t>中相关标准要求</w:t>
                  </w:r>
                </w:p>
              </w:tc>
              <w:tc>
                <w:tcPr>
                  <w:tcW w:w="778" w:type="pct"/>
                  <w:tcBorders>
                    <w:tl2br w:val="nil"/>
                    <w:tr2bl w:val="nil"/>
                  </w:tcBorders>
                  <w:tcMar>
                    <w:left w:w="6" w:type="dxa"/>
                    <w:right w:w="6" w:type="dxa"/>
                  </w:tcMar>
                  <w:vAlign w:val="center"/>
                </w:tcPr>
                <w:p>
                  <w:pPr>
                    <w:pStyle w:val="46"/>
                    <w:keepNext w:val="0"/>
                    <w:keepLines w:val="0"/>
                    <w:suppressLineNumbers w:val="0"/>
                    <w:spacing w:before="0" w:beforeAutospacing="0" w:after="0" w:afterAutospacing="0"/>
                    <w:ind w:right="0"/>
                    <w:rPr>
                      <w:rFonts w:hint="default"/>
                      <w:szCs w:val="21"/>
                    </w:rPr>
                  </w:pPr>
                  <w:r>
                    <w:rPr>
                      <w:rFonts w:hint="default"/>
                      <w:szCs w:val="21"/>
                    </w:rPr>
                    <w:t>1次/年</w:t>
                  </w:r>
                </w:p>
              </w:tc>
            </w:tr>
          </w:tbl>
          <w:p>
            <w:pPr>
              <w:pStyle w:val="3"/>
              <w:keepNext w:val="0"/>
              <w:keepLines w:val="0"/>
              <w:suppressLineNumbers w:val="0"/>
              <w:bidi w:val="0"/>
              <w:spacing w:before="0" w:beforeAutospacing="0" w:after="0" w:afterAutospacing="0"/>
              <w:ind w:left="0" w:right="0"/>
              <w:rPr>
                <w:rFonts w:hint="default"/>
              </w:rPr>
            </w:pPr>
            <w:r>
              <w:rPr>
                <w:rFonts w:hint="eastAsia"/>
              </w:rPr>
              <w:t>废水源强分析</w:t>
            </w:r>
            <w:bookmarkEnd w:id="104"/>
          </w:p>
          <w:p>
            <w:pPr>
              <w:pStyle w:val="4"/>
              <w:suppressLineNumbers w:val="0"/>
              <w:bidi w:val="0"/>
              <w:spacing w:before="0" w:beforeAutospacing="0" w:after="0" w:afterAutospacing="0"/>
              <w:ind w:left="720" w:leftChars="0" w:right="0" w:hanging="720" w:firstLineChars="0"/>
              <w:rPr>
                <w:rFonts w:hint="default"/>
              </w:rPr>
            </w:pPr>
            <w:r>
              <w:rPr>
                <w:rFonts w:hint="eastAsia"/>
                <w:lang w:val="en-US" w:eastAsia="zh-CN"/>
              </w:rPr>
              <w:t>废水</w:t>
            </w:r>
            <w:r>
              <w:rPr>
                <w:rFonts w:hint="eastAsia"/>
              </w:rPr>
              <w:t>污染源强</w:t>
            </w:r>
          </w:p>
          <w:p>
            <w:pPr>
              <w:keepNext w:val="0"/>
              <w:keepLines w:val="0"/>
              <w:suppressLineNumbers w:val="0"/>
              <w:spacing w:before="0" w:beforeAutospacing="0" w:after="0" w:afterAutospacing="0" w:line="360" w:lineRule="auto"/>
              <w:ind w:left="0" w:right="0" w:firstLine="468" w:firstLineChars="200"/>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本项目产生的废水主要</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为生活废水。</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lang w:val="en-US" w:eastAsia="zh-CN"/>
              </w:rPr>
            </w:pP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（1）</w:t>
            </w:r>
            <w:r>
              <w:rPr>
                <w:rFonts w:hint="eastAsia" w:cs="Times New Roman"/>
                <w:lang w:val="en-US" w:eastAsia="zh-CN"/>
              </w:rPr>
              <w:t>循环冷却系统用水</w:t>
            </w:r>
          </w:p>
          <w:p>
            <w:pPr>
              <w:pStyle w:val="8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val="en-US"/>
              </w:rPr>
            </w:pP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注塑机生产线设备冷却水</w:t>
            </w:r>
            <w:r>
              <w:rPr>
                <w:rFonts w:hint="eastAsia" w:cs="Times New Roman"/>
                <w:b w:val="0"/>
                <w:bCs w:val="0"/>
                <w:color w:val="000000" w:themeColor="text1"/>
                <w:sz w:val="24"/>
                <w:lang w:val="en-US" w:eastAsia="zh-CN"/>
                <w14:textFill>
                  <w14:solidFill>
                    <w14:schemeClr w14:val="tx1"/>
                  </w14:solidFill>
                </w14:textFill>
              </w:rPr>
              <w:t>3t</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/d，冷却水经冷却塔处理后循环使用，</w:t>
            </w:r>
            <w:r>
              <w:rPr>
                <w:rFonts w:hint="eastAsia" w:cs="Times New Roman"/>
                <w:b w:val="0"/>
                <w:bCs w:val="0"/>
                <w:color w:val="000000" w:themeColor="text1"/>
                <w:sz w:val="24"/>
                <w:lang w:val="en-US" w:eastAsia="zh-CN"/>
                <w14:textFill>
                  <w14:solidFill>
                    <w14:schemeClr w14:val="tx1"/>
                  </w14:solidFill>
                </w14:textFill>
              </w:rPr>
              <w:t>不外排。</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生活</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废水</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default" w:ascii="Times New Roman" w:hAnsi="Times New Roman" w:eastAsia="宋体" w:cs="Times New Roman"/>
              </w:rPr>
              <w:t>职工</w:t>
            </w:r>
            <w:r>
              <w:rPr>
                <w:rFonts w:hint="eastAsia" w:cs="Times New Roman"/>
                <w:lang w:val="en-US" w:eastAsia="zh-CN"/>
              </w:rPr>
              <w:t>生活用水</w:t>
            </w:r>
            <w:r>
              <w:rPr>
                <w:rFonts w:hint="default" w:ascii="Times New Roman" w:hAnsi="Times New Roman" w:eastAsia="宋体" w:cs="Times New Roman"/>
                <w:color w:val="auto"/>
              </w:rPr>
              <w:t>年用水量为</w:t>
            </w:r>
            <w:r>
              <w:rPr>
                <w:rFonts w:hint="eastAsia" w:cs="Times New Roman"/>
                <w:color w:val="auto"/>
                <w:lang w:val="en-US" w:eastAsia="zh-CN"/>
              </w:rPr>
              <w:t>150</w:t>
            </w:r>
            <w:r>
              <w:rPr>
                <w:rFonts w:hint="default" w:ascii="Times New Roman" w:hAnsi="Times New Roman" w:eastAsia="宋体" w:cs="Times New Roman"/>
                <w:color w:val="auto"/>
              </w:rPr>
              <w:t>t/a(</w:t>
            </w:r>
            <w:r>
              <w:rPr>
                <w:rFonts w:hint="eastAsia" w:cs="Times New Roman"/>
                <w:color w:val="auto"/>
                <w:lang w:val="en-US" w:eastAsia="zh-CN"/>
              </w:rPr>
              <w:t>0.5</w:t>
            </w:r>
            <w:r>
              <w:rPr>
                <w:rFonts w:hint="default" w:ascii="Times New Roman" w:hAnsi="Times New Roman" w:eastAsia="宋体" w:cs="Times New Roman"/>
                <w:color w:val="auto"/>
              </w:rPr>
              <w:t>t/d)，排污系数取0.8，则生活污水排放量</w:t>
            </w:r>
            <w:r>
              <w:rPr>
                <w:rFonts w:hint="eastAsia" w:cs="Times New Roman"/>
                <w:color w:val="auto"/>
                <w:lang w:val="en-US" w:eastAsia="zh-CN"/>
              </w:rPr>
              <w:t>120</w:t>
            </w:r>
            <w:r>
              <w:rPr>
                <w:rFonts w:hint="default" w:ascii="Times New Roman" w:hAnsi="Times New Roman" w:eastAsia="宋体" w:cs="Times New Roman"/>
                <w:color w:val="auto"/>
              </w:rPr>
              <w:t>t/a(</w:t>
            </w:r>
            <w:r>
              <w:rPr>
                <w:rFonts w:hint="eastAsia" w:cs="Times New Roman"/>
                <w:color w:val="auto"/>
                <w:lang w:val="en-US" w:eastAsia="zh-CN"/>
              </w:rPr>
              <w:t>0.4</w:t>
            </w:r>
            <w:r>
              <w:rPr>
                <w:rFonts w:hint="default" w:ascii="Times New Roman" w:hAnsi="Times New Roman" w:eastAsia="宋体" w:cs="Times New Roman"/>
                <w:color w:val="auto"/>
              </w:rPr>
              <w:t>t/d)</w:t>
            </w:r>
            <w:r>
              <w:rPr>
                <w:rFonts w:hint="default" w:ascii="Times New Roman" w:hAnsi="Times New Roman" w:eastAsia="宋体" w:cs="Times New Roman"/>
              </w:rPr>
              <w:t>。</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rPr>
            </w:pPr>
            <w:r>
              <w:rPr>
                <w:rFonts w:hint="eastAsia" w:cs="Times New Roman"/>
                <w:lang w:val="en-US" w:eastAsia="zh-CN"/>
              </w:rPr>
              <w:t>生活污水经厂内</w:t>
            </w:r>
            <w:r>
              <w:rPr>
                <w:rFonts w:hint="default" w:ascii="Times New Roman" w:hAnsi="Times New Roman" w:eastAsia="宋体" w:cs="Times New Roman"/>
              </w:rPr>
              <w:t>化粪池预处理</w:t>
            </w:r>
            <w:r>
              <w:rPr>
                <w:rFonts w:hint="eastAsia" w:cs="Times New Roman"/>
                <w:lang w:val="en-US" w:eastAsia="zh-CN"/>
              </w:rPr>
              <w:t>达到</w:t>
            </w:r>
            <w:r>
              <w:rPr>
                <w:rFonts w:hint="default" w:ascii="Times New Roman" w:hAnsi="Times New Roman" w:eastAsia="宋体" w:cs="Times New Roman"/>
              </w:rPr>
              <w:t>《污水综合排放标准》（GB8978-1996）表4中三级标准</w:t>
            </w:r>
            <w:r>
              <w:rPr>
                <w:rFonts w:hint="eastAsia" w:cs="Times New Roman"/>
                <w:lang w:eastAsia="zh-CN"/>
              </w:rPr>
              <w:t>（</w:t>
            </w:r>
            <w:r>
              <w:rPr>
                <w:rFonts w:hint="default" w:ascii="Times New Roman" w:hAnsi="Times New Roman" w:eastAsia="宋体" w:cs="Times New Roman"/>
                <w:color w:val="auto"/>
                <w:highlight w:val="none"/>
              </w:rPr>
              <w:t>氨氮参照执行《污水排入城镇下水道水质标准》(GB/T31962-2015)表1的B等级标准</w:t>
            </w:r>
            <w:r>
              <w:rPr>
                <w:rFonts w:hint="eastAsia" w:cs="Times New Roman"/>
                <w:lang w:eastAsia="zh-CN"/>
              </w:rPr>
              <w:t>）</w:t>
            </w:r>
            <w:r>
              <w:rPr>
                <w:rFonts w:hint="default" w:ascii="Times New Roman" w:hAnsi="Times New Roman" w:eastAsia="宋体" w:cs="Times New Roman"/>
              </w:rPr>
              <w:t>后，接入连江县城区污水处理厂处理。生活污水水质参考《全国第二次污染源普查-生活源产排污系数手册》及《给排水设计手册》中典型生活污水水质指标。</w:t>
            </w:r>
            <w:r>
              <w:rPr>
                <w:rFonts w:hint="eastAsia"/>
              </w:rPr>
              <w:t>参考环评手册中《常用污水处理设备及去除率》，化粪池对污水的处理效率一般为：COD：15%、BOD</w:t>
            </w:r>
            <w:r>
              <w:rPr>
                <w:rFonts w:hint="eastAsia"/>
                <w:vertAlign w:val="subscript"/>
              </w:rPr>
              <w:t>5</w:t>
            </w:r>
            <w:r>
              <w:rPr>
                <w:rFonts w:hint="eastAsia"/>
              </w:rPr>
              <w:t>：9%、氨氮：3%、SS：30%</w:t>
            </w:r>
            <w:r>
              <w:rPr>
                <w:rFonts w:hint="eastAsia"/>
                <w:lang w:eastAsia="zh-CN"/>
              </w:rPr>
              <w:t>，</w:t>
            </w:r>
            <w:r>
              <w:rPr>
                <w:rFonts w:hint="default" w:ascii="Times New Roman" w:hAnsi="Times New Roman" w:eastAsia="宋体" w:cs="Times New Roman"/>
              </w:rPr>
              <w:t>生活污水源强情况详见下表：</w:t>
            </w:r>
          </w:p>
          <w:p>
            <w:pPr>
              <w:pStyle w:val="42"/>
              <w:keepNext w:val="0"/>
              <w:keepLines w:val="0"/>
              <w:suppressLineNumbers w:val="0"/>
              <w:tabs>
                <w:tab w:val="clear" w:pos="2126"/>
              </w:tabs>
              <w:bidi w:val="0"/>
              <w:spacing w:before="0" w:beforeAutospacing="0" w:after="0" w:afterAutospacing="0"/>
              <w:ind w:right="0"/>
              <w:rPr>
                <w:rFonts w:hint="default" w:ascii="Times New Roman" w:hAnsi="Times New Roman" w:eastAsia="宋体" w:cs="Times New Roman"/>
                <w:highlight w:val="none"/>
                <w:lang w:val="en-US" w:eastAsia="zh-CN"/>
              </w:rPr>
            </w:pPr>
            <w:bookmarkStart w:id="105" w:name="_Ref17461"/>
            <w:r>
              <w:rPr>
                <w:rFonts w:hint="default" w:ascii="Times New Roman" w:hAnsi="Times New Roman" w:eastAsia="宋体" w:cs="Times New Roman"/>
                <w:highlight w:val="none"/>
                <w:lang w:val="en-US" w:eastAsia="zh-CN"/>
              </w:rPr>
              <w:t>生活污水产生及排放源强一览表</w:t>
            </w:r>
            <w:bookmarkEnd w:id="105"/>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050"/>
              <w:gridCol w:w="1007"/>
              <w:gridCol w:w="666"/>
              <w:gridCol w:w="917"/>
              <w:gridCol w:w="917"/>
              <w:gridCol w:w="1270"/>
              <w:gridCol w:w="12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Merge w:val="restart"/>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w:t>
                  </w:r>
                </w:p>
              </w:tc>
              <w:tc>
                <w:tcPr>
                  <w:tcW w:w="2057" w:type="dxa"/>
                  <w:gridSpan w:val="2"/>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产生情况</w:t>
                  </w:r>
                </w:p>
              </w:tc>
              <w:tc>
                <w:tcPr>
                  <w:tcW w:w="666"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治理设施</w:t>
                  </w:r>
                </w:p>
              </w:tc>
              <w:tc>
                <w:tcPr>
                  <w:tcW w:w="917" w:type="dxa"/>
                  <w:vMerge w:val="restart"/>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处理效率（%）</w:t>
                  </w:r>
                </w:p>
              </w:tc>
              <w:tc>
                <w:tcPr>
                  <w:tcW w:w="917" w:type="dxa"/>
                  <w:vMerge w:val="restart"/>
                  <w:vAlign w:val="center"/>
                </w:tcPr>
                <w:p>
                  <w:pPr>
                    <w:pStyle w:val="46"/>
                    <w:keepNext w:val="0"/>
                    <w:keepLines w:val="0"/>
                    <w:suppressLineNumbers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是否为可行技术</w:t>
                  </w:r>
                </w:p>
              </w:tc>
              <w:tc>
                <w:tcPr>
                  <w:tcW w:w="2488" w:type="dxa"/>
                  <w:gridSpan w:val="2"/>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color w:val="FF0000"/>
                      <w:sz w:val="21"/>
                      <w:szCs w:val="21"/>
                    </w:rPr>
                  </w:pPr>
                  <w:r>
                    <w:rPr>
                      <w:rFonts w:hint="default" w:ascii="Times New Roman" w:hAnsi="Times New Roman" w:eastAsia="宋体" w:cs="Times New Roman"/>
                      <w:color w:val="auto"/>
                      <w:sz w:val="21"/>
                      <w:szCs w:val="21"/>
                    </w:rPr>
                    <w:t>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Merge w:val="continue"/>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p>
              </w:tc>
              <w:tc>
                <w:tcPr>
                  <w:tcW w:w="105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产生浓度mg/L</w:t>
                  </w:r>
                </w:p>
              </w:tc>
              <w:tc>
                <w:tcPr>
                  <w:tcW w:w="1007"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产生量t/a</w:t>
                  </w:r>
                </w:p>
              </w:tc>
              <w:tc>
                <w:tcPr>
                  <w:tcW w:w="666" w:type="dxa"/>
                  <w:vMerge w:val="restart"/>
                  <w:vAlign w:val="center"/>
                </w:tcPr>
                <w:p>
                  <w:pPr>
                    <w:pStyle w:val="46"/>
                    <w:keepNext w:val="0"/>
                    <w:keepLines w:val="0"/>
                    <w:suppressLineNumbers w:val="0"/>
                    <w:spacing w:before="0" w:beforeAutospacing="0" w:after="0" w:afterAutospacing="0"/>
                    <w:ind w:right="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化粪池</w:t>
                  </w:r>
                </w:p>
              </w:tc>
              <w:tc>
                <w:tcPr>
                  <w:tcW w:w="917" w:type="dxa"/>
                  <w:vMerge w:val="continue"/>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p>
              </w:tc>
              <w:tc>
                <w:tcPr>
                  <w:tcW w:w="917" w:type="dxa"/>
                  <w:vMerge w:val="continue"/>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p>
              </w:tc>
              <w:tc>
                <w:tcPr>
                  <w:tcW w:w="127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排放浓度</w:t>
                  </w:r>
                </w:p>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218"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废水量</w:t>
                  </w:r>
                </w:p>
              </w:tc>
              <w:tc>
                <w:tcPr>
                  <w:tcW w:w="105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0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120</w:t>
                  </w:r>
                </w:p>
              </w:tc>
              <w:tc>
                <w:tcPr>
                  <w:tcW w:w="666"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cs="Times New Roman"/>
                      <w:sz w:val="21"/>
                      <w:szCs w:val="21"/>
                      <w:lang w:val="en-US" w:eastAsia="zh-CN"/>
                    </w:rPr>
                  </w:pPr>
                </w:p>
              </w:tc>
              <w:tc>
                <w:tcPr>
                  <w:tcW w:w="917"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c>
                <w:tcPr>
                  <w:tcW w:w="917" w:type="dxa"/>
                  <w:vMerge w:val="restart"/>
                  <w:vAlign w:val="center"/>
                </w:tcPr>
                <w:p>
                  <w:pPr>
                    <w:pStyle w:val="46"/>
                    <w:keepNext w:val="0"/>
                    <w:keepLines w:val="0"/>
                    <w:suppressLineNumbers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是</w:t>
                  </w:r>
                </w:p>
              </w:tc>
              <w:tc>
                <w:tcPr>
                  <w:tcW w:w="127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1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05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450</w:t>
                  </w:r>
                </w:p>
              </w:tc>
              <w:tc>
                <w:tcPr>
                  <w:tcW w:w="100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cs="Times New Roman"/>
                      <w:sz w:val="21"/>
                      <w:szCs w:val="21"/>
                      <w:lang w:val="en-US" w:eastAsia="zh-CN"/>
                    </w:rPr>
                    <w:t>054</w:t>
                  </w:r>
                </w:p>
              </w:tc>
              <w:tc>
                <w:tcPr>
                  <w:tcW w:w="666"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p>
              </w:tc>
              <w:tc>
                <w:tcPr>
                  <w:tcW w:w="917"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w:t>
                  </w:r>
                </w:p>
              </w:tc>
              <w:tc>
                <w:tcPr>
                  <w:tcW w:w="917" w:type="dxa"/>
                  <w:vMerge w:val="continue"/>
                  <w:vAlign w:val="center"/>
                </w:tcPr>
                <w:p>
                  <w:pPr>
                    <w:pStyle w:val="46"/>
                    <w:keepNext w:val="0"/>
                    <w:keepLines w:val="0"/>
                    <w:suppressLineNumbers w:val="0"/>
                    <w:spacing w:before="0" w:beforeAutospacing="0" w:after="0" w:afterAutospacing="0"/>
                    <w:ind w:right="0"/>
                    <w:rPr>
                      <w:rFonts w:hint="eastAsia" w:cs="Times New Roman"/>
                      <w:sz w:val="21"/>
                      <w:szCs w:val="21"/>
                      <w:lang w:val="en-US" w:eastAsia="zh-CN"/>
                    </w:rPr>
                  </w:pPr>
                </w:p>
              </w:tc>
              <w:tc>
                <w:tcPr>
                  <w:tcW w:w="1270" w:type="dxa"/>
                  <w:vAlign w:val="center"/>
                </w:tcPr>
                <w:p>
                  <w:pPr>
                    <w:pStyle w:val="46"/>
                    <w:keepNext w:val="0"/>
                    <w:keepLines w:val="0"/>
                    <w:suppressLineNumbers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382.5</w:t>
                  </w:r>
                </w:p>
              </w:tc>
              <w:tc>
                <w:tcPr>
                  <w:tcW w:w="121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cs="Times New Roman"/>
                      <w:sz w:val="21"/>
                      <w:szCs w:val="21"/>
                      <w:lang w:val="en-US" w:eastAsia="zh-CN"/>
                    </w:rPr>
                    <w:t>046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105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w:t>
                  </w:r>
                </w:p>
              </w:tc>
              <w:tc>
                <w:tcPr>
                  <w:tcW w:w="100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0.024</w:t>
                  </w:r>
                </w:p>
              </w:tc>
              <w:tc>
                <w:tcPr>
                  <w:tcW w:w="666"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cs="Times New Roman"/>
                      <w:sz w:val="21"/>
                      <w:szCs w:val="21"/>
                      <w:lang w:val="en-US" w:eastAsia="zh-CN"/>
                    </w:rPr>
                  </w:pPr>
                </w:p>
              </w:tc>
              <w:tc>
                <w:tcPr>
                  <w:tcW w:w="917"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9</w:t>
                  </w:r>
                </w:p>
              </w:tc>
              <w:tc>
                <w:tcPr>
                  <w:tcW w:w="917" w:type="dxa"/>
                  <w:vMerge w:val="continue"/>
                  <w:vAlign w:val="center"/>
                </w:tcPr>
                <w:p>
                  <w:pPr>
                    <w:pStyle w:val="46"/>
                    <w:keepNext w:val="0"/>
                    <w:keepLines w:val="0"/>
                    <w:suppressLineNumbers w:val="0"/>
                    <w:spacing w:before="0" w:beforeAutospacing="0" w:after="0" w:afterAutospacing="0"/>
                    <w:ind w:right="0"/>
                    <w:rPr>
                      <w:rFonts w:hint="eastAsia" w:cs="Times New Roman"/>
                      <w:sz w:val="21"/>
                      <w:szCs w:val="21"/>
                      <w:lang w:val="en-US" w:eastAsia="zh-CN"/>
                    </w:rPr>
                  </w:pPr>
                </w:p>
              </w:tc>
              <w:tc>
                <w:tcPr>
                  <w:tcW w:w="1270" w:type="dxa"/>
                  <w:vAlign w:val="center"/>
                </w:tcPr>
                <w:p>
                  <w:pPr>
                    <w:pStyle w:val="46"/>
                    <w:keepNext w:val="0"/>
                    <w:keepLines w:val="0"/>
                    <w:suppressLineNumbers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182</w:t>
                  </w:r>
                </w:p>
              </w:tc>
              <w:tc>
                <w:tcPr>
                  <w:tcW w:w="121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cs="Times New Roman"/>
                      <w:sz w:val="21"/>
                      <w:szCs w:val="21"/>
                      <w:lang w:val="en-US" w:eastAsia="zh-CN"/>
                    </w:rPr>
                    <w:t>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05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35</w:t>
                  </w:r>
                </w:p>
              </w:tc>
              <w:tc>
                <w:tcPr>
                  <w:tcW w:w="100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w:t>
                  </w:r>
                  <w:r>
                    <w:rPr>
                      <w:rFonts w:hint="eastAsia" w:cs="Times New Roman"/>
                      <w:sz w:val="21"/>
                      <w:szCs w:val="21"/>
                      <w:lang w:val="en-US" w:eastAsia="zh-CN"/>
                    </w:rPr>
                    <w:t>04</w:t>
                  </w:r>
                </w:p>
              </w:tc>
              <w:tc>
                <w:tcPr>
                  <w:tcW w:w="666"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p>
              </w:tc>
              <w:tc>
                <w:tcPr>
                  <w:tcW w:w="917"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917" w:type="dxa"/>
                  <w:vMerge w:val="continue"/>
                  <w:vAlign w:val="center"/>
                </w:tcPr>
                <w:p>
                  <w:pPr>
                    <w:pStyle w:val="46"/>
                    <w:keepNext w:val="0"/>
                    <w:keepLines w:val="0"/>
                    <w:suppressLineNumbers w:val="0"/>
                    <w:spacing w:before="0" w:beforeAutospacing="0" w:after="0" w:afterAutospacing="0"/>
                    <w:ind w:right="0"/>
                    <w:rPr>
                      <w:rFonts w:hint="eastAsia" w:cs="Times New Roman"/>
                      <w:sz w:val="21"/>
                      <w:szCs w:val="21"/>
                      <w:lang w:val="en-US" w:eastAsia="zh-CN"/>
                    </w:rPr>
                  </w:pPr>
                </w:p>
              </w:tc>
              <w:tc>
                <w:tcPr>
                  <w:tcW w:w="1270" w:type="dxa"/>
                  <w:vAlign w:val="center"/>
                </w:tcPr>
                <w:p>
                  <w:pPr>
                    <w:pStyle w:val="46"/>
                    <w:keepNext w:val="0"/>
                    <w:keepLines w:val="0"/>
                    <w:suppressLineNumbers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33.95</w:t>
                  </w:r>
                </w:p>
              </w:tc>
              <w:tc>
                <w:tcPr>
                  <w:tcW w:w="121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0.0</w:t>
                  </w:r>
                  <w:r>
                    <w:rPr>
                      <w:rFonts w:hint="eastAsia" w:cs="Times New Roman"/>
                      <w:sz w:val="21"/>
                      <w:szCs w:val="21"/>
                      <w:lang w:val="en-US" w:eastAsia="zh-CN"/>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6"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050"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250</w:t>
                  </w:r>
                </w:p>
              </w:tc>
              <w:tc>
                <w:tcPr>
                  <w:tcW w:w="100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cs="Times New Roman"/>
                      <w:sz w:val="21"/>
                      <w:szCs w:val="21"/>
                      <w:lang w:val="en-US" w:eastAsia="zh-CN"/>
                    </w:rPr>
                    <w:t>03</w:t>
                  </w:r>
                </w:p>
              </w:tc>
              <w:tc>
                <w:tcPr>
                  <w:tcW w:w="666"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rPr>
                  </w:pPr>
                </w:p>
              </w:tc>
              <w:tc>
                <w:tcPr>
                  <w:tcW w:w="917" w:type="dxa"/>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lang w:val="en-US" w:eastAsia="zh-CN"/>
                    </w:rPr>
                  </w:pPr>
                  <w:r>
                    <w:rPr>
                      <w:rFonts w:hint="eastAsia" w:cs="Times New Roman"/>
                      <w:sz w:val="21"/>
                      <w:szCs w:val="21"/>
                      <w:lang w:val="en-US" w:eastAsia="zh-CN"/>
                    </w:rPr>
                    <w:t>30</w:t>
                  </w:r>
                </w:p>
              </w:tc>
              <w:tc>
                <w:tcPr>
                  <w:tcW w:w="917" w:type="dxa"/>
                  <w:vMerge w:val="continue"/>
                  <w:vAlign w:val="center"/>
                </w:tcPr>
                <w:p>
                  <w:pPr>
                    <w:pStyle w:val="46"/>
                    <w:keepNext w:val="0"/>
                    <w:keepLines w:val="0"/>
                    <w:suppressLineNumbers w:val="0"/>
                    <w:spacing w:before="0" w:beforeAutospacing="0" w:after="0" w:afterAutospacing="0"/>
                    <w:ind w:right="0"/>
                    <w:rPr>
                      <w:rFonts w:hint="eastAsia" w:cs="Times New Roman"/>
                      <w:sz w:val="21"/>
                      <w:szCs w:val="21"/>
                      <w:lang w:val="en-US" w:eastAsia="zh-CN"/>
                    </w:rPr>
                  </w:pPr>
                </w:p>
              </w:tc>
              <w:tc>
                <w:tcPr>
                  <w:tcW w:w="1270" w:type="dxa"/>
                  <w:vAlign w:val="center"/>
                </w:tcPr>
                <w:p>
                  <w:pPr>
                    <w:pStyle w:val="46"/>
                    <w:keepNext w:val="0"/>
                    <w:keepLines w:val="0"/>
                    <w:suppressLineNumbers w:val="0"/>
                    <w:spacing w:before="0" w:beforeAutospacing="0" w:after="0" w:afterAutospacing="0"/>
                    <w:ind w:right="0"/>
                    <w:rPr>
                      <w:rFonts w:hint="default" w:cs="Times New Roman"/>
                      <w:sz w:val="21"/>
                      <w:szCs w:val="21"/>
                      <w:lang w:val="en-US" w:eastAsia="zh-CN"/>
                    </w:rPr>
                  </w:pPr>
                  <w:r>
                    <w:rPr>
                      <w:rFonts w:hint="eastAsia" w:cs="Times New Roman"/>
                      <w:sz w:val="21"/>
                      <w:szCs w:val="21"/>
                      <w:lang w:val="en-US" w:eastAsia="zh-CN"/>
                    </w:rPr>
                    <w:t>175</w:t>
                  </w:r>
                </w:p>
              </w:tc>
              <w:tc>
                <w:tcPr>
                  <w:tcW w:w="121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0.</w:t>
                  </w:r>
                  <w:r>
                    <w:rPr>
                      <w:rFonts w:hint="eastAsia" w:cs="Times New Roman"/>
                      <w:sz w:val="21"/>
                      <w:szCs w:val="21"/>
                      <w:lang w:val="en-US" w:eastAsia="zh-CN"/>
                    </w:rPr>
                    <w:t>021</w:t>
                  </w:r>
                </w:p>
              </w:tc>
            </w:tr>
          </w:tbl>
          <w:p>
            <w:pPr>
              <w:keepNext w:val="0"/>
              <w:keepLines w:val="0"/>
              <w:suppressLineNumbers w:val="0"/>
              <w:spacing w:before="0" w:beforeAutospacing="0" w:after="0" w:afterAutospacing="0" w:line="360" w:lineRule="auto"/>
              <w:ind w:left="0" w:right="0" w:firstLine="468" w:firstLineChars="200"/>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根据上表分析，项目</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生活污水</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经化粪池处理后</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w:t>
            </w:r>
            <w:r>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各污染物排放浓度均可满足</w:t>
            </w:r>
            <w:r>
              <w:rPr>
                <w:rFonts w:hint="eastAsia" w:ascii="Times New Roman" w:hAnsi="Times New Roman" w:eastAsia="宋体" w:cs="Times New Roman"/>
                <w:snapToGrid w:val="0"/>
                <w:color w:val="auto"/>
                <w:spacing w:val="-3"/>
                <w:kern w:val="2"/>
                <w:sz w:val="24"/>
                <w:szCs w:val="24"/>
                <w:highlight w:val="none"/>
                <w:lang w:val="en-US" w:eastAsia="zh-CN" w:bidi="ar-SA"/>
              </w:rPr>
              <w:t>《污水综合排放标准》(GB8978-1996)中的三级标准</w:t>
            </w:r>
            <w:r>
              <w:rPr>
                <w:rFonts w:hint="eastAsia" w:cs="Times New Roman"/>
                <w:snapToGrid w:val="0"/>
                <w:color w:val="auto"/>
                <w:spacing w:val="-3"/>
                <w:kern w:val="2"/>
                <w:sz w:val="24"/>
                <w:szCs w:val="24"/>
                <w:highlight w:val="none"/>
                <w:lang w:val="en-US" w:eastAsia="zh-CN" w:bidi="ar-SA"/>
              </w:rPr>
              <w:t>，</w:t>
            </w:r>
            <w:r>
              <w:rPr>
                <w:rFonts w:hint="eastAsia" w:ascii="Times New Roman" w:hAnsi="Times New Roman" w:eastAsia="宋体" w:cs="Times New Roman"/>
                <w:snapToGrid w:val="0"/>
                <w:color w:val="auto"/>
                <w:spacing w:val="-3"/>
                <w:kern w:val="2"/>
                <w:sz w:val="24"/>
                <w:szCs w:val="24"/>
                <w:highlight w:val="none"/>
                <w:lang w:val="en-US" w:eastAsia="zh-CN" w:bidi="ar-SA"/>
              </w:rPr>
              <w:t>其中NH</w:t>
            </w:r>
            <w:r>
              <w:rPr>
                <w:rFonts w:hint="eastAsia" w:ascii="Times New Roman" w:hAnsi="Times New Roman" w:eastAsia="宋体" w:cs="Times New Roman"/>
                <w:snapToGrid w:val="0"/>
                <w:color w:val="auto"/>
                <w:spacing w:val="-3"/>
                <w:kern w:val="2"/>
                <w:sz w:val="24"/>
                <w:szCs w:val="24"/>
                <w:highlight w:val="none"/>
                <w:vertAlign w:val="subscript"/>
                <w:lang w:val="en-US" w:eastAsia="zh-CN" w:bidi="ar-SA"/>
              </w:rPr>
              <w:t>3</w:t>
            </w:r>
            <w:r>
              <w:rPr>
                <w:rFonts w:hint="eastAsia" w:ascii="Times New Roman" w:hAnsi="Times New Roman" w:eastAsia="宋体" w:cs="Times New Roman"/>
                <w:snapToGrid w:val="0"/>
                <w:color w:val="auto"/>
                <w:spacing w:val="-3"/>
                <w:kern w:val="2"/>
                <w:sz w:val="24"/>
                <w:szCs w:val="24"/>
                <w:highlight w:val="none"/>
                <w:lang w:val="en-US" w:eastAsia="zh-CN" w:bidi="ar-SA"/>
              </w:rPr>
              <w:t>-N可达《污水排入城镇下水道水质标准》(GB/T31962-2015)B等级标准限值</w:t>
            </w:r>
            <w:r>
              <w:rPr>
                <w:rFonts w:hint="eastAsia" w:cs="Times New Roman"/>
                <w:snapToGrid w:val="0"/>
                <w:color w:val="auto"/>
                <w:spacing w:val="-3"/>
                <w:kern w:val="2"/>
                <w:sz w:val="24"/>
                <w:szCs w:val="24"/>
                <w:highlight w:val="none"/>
                <w:lang w:val="en-US" w:eastAsia="zh-CN" w:bidi="ar-SA"/>
              </w:rPr>
              <w:t>。</w:t>
            </w:r>
          </w:p>
          <w:p>
            <w:pPr>
              <w:pStyle w:val="4"/>
              <w:suppressLineNumbers w:val="0"/>
              <w:bidi w:val="0"/>
              <w:spacing w:beforeAutospacing="0" w:after="0" w:afterAutospacing="0" w:line="360" w:lineRule="auto"/>
              <w:ind w:left="720" w:leftChars="0" w:right="0" w:hanging="720" w:firstLineChars="0"/>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lang w:val="en-US" w:eastAsia="zh-CN"/>
              </w:rPr>
              <w:t>废水处理措施可行性分析</w:t>
            </w:r>
          </w:p>
          <w:p>
            <w:pPr>
              <w:keepNext w:val="0"/>
              <w:keepLines w:val="0"/>
              <w:suppressLineNumbers w:val="0"/>
              <w:spacing w:before="0" w:beforeAutospacing="0" w:after="0" w:afterAutospacing="0" w:line="360" w:lineRule="auto"/>
              <w:ind w:left="0" w:right="0" w:firstLine="468" w:firstLineChars="200"/>
              <w:rPr>
                <w:rFonts w:hint="default"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（1）项目污水排放去向</w:t>
            </w:r>
          </w:p>
          <w:p>
            <w:pPr>
              <w:pStyle w:val="43"/>
              <w:keepNext w:val="0"/>
              <w:keepLines w:val="0"/>
              <w:suppressLineNumbers w:val="0"/>
              <w:spacing w:before="0" w:beforeAutospacing="0" w:after="0" w:afterAutospacing="0" w:line="360" w:lineRule="auto"/>
              <w:ind w:left="0" w:right="0" w:firstLineChars="200"/>
              <w:rPr>
                <w:rFonts w:hint="eastAsia"/>
                <w:lang w:val="en-US" w:eastAsia="zh-CN"/>
              </w:rPr>
            </w:pPr>
            <w:r>
              <w:rPr>
                <w:rFonts w:hint="eastAsia"/>
                <w:lang w:val="en-US" w:eastAsia="zh-CN"/>
              </w:rPr>
              <w:t>本项目冷却水循环使用，不外排，项目仅排放生活污水。项目生活污水经</w:t>
            </w:r>
            <w:r>
              <w:rPr>
                <w:rFonts w:hint="eastAsia"/>
              </w:rPr>
              <w:t>福建和谐钢结构工程有限公司</w:t>
            </w:r>
            <w:r>
              <w:rPr>
                <w:rFonts w:hint="eastAsia"/>
                <w:lang w:val="en-US" w:eastAsia="zh-CN"/>
              </w:rPr>
              <w:t>的化粪池预处理后接入园区市政污水管网，纳入连江县城区污水处理厂处理。</w:t>
            </w:r>
          </w:p>
          <w:p>
            <w:pPr>
              <w:pStyle w:val="43"/>
              <w:keepNext w:val="0"/>
              <w:keepLines w:val="0"/>
              <w:suppressLineNumbers w:val="0"/>
              <w:spacing w:before="0" w:beforeAutospacing="0" w:after="0" w:afterAutospacing="0" w:line="360" w:lineRule="auto"/>
              <w:ind w:left="0" w:right="0" w:firstLineChars="200"/>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rPr>
              <w:t>福建和谐钢结构工程有限公司</w:t>
            </w:r>
            <w:r>
              <w:rPr>
                <w:rFonts w:hint="eastAsia"/>
                <w:snapToGrid w:val="0"/>
                <w:color w:val="000000" w:themeColor="text1"/>
                <w:spacing w:val="-3"/>
                <w:sz w:val="24"/>
                <w:highlight w:val="none"/>
                <w:lang w:val="en-US" w:eastAsia="zh-CN"/>
                <w14:textFill>
                  <w14:solidFill>
                    <w14:schemeClr w14:val="tx1"/>
                  </w14:solidFill>
                </w14:textFill>
              </w:rPr>
              <w:t>厂内</w:t>
            </w:r>
            <w:r>
              <w:rPr>
                <w:rFonts w:hint="eastAsia"/>
                <w:snapToGrid w:val="0"/>
                <w:color w:val="000000" w:themeColor="text1"/>
                <w:spacing w:val="-3"/>
                <w:sz w:val="24"/>
                <w:highlight w:val="none"/>
                <w14:textFill>
                  <w14:solidFill>
                    <w14:schemeClr w14:val="tx1"/>
                  </w14:solidFill>
                </w14:textFill>
              </w:rPr>
              <w:t>已建</w:t>
            </w:r>
            <w:r>
              <w:rPr>
                <w:rFonts w:hint="eastAsia"/>
                <w:snapToGrid w:val="0"/>
                <w:color w:val="000000" w:themeColor="text1"/>
                <w:spacing w:val="-3"/>
                <w:sz w:val="24"/>
                <w:highlight w:val="none"/>
                <w:lang w:val="en-US" w:eastAsia="zh-CN"/>
                <w14:textFill>
                  <w14:solidFill>
                    <w14:schemeClr w14:val="tx1"/>
                  </w14:solidFill>
                </w14:textFill>
              </w:rPr>
              <w:t>1座40</w:t>
            </w:r>
            <w:r>
              <w:rPr>
                <w:rFonts w:hint="eastAsia"/>
                <w:snapToGrid w:val="0"/>
                <w:color w:val="000000" w:themeColor="text1"/>
                <w:spacing w:val="-3"/>
                <w:sz w:val="24"/>
                <w:highlight w:val="none"/>
                <w14:textFill>
                  <w14:solidFill>
                    <w14:schemeClr w14:val="tx1"/>
                  </w14:solidFill>
                </w14:textFill>
              </w:rPr>
              <w:t>m</w:t>
            </w:r>
            <w:r>
              <w:rPr>
                <w:rFonts w:hint="eastAsia"/>
                <w:snapToGrid w:val="0"/>
                <w:color w:val="000000" w:themeColor="text1"/>
                <w:spacing w:val="-3"/>
                <w:sz w:val="24"/>
                <w:highlight w:val="none"/>
                <w:vertAlign w:val="superscript"/>
                <w14:textFill>
                  <w14:solidFill>
                    <w14:schemeClr w14:val="tx1"/>
                  </w14:solidFill>
                </w14:textFill>
              </w:rPr>
              <w:t>3</w:t>
            </w:r>
            <w:r>
              <w:rPr>
                <w:rFonts w:hint="eastAsia"/>
                <w:snapToGrid w:val="0"/>
                <w:color w:val="000000" w:themeColor="text1"/>
                <w:spacing w:val="-3"/>
                <w:sz w:val="24"/>
                <w:highlight w:val="none"/>
                <w14:textFill>
                  <w14:solidFill>
                    <w14:schemeClr w14:val="tx1"/>
                  </w14:solidFill>
                </w14:textFill>
              </w:rPr>
              <w:t>的化粪池，主要供给全厂使用，本项目生活污水排放量约为</w:t>
            </w:r>
            <w:r>
              <w:rPr>
                <w:rFonts w:hint="eastAsia"/>
                <w:snapToGrid w:val="0"/>
                <w:color w:val="000000" w:themeColor="text1"/>
                <w:spacing w:val="-3"/>
                <w:sz w:val="24"/>
                <w:highlight w:val="none"/>
                <w:lang w:val="en-US" w:eastAsia="zh-CN"/>
                <w14:textFill>
                  <w14:solidFill>
                    <w14:schemeClr w14:val="tx1"/>
                  </w14:solidFill>
                </w14:textFill>
              </w:rPr>
              <w:t>0.4</w:t>
            </w:r>
            <w:r>
              <w:rPr>
                <w:rFonts w:hint="eastAsia"/>
                <w:snapToGrid w:val="0"/>
                <w:color w:val="000000" w:themeColor="text1"/>
                <w:spacing w:val="-3"/>
                <w:sz w:val="24"/>
                <w:highlight w:val="none"/>
                <w14:textFill>
                  <w14:solidFill>
                    <w14:schemeClr w14:val="tx1"/>
                  </w14:solidFill>
                </w14:textFill>
              </w:rPr>
              <w:t>t/d，</w:t>
            </w:r>
            <w:r>
              <w:rPr>
                <w:rFonts w:hint="eastAsia"/>
                <w:snapToGrid w:val="0"/>
                <w:color w:val="000000" w:themeColor="text1"/>
                <w:spacing w:val="-3"/>
                <w:sz w:val="24"/>
                <w:highlight w:val="none"/>
                <w:lang w:val="en-US" w:eastAsia="zh-CN"/>
                <w14:textFill>
                  <w14:solidFill>
                    <w14:schemeClr w14:val="tx1"/>
                  </w14:solidFill>
                </w14:textFill>
              </w:rPr>
              <w:t>仅</w:t>
            </w:r>
            <w:r>
              <w:rPr>
                <w:rFonts w:hint="eastAsia"/>
                <w:snapToGrid w:val="0"/>
                <w:color w:val="000000" w:themeColor="text1"/>
                <w:spacing w:val="-3"/>
                <w:sz w:val="24"/>
                <w:highlight w:val="none"/>
                <w14:textFill>
                  <w14:solidFill>
                    <w14:schemeClr w14:val="tx1"/>
                  </w14:solidFill>
                </w14:textFill>
              </w:rPr>
              <w:t>占厂区</w:t>
            </w:r>
            <w:r>
              <w:rPr>
                <w:rFonts w:hint="eastAsia"/>
                <w:snapToGrid w:val="0"/>
                <w:color w:val="000000" w:themeColor="text1"/>
                <w:spacing w:val="-3"/>
                <w:sz w:val="24"/>
                <w:highlight w:val="none"/>
                <w:lang w:val="en-US" w:eastAsia="zh-CN"/>
                <w14:textFill>
                  <w14:solidFill>
                    <w14:schemeClr w14:val="tx1"/>
                  </w14:solidFill>
                </w14:textFill>
              </w:rPr>
              <w:t>剩余</w:t>
            </w:r>
            <w:r>
              <w:rPr>
                <w:rFonts w:hint="eastAsia"/>
                <w:snapToGrid w:val="0"/>
                <w:color w:val="000000" w:themeColor="text1"/>
                <w:spacing w:val="-3"/>
                <w:sz w:val="24"/>
                <w:highlight w:val="none"/>
                <w14:textFill>
                  <w14:solidFill>
                    <w14:schemeClr w14:val="tx1"/>
                  </w14:solidFill>
                </w14:textFill>
              </w:rPr>
              <w:t>化粪池容积的</w:t>
            </w:r>
            <w:r>
              <w:rPr>
                <w:rFonts w:hint="eastAsia"/>
                <w:snapToGrid w:val="0"/>
                <w:color w:val="000000" w:themeColor="text1"/>
                <w:spacing w:val="-3"/>
                <w:sz w:val="24"/>
                <w:highlight w:val="none"/>
                <w:lang w:val="en-US" w:eastAsia="zh-CN"/>
                <w14:textFill>
                  <w14:solidFill>
                    <w14:schemeClr w14:val="tx1"/>
                  </w14:solidFill>
                </w14:textFill>
              </w:rPr>
              <w:t>1.2</w:t>
            </w:r>
            <w:r>
              <w:rPr>
                <w:rFonts w:hint="eastAsia"/>
                <w:snapToGrid w:val="0"/>
                <w:color w:val="000000" w:themeColor="text1"/>
                <w:spacing w:val="-3"/>
                <w:sz w:val="24"/>
                <w:highlight w:val="none"/>
                <w14:textFill>
                  <w14:solidFill>
                    <w14:schemeClr w14:val="tx1"/>
                  </w14:solidFill>
                </w14:textFill>
              </w:rPr>
              <w:t>%，</w:t>
            </w:r>
            <w:r>
              <w:rPr>
                <w:rFonts w:hint="eastAsia"/>
                <w:snapToGrid w:val="0"/>
                <w:color w:val="000000" w:themeColor="text1"/>
                <w:spacing w:val="-3"/>
                <w:sz w:val="24"/>
                <w:highlight w:val="none"/>
                <w:lang w:val="en-US" w:eastAsia="zh-CN"/>
                <w14:textFill>
                  <w14:solidFill>
                    <w14:schemeClr w14:val="tx1"/>
                  </w14:solidFill>
                </w14:textFill>
              </w:rPr>
              <w:t>可接纳本项目产生的生活污水。因此，本项目生活污水依托</w:t>
            </w:r>
            <w:r>
              <w:rPr>
                <w:rFonts w:hint="eastAsia"/>
                <w:snapToGrid w:val="0"/>
                <w:color w:val="000000" w:themeColor="text1"/>
                <w:spacing w:val="-3"/>
                <w:highlight w:val="none"/>
                <w14:textFill>
                  <w14:solidFill>
                    <w14:schemeClr w14:val="tx1"/>
                  </w14:solidFill>
                </w14:textFill>
              </w:rPr>
              <w:t>福建和谐钢结构工程有限公司</w:t>
            </w:r>
            <w:r>
              <w:rPr>
                <w:rFonts w:hint="eastAsia"/>
                <w:lang w:val="en-US" w:eastAsia="zh-CN"/>
              </w:rPr>
              <w:t>现有</w:t>
            </w:r>
            <w:r>
              <w:rPr>
                <w:rFonts w:hint="eastAsia"/>
                <w:snapToGrid w:val="0"/>
                <w:color w:val="000000" w:themeColor="text1"/>
                <w:spacing w:val="-3"/>
                <w:sz w:val="24"/>
                <w:highlight w:val="none"/>
                <w14:textFill>
                  <w14:solidFill>
                    <w14:schemeClr w14:val="tx1"/>
                  </w14:solidFill>
                </w14:textFill>
              </w:rPr>
              <w:t>化粪池</w:t>
            </w:r>
            <w:r>
              <w:rPr>
                <w:rFonts w:hint="eastAsia"/>
                <w:snapToGrid w:val="0"/>
                <w:color w:val="000000" w:themeColor="text1"/>
                <w:spacing w:val="-3"/>
                <w:sz w:val="24"/>
                <w:highlight w:val="none"/>
                <w:lang w:val="en-US" w:eastAsia="zh-CN"/>
                <w14:textFill>
                  <w14:solidFill>
                    <w14:schemeClr w14:val="tx1"/>
                  </w14:solidFill>
                </w14:textFill>
              </w:rPr>
              <w:t>进行处理可行</w:t>
            </w:r>
            <w:r>
              <w:rPr>
                <w:rFonts w:hint="eastAsia"/>
                <w:snapToGrid w:val="0"/>
                <w:color w:val="000000" w:themeColor="text1"/>
                <w:spacing w:val="-3"/>
                <w:sz w:val="24"/>
                <w:highlight w:val="none"/>
                <w14:textFill>
                  <w14:solidFill>
                    <w14:schemeClr w14:val="tx1"/>
                  </w14:solidFill>
                </w14:textFill>
              </w:rPr>
              <w:t>。</w:t>
            </w:r>
          </w:p>
          <w:p>
            <w:pPr>
              <w:pStyle w:val="43"/>
              <w:spacing w:line="360" w:lineRule="auto"/>
              <w:ind w:firstLine="480" w:firstLineChars="200"/>
              <w:rPr>
                <w:rFonts w:hint="default"/>
                <w:lang w:val="en-US" w:eastAsia="zh-CN"/>
              </w:rPr>
            </w:pPr>
            <w:r>
              <w:rPr>
                <w:rFonts w:hint="eastAsia" w:cs="Times New Roman"/>
                <w:sz w:val="24"/>
                <w:szCs w:val="24"/>
                <w:lang w:val="en-US" w:eastAsia="zh-CN"/>
              </w:rPr>
              <w:t>涉及商业机密</w:t>
            </w:r>
          </w:p>
          <w:p>
            <w:pPr>
              <w:pStyle w:val="45"/>
              <w:keepNext w:val="0"/>
              <w:keepLines w:val="0"/>
              <w:suppressLineNumbers w:val="0"/>
              <w:bidi w:val="0"/>
              <w:spacing w:before="0" w:beforeAutospacing="0" w:after="0" w:afterAutospacing="0"/>
              <w:ind w:right="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项目</w:t>
            </w:r>
            <w:r>
              <w:rPr>
                <w:rFonts w:hint="eastAsia" w:ascii="Times New Roman" w:hAnsi="Times New Roman" w:eastAsia="宋体" w:cs="Times New Roman"/>
                <w:lang w:val="en-US" w:eastAsia="zh-CN"/>
              </w:rPr>
              <w:t>生活废水</w:t>
            </w:r>
            <w:r>
              <w:rPr>
                <w:rFonts w:hint="default" w:ascii="Times New Roman" w:hAnsi="Times New Roman" w:eastAsia="宋体" w:cs="Times New Roman"/>
                <w:lang w:val="en-US" w:eastAsia="zh-CN"/>
              </w:rPr>
              <w:t>处理工艺图</w:t>
            </w:r>
          </w:p>
          <w:p>
            <w:pPr>
              <w:keepNext w:val="0"/>
              <w:keepLines w:val="0"/>
              <w:suppressLineNumbers w:val="0"/>
              <w:spacing w:before="0" w:beforeAutospacing="0" w:after="0" w:afterAutospacing="0" w:line="360" w:lineRule="auto"/>
              <w:ind w:left="0" w:right="0" w:firstLine="468" w:firstLineChars="200"/>
              <w:rPr>
                <w:rFonts w:hint="eastAsia"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eastAsia="宋体" w:cs="Times New Roman"/>
                <w:snapToGrid w:val="0"/>
                <w:color w:val="000000" w:themeColor="text1"/>
                <w:spacing w:val="-3"/>
                <w:kern w:val="2"/>
                <w:sz w:val="24"/>
                <w:szCs w:val="24"/>
                <w:highlight w:val="none"/>
                <w:lang w:val="en-US" w:eastAsia="zh-CN" w:bidi="ar-SA"/>
                <w14:textFill>
                  <w14:solidFill>
                    <w14:schemeClr w14:val="tx1"/>
                  </w14:solidFill>
                </w14:textFill>
              </w:rPr>
              <w:t>（2）项目生活污水纳入连江县污水处理厂可行性分析</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①</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污水处理厂概</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况</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连江县污水处理厂（福建学申投资有限公司）位于福建省连江县凤城镇丹凤东路66号。连江县污水处理厂</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已建</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一、二、三期工程，总用地面积76.45亩，污水处理能力为8万m</w:t>
            </w:r>
            <w:r>
              <w:rPr>
                <w:rFonts w:hint="eastAsia" w:ascii="Times New Roman" w:hAnsi="Times New Roman" w:eastAsia="宋体" w:cs="Times New Roman"/>
                <w:snapToGrid w:val="0"/>
                <w:color w:val="000000" w:themeColor="text1"/>
                <w:spacing w:val="-3"/>
                <w:kern w:val="2"/>
                <w:sz w:val="24"/>
                <w:szCs w:val="24"/>
                <w:highlight w:val="none"/>
                <w:vertAlign w:val="superscript"/>
                <w:lang w:val="en-US" w:eastAsia="zh-CN" w:bidi="ar-SA"/>
                <w14:textFill>
                  <w14:solidFill>
                    <w14:schemeClr w14:val="tx1"/>
                  </w14:solidFill>
                </w14:textFill>
              </w:rPr>
              <w:t>3</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/d</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均采用以CASS池为主体的生化污水处理工艺，污泥采用“污泥浓缩+厢式隔膜压滤机”处理工艺、尾水采用紫外线消毒工艺，</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出水水质</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达到《城镇污水处理厂污染物排放标准》（GB18918-2002）中一级B标准要求后，经乌石浦内河进入敖江。</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2018年连江县污水处理厂进行提标改造</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增加深度处理，深度处理采用“高效沉淀池+精密过滤池”</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工艺</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。该提标改造工程已于2019年3月完成环保竣工验收，提标改造后出水水质达到《城镇污水处理厂污染物排放标准》（GB18918-2002）中一级A标准。</w:t>
            </w:r>
          </w:p>
          <w:p>
            <w:pPr>
              <w:pStyle w:val="51"/>
              <w:keepNext w:val="0"/>
              <w:keepLines w:val="0"/>
              <w:suppressLineNumbers w:val="0"/>
              <w:spacing w:before="0" w:beforeAutospacing="0" w:after="0" w:afterAutospacing="0"/>
              <w:ind w:left="0" w:right="0" w:firstLine="480" w:firstLineChars="200"/>
              <w:rPr>
                <w:rFonts w:hint="eastAsia"/>
                <w:lang w:val="en-US" w:eastAsia="zh-CN"/>
              </w:rPr>
            </w:pPr>
            <w:r>
              <w:rPr>
                <w:rFonts w:hint="eastAsia"/>
                <w:lang w:val="en-US" w:eastAsia="zh-CN"/>
              </w:rPr>
              <w:t>连江县污水处理厂提标改造后污水处理工艺流程见下图：</w:t>
            </w:r>
          </w:p>
          <w:p>
            <w:pPr>
              <w:pStyle w:val="43"/>
              <w:spacing w:line="360" w:lineRule="auto"/>
              <w:ind w:firstLine="480" w:firstLineChars="200"/>
              <w:rPr>
                <w:rFonts w:hint="default"/>
              </w:rPr>
            </w:pPr>
            <w:r>
              <w:rPr>
                <w:rFonts w:hint="eastAsia" w:cs="Times New Roman"/>
                <w:sz w:val="24"/>
                <w:szCs w:val="24"/>
                <w:lang w:val="en-US" w:eastAsia="zh-CN"/>
              </w:rPr>
              <w:t>涉及商业机密</w:t>
            </w:r>
          </w:p>
          <w:p>
            <w:pPr>
              <w:pStyle w:val="45"/>
              <w:keepNext w:val="0"/>
              <w:keepLines w:val="0"/>
              <w:suppressLineNumbers w:val="0"/>
              <w:bidi w:val="0"/>
              <w:spacing w:before="0" w:beforeAutospacing="0" w:after="0" w:afterAutospacing="0"/>
              <w:ind w:right="0"/>
              <w:rPr>
                <w:rFonts w:hint="eastAsia"/>
                <w:lang w:val="en-US" w:eastAsia="zh-CN"/>
              </w:rPr>
            </w:pPr>
            <w:r>
              <w:rPr>
                <w:rFonts w:hint="eastAsia" w:ascii="Times New Roman" w:hAnsi="Times New Roman" w:eastAsia="宋体" w:cs="Times New Roman"/>
                <w:lang w:val="en-US" w:eastAsia="zh-CN"/>
              </w:rPr>
              <w:t>污水处理厂处理工艺流程</w:t>
            </w:r>
            <w:r>
              <w:rPr>
                <w:rFonts w:hint="default" w:ascii="Times New Roman" w:hAnsi="Times New Roman" w:eastAsia="宋体" w:cs="Times New Roman"/>
                <w:lang w:val="en-US" w:eastAsia="zh-CN"/>
              </w:rPr>
              <w:t>图</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auto"/>
                <w:spacing w:val="-3"/>
                <w:kern w:val="2"/>
                <w:sz w:val="24"/>
                <w:szCs w:val="24"/>
                <w:highlight w:val="none"/>
                <w:lang w:val="en-US" w:eastAsia="zh-CN" w:bidi="ar-SA"/>
              </w:rPr>
            </w:pPr>
            <w:r>
              <w:rPr>
                <w:rFonts w:hint="eastAsia" w:cs="Times New Roman"/>
                <w:snapToGrid w:val="0"/>
                <w:color w:val="auto"/>
                <w:spacing w:val="-3"/>
                <w:kern w:val="2"/>
                <w:sz w:val="24"/>
                <w:szCs w:val="24"/>
                <w:highlight w:val="none"/>
                <w:lang w:val="en-US" w:eastAsia="zh-CN" w:bidi="ar-SA"/>
              </w:rPr>
              <w:t>②项目生活污水</w:t>
            </w:r>
            <w:r>
              <w:rPr>
                <w:rFonts w:hint="eastAsia" w:ascii="Times New Roman" w:hAnsi="Times New Roman" w:eastAsia="宋体" w:cs="Times New Roman"/>
                <w:snapToGrid w:val="0"/>
                <w:color w:val="auto"/>
                <w:spacing w:val="-3"/>
                <w:kern w:val="2"/>
                <w:sz w:val="24"/>
                <w:szCs w:val="24"/>
                <w:highlight w:val="none"/>
                <w:lang w:val="en-US" w:eastAsia="zh-CN" w:bidi="ar-SA"/>
              </w:rPr>
              <w:t>接管可行性</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auto"/>
                <w:spacing w:val="-3"/>
                <w:kern w:val="2"/>
                <w:sz w:val="24"/>
                <w:szCs w:val="24"/>
                <w:highlight w:val="none"/>
                <w:lang w:val="en-US" w:eastAsia="zh-CN" w:bidi="ar-SA"/>
              </w:rPr>
            </w:pPr>
            <w:r>
              <w:rPr>
                <w:rFonts w:hint="eastAsia" w:ascii="Times New Roman" w:hAnsi="Times New Roman" w:eastAsia="宋体" w:cs="Times New Roman"/>
                <w:snapToGrid w:val="0"/>
                <w:color w:val="auto"/>
                <w:spacing w:val="-3"/>
                <w:kern w:val="2"/>
                <w:sz w:val="24"/>
                <w:szCs w:val="24"/>
                <w:highlight w:val="none"/>
                <w:lang w:val="en-US" w:eastAsia="zh-CN" w:bidi="ar-SA"/>
              </w:rPr>
              <w:t>本项目</w:t>
            </w:r>
            <w:r>
              <w:rPr>
                <w:rFonts w:hint="eastAsia" w:cs="Times New Roman"/>
                <w:snapToGrid w:val="0"/>
                <w:color w:val="auto"/>
                <w:spacing w:val="-3"/>
                <w:kern w:val="2"/>
                <w:sz w:val="24"/>
                <w:szCs w:val="24"/>
                <w:highlight w:val="none"/>
                <w:lang w:val="en-US" w:eastAsia="zh-CN" w:bidi="ar-SA"/>
              </w:rPr>
              <w:t>租赁福建和谐钢结构工程有限公司厂房，</w:t>
            </w:r>
            <w:r>
              <w:rPr>
                <w:rFonts w:hint="eastAsia"/>
                <w:snapToGrid w:val="0"/>
                <w:color w:val="auto"/>
                <w:spacing w:val="-3"/>
                <w:sz w:val="24"/>
                <w:highlight w:val="none"/>
                <w:lang w:val="en-US" w:eastAsia="zh-CN"/>
              </w:rPr>
              <w:t>其厂房现有生活污水已</w:t>
            </w:r>
            <w:r>
              <w:rPr>
                <w:rFonts w:hint="eastAsia" w:ascii="Times New Roman" w:hAnsi="Times New Roman" w:eastAsia="宋体" w:cs="Times New Roman"/>
                <w:snapToGrid w:val="0"/>
                <w:color w:val="auto"/>
                <w:spacing w:val="-3"/>
                <w:kern w:val="2"/>
                <w:sz w:val="24"/>
                <w:szCs w:val="24"/>
                <w:highlight w:val="none"/>
                <w:lang w:val="en-US" w:eastAsia="zh-CN" w:bidi="ar-SA"/>
              </w:rPr>
              <w:t>接入</w:t>
            </w:r>
            <w:r>
              <w:rPr>
                <w:rFonts w:hint="eastAsia" w:cs="Times New Roman"/>
                <w:snapToGrid w:val="0"/>
                <w:color w:val="auto"/>
                <w:spacing w:val="-3"/>
                <w:kern w:val="2"/>
                <w:sz w:val="24"/>
                <w:szCs w:val="24"/>
                <w:highlight w:val="none"/>
                <w:lang w:val="en-US" w:eastAsia="zh-CN" w:bidi="ar-SA"/>
              </w:rPr>
              <w:t>厂区东侧104国道的市政污水管网</w:t>
            </w:r>
            <w:r>
              <w:rPr>
                <w:rFonts w:hint="eastAsia" w:ascii="Times New Roman" w:hAnsi="Times New Roman" w:eastAsia="宋体" w:cs="Times New Roman"/>
                <w:snapToGrid w:val="0"/>
                <w:color w:val="auto"/>
                <w:spacing w:val="-3"/>
                <w:kern w:val="2"/>
                <w:sz w:val="24"/>
                <w:szCs w:val="24"/>
                <w:highlight w:val="none"/>
                <w:lang w:val="en-US" w:eastAsia="zh-CN" w:bidi="ar-SA"/>
              </w:rPr>
              <w:t>，最终纳入连江县污水处理厂集中处理</w:t>
            </w:r>
            <w:r>
              <w:rPr>
                <w:rFonts w:hint="eastAsia" w:cs="Times New Roman"/>
                <w:snapToGrid w:val="0"/>
                <w:color w:val="auto"/>
                <w:spacing w:val="-3"/>
                <w:kern w:val="2"/>
                <w:sz w:val="24"/>
                <w:szCs w:val="24"/>
                <w:highlight w:val="none"/>
                <w:lang w:val="en-US" w:eastAsia="zh-CN" w:bidi="ar-SA"/>
              </w:rPr>
              <w:t>，</w:t>
            </w:r>
            <w:r>
              <w:rPr>
                <w:rFonts w:hint="eastAsia" w:ascii="Times New Roman" w:hAnsi="Times New Roman" w:eastAsia="宋体" w:cs="Times New Roman"/>
                <w:snapToGrid w:val="0"/>
                <w:color w:val="auto"/>
                <w:spacing w:val="-3"/>
                <w:kern w:val="2"/>
                <w:sz w:val="24"/>
                <w:szCs w:val="24"/>
                <w:highlight w:val="none"/>
                <w:lang w:val="en-US" w:eastAsia="zh-CN" w:bidi="ar-SA"/>
              </w:rPr>
              <w:t>因此</w:t>
            </w:r>
            <w:r>
              <w:rPr>
                <w:rFonts w:hint="eastAsia" w:cs="Times New Roman"/>
                <w:snapToGrid w:val="0"/>
                <w:color w:val="auto"/>
                <w:spacing w:val="-3"/>
                <w:kern w:val="2"/>
                <w:sz w:val="24"/>
                <w:szCs w:val="24"/>
                <w:highlight w:val="none"/>
                <w:lang w:val="en-US" w:eastAsia="zh-CN" w:bidi="ar-SA"/>
              </w:rPr>
              <w:t>接管可行</w:t>
            </w:r>
            <w:r>
              <w:rPr>
                <w:rFonts w:hint="eastAsia" w:ascii="Times New Roman" w:hAnsi="Times New Roman" w:eastAsia="宋体" w:cs="Times New Roman"/>
                <w:snapToGrid w:val="0"/>
                <w:color w:val="auto"/>
                <w:spacing w:val="-3"/>
                <w:kern w:val="2"/>
                <w:sz w:val="24"/>
                <w:szCs w:val="24"/>
                <w:highlight w:val="none"/>
                <w:lang w:val="en-US" w:eastAsia="zh-CN" w:bidi="ar-SA"/>
              </w:rPr>
              <w:t>。</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auto"/>
                <w:spacing w:val="-3"/>
                <w:kern w:val="2"/>
                <w:sz w:val="24"/>
                <w:szCs w:val="24"/>
                <w:highlight w:val="none"/>
                <w:lang w:val="en-US" w:eastAsia="zh-CN" w:bidi="ar-SA"/>
              </w:rPr>
            </w:pPr>
            <w:r>
              <w:rPr>
                <w:rFonts w:hint="eastAsia" w:ascii="Times New Roman" w:hAnsi="Times New Roman" w:eastAsia="宋体" w:cs="Times New Roman"/>
                <w:snapToGrid w:val="0"/>
                <w:color w:val="auto"/>
                <w:spacing w:val="-3"/>
                <w:kern w:val="2"/>
                <w:sz w:val="24"/>
                <w:szCs w:val="24"/>
                <w:highlight w:val="none"/>
                <w:lang w:val="en-US" w:eastAsia="zh-CN" w:bidi="ar-SA"/>
              </w:rPr>
              <w:t>（3）纳入污水处理厂水质水量可行性分析</w:t>
            </w:r>
          </w:p>
          <w:p>
            <w:pPr>
              <w:keepNext w:val="0"/>
              <w:keepLines w:val="0"/>
              <w:suppressLineNumbers w:val="0"/>
              <w:spacing w:before="0" w:beforeAutospacing="0" w:after="0" w:afterAutospacing="0" w:line="360" w:lineRule="auto"/>
              <w:ind w:left="0" w:right="0" w:firstLine="468" w:firstLineChars="200"/>
              <w:rPr>
                <w:rFonts w:hint="default" w:eastAsia="宋体" w:cs="Times New Roman"/>
                <w:snapToGrid w:val="0"/>
                <w:color w:val="auto"/>
                <w:spacing w:val="-3"/>
                <w:kern w:val="2"/>
                <w:sz w:val="24"/>
                <w:szCs w:val="24"/>
                <w:highlight w:val="none"/>
                <w:lang w:val="en-US" w:eastAsia="zh-CN" w:bidi="ar-SA"/>
              </w:rPr>
            </w:pPr>
            <w:r>
              <w:rPr>
                <w:rFonts w:hint="eastAsia" w:ascii="Times New Roman" w:hAnsi="Times New Roman" w:eastAsia="宋体" w:cs="Times New Roman"/>
                <w:snapToGrid w:val="0"/>
                <w:color w:val="auto"/>
                <w:spacing w:val="-3"/>
                <w:kern w:val="2"/>
                <w:sz w:val="24"/>
                <w:szCs w:val="24"/>
                <w:highlight w:val="none"/>
                <w:lang w:val="en-US" w:eastAsia="zh-CN" w:bidi="ar-SA"/>
              </w:rPr>
              <w:t>本项目生活污水经化粪池处理后主要污染物排放浓度可</w:t>
            </w:r>
            <w:r>
              <w:rPr>
                <w:rFonts w:hint="eastAsia" w:cs="Times New Roman"/>
                <w:snapToGrid w:val="0"/>
                <w:color w:val="auto"/>
                <w:spacing w:val="-3"/>
                <w:kern w:val="2"/>
                <w:sz w:val="24"/>
                <w:szCs w:val="24"/>
                <w:highlight w:val="none"/>
                <w:lang w:val="en-US" w:eastAsia="zh-CN" w:bidi="ar-SA"/>
              </w:rPr>
              <w:t>达</w:t>
            </w:r>
            <w:r>
              <w:rPr>
                <w:rFonts w:hint="eastAsia" w:ascii="Times New Roman" w:hAnsi="Times New Roman" w:eastAsia="宋体" w:cs="Times New Roman"/>
                <w:snapToGrid w:val="0"/>
                <w:color w:val="auto"/>
                <w:spacing w:val="-3"/>
                <w:kern w:val="2"/>
                <w:sz w:val="24"/>
                <w:szCs w:val="24"/>
                <w:highlight w:val="none"/>
                <w:lang w:val="en-US" w:eastAsia="zh-CN" w:bidi="ar-SA"/>
              </w:rPr>
              <w:t>《污水综合排放标准》(GB8978-1996)中的三级标准(其中NH</w:t>
            </w:r>
            <w:r>
              <w:rPr>
                <w:rFonts w:hint="eastAsia" w:ascii="Times New Roman" w:hAnsi="Times New Roman" w:eastAsia="宋体" w:cs="Times New Roman"/>
                <w:snapToGrid w:val="0"/>
                <w:color w:val="auto"/>
                <w:spacing w:val="-3"/>
                <w:kern w:val="2"/>
                <w:sz w:val="24"/>
                <w:szCs w:val="24"/>
                <w:highlight w:val="none"/>
                <w:vertAlign w:val="subscript"/>
                <w:lang w:val="en-US" w:eastAsia="zh-CN" w:bidi="ar-SA"/>
              </w:rPr>
              <w:t>3</w:t>
            </w:r>
            <w:r>
              <w:rPr>
                <w:rFonts w:hint="eastAsia" w:ascii="Times New Roman" w:hAnsi="Times New Roman" w:eastAsia="宋体" w:cs="Times New Roman"/>
                <w:snapToGrid w:val="0"/>
                <w:color w:val="auto"/>
                <w:spacing w:val="-3"/>
                <w:kern w:val="2"/>
                <w:sz w:val="24"/>
                <w:szCs w:val="24"/>
                <w:highlight w:val="none"/>
                <w:lang w:val="en-US" w:eastAsia="zh-CN" w:bidi="ar-SA"/>
              </w:rPr>
              <w:t>-N可达《污水排入城镇下水道水质标准》(GB/T31962-2015)B等级标准限值)</w:t>
            </w:r>
            <w:r>
              <w:rPr>
                <w:rFonts w:hint="eastAsia" w:ascii="Times New Roman" w:hAnsi="Times New Roman" w:eastAsia="宋体" w:cs="Times New Roman"/>
                <w:snapToGrid w:val="0"/>
                <w:color w:val="auto"/>
                <w:spacing w:val="-3"/>
                <w:sz w:val="24"/>
                <w:highlight w:val="none"/>
                <w:lang w:eastAsia="zh-CN"/>
              </w:rPr>
              <w:t>，</w:t>
            </w:r>
            <w:r>
              <w:rPr>
                <w:rFonts w:hint="eastAsia" w:cs="Times New Roman"/>
                <w:snapToGrid w:val="0"/>
                <w:color w:val="auto"/>
                <w:spacing w:val="-3"/>
                <w:kern w:val="2"/>
                <w:sz w:val="24"/>
                <w:szCs w:val="24"/>
                <w:highlight w:val="none"/>
                <w:lang w:val="en-US" w:eastAsia="zh-CN" w:bidi="ar-SA"/>
              </w:rPr>
              <w:t>满足</w:t>
            </w:r>
            <w:r>
              <w:rPr>
                <w:rFonts w:hint="eastAsia"/>
                <w:snapToGrid w:val="0"/>
                <w:color w:val="auto"/>
                <w:spacing w:val="-3"/>
                <w:sz w:val="24"/>
                <w:highlight w:val="none"/>
              </w:rPr>
              <w:t>连江县污水处理厂</w:t>
            </w:r>
            <w:r>
              <w:rPr>
                <w:rFonts w:hint="eastAsia"/>
                <w:snapToGrid w:val="0"/>
                <w:color w:val="auto"/>
                <w:spacing w:val="-3"/>
                <w:sz w:val="24"/>
                <w:highlight w:val="none"/>
                <w:lang w:val="en-US" w:eastAsia="zh-CN"/>
              </w:rPr>
              <w:t>进水水质要求。</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auto"/>
                <w:spacing w:val="-3"/>
                <w:kern w:val="2"/>
                <w:sz w:val="24"/>
                <w:szCs w:val="24"/>
                <w:highlight w:val="none"/>
                <w:lang w:val="en-US" w:eastAsia="zh-CN" w:bidi="ar-SA"/>
              </w:rPr>
            </w:pPr>
            <w:r>
              <w:rPr>
                <w:rFonts w:hint="eastAsia"/>
                <w:snapToGrid w:val="0"/>
                <w:color w:val="auto"/>
                <w:spacing w:val="-3"/>
                <w:sz w:val="24"/>
                <w:highlight w:val="none"/>
                <w:lang w:val="en-US" w:eastAsia="zh-CN"/>
              </w:rPr>
              <w:t>生活污水</w:t>
            </w:r>
            <w:r>
              <w:rPr>
                <w:rFonts w:hint="eastAsia"/>
                <w:snapToGrid w:val="0"/>
                <w:color w:val="auto"/>
                <w:spacing w:val="-3"/>
                <w:sz w:val="24"/>
                <w:highlight w:val="none"/>
              </w:rPr>
              <w:t>接入市政污水管网纳入连江县污水处理厂处理</w:t>
            </w:r>
            <w:r>
              <w:rPr>
                <w:rFonts w:hint="eastAsia"/>
                <w:snapToGrid w:val="0"/>
                <w:color w:val="auto"/>
                <w:spacing w:val="-3"/>
                <w:sz w:val="24"/>
                <w:highlight w:val="none"/>
                <w:lang w:eastAsia="zh-CN"/>
              </w:rPr>
              <w:t>，</w:t>
            </w:r>
            <w:r>
              <w:rPr>
                <w:rFonts w:hint="eastAsia" w:ascii="Times New Roman" w:hAnsi="Times New Roman" w:eastAsia="宋体" w:cs="Times New Roman"/>
                <w:snapToGrid w:val="0"/>
                <w:color w:val="auto"/>
                <w:spacing w:val="-3"/>
                <w:kern w:val="2"/>
                <w:sz w:val="24"/>
                <w:szCs w:val="24"/>
                <w:highlight w:val="none"/>
                <w:lang w:val="en-US" w:eastAsia="zh-CN" w:bidi="ar-SA"/>
              </w:rPr>
              <w:t>目前连江县污水处理厂总处理规模8万m</w:t>
            </w:r>
            <w:r>
              <w:rPr>
                <w:rFonts w:hint="eastAsia" w:ascii="Times New Roman" w:hAnsi="Times New Roman" w:eastAsia="宋体" w:cs="Times New Roman"/>
                <w:snapToGrid w:val="0"/>
                <w:color w:val="auto"/>
                <w:spacing w:val="-3"/>
                <w:kern w:val="2"/>
                <w:sz w:val="24"/>
                <w:szCs w:val="24"/>
                <w:highlight w:val="none"/>
                <w:vertAlign w:val="superscript"/>
                <w:lang w:val="en-US" w:eastAsia="zh-CN" w:bidi="ar-SA"/>
              </w:rPr>
              <w:t>3</w:t>
            </w:r>
            <w:r>
              <w:rPr>
                <w:rFonts w:hint="eastAsia" w:ascii="Times New Roman" w:hAnsi="Times New Roman" w:eastAsia="宋体" w:cs="Times New Roman"/>
                <w:snapToGrid w:val="0"/>
                <w:color w:val="auto"/>
                <w:spacing w:val="-3"/>
                <w:kern w:val="2"/>
                <w:sz w:val="24"/>
                <w:szCs w:val="24"/>
                <w:highlight w:val="none"/>
                <w:lang w:val="en-US" w:eastAsia="zh-CN" w:bidi="ar-SA"/>
              </w:rPr>
              <w:t>/d，实际日处理废水量约在6万m</w:t>
            </w:r>
            <w:r>
              <w:rPr>
                <w:rFonts w:hint="eastAsia" w:ascii="Times New Roman" w:hAnsi="Times New Roman" w:eastAsia="宋体" w:cs="Times New Roman"/>
                <w:snapToGrid w:val="0"/>
                <w:color w:val="auto"/>
                <w:spacing w:val="-3"/>
                <w:kern w:val="2"/>
                <w:sz w:val="24"/>
                <w:szCs w:val="24"/>
                <w:highlight w:val="none"/>
                <w:vertAlign w:val="superscript"/>
                <w:lang w:val="en-US" w:eastAsia="zh-CN" w:bidi="ar-SA"/>
              </w:rPr>
              <w:t>3</w:t>
            </w:r>
            <w:r>
              <w:rPr>
                <w:rFonts w:hint="eastAsia" w:ascii="Times New Roman" w:hAnsi="Times New Roman" w:eastAsia="宋体" w:cs="Times New Roman"/>
                <w:snapToGrid w:val="0"/>
                <w:color w:val="auto"/>
                <w:spacing w:val="-3"/>
                <w:kern w:val="2"/>
                <w:sz w:val="24"/>
                <w:szCs w:val="24"/>
                <w:highlight w:val="none"/>
                <w:lang w:val="en-US" w:eastAsia="zh-CN" w:bidi="ar-SA"/>
              </w:rPr>
              <w:t>/d，项目</w:t>
            </w:r>
            <w:r>
              <w:rPr>
                <w:rFonts w:hint="eastAsia" w:cs="Times New Roman"/>
                <w:snapToGrid w:val="0"/>
                <w:color w:val="auto"/>
                <w:spacing w:val="-3"/>
                <w:kern w:val="2"/>
                <w:sz w:val="24"/>
                <w:szCs w:val="24"/>
                <w:highlight w:val="none"/>
                <w:lang w:val="en-US" w:eastAsia="zh-CN" w:bidi="ar-SA"/>
              </w:rPr>
              <w:t>生活污水排放量约0.4</w:t>
            </w:r>
            <w:r>
              <w:rPr>
                <w:rFonts w:hint="eastAsia" w:ascii="Times New Roman" w:hAnsi="Times New Roman" w:eastAsia="宋体" w:cs="Times New Roman"/>
                <w:snapToGrid w:val="0"/>
                <w:color w:val="auto"/>
                <w:spacing w:val="-3"/>
                <w:kern w:val="2"/>
                <w:sz w:val="24"/>
                <w:szCs w:val="24"/>
                <w:highlight w:val="none"/>
                <w:lang w:val="en-US" w:eastAsia="zh-CN" w:bidi="ar-SA"/>
              </w:rPr>
              <w:t>m</w:t>
            </w:r>
            <w:r>
              <w:rPr>
                <w:rFonts w:hint="eastAsia" w:ascii="Times New Roman" w:hAnsi="Times New Roman" w:eastAsia="宋体" w:cs="Times New Roman"/>
                <w:snapToGrid w:val="0"/>
                <w:color w:val="auto"/>
                <w:spacing w:val="-3"/>
                <w:kern w:val="2"/>
                <w:sz w:val="24"/>
                <w:szCs w:val="24"/>
                <w:highlight w:val="none"/>
                <w:vertAlign w:val="superscript"/>
                <w:lang w:val="en-US" w:eastAsia="zh-CN" w:bidi="ar-SA"/>
              </w:rPr>
              <w:t>3</w:t>
            </w:r>
            <w:r>
              <w:rPr>
                <w:rFonts w:hint="eastAsia" w:ascii="Times New Roman" w:hAnsi="Times New Roman" w:eastAsia="宋体" w:cs="Times New Roman"/>
                <w:snapToGrid w:val="0"/>
                <w:color w:val="auto"/>
                <w:spacing w:val="-3"/>
                <w:kern w:val="2"/>
                <w:sz w:val="24"/>
                <w:szCs w:val="24"/>
                <w:highlight w:val="none"/>
                <w:lang w:val="en-US" w:eastAsia="zh-CN" w:bidi="ar-SA"/>
              </w:rPr>
              <w:t>/d，</w:t>
            </w:r>
            <w:r>
              <w:rPr>
                <w:rFonts w:hint="eastAsia" w:cs="Times New Roman"/>
                <w:snapToGrid w:val="0"/>
                <w:color w:val="auto"/>
                <w:spacing w:val="-3"/>
                <w:kern w:val="2"/>
                <w:sz w:val="24"/>
                <w:szCs w:val="24"/>
                <w:highlight w:val="none"/>
                <w:lang w:val="en-US" w:eastAsia="zh-CN" w:bidi="ar-SA"/>
              </w:rPr>
              <w:t>占污水处理厂剩余处理能力的0.002%。</w:t>
            </w:r>
          </w:p>
          <w:p>
            <w:pPr>
              <w:keepNext w:val="0"/>
              <w:keepLines w:val="0"/>
              <w:suppressLineNumbers w:val="0"/>
              <w:spacing w:before="0" w:beforeAutospacing="0" w:after="0" w:afterAutospacing="0" w:line="360" w:lineRule="auto"/>
              <w:ind w:left="0" w:right="0" w:firstLine="468" w:firstLineChars="200"/>
              <w:rPr>
                <w:rFonts w:hint="eastAsia" w:ascii="Times New Roman" w:hAnsi="Times New Roman" w:eastAsia="宋体" w:cs="Times New Roman"/>
                <w:snapToGrid w:val="0"/>
                <w:color w:val="FF0000"/>
                <w:spacing w:val="-3"/>
                <w:kern w:val="2"/>
                <w:sz w:val="24"/>
                <w:szCs w:val="24"/>
                <w:highlight w:val="none"/>
                <w:lang w:val="en-US" w:eastAsia="zh-CN" w:bidi="ar-SA"/>
              </w:rPr>
            </w:pPr>
            <w:r>
              <w:rPr>
                <w:rFonts w:hint="eastAsia" w:ascii="Times New Roman" w:hAnsi="Times New Roman" w:eastAsia="宋体" w:cs="Times New Roman"/>
                <w:snapToGrid w:val="0"/>
                <w:color w:val="auto"/>
                <w:spacing w:val="-3"/>
                <w:kern w:val="2"/>
                <w:sz w:val="24"/>
                <w:szCs w:val="24"/>
                <w:highlight w:val="none"/>
                <w:lang w:val="en-US" w:eastAsia="zh-CN" w:bidi="ar-SA"/>
              </w:rPr>
              <w:t>综上所述，本项目</w:t>
            </w:r>
            <w:r>
              <w:rPr>
                <w:rFonts w:hint="eastAsia" w:cs="Times New Roman"/>
                <w:snapToGrid w:val="0"/>
                <w:color w:val="auto"/>
                <w:spacing w:val="-3"/>
                <w:kern w:val="2"/>
                <w:sz w:val="24"/>
                <w:szCs w:val="24"/>
                <w:highlight w:val="none"/>
                <w:lang w:val="en-US" w:eastAsia="zh-CN" w:bidi="ar-SA"/>
              </w:rPr>
              <w:t>生活污水</w:t>
            </w:r>
            <w:r>
              <w:rPr>
                <w:rFonts w:hint="eastAsia" w:ascii="Times New Roman" w:hAnsi="Times New Roman" w:eastAsia="宋体" w:cs="Times New Roman"/>
                <w:snapToGrid w:val="0"/>
                <w:color w:val="auto"/>
                <w:spacing w:val="-3"/>
                <w:kern w:val="2"/>
                <w:sz w:val="24"/>
                <w:szCs w:val="24"/>
                <w:highlight w:val="none"/>
                <w:lang w:val="en-US" w:eastAsia="zh-CN" w:bidi="ar-SA"/>
              </w:rPr>
              <w:t>经处理达标后排入市政污水管网，最终纳入</w:t>
            </w:r>
            <w:r>
              <w:rPr>
                <w:rFonts w:hint="eastAsia" w:cs="Times New Roman"/>
                <w:snapToGrid w:val="0"/>
                <w:color w:val="auto"/>
                <w:spacing w:val="-3"/>
                <w:kern w:val="2"/>
                <w:sz w:val="24"/>
                <w:szCs w:val="24"/>
                <w:highlight w:val="none"/>
                <w:lang w:val="en-US" w:eastAsia="zh-CN" w:bidi="ar-SA"/>
              </w:rPr>
              <w:t>连江</w:t>
            </w:r>
            <w:r>
              <w:rPr>
                <w:rFonts w:hint="eastAsia" w:ascii="Times New Roman" w:hAnsi="Times New Roman" w:eastAsia="宋体" w:cs="Times New Roman"/>
                <w:snapToGrid w:val="0"/>
                <w:color w:val="auto"/>
                <w:spacing w:val="-3"/>
                <w:kern w:val="2"/>
                <w:sz w:val="24"/>
                <w:szCs w:val="24"/>
                <w:highlight w:val="none"/>
                <w:lang w:val="en-US" w:eastAsia="zh-CN" w:bidi="ar-SA"/>
              </w:rPr>
              <w:t>县污水处理厂处理达标后排放，水质、水量不会对污水处理厂</w:t>
            </w:r>
            <w:r>
              <w:rPr>
                <w:rFonts w:hint="eastAsia" w:cs="Times New Roman"/>
                <w:snapToGrid w:val="0"/>
                <w:color w:val="auto"/>
                <w:spacing w:val="-3"/>
                <w:kern w:val="2"/>
                <w:sz w:val="24"/>
                <w:szCs w:val="24"/>
                <w:highlight w:val="none"/>
                <w:lang w:val="en-US" w:eastAsia="zh-CN" w:bidi="ar-SA"/>
              </w:rPr>
              <w:t>的</w:t>
            </w:r>
            <w:r>
              <w:rPr>
                <w:rFonts w:hint="eastAsia" w:ascii="Times New Roman" w:hAnsi="Times New Roman" w:eastAsia="宋体" w:cs="Times New Roman"/>
                <w:snapToGrid w:val="0"/>
                <w:color w:val="auto"/>
                <w:spacing w:val="-3"/>
                <w:kern w:val="2"/>
                <w:sz w:val="24"/>
                <w:szCs w:val="24"/>
                <w:highlight w:val="none"/>
                <w:lang w:val="en-US" w:eastAsia="zh-CN" w:bidi="ar-SA"/>
              </w:rPr>
              <w:t>污水处理设施造成负荷冲击，因此项目生活污水纳入</w:t>
            </w:r>
            <w:r>
              <w:rPr>
                <w:rFonts w:hint="eastAsia" w:cs="Times New Roman"/>
                <w:snapToGrid w:val="0"/>
                <w:color w:val="auto"/>
                <w:spacing w:val="-3"/>
                <w:kern w:val="2"/>
                <w:sz w:val="24"/>
                <w:szCs w:val="24"/>
                <w:highlight w:val="none"/>
                <w:lang w:val="en-US" w:eastAsia="zh-CN" w:bidi="ar-SA"/>
              </w:rPr>
              <w:t>连江</w:t>
            </w:r>
            <w:r>
              <w:rPr>
                <w:rFonts w:hint="eastAsia" w:ascii="Times New Roman" w:hAnsi="Times New Roman" w:eastAsia="宋体" w:cs="Times New Roman"/>
                <w:snapToGrid w:val="0"/>
                <w:color w:val="auto"/>
                <w:spacing w:val="-3"/>
                <w:kern w:val="2"/>
                <w:sz w:val="24"/>
                <w:szCs w:val="24"/>
                <w:highlight w:val="none"/>
                <w:lang w:val="en-US" w:eastAsia="zh-CN" w:bidi="ar-SA"/>
              </w:rPr>
              <w:t>县污水处理厂处理可行。</w:t>
            </w:r>
          </w:p>
          <w:p>
            <w:pPr>
              <w:pStyle w:val="3"/>
              <w:keepNext w:val="0"/>
              <w:keepLines w:val="0"/>
              <w:suppressLineNumbers w:val="0"/>
              <w:bidi w:val="0"/>
              <w:spacing w:before="0" w:beforeAutospacing="0" w:after="0" w:afterAutospacing="0" w:line="360" w:lineRule="auto"/>
              <w:ind w:left="0" w:right="0"/>
              <w:rPr>
                <w:rFonts w:hint="default"/>
              </w:rPr>
            </w:pPr>
            <w:r>
              <w:rPr>
                <w:rFonts w:hint="eastAsia"/>
                <w:lang w:val="en-US" w:eastAsia="zh-CN"/>
              </w:rPr>
              <w:t>噪声</w:t>
            </w:r>
            <w:r>
              <w:rPr>
                <w:rFonts w:hint="eastAsia"/>
              </w:rPr>
              <w:t>源强分析</w:t>
            </w:r>
          </w:p>
          <w:p>
            <w:pPr>
              <w:keepNext w:val="0"/>
              <w:keepLines w:val="0"/>
              <w:suppressLineNumbers w:val="0"/>
              <w:spacing w:before="0" w:beforeAutospacing="0" w:after="0" w:afterAutospacing="0" w:line="360" w:lineRule="auto"/>
              <w:ind w:left="0" w:right="0" w:firstLine="468" w:firstLineChars="200"/>
              <w:rPr>
                <w:rFonts w:hint="eastAsia"/>
                <w:lang w:val="en-US" w:eastAsia="zh-CN"/>
              </w:rPr>
            </w:pP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本项目的噪声主要来源于注塑机</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冷却塔等</w:t>
            </w:r>
            <w:r>
              <w:rPr>
                <w:rFonts w:hint="eastAsia" w:cs="Times New Roman"/>
                <w:snapToGrid w:val="0"/>
                <w:color w:val="000000" w:themeColor="text1"/>
                <w:spacing w:val="-3"/>
                <w:kern w:val="2"/>
                <w:sz w:val="24"/>
                <w:szCs w:val="24"/>
                <w:highlight w:val="none"/>
                <w:lang w:val="en-US" w:eastAsia="zh-CN" w:bidi="ar-SA"/>
                <w14:textFill>
                  <w14:solidFill>
                    <w14:schemeClr w14:val="tx1"/>
                  </w14:solidFill>
                </w14:textFill>
              </w:rPr>
              <w:t>设备运行</w:t>
            </w:r>
            <w:r>
              <w:rPr>
                <w:rFonts w:hint="eastAsia" w:ascii="Times New Roman" w:hAnsi="Times New Roman" w:eastAsia="宋体" w:cs="Times New Roman"/>
                <w:snapToGrid w:val="0"/>
                <w:color w:val="000000" w:themeColor="text1"/>
                <w:spacing w:val="-3"/>
                <w:kern w:val="2"/>
                <w:sz w:val="24"/>
                <w:szCs w:val="24"/>
                <w:highlight w:val="none"/>
                <w:lang w:val="en-US" w:eastAsia="zh-CN" w:bidi="ar-SA"/>
                <w14:textFill>
                  <w14:solidFill>
                    <w14:schemeClr w14:val="tx1"/>
                  </w14:solidFill>
                </w14:textFill>
              </w:rPr>
              <w:t>，其声级在75～80dB(A）间（距声源1m处），主要设备噪声源强见下表。</w:t>
            </w:r>
          </w:p>
          <w:p>
            <w:pPr>
              <w:pStyle w:val="42"/>
              <w:keepNext w:val="0"/>
              <w:keepLines w:val="0"/>
              <w:suppressLineNumbers w:val="0"/>
              <w:bidi w:val="0"/>
              <w:spacing w:beforeAutospacing="0" w:after="0" w:afterAutospacing="0"/>
              <w:ind w:left="0" w:leftChars="0" w:right="0" w:firstLine="0" w:firstLineChars="0"/>
              <w:rPr>
                <w:rFonts w:hint="default"/>
              </w:rPr>
            </w:pPr>
            <w:r>
              <w:rPr>
                <w:rFonts w:hint="default"/>
              </w:rPr>
              <w:t>项目</w:t>
            </w:r>
            <w:r>
              <w:rPr>
                <w:rFonts w:hint="eastAsia"/>
                <w:lang w:val="en-US" w:eastAsia="zh-CN"/>
              </w:rPr>
              <w:t>运营期</w:t>
            </w:r>
            <w:r>
              <w:rPr>
                <w:rFonts w:hint="default"/>
              </w:rPr>
              <w:t>主要设备噪声</w:t>
            </w:r>
            <w:r>
              <w:rPr>
                <w:rFonts w:hint="eastAsia"/>
                <w:lang w:val="en-US" w:eastAsia="zh-CN"/>
              </w:rPr>
              <w:t>源强</w:t>
            </w:r>
            <w:r>
              <w:rPr>
                <w:rFonts w:hint="default"/>
              </w:rPr>
              <w:t>一览表</w:t>
            </w:r>
            <w:r>
              <w:rPr>
                <w:rFonts w:hint="eastAsia"/>
                <w:lang w:val="en-US" w:eastAsia="zh-CN"/>
              </w:rPr>
              <w:t xml:space="preserve">  单位</w:t>
            </w:r>
            <w:r>
              <w:rPr>
                <w:rFonts w:hint="default"/>
              </w:rPr>
              <w:t>dB(A)</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304"/>
              <w:gridCol w:w="811"/>
              <w:gridCol w:w="767"/>
              <w:gridCol w:w="1042"/>
              <w:gridCol w:w="1122"/>
              <w:gridCol w:w="934"/>
              <w:gridCol w:w="760"/>
              <w:gridCol w:w="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vMerge w:val="restart"/>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序号</w:t>
                  </w:r>
                </w:p>
              </w:tc>
              <w:tc>
                <w:tcPr>
                  <w:tcW w:w="1306" w:type="dxa"/>
                  <w:vMerge w:val="restart"/>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噪声源</w:t>
                  </w:r>
                </w:p>
              </w:tc>
              <w:tc>
                <w:tcPr>
                  <w:tcW w:w="813" w:type="dxa"/>
                  <w:vMerge w:val="restart"/>
                  <w:noWrap w:val="0"/>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数量（台）</w:t>
                  </w:r>
                </w:p>
              </w:tc>
              <w:tc>
                <w:tcPr>
                  <w:tcW w:w="1812" w:type="dxa"/>
                  <w:gridSpan w:val="2"/>
                  <w:noWrap w:val="0"/>
                  <w:vAlign w:val="center"/>
                </w:tcPr>
                <w:p>
                  <w:pPr>
                    <w:pStyle w:val="46"/>
                    <w:keepNext w:val="0"/>
                    <w:keepLines w:val="0"/>
                    <w:suppressLineNumbers w:val="0"/>
                    <w:bidi w:val="0"/>
                    <w:spacing w:before="0" w:beforeAutospacing="0" w:after="0" w:afterAutospacing="0"/>
                    <w:ind w:right="0"/>
                    <w:rPr>
                      <w:rFonts w:hint="eastAsia"/>
                      <w:szCs w:val="21"/>
                      <w:lang w:val="en-US" w:eastAsia="zh-CN"/>
                    </w:rPr>
                  </w:pPr>
                  <w:r>
                    <w:rPr>
                      <w:rFonts w:hint="eastAsia"/>
                      <w:szCs w:val="21"/>
                      <w:lang w:val="en-US" w:eastAsia="zh-CN"/>
                    </w:rPr>
                    <w:t>噪声源强</w:t>
                  </w:r>
                </w:p>
              </w:tc>
              <w:tc>
                <w:tcPr>
                  <w:tcW w:w="1124" w:type="dxa"/>
                  <w:vMerge w:val="restart"/>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降噪措施</w:t>
                  </w:r>
                </w:p>
              </w:tc>
              <w:tc>
                <w:tcPr>
                  <w:tcW w:w="936" w:type="dxa"/>
                  <w:vMerge w:val="restart"/>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default"/>
                      <w:color w:val="000000" w:themeColor="text1"/>
                      <w:sz w:val="21"/>
                      <w:szCs w:val="21"/>
                      <w:highlight w:val="none"/>
                      <w14:textFill>
                        <w14:solidFill>
                          <w14:schemeClr w14:val="tx1"/>
                        </w14:solidFill>
                      </w14:textFill>
                    </w:rPr>
                    <w:t>降噪效果dB(A)</w:t>
                  </w:r>
                </w:p>
              </w:tc>
              <w:tc>
                <w:tcPr>
                  <w:tcW w:w="761" w:type="dxa"/>
                  <w:vMerge w:val="restart"/>
                  <w:noWrap w:val="0"/>
                  <w:vAlign w:val="center"/>
                </w:tcPr>
                <w:p>
                  <w:pPr>
                    <w:pStyle w:val="46"/>
                    <w:keepNext w:val="0"/>
                    <w:keepLines w:val="0"/>
                    <w:suppressLineNumbers w:val="0"/>
                    <w:bidi w:val="0"/>
                    <w:spacing w:before="0" w:beforeAutospacing="0" w:after="0" w:afterAutospacing="0"/>
                    <w:ind w:left="0" w:leftChars="0" w:right="0" w:firstLine="0" w:firstLineChars="0"/>
                    <w:rPr>
                      <w:rFonts w:hint="default"/>
                      <w:szCs w:val="21"/>
                      <w:lang w:val="en-US" w:eastAsia="zh-CN"/>
                    </w:rPr>
                  </w:pPr>
                  <w:r>
                    <w:rPr>
                      <w:rFonts w:hint="eastAsia"/>
                      <w:szCs w:val="21"/>
                      <w:lang w:val="en-US" w:eastAsia="zh-CN"/>
                    </w:rPr>
                    <w:t>排放强度</w:t>
                  </w:r>
                  <w:r>
                    <w:rPr>
                      <w:rFonts w:hint="default"/>
                      <w:szCs w:val="21"/>
                    </w:rPr>
                    <w:t>dB(A)</w:t>
                  </w:r>
                </w:p>
              </w:tc>
              <w:tc>
                <w:tcPr>
                  <w:tcW w:w="761" w:type="dxa"/>
                  <w:vMerge w:val="restart"/>
                  <w:noWrap w:val="0"/>
                  <w:vAlign w:val="center"/>
                </w:tcPr>
                <w:p>
                  <w:pPr>
                    <w:pStyle w:val="46"/>
                    <w:keepNext w:val="0"/>
                    <w:keepLines w:val="0"/>
                    <w:suppressLineNumbers w:val="0"/>
                    <w:bidi w:val="0"/>
                    <w:spacing w:before="0" w:beforeAutospacing="0" w:after="0" w:afterAutospacing="0"/>
                    <w:ind w:left="0" w:leftChars="0" w:right="0" w:firstLine="0" w:firstLineChars="0"/>
                    <w:rPr>
                      <w:rFonts w:hint="eastAsia"/>
                      <w:szCs w:val="21"/>
                      <w:lang w:val="en-US" w:eastAsia="zh-CN"/>
                    </w:rPr>
                  </w:pPr>
                  <w:r>
                    <w:rPr>
                      <w:rFonts w:hint="eastAsia"/>
                      <w:szCs w:val="21"/>
                      <w:lang w:val="en-US" w:eastAsia="zh-CN"/>
                    </w:rPr>
                    <w:t>持续时间h/d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vMerge w:val="continue"/>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1306" w:type="dxa"/>
                  <w:vMerge w:val="continue"/>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813" w:type="dxa"/>
                  <w:vMerge w:val="continue"/>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768" w:type="dxa"/>
                  <w:noWrap w:val="0"/>
                  <w:vAlign w:val="center"/>
                </w:tcPr>
                <w:p>
                  <w:pPr>
                    <w:pStyle w:val="46"/>
                    <w:keepNext w:val="0"/>
                    <w:keepLines w:val="0"/>
                    <w:suppressLineNumbers w:val="0"/>
                    <w:bidi w:val="0"/>
                    <w:spacing w:before="0" w:beforeAutospacing="0" w:after="0" w:afterAutospacing="0"/>
                    <w:ind w:right="0"/>
                    <w:rPr>
                      <w:rFonts w:hint="eastAsia"/>
                      <w:szCs w:val="21"/>
                      <w:lang w:val="en-US" w:eastAsia="zh-CN"/>
                    </w:rPr>
                  </w:pPr>
                  <w:r>
                    <w:rPr>
                      <w:rFonts w:hint="eastAsia"/>
                      <w:szCs w:val="21"/>
                      <w:lang w:val="en-US" w:eastAsia="zh-CN"/>
                    </w:rPr>
                    <w:t>核算</w:t>
                  </w:r>
                </w:p>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方法</w:t>
                  </w:r>
                </w:p>
              </w:tc>
              <w:tc>
                <w:tcPr>
                  <w:tcW w:w="1044"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产生强度</w:t>
                  </w:r>
                  <w:r>
                    <w:rPr>
                      <w:rFonts w:hint="default"/>
                      <w:szCs w:val="21"/>
                    </w:rPr>
                    <w:t>dB(A)</w:t>
                  </w:r>
                </w:p>
              </w:tc>
              <w:tc>
                <w:tcPr>
                  <w:tcW w:w="1124" w:type="dxa"/>
                  <w:vMerge w:val="continue"/>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936" w:type="dxa"/>
                  <w:vMerge w:val="continue"/>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761" w:type="dxa"/>
                  <w:vMerge w:val="continue"/>
                  <w:noWrap w:val="0"/>
                  <w:vAlign w:val="center"/>
                </w:tcPr>
                <w:p>
                  <w:pPr>
                    <w:pStyle w:val="46"/>
                    <w:keepNext w:val="0"/>
                    <w:keepLines w:val="0"/>
                    <w:suppressLineNumbers w:val="0"/>
                    <w:bidi w:val="0"/>
                    <w:spacing w:before="0" w:beforeAutospacing="0" w:after="0" w:afterAutospacing="0"/>
                    <w:ind w:right="0"/>
                    <w:rPr>
                      <w:rFonts w:hint="default"/>
                      <w:szCs w:val="21"/>
                    </w:rPr>
                  </w:pPr>
                </w:p>
              </w:tc>
              <w:tc>
                <w:tcPr>
                  <w:tcW w:w="761" w:type="dxa"/>
                  <w:vMerge w:val="continue"/>
                  <w:noWrap w:val="0"/>
                  <w:vAlign w:val="center"/>
                </w:tcPr>
                <w:p>
                  <w:pPr>
                    <w:pStyle w:val="46"/>
                    <w:keepNext w:val="0"/>
                    <w:keepLines w:val="0"/>
                    <w:suppressLineNumbers w:val="0"/>
                    <w:bidi w:val="0"/>
                    <w:spacing w:before="0" w:beforeAutospacing="0" w:after="0" w:afterAutospacing="0"/>
                    <w:ind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w:t>
                  </w:r>
                </w:p>
              </w:tc>
              <w:tc>
                <w:tcPr>
                  <w:tcW w:w="1306" w:type="dxa"/>
                  <w:noWrap w:val="0"/>
                  <w:vAlign w:val="center"/>
                </w:tcPr>
                <w:p>
                  <w:pPr>
                    <w:pStyle w:val="86"/>
                    <w:keepNext w:val="0"/>
                    <w:keepLines w:val="0"/>
                    <w:suppressLineNumbers w:val="0"/>
                    <w:spacing w:before="0" w:beforeAutospacing="0" w:after="0" w:afterAutospacing="0"/>
                    <w:ind w:left="0" w:leftChars="0" w:right="0" w:rightChars="0" w:firstLine="0" w:firstLineChars="0"/>
                    <w:rPr>
                      <w:rFonts w:hint="eastAsia" w:eastAsia="宋体"/>
                      <w:szCs w:val="21"/>
                      <w:lang w:val="en-US" w:eastAsia="zh-CN"/>
                    </w:rPr>
                  </w:pPr>
                  <w:r>
                    <w:rPr>
                      <w:rFonts w:hint="eastAsia" w:ascii="Times New Roman" w:hAnsi="Times New Roman" w:eastAsia="宋体" w:cs="Times New Roman"/>
                      <w:sz w:val="21"/>
                      <w:szCs w:val="21"/>
                      <w:highlight w:val="none"/>
                      <w:lang w:val="en-US" w:eastAsia="zh-CN"/>
                    </w:rPr>
                    <w:t>注塑机</w:t>
                  </w:r>
                </w:p>
              </w:tc>
              <w:tc>
                <w:tcPr>
                  <w:tcW w:w="813"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w:t>
                  </w:r>
                </w:p>
              </w:tc>
              <w:tc>
                <w:tcPr>
                  <w:tcW w:w="768"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类比</w:t>
                  </w:r>
                </w:p>
              </w:tc>
              <w:tc>
                <w:tcPr>
                  <w:tcW w:w="1044"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75</w:t>
                  </w:r>
                </w:p>
              </w:tc>
              <w:tc>
                <w:tcPr>
                  <w:tcW w:w="1124"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隔声减振</w:t>
                  </w:r>
                </w:p>
              </w:tc>
              <w:tc>
                <w:tcPr>
                  <w:tcW w:w="93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15</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60</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noWrap w:val="0"/>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2</w:t>
                  </w:r>
                </w:p>
              </w:tc>
              <w:tc>
                <w:tcPr>
                  <w:tcW w:w="1306" w:type="dxa"/>
                  <w:noWrap w:val="0"/>
                  <w:vAlign w:val="center"/>
                </w:tcPr>
                <w:p>
                  <w:pPr>
                    <w:pStyle w:val="86"/>
                    <w:keepNext w:val="0"/>
                    <w:keepLines w:val="0"/>
                    <w:suppressLineNumbers w:val="0"/>
                    <w:spacing w:before="0" w:beforeAutospacing="0" w:after="0" w:afterAutospacing="0"/>
                    <w:ind w:left="0" w:leftChars="0" w:right="0" w:rightChars="0" w:firstLine="0" w:firstLineChars="0"/>
                    <w:rPr>
                      <w:rFonts w:hint="default" w:eastAsia="宋体"/>
                      <w:szCs w:val="21"/>
                      <w:lang w:val="en-US" w:eastAsia="zh-CN"/>
                    </w:rPr>
                  </w:pPr>
                  <w:r>
                    <w:rPr>
                      <w:rFonts w:hint="eastAsia" w:ascii="Times New Roman" w:hAnsi="Times New Roman" w:eastAsia="宋体" w:cs="Times New Roman"/>
                      <w:sz w:val="21"/>
                      <w:szCs w:val="21"/>
                      <w:highlight w:val="none"/>
                      <w:lang w:val="en-US" w:eastAsia="zh-CN"/>
                    </w:rPr>
                    <w:t>混料机</w:t>
                  </w:r>
                </w:p>
              </w:tc>
              <w:tc>
                <w:tcPr>
                  <w:tcW w:w="813"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2</w:t>
                  </w:r>
                </w:p>
              </w:tc>
              <w:tc>
                <w:tcPr>
                  <w:tcW w:w="768" w:type="dxa"/>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eastAsia"/>
                      <w:szCs w:val="21"/>
                      <w:lang w:val="en-US" w:eastAsia="zh-CN"/>
                    </w:rPr>
                    <w:t>类比</w:t>
                  </w:r>
                </w:p>
              </w:tc>
              <w:tc>
                <w:tcPr>
                  <w:tcW w:w="1044"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eastAsia="宋体"/>
                      <w:szCs w:val="21"/>
                      <w:lang w:val="en-US" w:eastAsia="zh-CN"/>
                    </w:rPr>
                    <w:t>75</w:t>
                  </w:r>
                </w:p>
              </w:tc>
              <w:tc>
                <w:tcPr>
                  <w:tcW w:w="1124" w:type="dxa"/>
                  <w:noWrap w:val="0"/>
                  <w:vAlign w:val="center"/>
                </w:tcPr>
                <w:p>
                  <w:pPr>
                    <w:pStyle w:val="46"/>
                    <w:keepNext w:val="0"/>
                    <w:keepLines w:val="0"/>
                    <w:suppressLineNumbers w:val="0"/>
                    <w:bidi w:val="0"/>
                    <w:spacing w:before="0" w:beforeAutospacing="0" w:after="0" w:afterAutospacing="0"/>
                    <w:ind w:right="0"/>
                    <w:rPr>
                      <w:rFonts w:hint="default"/>
                      <w:szCs w:val="21"/>
                      <w:lang w:val="en-US"/>
                    </w:rPr>
                  </w:pPr>
                  <w:r>
                    <w:rPr>
                      <w:rFonts w:hint="eastAsia"/>
                      <w:szCs w:val="21"/>
                      <w:lang w:val="en-US" w:eastAsia="zh-CN"/>
                    </w:rPr>
                    <w:t>隔声减振</w:t>
                  </w:r>
                </w:p>
              </w:tc>
              <w:tc>
                <w:tcPr>
                  <w:tcW w:w="93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15</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60</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3</w:t>
                  </w:r>
                </w:p>
              </w:tc>
              <w:tc>
                <w:tcPr>
                  <w:tcW w:w="1306" w:type="dxa"/>
                  <w:noWrap w:val="0"/>
                  <w:vAlign w:val="center"/>
                </w:tcPr>
                <w:p>
                  <w:pPr>
                    <w:pStyle w:val="86"/>
                    <w:keepNext w:val="0"/>
                    <w:keepLines w:val="0"/>
                    <w:suppressLineNumbers w:val="0"/>
                    <w:spacing w:before="0" w:beforeAutospacing="0" w:after="0" w:afterAutospacing="0"/>
                    <w:ind w:left="0" w:leftChars="0" w:right="0" w:rightChars="0" w:firstLine="0" w:firstLineChars="0"/>
                    <w:rPr>
                      <w:rFonts w:hint="eastAsia" w:eastAsia="宋体"/>
                      <w:szCs w:val="21"/>
                      <w:lang w:val="en-US" w:eastAsia="zh-CN"/>
                    </w:rPr>
                  </w:pPr>
                  <w:r>
                    <w:rPr>
                      <w:rFonts w:hint="eastAsia" w:ascii="Times New Roman" w:hAnsi="Times New Roman" w:eastAsia="宋体" w:cs="Times New Roman"/>
                      <w:sz w:val="21"/>
                      <w:szCs w:val="21"/>
                      <w:highlight w:val="none"/>
                      <w:lang w:val="en-US" w:eastAsia="zh-CN"/>
                    </w:rPr>
                    <w:t>冷却塔</w:t>
                  </w:r>
                </w:p>
              </w:tc>
              <w:tc>
                <w:tcPr>
                  <w:tcW w:w="813"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1</w:t>
                  </w:r>
                </w:p>
              </w:tc>
              <w:tc>
                <w:tcPr>
                  <w:tcW w:w="768" w:type="dxa"/>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eastAsia"/>
                      <w:szCs w:val="21"/>
                      <w:lang w:val="en-US" w:eastAsia="zh-CN"/>
                    </w:rPr>
                    <w:t>类比</w:t>
                  </w:r>
                </w:p>
              </w:tc>
              <w:tc>
                <w:tcPr>
                  <w:tcW w:w="1044"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80</w:t>
                  </w:r>
                </w:p>
              </w:tc>
              <w:tc>
                <w:tcPr>
                  <w:tcW w:w="1124" w:type="dxa"/>
                  <w:noWrap w:val="0"/>
                  <w:vAlign w:val="center"/>
                </w:tcPr>
                <w:p>
                  <w:pPr>
                    <w:pStyle w:val="46"/>
                    <w:keepNext w:val="0"/>
                    <w:keepLines w:val="0"/>
                    <w:suppressLineNumbers w:val="0"/>
                    <w:bidi w:val="0"/>
                    <w:spacing w:before="0" w:beforeAutospacing="0" w:after="0" w:afterAutospacing="0"/>
                    <w:ind w:right="0"/>
                    <w:rPr>
                      <w:rFonts w:hint="default"/>
                      <w:szCs w:val="21"/>
                      <w:lang w:val="en-US"/>
                    </w:rPr>
                  </w:pPr>
                  <w:r>
                    <w:rPr>
                      <w:rFonts w:hint="eastAsia"/>
                      <w:szCs w:val="21"/>
                      <w:lang w:val="en-US" w:eastAsia="zh-CN"/>
                    </w:rPr>
                    <w:t>隔声减振</w:t>
                  </w:r>
                </w:p>
              </w:tc>
              <w:tc>
                <w:tcPr>
                  <w:tcW w:w="93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15</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65</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4</w:t>
                  </w:r>
                </w:p>
              </w:tc>
              <w:tc>
                <w:tcPr>
                  <w:tcW w:w="130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循环水泵</w:t>
                  </w:r>
                </w:p>
              </w:tc>
              <w:tc>
                <w:tcPr>
                  <w:tcW w:w="813"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1</w:t>
                  </w:r>
                </w:p>
              </w:tc>
              <w:tc>
                <w:tcPr>
                  <w:tcW w:w="768" w:type="dxa"/>
                  <w:noWrap w:val="0"/>
                  <w:vAlign w:val="center"/>
                </w:tcPr>
                <w:p>
                  <w:pPr>
                    <w:pStyle w:val="46"/>
                    <w:keepNext w:val="0"/>
                    <w:keepLines w:val="0"/>
                    <w:suppressLineNumbers w:val="0"/>
                    <w:bidi w:val="0"/>
                    <w:spacing w:before="0" w:beforeAutospacing="0" w:after="0" w:afterAutospacing="0"/>
                    <w:ind w:right="0"/>
                    <w:rPr>
                      <w:rFonts w:hint="default"/>
                      <w:szCs w:val="21"/>
                    </w:rPr>
                  </w:pPr>
                  <w:r>
                    <w:rPr>
                      <w:rFonts w:hint="eastAsia"/>
                      <w:szCs w:val="21"/>
                      <w:lang w:val="en-US" w:eastAsia="zh-CN"/>
                    </w:rPr>
                    <w:t>类比</w:t>
                  </w:r>
                </w:p>
              </w:tc>
              <w:tc>
                <w:tcPr>
                  <w:tcW w:w="1044"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75</w:t>
                  </w:r>
                </w:p>
              </w:tc>
              <w:tc>
                <w:tcPr>
                  <w:tcW w:w="1124" w:type="dxa"/>
                  <w:noWrap w:val="0"/>
                  <w:vAlign w:val="center"/>
                </w:tcPr>
                <w:p>
                  <w:pPr>
                    <w:pStyle w:val="46"/>
                    <w:keepNext w:val="0"/>
                    <w:keepLines w:val="0"/>
                    <w:suppressLineNumbers w:val="0"/>
                    <w:bidi w:val="0"/>
                    <w:spacing w:before="0" w:beforeAutospacing="0" w:after="0" w:afterAutospacing="0"/>
                    <w:ind w:right="0"/>
                    <w:rPr>
                      <w:rFonts w:hint="default"/>
                      <w:szCs w:val="21"/>
                      <w:lang w:val="en-US"/>
                    </w:rPr>
                  </w:pPr>
                  <w:r>
                    <w:rPr>
                      <w:rFonts w:hint="eastAsia"/>
                      <w:szCs w:val="21"/>
                      <w:lang w:val="en-US" w:eastAsia="zh-CN"/>
                    </w:rPr>
                    <w:t>隔声减振</w:t>
                  </w:r>
                </w:p>
              </w:tc>
              <w:tc>
                <w:tcPr>
                  <w:tcW w:w="93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15</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60</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bookmarkStart w:id="106" w:name="_Toc27861"/>
                  <w:r>
                    <w:rPr>
                      <w:rFonts w:hint="eastAsia"/>
                      <w:szCs w:val="21"/>
                      <w:lang w:val="en-US" w:eastAsia="zh-CN"/>
                    </w:rPr>
                    <w:t>5</w:t>
                  </w:r>
                </w:p>
              </w:tc>
              <w:tc>
                <w:tcPr>
                  <w:tcW w:w="130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送料机</w:t>
                  </w:r>
                </w:p>
              </w:tc>
              <w:tc>
                <w:tcPr>
                  <w:tcW w:w="813" w:type="dxa"/>
                  <w:noWrap w:val="0"/>
                  <w:vAlign w:val="center"/>
                </w:tcPr>
                <w:p>
                  <w:pPr>
                    <w:pStyle w:val="46"/>
                    <w:keepNext w:val="0"/>
                    <w:keepLines w:val="0"/>
                    <w:suppressLineNumbers w:val="0"/>
                    <w:bidi w:val="0"/>
                    <w:spacing w:before="0" w:beforeAutospacing="0" w:after="0" w:afterAutospacing="0"/>
                    <w:ind w:right="0"/>
                    <w:rPr>
                      <w:rFonts w:hint="default" w:eastAsia="宋体"/>
                      <w:szCs w:val="21"/>
                      <w:lang w:val="en-US" w:eastAsia="zh-CN"/>
                    </w:rPr>
                  </w:pPr>
                  <w:r>
                    <w:rPr>
                      <w:rFonts w:hint="eastAsia"/>
                      <w:szCs w:val="21"/>
                      <w:lang w:val="en-US" w:eastAsia="zh-CN"/>
                    </w:rPr>
                    <w:t>6</w:t>
                  </w:r>
                </w:p>
              </w:tc>
              <w:tc>
                <w:tcPr>
                  <w:tcW w:w="768"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类比</w:t>
                  </w:r>
                </w:p>
              </w:tc>
              <w:tc>
                <w:tcPr>
                  <w:tcW w:w="1044"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75</w:t>
                  </w:r>
                </w:p>
              </w:tc>
              <w:tc>
                <w:tcPr>
                  <w:tcW w:w="1124"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隔声减振</w:t>
                  </w:r>
                </w:p>
              </w:tc>
              <w:tc>
                <w:tcPr>
                  <w:tcW w:w="93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15</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60</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w:t>
                  </w:r>
                </w:p>
              </w:tc>
              <w:tc>
                <w:tcPr>
                  <w:tcW w:w="130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真空泵</w:t>
                  </w:r>
                </w:p>
              </w:tc>
              <w:tc>
                <w:tcPr>
                  <w:tcW w:w="813"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w:t>
                  </w:r>
                </w:p>
              </w:tc>
              <w:tc>
                <w:tcPr>
                  <w:tcW w:w="768"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类比</w:t>
                  </w:r>
                </w:p>
              </w:tc>
              <w:tc>
                <w:tcPr>
                  <w:tcW w:w="1044"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75</w:t>
                  </w:r>
                </w:p>
              </w:tc>
              <w:tc>
                <w:tcPr>
                  <w:tcW w:w="1124"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隔声减振</w:t>
                  </w:r>
                </w:p>
              </w:tc>
              <w:tc>
                <w:tcPr>
                  <w:tcW w:w="936"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15</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60</w:t>
                  </w:r>
                </w:p>
              </w:tc>
              <w:tc>
                <w:tcPr>
                  <w:tcW w:w="761" w:type="dxa"/>
                  <w:noWrap w:val="0"/>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16</w:t>
                  </w:r>
                </w:p>
              </w:tc>
            </w:tr>
          </w:tbl>
          <w:p>
            <w:pPr>
              <w:pStyle w:val="4"/>
              <w:suppressLineNumbers w:val="0"/>
              <w:bidi w:val="0"/>
              <w:spacing w:beforeAutospacing="0" w:after="0" w:afterAutospacing="0"/>
              <w:ind w:left="720" w:leftChars="0" w:right="0" w:hanging="720" w:firstLineChars="0"/>
              <w:rPr>
                <w:rFonts w:hint="default"/>
              </w:rPr>
            </w:pPr>
            <w:r>
              <w:rPr>
                <w:rFonts w:hint="eastAsia"/>
              </w:rPr>
              <w:t>噪声预测与影响分析</w:t>
            </w:r>
            <w:bookmarkEnd w:id="106"/>
          </w:p>
          <w:p>
            <w:pPr>
              <w:pStyle w:val="43"/>
              <w:keepNext w:val="0"/>
              <w:keepLines w:val="0"/>
              <w:suppressLineNumbers w:val="0"/>
              <w:bidi w:val="0"/>
              <w:spacing w:before="0" w:beforeAutospacing="0" w:after="0" w:afterAutospacing="0"/>
              <w:ind w:left="0" w:right="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项目噪声预测模式采用《环境影响评价技术导则声环境》</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HJ2.4-20</w:t>
            </w:r>
            <w:r>
              <w:rPr>
                <w:rFonts w:hint="default" w:ascii="Times New Roman" w:hAnsi="Times New Roman" w:cs="Times New Roman"/>
                <w:color w:val="auto"/>
                <w:sz w:val="24"/>
                <w:szCs w:val="24"/>
                <w:highlight w:val="none"/>
                <w:lang w:val="en-US" w:eastAsia="zh-CN"/>
              </w:rPr>
              <w:t>21</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中推荐的模型。噪声在传播过程中</w:t>
            </w:r>
            <w:r>
              <w:rPr>
                <w:rFonts w:hint="eastAsia" w:cs="Times New Roman"/>
                <w:color w:val="auto"/>
                <w:sz w:val="24"/>
                <w:szCs w:val="24"/>
                <w:highlight w:val="none"/>
                <w:lang w:eastAsia="zh-CN"/>
              </w:rPr>
              <w:t>受到</w:t>
            </w:r>
            <w:r>
              <w:rPr>
                <w:rFonts w:hint="default" w:ascii="Times New Roman" w:hAnsi="Times New Roman" w:cs="Times New Roman"/>
                <w:color w:val="auto"/>
                <w:sz w:val="24"/>
                <w:szCs w:val="24"/>
                <w:highlight w:val="none"/>
              </w:rPr>
              <w:t>多种因数的干扰，使其产生衰减，根据建设项目噪声源和环境特征，预测过程中考虑了车间建筑物等的屏障作用。</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r>
              <w:rPr>
                <w:rFonts w:hint="eastAsia" w:ascii="Times New Roman" w:hAnsi="Times New Roman" w:cs="Times New Roman"/>
                <w:color w:val="auto"/>
                <w:sz w:val="24"/>
                <w:szCs w:val="24"/>
                <w:highlight w:val="none"/>
                <w:lang w:val="en-US" w:eastAsia="zh-CN"/>
              </w:rPr>
              <w:t>工业企业的噪声贡献值</w:t>
            </w:r>
            <w:r>
              <w:rPr>
                <w:rFonts w:hint="default" w:ascii="Times New Roman" w:hAnsi="Times New Roman" w:cs="Times New Roman"/>
                <w:color w:val="auto"/>
                <w:sz w:val="24"/>
                <w:szCs w:val="24"/>
                <w:highlight w:val="none"/>
              </w:rPr>
              <w:t>计算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设第i个室外声源在预测点产生的A声级为</w:t>
            </w:r>
            <w:r>
              <w:rPr>
                <w:rFonts w:hint="default" w:ascii="Times New Roman" w:hAnsi="Times New Roman" w:cs="Times New Roman"/>
                <w:i/>
                <w:iCs/>
                <w:color w:val="auto"/>
                <w:sz w:val="24"/>
                <w:szCs w:val="24"/>
                <w:highlight w:val="none"/>
              </w:rPr>
              <w:t>L</w:t>
            </w:r>
            <w:r>
              <w:rPr>
                <w:rFonts w:hint="eastAsia" w:ascii="Times New Roman" w:hAnsi="Times New Roman" w:cs="Times New Roman"/>
                <w:i/>
                <w:iCs/>
                <w:color w:val="auto"/>
                <w:sz w:val="24"/>
                <w:szCs w:val="24"/>
                <w:highlight w:val="none"/>
                <w:vertAlign w:val="subscript"/>
                <w:lang w:val="en-US" w:eastAsia="zh-CN"/>
              </w:rPr>
              <w:t>Ai</w:t>
            </w:r>
            <w:r>
              <w:rPr>
                <w:rFonts w:hint="default" w:ascii="Times New Roman" w:hAnsi="Times New Roman" w:cs="Times New Roman"/>
                <w:color w:val="auto"/>
                <w:sz w:val="24"/>
                <w:szCs w:val="24"/>
                <w:highlight w:val="none"/>
              </w:rPr>
              <w:t>，在T时间内该声源工作时间为t</w:t>
            </w:r>
            <w:r>
              <w:rPr>
                <w:rFonts w:hint="eastAsia" w:ascii="Times New Roman" w:hAnsi="Times New Roman" w:cs="Times New Roman"/>
                <w:color w:val="auto"/>
                <w:sz w:val="24"/>
                <w:szCs w:val="24"/>
                <w:highlight w:val="none"/>
                <w:vertAlign w:val="subscript"/>
                <w:lang w:val="en-US" w:eastAsia="zh-CN"/>
              </w:rPr>
              <w:t>i</w:t>
            </w:r>
            <w:r>
              <w:rPr>
                <w:rFonts w:hint="default" w:ascii="Times New Roman" w:hAnsi="Times New Roman" w:cs="Times New Roman"/>
                <w:color w:val="auto"/>
                <w:sz w:val="24"/>
                <w:szCs w:val="24"/>
                <w:highlight w:val="none"/>
              </w:rPr>
              <w:t>；第j个等效室外声源在预测点产生的A声级为</w:t>
            </w:r>
            <w:r>
              <w:rPr>
                <w:rFonts w:hint="default" w:ascii="Times New Roman" w:hAnsi="Times New Roman" w:cs="Times New Roman"/>
                <w:i/>
                <w:iCs/>
                <w:color w:val="auto"/>
                <w:sz w:val="24"/>
                <w:szCs w:val="24"/>
                <w:highlight w:val="none"/>
              </w:rPr>
              <w:t>L</w:t>
            </w:r>
            <w:r>
              <w:rPr>
                <w:rFonts w:hint="eastAsia" w:ascii="Times New Roman" w:hAnsi="Times New Roman" w:cs="Times New Roman"/>
                <w:i/>
                <w:iCs/>
                <w:color w:val="auto"/>
                <w:sz w:val="24"/>
                <w:szCs w:val="24"/>
                <w:highlight w:val="none"/>
                <w:vertAlign w:val="subscript"/>
                <w:lang w:val="en-US" w:eastAsia="zh-CN"/>
              </w:rPr>
              <w:t>Aj</w:t>
            </w:r>
            <w:r>
              <w:rPr>
                <w:rFonts w:hint="default" w:ascii="Times New Roman" w:hAnsi="Times New Roman" w:cs="Times New Roman"/>
                <w:color w:val="auto"/>
                <w:sz w:val="24"/>
                <w:szCs w:val="24"/>
                <w:highlight w:val="none"/>
              </w:rPr>
              <w:t>，在T时间内该声源工作时间为t</w:t>
            </w:r>
            <w:r>
              <w:rPr>
                <w:rFonts w:hint="eastAsia" w:ascii="Times New Roman" w:hAnsi="Times New Roman" w:cs="Times New Roman"/>
                <w:color w:val="auto"/>
                <w:sz w:val="24"/>
                <w:szCs w:val="24"/>
                <w:highlight w:val="none"/>
                <w:vertAlign w:val="subscript"/>
                <w:lang w:val="en-US" w:eastAsia="zh-CN"/>
              </w:rPr>
              <w:t>j</w:t>
            </w:r>
            <w:r>
              <w:rPr>
                <w:rFonts w:hint="default" w:ascii="Times New Roman" w:hAnsi="Times New Roman" w:cs="Times New Roman"/>
                <w:color w:val="auto"/>
                <w:sz w:val="24"/>
                <w:szCs w:val="24"/>
                <w:highlight w:val="none"/>
              </w:rPr>
              <w:t>，则拟建工程声源对预测点产生的贡献值（</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eqg</w:t>
            </w:r>
            <w:r>
              <w:rPr>
                <w:rFonts w:hint="default" w:ascii="Times New Roman" w:hAnsi="Times New Roman" w:cs="Times New Roman"/>
                <w:color w:val="auto"/>
                <w:sz w:val="24"/>
                <w:szCs w:val="24"/>
                <w:highlight w:val="none"/>
              </w:rPr>
              <w:t>）为：</w:t>
            </w:r>
          </w:p>
          <w:p>
            <w:pPr>
              <w:pStyle w:val="43"/>
              <w:keepNext w:val="0"/>
              <w:keepLines w:val="0"/>
              <w:suppressLineNumbers w:val="0"/>
              <w:spacing w:before="0" w:beforeAutospacing="0" w:after="0" w:afterAutospacing="0"/>
              <w:ind w:left="0" w:right="0" w:firstLine="480"/>
              <w:jc w:val="center"/>
              <w:rPr>
                <w:rFonts w:hint="default"/>
                <w:highlight w:val="none"/>
              </w:rPr>
            </w:pPr>
            <w:r>
              <w:rPr>
                <w:rFonts w:hint="default"/>
              </w:rPr>
              <w:drawing>
                <wp:inline distT="0" distB="0" distL="114300" distR="114300">
                  <wp:extent cx="2695575" cy="495300"/>
                  <wp:effectExtent l="0" t="0" r="9525" b="0"/>
                  <wp:docPr id="4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2"/>
                          <pic:cNvPicPr>
                            <a:picLocks noChangeAspect="1"/>
                          </pic:cNvPicPr>
                        </pic:nvPicPr>
                        <pic:blipFill>
                          <a:blip r:embed="rId10"/>
                          <a:stretch>
                            <a:fillRect/>
                          </a:stretch>
                        </pic:blipFill>
                        <pic:spPr>
                          <a:xfrm>
                            <a:off x="0" y="0"/>
                            <a:ext cx="2695575" cy="495300"/>
                          </a:xfrm>
                          <a:prstGeom prst="rect">
                            <a:avLst/>
                          </a:prstGeom>
                          <a:noFill/>
                          <a:ln>
                            <a:noFill/>
                          </a:ln>
                        </pic:spPr>
                      </pic:pic>
                    </a:graphicData>
                  </a:graphic>
                </wp:inline>
              </w:drawing>
            </w:r>
            <w:r>
              <w:rPr>
                <w:rFonts w:hint="default"/>
                <w:highlight w:val="none"/>
              </w:rPr>
              <w:t xml:space="preserve">                 （1）</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rPr>
              <w:t>式中：</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eqg</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eastAsia="zh-CN"/>
              </w:rPr>
              <w:t>建设项目声源在预测点产生的噪声贡献值，dB；</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1200" w:firstLineChars="500"/>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i/>
                <w:iCs/>
                <w:color w:val="auto"/>
                <w:sz w:val="24"/>
                <w:szCs w:val="24"/>
                <w:highlight w:val="none"/>
                <w:lang w:val="en-US" w:eastAsia="zh-CN"/>
              </w:rPr>
              <w:t>T</w:t>
            </w:r>
            <w:r>
              <w:rPr>
                <w:rFonts w:hint="eastAsia" w:ascii="Times New Roman" w:hAnsi="Times New Roman" w:cs="Times New Roman"/>
                <w:color w:val="auto"/>
                <w:sz w:val="24"/>
                <w:szCs w:val="24"/>
                <w:highlight w:val="none"/>
                <w:lang w:val="en-US" w:eastAsia="zh-CN"/>
              </w:rPr>
              <w:t>——用于计算等效声级的时间，s；</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1200" w:firstLineChars="500"/>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i/>
                <w:iCs/>
                <w:color w:val="auto"/>
                <w:sz w:val="24"/>
                <w:szCs w:val="24"/>
                <w:highlight w:val="none"/>
                <w:lang w:val="en-US" w:eastAsia="zh-CN"/>
              </w:rPr>
              <w:t>N</w:t>
            </w:r>
            <w:r>
              <w:rPr>
                <w:rFonts w:hint="eastAsia" w:ascii="Times New Roman" w:hAnsi="Times New Roman" w:cs="Times New Roman"/>
                <w:color w:val="auto"/>
                <w:sz w:val="24"/>
                <w:szCs w:val="24"/>
                <w:highlight w:val="none"/>
                <w:lang w:val="en-US" w:eastAsia="zh-CN"/>
              </w:rPr>
              <w:t>——室外声源个数；</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1200" w:firstLineChars="5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i/>
                <w:iCs/>
                <w:color w:val="auto"/>
                <w:sz w:val="24"/>
                <w:szCs w:val="24"/>
                <w:highlight w:val="none"/>
              </w:rPr>
              <w:t>t</w:t>
            </w:r>
            <w:r>
              <w:rPr>
                <w:rFonts w:hint="eastAsia" w:ascii="Times New Roman" w:hAnsi="Times New Roman" w:cs="Times New Roman"/>
                <w:i/>
                <w:iCs/>
                <w:color w:val="auto"/>
                <w:sz w:val="24"/>
                <w:szCs w:val="24"/>
                <w:highlight w:val="none"/>
                <w:vertAlign w:val="subscript"/>
                <w:lang w:val="en-US" w:eastAsia="zh-CN"/>
              </w:rPr>
              <w:t>i</w:t>
            </w:r>
            <w:r>
              <w:rPr>
                <w:rFonts w:hint="eastAsia" w:ascii="Times New Roman" w:hAnsi="Times New Roman" w:cs="Times New Roman"/>
                <w:color w:val="auto"/>
                <w:sz w:val="24"/>
                <w:szCs w:val="24"/>
                <w:highlight w:val="none"/>
                <w:lang w:val="en-US" w:eastAsia="zh-CN"/>
              </w:rPr>
              <w:t>——在T时间内i声源的工作时间，s</w:t>
            </w:r>
            <w:r>
              <w:rPr>
                <w:rFonts w:hint="eastAsia" w:cs="Times New Roman"/>
                <w:color w:val="auto"/>
                <w:sz w:val="24"/>
                <w:szCs w:val="24"/>
                <w:highlight w:val="none"/>
                <w:lang w:val="en-US"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1200" w:firstLineChars="50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i/>
                <w:iCs/>
                <w:color w:val="auto"/>
                <w:sz w:val="24"/>
                <w:szCs w:val="24"/>
                <w:highlight w:val="none"/>
                <w:lang w:val="en-US" w:eastAsia="zh-CN"/>
              </w:rPr>
              <w:t>M</w:t>
            </w:r>
            <w:r>
              <w:rPr>
                <w:rFonts w:hint="eastAsia" w:ascii="Times New Roman" w:hAnsi="Times New Roman" w:cs="Times New Roman"/>
                <w:color w:val="auto"/>
                <w:sz w:val="24"/>
                <w:szCs w:val="24"/>
                <w:highlight w:val="none"/>
                <w:lang w:val="en-US" w:eastAsia="zh-CN"/>
              </w:rPr>
              <w:t>——等效室外声源个数；</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1200" w:firstLineChars="5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i/>
                <w:iCs/>
                <w:color w:val="auto"/>
                <w:sz w:val="24"/>
                <w:szCs w:val="24"/>
                <w:highlight w:val="none"/>
              </w:rPr>
              <w:t>t</w:t>
            </w:r>
            <w:r>
              <w:rPr>
                <w:rFonts w:hint="eastAsia" w:ascii="Times New Roman" w:hAnsi="Times New Roman" w:cs="Times New Roman"/>
                <w:i/>
                <w:iCs/>
                <w:color w:val="auto"/>
                <w:sz w:val="24"/>
                <w:szCs w:val="24"/>
                <w:highlight w:val="none"/>
                <w:vertAlign w:val="subscript"/>
                <w:lang w:val="en-US" w:eastAsia="zh-CN"/>
              </w:rPr>
              <w:t>j</w:t>
            </w:r>
            <w:r>
              <w:rPr>
                <w:rFonts w:hint="eastAsia" w:ascii="Times New Roman" w:hAnsi="Times New Roman" w:cs="Times New Roman"/>
                <w:color w:val="auto"/>
                <w:sz w:val="24"/>
                <w:szCs w:val="24"/>
                <w:highlight w:val="none"/>
                <w:lang w:val="en-US" w:eastAsia="zh-CN"/>
              </w:rPr>
              <w:t>——在T时间内j声源的工作时间，s。</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噪声预测值</w:t>
            </w:r>
          </w:p>
          <w:p>
            <w:pPr>
              <w:pStyle w:val="43"/>
              <w:keepNext w:val="0"/>
              <w:keepLines w:val="0"/>
              <w:suppressLineNumbers w:val="0"/>
              <w:spacing w:before="0" w:beforeAutospacing="0" w:after="0" w:afterAutospacing="0"/>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预测点</w:t>
            </w:r>
            <w:r>
              <w:rPr>
                <w:rFonts w:hint="eastAsia" w:ascii="Times New Roman" w:hAnsi="Times New Roman" w:cs="Times New Roman"/>
                <w:color w:val="auto"/>
                <w:sz w:val="24"/>
                <w:szCs w:val="24"/>
                <w:highlight w:val="none"/>
                <w:lang w:val="en-US" w:eastAsia="zh-CN"/>
              </w:rPr>
              <w:t>的贡献值和背景值按能量叠加方法计算得到</w:t>
            </w:r>
            <w:r>
              <w:rPr>
                <w:rFonts w:hint="default" w:ascii="Times New Roman" w:hAnsi="Times New Roman" w:cs="Times New Roman"/>
                <w:color w:val="auto"/>
                <w:sz w:val="24"/>
                <w:szCs w:val="24"/>
                <w:highlight w:val="none"/>
                <w:lang w:eastAsia="zh-CN"/>
              </w:rPr>
              <w:t>噪声预测值</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eq</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计算公式：</w:t>
            </w:r>
          </w:p>
          <w:p>
            <w:pPr>
              <w:pStyle w:val="43"/>
              <w:keepNext w:val="0"/>
              <w:keepLines w:val="0"/>
              <w:suppressLineNumbers w:val="0"/>
              <w:spacing w:before="0" w:beforeAutospacing="0" w:after="0" w:afterAutospacing="0"/>
              <w:ind w:left="0" w:right="0" w:firstLine="480"/>
              <w:jc w:val="center"/>
              <w:rPr>
                <w:rFonts w:hint="default"/>
                <w:highlight w:val="none"/>
              </w:rPr>
            </w:pPr>
            <w:r>
              <w:rPr>
                <w:rFonts w:hint="default"/>
                <w:color w:val="auto"/>
              </w:rPr>
              <w:drawing>
                <wp:inline distT="0" distB="0" distL="114300" distR="114300">
                  <wp:extent cx="1847850" cy="295275"/>
                  <wp:effectExtent l="0" t="0" r="0" b="9525"/>
                  <wp:docPr id="45"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3"/>
                          <pic:cNvPicPr>
                            <a:picLocks noChangeAspect="1"/>
                          </pic:cNvPicPr>
                        </pic:nvPicPr>
                        <pic:blipFill>
                          <a:blip r:embed="rId11"/>
                          <a:stretch>
                            <a:fillRect/>
                          </a:stretch>
                        </pic:blipFill>
                        <pic:spPr>
                          <a:xfrm>
                            <a:off x="0" y="0"/>
                            <a:ext cx="1847850" cy="295275"/>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2</w:t>
            </w:r>
            <w:r>
              <w:rPr>
                <w:rFonts w:hint="default"/>
                <w:highlight w:val="none"/>
              </w:rPr>
              <w:t>）</w:t>
            </w:r>
          </w:p>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式中</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eq</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预测点的噪声预测值</w:t>
            </w:r>
            <w:r>
              <w:rPr>
                <w:rFonts w:hint="default" w:ascii="Times New Roman" w:hAnsi="Times New Roman" w:cs="Times New Roman"/>
                <w:color w:val="auto"/>
                <w:sz w:val="24"/>
                <w:szCs w:val="24"/>
                <w:highlight w:val="none"/>
              </w:rPr>
              <w:t>，dB；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630" w:leftChars="300" w:right="0" w:firstLine="48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L</w:t>
            </w:r>
            <w:r>
              <w:rPr>
                <w:rFonts w:hint="eastAsia" w:ascii="Times New Roman" w:hAnsi="Times New Roman" w:cs="Times New Roman"/>
                <w:color w:val="auto"/>
                <w:sz w:val="24"/>
                <w:szCs w:val="24"/>
                <w:highlight w:val="none"/>
                <w:vertAlign w:val="subscript"/>
                <w:lang w:val="en-US" w:eastAsia="zh-CN"/>
              </w:rPr>
              <w:t>e</w:t>
            </w:r>
            <w:r>
              <w:rPr>
                <w:rFonts w:hint="default" w:ascii="Times New Roman" w:hAnsi="Times New Roman" w:cs="Times New Roman"/>
                <w:color w:val="auto"/>
                <w:sz w:val="24"/>
                <w:szCs w:val="24"/>
                <w:highlight w:val="none"/>
                <w:vertAlign w:val="subscript"/>
              </w:rPr>
              <w:t>qb</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预测点的背景</w:t>
            </w:r>
            <w:r>
              <w:rPr>
                <w:rFonts w:hint="eastAsia" w:ascii="Times New Roman" w:hAnsi="Times New Roman" w:cs="Times New Roman"/>
                <w:color w:val="auto"/>
                <w:sz w:val="24"/>
                <w:szCs w:val="24"/>
                <w:highlight w:val="none"/>
                <w:lang w:val="en-US" w:eastAsia="zh-CN"/>
              </w:rPr>
              <w:t>噪声</w:t>
            </w:r>
            <w:r>
              <w:rPr>
                <w:rFonts w:hint="default" w:ascii="Times New Roman" w:hAnsi="Times New Roman" w:cs="Times New Roman"/>
                <w:color w:val="auto"/>
                <w:sz w:val="24"/>
                <w:szCs w:val="24"/>
                <w:highlight w:val="none"/>
              </w:rPr>
              <w:t>值，dB。</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）户外声</w:t>
            </w:r>
            <w:r>
              <w:rPr>
                <w:rFonts w:hint="default" w:ascii="Times New Roman" w:hAnsi="Times New Roman" w:cs="Times New Roman"/>
                <w:color w:val="auto"/>
                <w:sz w:val="24"/>
                <w:szCs w:val="24"/>
                <w:highlight w:val="none"/>
                <w:lang w:eastAsia="zh-CN"/>
              </w:rPr>
              <w:t>传播</w:t>
            </w:r>
            <w:r>
              <w:rPr>
                <w:rFonts w:hint="default" w:ascii="Times New Roman" w:hAnsi="Times New Roman" w:cs="Times New Roman"/>
                <w:color w:val="auto"/>
                <w:sz w:val="24"/>
                <w:szCs w:val="24"/>
                <w:highlight w:val="none"/>
              </w:rPr>
              <w:t>基本公式</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①</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基本公式</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户外声传播衰减包括几何发散（</w:t>
            </w:r>
            <w:r>
              <w:rPr>
                <w:rFonts w:hint="default" w:ascii="Times New Roman" w:hAnsi="Times New Roman" w:cs="Times New Roman"/>
                <w:i/>
                <w:iCs/>
                <w:color w:val="auto"/>
                <w:sz w:val="24"/>
                <w:szCs w:val="24"/>
                <w:highlight w:val="none"/>
              </w:rPr>
              <w:t>A</w:t>
            </w:r>
            <w:r>
              <w:rPr>
                <w:rFonts w:hint="default" w:ascii="Times New Roman" w:hAnsi="Times New Roman" w:cs="Times New Roman"/>
                <w:i/>
                <w:iCs/>
                <w:color w:val="auto"/>
                <w:sz w:val="24"/>
                <w:szCs w:val="24"/>
                <w:highlight w:val="none"/>
                <w:vertAlign w:val="subscript"/>
              </w:rPr>
              <w:t>div</w:t>
            </w:r>
            <w:r>
              <w:rPr>
                <w:rFonts w:hint="default" w:ascii="Times New Roman" w:hAnsi="Times New Roman" w:cs="Times New Roman"/>
                <w:color w:val="auto"/>
                <w:sz w:val="24"/>
                <w:szCs w:val="24"/>
                <w:highlight w:val="none"/>
              </w:rPr>
              <w:t>）、大气吸收（</w:t>
            </w:r>
            <w:r>
              <w:rPr>
                <w:rFonts w:hint="default" w:ascii="Times New Roman" w:hAnsi="Times New Roman" w:cs="Times New Roman"/>
                <w:i/>
                <w:iCs/>
                <w:color w:val="auto"/>
                <w:sz w:val="24"/>
                <w:szCs w:val="24"/>
                <w:highlight w:val="none"/>
              </w:rPr>
              <w:t>A</w:t>
            </w:r>
            <w:r>
              <w:rPr>
                <w:rFonts w:hint="default" w:ascii="Times New Roman" w:hAnsi="Times New Roman" w:cs="Times New Roman"/>
                <w:i/>
                <w:iCs/>
                <w:color w:val="auto"/>
                <w:sz w:val="24"/>
                <w:szCs w:val="24"/>
                <w:highlight w:val="none"/>
                <w:vertAlign w:val="subscript"/>
              </w:rPr>
              <w:t>atm</w:t>
            </w:r>
            <w:r>
              <w:rPr>
                <w:rFonts w:hint="default" w:ascii="Times New Roman" w:hAnsi="Times New Roman" w:cs="Times New Roman"/>
                <w:color w:val="auto"/>
                <w:sz w:val="24"/>
                <w:szCs w:val="24"/>
                <w:highlight w:val="none"/>
              </w:rPr>
              <w:t>）、地面效应（</w:t>
            </w:r>
            <w:r>
              <w:rPr>
                <w:rFonts w:hint="default" w:ascii="Times New Roman" w:hAnsi="Times New Roman" w:cs="Times New Roman"/>
                <w:i/>
                <w:iCs/>
                <w:color w:val="auto"/>
                <w:sz w:val="24"/>
                <w:szCs w:val="24"/>
                <w:highlight w:val="none"/>
              </w:rPr>
              <w:t>A</w:t>
            </w:r>
            <w:r>
              <w:rPr>
                <w:rFonts w:hint="default" w:ascii="Times New Roman" w:hAnsi="Times New Roman" w:cs="Times New Roman"/>
                <w:i/>
                <w:iCs/>
                <w:color w:val="auto"/>
                <w:sz w:val="24"/>
                <w:szCs w:val="24"/>
                <w:highlight w:val="none"/>
                <w:vertAlign w:val="subscript"/>
              </w:rPr>
              <w:t>gr</w:t>
            </w:r>
            <w:r>
              <w:rPr>
                <w:rFonts w:hint="default" w:ascii="Times New Roman" w:hAnsi="Times New Roman" w:cs="Times New Roman"/>
                <w:color w:val="auto"/>
                <w:sz w:val="24"/>
                <w:szCs w:val="24"/>
                <w:highlight w:val="none"/>
              </w:rPr>
              <w:t>）、屏障屏蔽（</w:t>
            </w:r>
            <w:r>
              <w:rPr>
                <w:rFonts w:hint="default" w:ascii="Times New Roman" w:hAnsi="Times New Roman" w:cs="Times New Roman"/>
                <w:i/>
                <w:iCs/>
                <w:color w:val="auto"/>
                <w:sz w:val="24"/>
                <w:szCs w:val="24"/>
                <w:highlight w:val="none"/>
              </w:rPr>
              <w:t>A</w:t>
            </w:r>
            <w:r>
              <w:rPr>
                <w:rFonts w:hint="default" w:ascii="Times New Roman" w:hAnsi="Times New Roman" w:cs="Times New Roman"/>
                <w:i/>
                <w:iCs/>
                <w:color w:val="auto"/>
                <w:sz w:val="24"/>
                <w:szCs w:val="24"/>
                <w:highlight w:val="none"/>
                <w:vertAlign w:val="subscript"/>
              </w:rPr>
              <w:t>bar</w:t>
            </w:r>
            <w:r>
              <w:rPr>
                <w:rFonts w:hint="default" w:ascii="Times New Roman" w:hAnsi="Times New Roman" w:cs="Times New Roman"/>
                <w:color w:val="auto"/>
                <w:sz w:val="24"/>
                <w:szCs w:val="24"/>
                <w:highlight w:val="none"/>
              </w:rPr>
              <w:t>）、其他多方面效应（</w:t>
            </w:r>
            <w:r>
              <w:rPr>
                <w:rFonts w:hint="default" w:ascii="Times New Roman" w:hAnsi="Times New Roman" w:cs="Times New Roman"/>
                <w:i/>
                <w:iCs/>
                <w:color w:val="auto"/>
                <w:sz w:val="24"/>
                <w:szCs w:val="24"/>
                <w:highlight w:val="none"/>
              </w:rPr>
              <w:t>A</w:t>
            </w:r>
            <w:r>
              <w:rPr>
                <w:rFonts w:hint="default" w:ascii="Times New Roman" w:hAnsi="Times New Roman" w:cs="Times New Roman"/>
                <w:i/>
                <w:iCs/>
                <w:color w:val="auto"/>
                <w:sz w:val="24"/>
                <w:szCs w:val="24"/>
                <w:highlight w:val="none"/>
                <w:vertAlign w:val="subscript"/>
              </w:rPr>
              <w:t>misc</w:t>
            </w:r>
            <w:r>
              <w:rPr>
                <w:rFonts w:hint="default" w:ascii="Times New Roman" w:hAnsi="Times New Roman" w:cs="Times New Roman"/>
                <w:color w:val="auto"/>
                <w:sz w:val="24"/>
                <w:szCs w:val="24"/>
                <w:highlight w:val="none"/>
              </w:rPr>
              <w:t>）引起的衰减。</w:t>
            </w:r>
            <w:r>
              <w:rPr>
                <w:rFonts w:hint="default" w:ascii="Times New Roman" w:hAnsi="Times New Roman" w:cs="Times New Roman"/>
                <w:color w:val="auto"/>
                <w:kern w:val="2"/>
                <w:sz w:val="24"/>
                <w:szCs w:val="24"/>
                <w:highlight w:val="none"/>
                <w:lang w:val="zh-CN"/>
              </w:rPr>
              <w:t>本次预测计算中只考虑各设备声源至受声点</w:t>
            </w:r>
            <w:r>
              <w:rPr>
                <w:rFonts w:hint="eastAsia" w:ascii="Times New Roman" w:hAnsi="Times New Roman" w:cs="Times New Roman"/>
                <w:color w:val="auto"/>
                <w:kern w:val="2"/>
                <w:sz w:val="24"/>
                <w:szCs w:val="24"/>
                <w:highlight w:val="none"/>
                <w:lang w:val="zh-CN"/>
              </w:rPr>
              <w:t>（</w:t>
            </w:r>
            <w:r>
              <w:rPr>
                <w:rFonts w:hint="default" w:ascii="Times New Roman" w:hAnsi="Times New Roman" w:cs="Times New Roman"/>
                <w:color w:val="auto"/>
                <w:kern w:val="2"/>
                <w:sz w:val="24"/>
                <w:szCs w:val="24"/>
                <w:highlight w:val="none"/>
                <w:lang w:val="zh-CN"/>
              </w:rPr>
              <w:t>预测点</w:t>
            </w:r>
            <w:r>
              <w:rPr>
                <w:rFonts w:hint="eastAsia" w:ascii="Times New Roman" w:hAnsi="Times New Roman" w:cs="Times New Roman"/>
                <w:color w:val="auto"/>
                <w:kern w:val="2"/>
                <w:sz w:val="24"/>
                <w:szCs w:val="24"/>
                <w:highlight w:val="none"/>
                <w:lang w:val="zh-CN"/>
              </w:rPr>
              <w:t>）</w:t>
            </w:r>
            <w:r>
              <w:rPr>
                <w:rFonts w:hint="default" w:ascii="Times New Roman" w:hAnsi="Times New Roman" w:cs="Times New Roman"/>
                <w:color w:val="auto"/>
                <w:kern w:val="2"/>
                <w:sz w:val="24"/>
                <w:szCs w:val="24"/>
                <w:highlight w:val="none"/>
                <w:lang w:val="zh-CN"/>
              </w:rPr>
              <w:t>的距离衰减、隔墙</w:t>
            </w:r>
            <w:r>
              <w:rPr>
                <w:rFonts w:hint="eastAsia" w:ascii="Times New Roman" w:hAnsi="Times New Roman" w:cs="Times New Roman"/>
                <w:color w:val="auto"/>
                <w:kern w:val="2"/>
                <w:sz w:val="24"/>
                <w:szCs w:val="24"/>
                <w:highlight w:val="none"/>
                <w:lang w:val="zh-CN"/>
              </w:rPr>
              <w:t>（</w:t>
            </w:r>
            <w:r>
              <w:rPr>
                <w:rFonts w:hint="default" w:ascii="Times New Roman" w:hAnsi="Times New Roman" w:cs="Times New Roman"/>
                <w:color w:val="auto"/>
                <w:kern w:val="2"/>
                <w:sz w:val="24"/>
                <w:szCs w:val="24"/>
                <w:highlight w:val="none"/>
                <w:lang w:val="zh-CN"/>
              </w:rPr>
              <w:t>或窗户</w:t>
            </w:r>
            <w:r>
              <w:rPr>
                <w:rFonts w:hint="eastAsia" w:ascii="Times New Roman" w:hAnsi="Times New Roman" w:cs="Times New Roman"/>
                <w:color w:val="auto"/>
                <w:kern w:val="2"/>
                <w:sz w:val="24"/>
                <w:szCs w:val="24"/>
                <w:highlight w:val="none"/>
                <w:lang w:val="zh-CN"/>
              </w:rPr>
              <w:t>）</w:t>
            </w:r>
            <w:r>
              <w:rPr>
                <w:rFonts w:hint="default" w:ascii="Times New Roman" w:hAnsi="Times New Roman" w:cs="Times New Roman"/>
                <w:color w:val="auto"/>
                <w:kern w:val="2"/>
                <w:sz w:val="24"/>
                <w:szCs w:val="24"/>
                <w:highlight w:val="none"/>
                <w:lang w:val="zh-CN"/>
              </w:rPr>
              <w:t>的传输损失及降噪设备引起的噪声衰减。</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A.在环境影响评价中，应根据声源声功率级或参考位置处的</w:t>
            </w:r>
            <w:r>
              <w:rPr>
                <w:rFonts w:hint="default" w:ascii="Times New Roman" w:hAnsi="Times New Roman" w:cs="Times New Roman"/>
                <w:color w:val="auto"/>
                <w:sz w:val="24"/>
                <w:szCs w:val="24"/>
                <w:highlight w:val="none"/>
                <w:lang w:eastAsia="zh-CN"/>
              </w:rPr>
              <w:t>声压级</w:t>
            </w:r>
            <w:r>
              <w:rPr>
                <w:rFonts w:hint="default" w:ascii="Times New Roman" w:hAnsi="Times New Roman" w:cs="Times New Roman"/>
                <w:color w:val="auto"/>
                <w:sz w:val="24"/>
                <w:szCs w:val="24"/>
                <w:highlight w:val="none"/>
              </w:rPr>
              <w:t>、户外声传播衰减，计算预测点的声级</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用</w:t>
            </w:r>
            <w:r>
              <w:rPr>
                <w:rFonts w:hint="eastAsia" w:ascii="Times New Roman" w:hAnsi="Times New Roman" w:cs="Times New Roman"/>
                <w:color w:val="auto"/>
                <w:sz w:val="24"/>
                <w:szCs w:val="24"/>
                <w:highlight w:val="none"/>
                <w:lang w:val="en-US" w:eastAsia="zh-CN"/>
              </w:rPr>
              <w:t>公式（3）</w:t>
            </w:r>
            <w:r>
              <w:rPr>
                <w:rFonts w:hint="default" w:ascii="Times New Roman" w:hAnsi="Times New Roman" w:cs="Times New Roman"/>
                <w:color w:val="auto"/>
                <w:sz w:val="24"/>
                <w:szCs w:val="24"/>
                <w:highlight w:val="none"/>
              </w:rPr>
              <w:t>计算。</w:t>
            </w:r>
          </w:p>
          <w:p>
            <w:pPr>
              <w:pStyle w:val="43"/>
              <w:keepNext w:val="0"/>
              <w:keepLines w:val="0"/>
              <w:suppressLineNumbers w:val="0"/>
              <w:spacing w:before="0" w:beforeAutospacing="0" w:after="0" w:afterAutospacing="0"/>
              <w:ind w:left="0" w:leftChars="0" w:right="0" w:firstLine="0" w:firstLineChars="0"/>
              <w:jc w:val="center"/>
              <w:rPr>
                <w:rFonts w:hint="default"/>
                <w:highlight w:val="none"/>
              </w:rPr>
            </w:pPr>
            <w:r>
              <w:rPr>
                <w:rFonts w:hint="default"/>
                <w:color w:val="auto"/>
                <w:lang w:val="en-US" w:eastAsia="zh-CN"/>
              </w:rPr>
              <w:drawing>
                <wp:inline distT="0" distB="0" distL="114300" distR="114300">
                  <wp:extent cx="3028950" cy="180975"/>
                  <wp:effectExtent l="0" t="0" r="0" b="9525"/>
                  <wp:docPr id="4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4"/>
                          <pic:cNvPicPr>
                            <a:picLocks noChangeAspect="1"/>
                          </pic:cNvPicPr>
                        </pic:nvPicPr>
                        <pic:blipFill>
                          <a:blip r:embed="rId12"/>
                          <a:stretch>
                            <a:fillRect/>
                          </a:stretch>
                        </pic:blipFill>
                        <pic:spPr>
                          <a:xfrm>
                            <a:off x="0" y="0"/>
                            <a:ext cx="3028950" cy="180975"/>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3</w:t>
            </w:r>
            <w:r>
              <w:rPr>
                <w:rFonts w:hint="default"/>
                <w:highlight w:val="none"/>
              </w:rPr>
              <w:t>）</w:t>
            </w:r>
          </w:p>
          <w:p>
            <w:pPr>
              <w:keepNext w:val="0"/>
              <w:keepLines w:val="0"/>
              <w:numPr>
                <w:ilvl w:val="0"/>
                <w:numId w:val="6"/>
              </w:numPr>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预测点的A声级</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A</w:t>
            </w:r>
            <w:r>
              <w:rPr>
                <w:rFonts w:hint="default" w:ascii="Times New Roman" w:hAnsi="Times New Roman" w:cs="Times New Roman"/>
                <w:i/>
                <w:iCs/>
                <w:color w:val="auto"/>
                <w:sz w:val="24"/>
                <w:szCs w:val="24"/>
                <w:highlight w:val="none"/>
              </w:rPr>
              <w:t>(r)</w:t>
            </w:r>
            <w:r>
              <w:rPr>
                <w:rFonts w:hint="default" w:ascii="Times New Roman" w:hAnsi="Times New Roman" w:cs="Times New Roman"/>
                <w:color w:val="auto"/>
                <w:sz w:val="24"/>
                <w:szCs w:val="24"/>
                <w:highlight w:val="none"/>
              </w:rPr>
              <w:t>可按</w:t>
            </w:r>
            <w:r>
              <w:rPr>
                <w:rFonts w:hint="eastAsia" w:ascii="Times New Roman" w:hAnsi="Times New Roman" w:cs="Times New Roman"/>
                <w:color w:val="auto"/>
                <w:sz w:val="24"/>
                <w:szCs w:val="24"/>
                <w:highlight w:val="none"/>
                <w:lang w:val="en-US" w:eastAsia="zh-CN"/>
              </w:rPr>
              <w:t>公式（4）</w:t>
            </w:r>
            <w:r>
              <w:rPr>
                <w:rFonts w:hint="default" w:ascii="Times New Roman" w:hAnsi="Times New Roman" w:cs="Times New Roman"/>
                <w:color w:val="auto"/>
                <w:sz w:val="24"/>
                <w:szCs w:val="24"/>
                <w:highlight w:val="none"/>
              </w:rPr>
              <w:t>计算，即将8个倍频带声压级合成，计算出预测点的A声级（</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A</w:t>
            </w:r>
            <w:r>
              <w:rPr>
                <w:rFonts w:hint="default" w:ascii="Times New Roman" w:hAnsi="Times New Roman" w:cs="Times New Roman"/>
                <w:i/>
                <w:iCs/>
                <w:color w:val="auto"/>
                <w:sz w:val="24"/>
                <w:szCs w:val="24"/>
                <w:highlight w:val="none"/>
              </w:rPr>
              <w:t>(r)</w:t>
            </w:r>
            <w:r>
              <w:rPr>
                <w:rFonts w:hint="default" w:ascii="Times New Roman" w:hAnsi="Times New Roman" w:cs="Times New Roman"/>
                <w:color w:val="auto"/>
                <w:sz w:val="24"/>
                <w:szCs w:val="24"/>
                <w:highlight w:val="none"/>
              </w:rPr>
              <w:t>）。</w:t>
            </w:r>
          </w:p>
          <w:p>
            <w:pPr>
              <w:pStyle w:val="43"/>
              <w:keepNext w:val="0"/>
              <w:keepLines w:val="0"/>
              <w:suppressLineNumbers w:val="0"/>
              <w:spacing w:before="0" w:beforeAutospacing="0" w:after="0" w:afterAutospacing="0"/>
              <w:ind w:left="0" w:leftChars="0" w:right="0" w:firstLine="0" w:firstLineChars="0"/>
              <w:jc w:val="center"/>
              <w:rPr>
                <w:rFonts w:hint="default"/>
                <w:highlight w:val="none"/>
              </w:rPr>
            </w:pPr>
            <w:r>
              <w:rPr>
                <w:rFonts w:hint="default"/>
              </w:rPr>
              <w:drawing>
                <wp:inline distT="0" distB="0" distL="114300" distR="114300">
                  <wp:extent cx="2038350" cy="476250"/>
                  <wp:effectExtent l="0" t="0" r="0" b="0"/>
                  <wp:docPr id="4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5"/>
                          <pic:cNvPicPr>
                            <a:picLocks noChangeAspect="1"/>
                          </pic:cNvPicPr>
                        </pic:nvPicPr>
                        <pic:blipFill>
                          <a:blip r:embed="rId13"/>
                          <a:stretch>
                            <a:fillRect/>
                          </a:stretch>
                        </pic:blipFill>
                        <pic:spPr>
                          <a:xfrm>
                            <a:off x="0" y="0"/>
                            <a:ext cx="2038350" cy="476250"/>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4</w:t>
            </w:r>
            <w:r>
              <w:rPr>
                <w:rFonts w:hint="default"/>
                <w:highlight w:val="none"/>
              </w:rPr>
              <w:t>）</w:t>
            </w:r>
          </w:p>
          <w:p>
            <w:pPr>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式中：</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A</w:t>
            </w:r>
            <w:r>
              <w:rPr>
                <w:rFonts w:hint="default" w:ascii="Times New Roman" w:hAnsi="Times New Roman" w:cs="Times New Roman"/>
                <w:i/>
                <w:iCs/>
                <w:color w:val="auto"/>
                <w:sz w:val="24"/>
                <w:szCs w:val="24"/>
                <w:highlight w:val="none"/>
              </w:rPr>
              <w:t>(r)</w:t>
            </w:r>
            <w:r>
              <w:rPr>
                <w:rFonts w:hint="eastAsia" w:ascii="Times New Roman" w:hAnsi="Times New Roman" w:cs="Times New Roman"/>
                <w:color w:val="auto"/>
                <w:sz w:val="24"/>
                <w:szCs w:val="24"/>
                <w:highlight w:val="none"/>
                <w:lang w:eastAsia="zh-CN"/>
              </w:rPr>
              <w:t>——</w:t>
            </w:r>
            <w:r>
              <w:rPr>
                <w:rFonts w:hint="default"/>
                <w:color w:val="auto"/>
                <w:sz w:val="24"/>
                <w:highlight w:val="none"/>
              </w:rPr>
              <w:t>距声源</w:t>
            </w:r>
            <w:r>
              <w:rPr>
                <w:rFonts w:hint="eastAsia"/>
                <w:color w:val="auto"/>
                <w:sz w:val="24"/>
                <w:highlight w:val="none"/>
                <w:lang w:eastAsia="zh-CN"/>
              </w:rPr>
              <w:t>（</w:t>
            </w:r>
            <w:r>
              <w:rPr>
                <w:rFonts w:hint="default"/>
                <w:color w:val="auto"/>
                <w:sz w:val="24"/>
                <w:highlight w:val="none"/>
              </w:rPr>
              <w:t>r</w:t>
            </w:r>
            <w:r>
              <w:rPr>
                <w:rFonts w:hint="eastAsia"/>
                <w:color w:val="auto"/>
                <w:sz w:val="24"/>
                <w:highlight w:val="none"/>
                <w:lang w:eastAsia="zh-CN"/>
              </w:rPr>
              <w:t>）</w:t>
            </w:r>
            <w:r>
              <w:rPr>
                <w:rFonts w:hint="default"/>
                <w:color w:val="auto"/>
                <w:sz w:val="24"/>
                <w:highlight w:val="none"/>
              </w:rPr>
              <w:t>处的A声级，dB；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630" w:leftChars="300" w:right="0" w:firstLine="480"/>
              <w:textAlignment w:val="auto"/>
              <w:rPr>
                <w:rFonts w:hint="default" w:ascii="Times New Roman" w:hAnsi="Times New Roman" w:cs="Times New Roman"/>
                <w:color w:val="auto"/>
                <w:sz w:val="24"/>
                <w:szCs w:val="24"/>
                <w:highlight w:val="none"/>
              </w:rPr>
            </w:pP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P</w:t>
            </w:r>
            <w:r>
              <w:rPr>
                <w:rFonts w:hint="default" w:ascii="Times New Roman" w:hAnsi="Times New Roman" w:cs="Times New Roman"/>
                <w:i/>
                <w:iCs/>
                <w:color w:val="auto"/>
                <w:sz w:val="24"/>
                <w:szCs w:val="24"/>
                <w:highlight w:val="none"/>
              </w:rPr>
              <w:t>(r)</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预测点（r）处，第i倍频带声压级，dB；</w:t>
            </w:r>
          </w:p>
          <w:p>
            <w:pPr>
              <w:pStyle w:val="43"/>
              <w:keepNext w:val="0"/>
              <w:keepLines w:val="0"/>
              <w:suppressLineNumbers w:val="0"/>
              <w:spacing w:before="0" w:beforeAutospacing="0" w:after="0" w:afterAutospacing="0"/>
              <w:ind w:left="0" w:leftChars="0" w:right="0" w:firstLine="0" w:firstLineChars="0"/>
              <w:jc w:val="center"/>
              <w:rPr>
                <w:rFonts w:hint="default" w:ascii="Times New Roman" w:hAnsi="Times New Roman" w:cs="Times New Roman"/>
                <w:color w:val="auto"/>
                <w:sz w:val="24"/>
                <w:szCs w:val="24"/>
                <w:highlight w:val="none"/>
              </w:rPr>
            </w:pPr>
            <w:r>
              <w:rPr>
                <w:rFonts w:hint="default" w:ascii="Times New Roman" w:hAnsi="Times New Roman" w:cs="Times New Roman"/>
                <w:i/>
                <w:iCs/>
                <w:color w:val="auto"/>
                <w:sz w:val="24"/>
                <w:szCs w:val="24"/>
                <w:highlight w:val="none"/>
              </w:rPr>
              <w:t>ΔL</w:t>
            </w:r>
            <w:r>
              <w:rPr>
                <w:rFonts w:hint="default" w:ascii="Times New Roman" w:hAnsi="Times New Roman" w:cs="Times New Roman"/>
                <w:i/>
                <w:iCs/>
                <w:color w:val="auto"/>
                <w:sz w:val="24"/>
                <w:szCs w:val="24"/>
                <w:highlight w:val="none"/>
                <w:vertAlign w:val="subscript"/>
              </w:rPr>
              <w:t>i</w:t>
            </w:r>
            <w:r>
              <w:rPr>
                <w:rFonts w:hint="eastAsia" w:ascii="Times New Roman" w:hAnsi="Times New Roman" w:cs="Times New Roman"/>
                <w:i/>
                <w:iCs/>
                <w:color w:val="auto"/>
                <w:sz w:val="24"/>
                <w:szCs w:val="24"/>
                <w:highlight w:val="none"/>
                <w:vertAlign w:val="subscript"/>
                <w:lang w:val="en-US" w:eastAsia="zh-CN"/>
              </w:rPr>
              <w:t xml:space="preserve"> </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第i倍频带的A计权网络修正值，dB。</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C.在只考虑几何发散衰减时，可用</w:t>
            </w:r>
            <w:r>
              <w:rPr>
                <w:rFonts w:hint="eastAsia" w:ascii="Times New Roman" w:hAnsi="Times New Roman" w:cs="Times New Roman"/>
                <w:color w:val="auto"/>
                <w:sz w:val="24"/>
                <w:szCs w:val="24"/>
                <w:highlight w:val="none"/>
                <w:lang w:val="en-US" w:eastAsia="zh-CN"/>
              </w:rPr>
              <w:t>公式（5）</w:t>
            </w:r>
            <w:r>
              <w:rPr>
                <w:rFonts w:hint="default" w:ascii="Times New Roman" w:hAnsi="Times New Roman" w:cs="Times New Roman"/>
                <w:color w:val="auto"/>
                <w:sz w:val="24"/>
                <w:szCs w:val="24"/>
                <w:highlight w:val="none"/>
              </w:rPr>
              <w:t>计算：</w:t>
            </w:r>
          </w:p>
          <w:p>
            <w:pPr>
              <w:pStyle w:val="43"/>
              <w:keepNext w:val="0"/>
              <w:keepLines w:val="0"/>
              <w:suppressLineNumbers w:val="0"/>
              <w:spacing w:before="0" w:beforeAutospacing="0" w:after="0" w:afterAutospacing="0"/>
              <w:ind w:left="0" w:leftChars="0" w:right="0" w:firstLine="0" w:firstLineChars="0"/>
              <w:jc w:val="center"/>
              <w:rPr>
                <w:rFonts w:hint="default"/>
                <w:highlight w:val="none"/>
              </w:rPr>
            </w:pPr>
            <w:r>
              <w:rPr>
                <w:rFonts w:hint="default"/>
              </w:rPr>
              <w:drawing>
                <wp:inline distT="0" distB="0" distL="114300" distR="114300">
                  <wp:extent cx="1352550" cy="247650"/>
                  <wp:effectExtent l="0" t="0" r="0" b="0"/>
                  <wp:docPr id="4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6"/>
                          <pic:cNvPicPr>
                            <a:picLocks noChangeAspect="1"/>
                          </pic:cNvPicPr>
                        </pic:nvPicPr>
                        <pic:blipFill>
                          <a:blip r:embed="rId14"/>
                          <a:stretch>
                            <a:fillRect/>
                          </a:stretch>
                        </pic:blipFill>
                        <pic:spPr>
                          <a:xfrm>
                            <a:off x="0" y="0"/>
                            <a:ext cx="1352550" cy="247650"/>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5</w:t>
            </w:r>
            <w:r>
              <w:rPr>
                <w:rFonts w:hint="default"/>
                <w:highlight w:val="none"/>
              </w:rPr>
              <w:t>）</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②</w:t>
            </w:r>
            <w:r>
              <w:rPr>
                <w:rFonts w:hint="eastAsia"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几何发散衰减（A</w:t>
            </w:r>
            <w:r>
              <w:rPr>
                <w:rFonts w:hint="default" w:ascii="Times New Roman" w:hAnsi="Times New Roman" w:cs="Times New Roman"/>
                <w:color w:val="auto"/>
                <w:sz w:val="24"/>
                <w:szCs w:val="24"/>
                <w:highlight w:val="none"/>
                <w:vertAlign w:val="subscript"/>
              </w:rPr>
              <w:t>div</w:t>
            </w:r>
            <w:r>
              <w:rPr>
                <w:rFonts w:hint="default" w:ascii="Times New Roman" w:hAnsi="Times New Roman" w:cs="Times New Roman"/>
                <w:color w:val="auto"/>
                <w:sz w:val="24"/>
                <w:szCs w:val="24"/>
                <w:highlight w:val="none"/>
              </w:rPr>
              <w:t>）</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如果已知点声源的倍频带声功率级或 A 计权声功率级（LAw），且声源处于自由声场，则等效为</w:t>
            </w:r>
            <w:r>
              <w:rPr>
                <w:rFonts w:hint="eastAsia" w:ascii="Times New Roman" w:hAnsi="Times New Roman" w:cs="Times New Roman"/>
                <w:color w:val="auto"/>
                <w:sz w:val="24"/>
                <w:szCs w:val="24"/>
                <w:highlight w:val="none"/>
                <w:lang w:val="en-US" w:eastAsia="zh-CN"/>
              </w:rPr>
              <w:t>公式（6）</w:t>
            </w:r>
            <w:r>
              <w:rPr>
                <w:rFonts w:hint="eastAsia" w:ascii="Times New Roman" w:hAnsi="Times New Roman" w:cs="Times New Roman"/>
                <w:color w:val="auto"/>
                <w:sz w:val="24"/>
                <w:szCs w:val="24"/>
                <w:highlight w:val="none"/>
                <w:lang w:eastAsia="zh-CN"/>
              </w:rPr>
              <w:t>；如果声源处于半自由声场，</w:t>
            </w:r>
            <w:r>
              <w:rPr>
                <w:rFonts w:hint="default" w:ascii="Times New Roman" w:hAnsi="Times New Roman" w:cs="Times New Roman"/>
                <w:color w:val="auto"/>
                <w:sz w:val="24"/>
                <w:szCs w:val="24"/>
                <w:highlight w:val="none"/>
              </w:rPr>
              <w:t>则等效为</w:t>
            </w:r>
            <w:r>
              <w:rPr>
                <w:rFonts w:hint="eastAsia" w:ascii="Times New Roman" w:hAnsi="Times New Roman" w:cs="Times New Roman"/>
                <w:color w:val="auto"/>
                <w:sz w:val="24"/>
                <w:szCs w:val="24"/>
                <w:highlight w:val="none"/>
                <w:lang w:val="en-US" w:eastAsia="zh-CN"/>
              </w:rPr>
              <w:t>公式（7）</w:t>
            </w:r>
            <w:r>
              <w:rPr>
                <w:rFonts w:hint="eastAsia" w:ascii="Times New Roman" w:hAnsi="Times New Roman" w:cs="Times New Roman"/>
                <w:color w:val="auto"/>
                <w:sz w:val="24"/>
                <w:szCs w:val="24"/>
                <w:highlight w:val="none"/>
                <w:lang w:eastAsia="zh-CN"/>
              </w:rPr>
              <w:t>。</w:t>
            </w:r>
          </w:p>
          <w:p>
            <w:pPr>
              <w:pStyle w:val="43"/>
              <w:keepNext w:val="0"/>
              <w:keepLines w:val="0"/>
              <w:suppressLineNumbers w:val="0"/>
              <w:spacing w:before="0" w:beforeAutospacing="0" w:after="0" w:afterAutospacing="0"/>
              <w:ind w:left="0" w:leftChars="0" w:right="0" w:firstLine="0" w:firstLineChars="0"/>
              <w:jc w:val="center"/>
              <w:rPr>
                <w:rFonts w:hint="default"/>
                <w:color w:val="auto"/>
              </w:rPr>
            </w:pPr>
            <w:r>
              <w:rPr>
                <w:rFonts w:hint="default"/>
                <w:color w:val="auto"/>
              </w:rPr>
              <w:drawing>
                <wp:inline distT="0" distB="0" distL="114300" distR="114300">
                  <wp:extent cx="1571625" cy="228600"/>
                  <wp:effectExtent l="0" t="0" r="9525" b="0"/>
                  <wp:docPr id="5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7"/>
                          <pic:cNvPicPr>
                            <a:picLocks noChangeAspect="1"/>
                          </pic:cNvPicPr>
                        </pic:nvPicPr>
                        <pic:blipFill>
                          <a:blip r:embed="rId15"/>
                          <a:stretch>
                            <a:fillRect/>
                          </a:stretch>
                        </pic:blipFill>
                        <pic:spPr>
                          <a:xfrm>
                            <a:off x="0" y="0"/>
                            <a:ext cx="1571625" cy="228600"/>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6</w:t>
            </w:r>
            <w:r>
              <w:rPr>
                <w:rFonts w:hint="default"/>
                <w:highlight w:val="none"/>
              </w:rPr>
              <w:t>）</w:t>
            </w:r>
          </w:p>
          <w:p>
            <w:pPr>
              <w:pStyle w:val="43"/>
              <w:keepNext w:val="0"/>
              <w:keepLines w:val="0"/>
              <w:suppressLineNumbers w:val="0"/>
              <w:spacing w:before="0" w:beforeAutospacing="0" w:after="0" w:afterAutospacing="0"/>
              <w:ind w:left="0" w:leftChars="0" w:right="0" w:firstLine="0" w:firstLineChars="0"/>
              <w:jc w:val="center"/>
              <w:rPr>
                <w:rFonts w:hint="default"/>
                <w:highlight w:val="none"/>
              </w:rPr>
            </w:pPr>
            <w:r>
              <w:rPr>
                <w:rFonts w:hint="default"/>
                <w:color w:val="auto"/>
              </w:rPr>
              <w:drawing>
                <wp:inline distT="0" distB="0" distL="114300" distR="114300">
                  <wp:extent cx="1485900" cy="238125"/>
                  <wp:effectExtent l="0" t="0" r="0" b="9525"/>
                  <wp:docPr id="5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8"/>
                          <pic:cNvPicPr>
                            <a:picLocks noChangeAspect="1"/>
                          </pic:cNvPicPr>
                        </pic:nvPicPr>
                        <pic:blipFill>
                          <a:blip r:embed="rId16"/>
                          <a:stretch>
                            <a:fillRect/>
                          </a:stretch>
                        </pic:blipFill>
                        <pic:spPr>
                          <a:xfrm>
                            <a:off x="0" y="0"/>
                            <a:ext cx="1485900" cy="238125"/>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7</w:t>
            </w:r>
            <w:r>
              <w:rPr>
                <w:rFonts w:hint="default"/>
                <w:highlight w:val="none"/>
              </w:rPr>
              <w:t>）</w:t>
            </w:r>
          </w:p>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室内声源</w:t>
            </w:r>
            <w:r>
              <w:rPr>
                <w:rFonts w:hint="eastAsia" w:ascii="Times New Roman" w:hAnsi="Times New Roman" w:cs="Times New Roman"/>
                <w:color w:val="auto"/>
                <w:sz w:val="24"/>
                <w:szCs w:val="24"/>
                <w:highlight w:val="none"/>
                <w:lang w:val="en-US" w:eastAsia="zh-CN"/>
              </w:rPr>
              <w:t>等效室外声源</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声源位于室内，室内声源可采用等效室外声源声功率级法进行计算。设靠近开口处（或窗户）室内、室外某倍频带的声压级或A声级分别为</w:t>
            </w:r>
            <w:r>
              <w:rPr>
                <w:rFonts w:hint="default" w:ascii="Times New Roman" w:hAnsi="Times New Roman" w:cs="Times New Roman"/>
                <w:i/>
                <w:iCs/>
                <w:color w:val="auto"/>
                <w:sz w:val="24"/>
                <w:szCs w:val="24"/>
                <w:highlight w:val="none"/>
                <w:lang w:eastAsia="zh-CN"/>
              </w:rPr>
              <w:t>L</w:t>
            </w:r>
            <w:r>
              <w:rPr>
                <w:rFonts w:hint="default" w:ascii="Times New Roman" w:hAnsi="Times New Roman" w:cs="Times New Roman"/>
                <w:i/>
                <w:iCs/>
                <w:color w:val="auto"/>
                <w:sz w:val="24"/>
                <w:szCs w:val="24"/>
                <w:highlight w:val="none"/>
                <w:vertAlign w:val="subscript"/>
                <w:lang w:eastAsia="zh-CN"/>
              </w:rPr>
              <w:t>p1</w:t>
            </w:r>
            <w:r>
              <w:rPr>
                <w:rFonts w:hint="default" w:ascii="Times New Roman" w:hAnsi="Times New Roman" w:cs="Times New Roman"/>
                <w:color w:val="auto"/>
                <w:sz w:val="24"/>
                <w:szCs w:val="24"/>
                <w:highlight w:val="none"/>
                <w:lang w:eastAsia="zh-CN"/>
              </w:rPr>
              <w:t>和</w:t>
            </w:r>
            <w:r>
              <w:rPr>
                <w:rFonts w:hint="default" w:ascii="Times New Roman" w:hAnsi="Times New Roman" w:cs="Times New Roman"/>
                <w:i/>
                <w:iCs/>
                <w:color w:val="auto"/>
                <w:sz w:val="24"/>
                <w:szCs w:val="24"/>
                <w:highlight w:val="none"/>
                <w:lang w:eastAsia="zh-CN"/>
              </w:rPr>
              <w:t>L</w:t>
            </w:r>
            <w:r>
              <w:rPr>
                <w:rFonts w:hint="default" w:ascii="Times New Roman" w:hAnsi="Times New Roman" w:cs="Times New Roman"/>
                <w:i/>
                <w:iCs/>
                <w:color w:val="auto"/>
                <w:sz w:val="24"/>
                <w:szCs w:val="24"/>
                <w:highlight w:val="none"/>
                <w:vertAlign w:val="subscript"/>
                <w:lang w:eastAsia="zh-CN"/>
              </w:rPr>
              <w:t>p2</w:t>
            </w:r>
            <w:r>
              <w:rPr>
                <w:rFonts w:hint="default" w:ascii="Times New Roman" w:hAnsi="Times New Roman" w:cs="Times New Roman"/>
                <w:color w:val="auto"/>
                <w:sz w:val="24"/>
                <w:szCs w:val="24"/>
                <w:highlight w:val="none"/>
                <w:lang w:eastAsia="zh-CN"/>
              </w:rPr>
              <w:t>。若声源所在室内声场为近似扩散声场，则室外的倍频带声压级可按</w:t>
            </w:r>
            <w:r>
              <w:rPr>
                <w:rFonts w:hint="eastAsia" w:ascii="Times New Roman" w:hAnsi="Times New Roman" w:cs="Times New Roman"/>
                <w:color w:val="auto"/>
                <w:sz w:val="24"/>
                <w:szCs w:val="24"/>
                <w:highlight w:val="none"/>
                <w:lang w:val="en-US" w:eastAsia="zh-CN"/>
              </w:rPr>
              <w:t>公式（8）</w:t>
            </w:r>
            <w:r>
              <w:rPr>
                <w:rFonts w:hint="default" w:ascii="Times New Roman" w:hAnsi="Times New Roman" w:cs="Times New Roman"/>
                <w:color w:val="auto"/>
                <w:sz w:val="24"/>
                <w:szCs w:val="24"/>
                <w:highlight w:val="none"/>
                <w:lang w:eastAsia="zh-CN"/>
              </w:rPr>
              <w:t>近似求出：</w:t>
            </w:r>
          </w:p>
          <w:p>
            <w:pPr>
              <w:pStyle w:val="43"/>
              <w:keepNext w:val="0"/>
              <w:keepLines w:val="0"/>
              <w:suppressLineNumbers w:val="0"/>
              <w:spacing w:before="0" w:beforeAutospacing="0" w:after="0" w:afterAutospacing="0"/>
              <w:ind w:left="0" w:leftChars="0" w:right="0" w:firstLine="0" w:firstLineChars="0"/>
              <w:jc w:val="center"/>
              <w:rPr>
                <w:rFonts w:hint="default"/>
                <w:highlight w:val="none"/>
              </w:rPr>
            </w:pPr>
            <w:r>
              <w:rPr>
                <w:rFonts w:hint="default"/>
                <w:color w:val="auto"/>
              </w:rPr>
              <w:drawing>
                <wp:inline distT="0" distB="0" distL="114300" distR="114300">
                  <wp:extent cx="1333500" cy="200025"/>
                  <wp:effectExtent l="0" t="0" r="0" b="9525"/>
                  <wp:docPr id="5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9"/>
                          <pic:cNvPicPr>
                            <a:picLocks noChangeAspect="1"/>
                          </pic:cNvPicPr>
                        </pic:nvPicPr>
                        <pic:blipFill>
                          <a:blip r:embed="rId17"/>
                          <a:stretch>
                            <a:fillRect/>
                          </a:stretch>
                        </pic:blipFill>
                        <pic:spPr>
                          <a:xfrm>
                            <a:off x="0" y="0"/>
                            <a:ext cx="1333500" cy="200025"/>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8</w:t>
            </w:r>
            <w:r>
              <w:rPr>
                <w:rFonts w:hint="default"/>
                <w:highlight w:val="none"/>
              </w:rPr>
              <w:t>）</w:t>
            </w:r>
          </w:p>
          <w:p>
            <w:pPr>
              <w:keepNext w:val="0"/>
              <w:keepLines w:val="0"/>
              <w:suppressLineNumbers w:val="0"/>
              <w:spacing w:before="0" w:beforeAutospacing="0" w:after="0" w:afterAutospacing="0" w:line="360" w:lineRule="auto"/>
              <w:ind w:left="0" w:right="0"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式中：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630" w:leftChars="300" w:right="0" w:firstLine="48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Lp</w:t>
            </w:r>
            <w:r>
              <w:rPr>
                <w:rFonts w:hint="default" w:ascii="Times New Roman" w:hAnsi="Times New Roman" w:cs="Times New Roman"/>
                <w:color w:val="auto"/>
                <w:sz w:val="24"/>
                <w:szCs w:val="24"/>
                <w:highlight w:val="none"/>
                <w:vertAlign w:val="subscript"/>
                <w:lang w:val="en-US" w:eastAsia="zh-CN"/>
              </w:rPr>
              <w:t>1</w:t>
            </w:r>
            <w:r>
              <w:rPr>
                <w:rFonts w:hint="default" w:ascii="Times New Roman" w:hAnsi="Times New Roman" w:cs="Times New Roman"/>
                <w:color w:val="auto"/>
                <w:sz w:val="24"/>
                <w:szCs w:val="24"/>
                <w:highlight w:val="none"/>
                <w:lang w:val="en-US" w:eastAsia="zh-CN"/>
              </w:rPr>
              <w:t>——靠近开口处（或窗户）室内某倍频带的声压级或A声级，dB；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630" w:leftChars="300" w:right="0" w:firstLine="48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Lp</w:t>
            </w:r>
            <w:r>
              <w:rPr>
                <w:rFonts w:hint="default" w:ascii="Times New Roman" w:hAnsi="Times New Roman" w:cs="Times New Roman"/>
                <w:color w:val="auto"/>
                <w:sz w:val="24"/>
                <w:szCs w:val="24"/>
                <w:highlight w:val="none"/>
                <w:vertAlign w:val="subscript"/>
                <w:lang w:val="en-US" w:eastAsia="zh-CN"/>
              </w:rPr>
              <w:t>2</w:t>
            </w:r>
            <w:r>
              <w:rPr>
                <w:rFonts w:hint="default" w:ascii="Times New Roman" w:hAnsi="Times New Roman" w:cs="Times New Roman"/>
                <w:color w:val="auto"/>
                <w:sz w:val="24"/>
                <w:szCs w:val="24"/>
                <w:highlight w:val="none"/>
                <w:lang w:val="en-US" w:eastAsia="zh-CN"/>
              </w:rPr>
              <w:t>——靠近开口处（或窗户）室外某倍频带的声压级或A声级，dB；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630" w:leftChars="300" w:right="0" w:firstLine="48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TL——隔墙（或窗户）倍频带的隔声量，dB。</w:t>
            </w:r>
          </w:p>
          <w:p>
            <w:pPr>
              <w:keepNext w:val="0"/>
              <w:keepLines w:val="0"/>
              <w:suppressLineNumbers w:val="0"/>
              <w:spacing w:before="0" w:beforeAutospacing="0" w:after="0" w:afterAutospacing="0" w:line="360" w:lineRule="auto"/>
              <w:ind w:left="0" w:right="0" w:firstLine="0" w:firstLineChars="0"/>
              <w:jc w:val="center"/>
              <w:rPr>
                <w:rFonts w:hint="default" w:ascii="Times New Roman" w:hAnsi="Times New Roman" w:cs="Times New Roman"/>
                <w:color w:val="0000FF"/>
                <w:sz w:val="24"/>
                <w:szCs w:val="24"/>
                <w:highlight w:val="none"/>
              </w:rPr>
            </w:pPr>
            <w:r>
              <w:rPr>
                <w:rFonts w:hint="default"/>
              </w:rPr>
              <w:drawing>
                <wp:inline distT="0" distB="0" distL="114300" distR="114300">
                  <wp:extent cx="2971800" cy="1447800"/>
                  <wp:effectExtent l="0" t="0" r="0" b="0"/>
                  <wp:docPr id="5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0"/>
                          <pic:cNvPicPr>
                            <a:picLocks noChangeAspect="1"/>
                          </pic:cNvPicPr>
                        </pic:nvPicPr>
                        <pic:blipFill>
                          <a:blip r:embed="rId18"/>
                          <a:stretch>
                            <a:fillRect/>
                          </a:stretch>
                        </pic:blipFill>
                        <pic:spPr>
                          <a:xfrm>
                            <a:off x="0" y="0"/>
                            <a:ext cx="2971800" cy="1447800"/>
                          </a:xfrm>
                          <a:prstGeom prst="rect">
                            <a:avLst/>
                          </a:prstGeom>
                          <a:noFill/>
                          <a:ln>
                            <a:noFill/>
                          </a:ln>
                        </pic:spPr>
                      </pic:pic>
                    </a:graphicData>
                  </a:graphic>
                </wp:inline>
              </w:drawing>
            </w:r>
          </w:p>
          <w:p>
            <w:pPr>
              <w:pStyle w:val="45"/>
              <w:keepNext w:val="0"/>
              <w:keepLines w:val="0"/>
              <w:suppressLineNumbers w:val="0"/>
              <w:bidi w:val="0"/>
              <w:spacing w:before="0" w:beforeAutospacing="0" w:after="0" w:afterAutospacing="0"/>
              <w:ind w:right="0"/>
              <w:rPr>
                <w:rFonts w:hint="default"/>
                <w:lang w:val="en-US" w:eastAsia="zh-CN"/>
              </w:rPr>
            </w:pPr>
            <w:r>
              <w:rPr>
                <w:rFonts w:hint="default"/>
                <w:lang w:val="en-US" w:eastAsia="zh-CN"/>
              </w:rPr>
              <w:t>室内声源等效为室外声源图例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然后按</w:t>
            </w:r>
            <w:r>
              <w:rPr>
                <w:rFonts w:hint="eastAsia" w:ascii="Times New Roman" w:hAnsi="Times New Roman" w:cs="Times New Roman"/>
                <w:color w:val="auto"/>
                <w:sz w:val="24"/>
                <w:szCs w:val="24"/>
                <w:highlight w:val="none"/>
                <w:lang w:val="en-US" w:eastAsia="zh-CN"/>
              </w:rPr>
              <w:t>公式（9）</w:t>
            </w:r>
            <w:r>
              <w:rPr>
                <w:rFonts w:hint="default" w:ascii="Times New Roman" w:hAnsi="Times New Roman" w:cs="Times New Roman"/>
                <w:color w:val="auto"/>
                <w:sz w:val="24"/>
                <w:szCs w:val="24"/>
                <w:highlight w:val="none"/>
                <w:lang w:val="en-US" w:eastAsia="zh-CN"/>
              </w:rPr>
              <w:t>计算出所有室内声源在围护结构处产生的i倍频带叠加声压级：</w:t>
            </w:r>
          </w:p>
          <w:p>
            <w:pPr>
              <w:pStyle w:val="43"/>
              <w:keepNext w:val="0"/>
              <w:keepLines w:val="0"/>
              <w:suppressLineNumbers w:val="0"/>
              <w:spacing w:before="0" w:beforeAutospacing="0" w:after="0" w:afterAutospacing="0"/>
              <w:ind w:left="0" w:leftChars="0" w:right="0" w:firstLine="0" w:firstLineChars="0"/>
              <w:jc w:val="center"/>
              <w:rPr>
                <w:rFonts w:hint="default"/>
                <w:highlight w:val="none"/>
              </w:rPr>
            </w:pPr>
            <w:r>
              <w:rPr>
                <w:rFonts w:hint="default"/>
                <w:color w:val="auto"/>
              </w:rPr>
              <w:drawing>
                <wp:inline distT="0" distB="0" distL="114300" distR="114300">
                  <wp:extent cx="1876425" cy="533400"/>
                  <wp:effectExtent l="0" t="0" r="9525" b="0"/>
                  <wp:docPr id="5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2"/>
                          <pic:cNvPicPr>
                            <a:picLocks noChangeAspect="1"/>
                          </pic:cNvPicPr>
                        </pic:nvPicPr>
                        <pic:blipFill>
                          <a:blip r:embed="rId19"/>
                          <a:stretch>
                            <a:fillRect/>
                          </a:stretch>
                        </pic:blipFill>
                        <pic:spPr>
                          <a:xfrm>
                            <a:off x="0" y="0"/>
                            <a:ext cx="1876425" cy="533400"/>
                          </a:xfrm>
                          <a:prstGeom prst="rect">
                            <a:avLst/>
                          </a:prstGeom>
                          <a:noFill/>
                          <a:ln>
                            <a:noFill/>
                          </a:ln>
                        </pic:spPr>
                      </pic:pic>
                    </a:graphicData>
                  </a:graphic>
                </wp:inline>
              </w:drawing>
            </w:r>
            <w:r>
              <w:rPr>
                <w:rFonts w:hint="default"/>
                <w:highlight w:val="none"/>
              </w:rPr>
              <w:t xml:space="preserve">                （</w:t>
            </w:r>
            <w:r>
              <w:rPr>
                <w:rFonts w:hint="eastAsia"/>
                <w:highlight w:val="none"/>
                <w:lang w:val="en-US" w:eastAsia="zh-CN"/>
              </w:rPr>
              <w:t>9</w:t>
            </w:r>
            <w:r>
              <w:rPr>
                <w:rFonts w:hint="default"/>
                <w:highlight w:val="none"/>
              </w:rPr>
              <w:t>）</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60" w:lineRule="auto"/>
              <w:ind w:left="0" w:right="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式中：</w:t>
            </w: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P</w:t>
            </w:r>
            <w:r>
              <w:rPr>
                <w:rFonts w:hint="default" w:ascii="Times New Roman" w:hAnsi="Times New Roman" w:cs="Times New Roman"/>
                <w:i/>
                <w:iCs/>
                <w:color w:val="auto"/>
                <w:sz w:val="24"/>
                <w:szCs w:val="24"/>
                <w:highlight w:val="none"/>
                <w:vertAlign w:val="subscript"/>
                <w:lang w:val="en-US" w:eastAsia="zh-CN"/>
              </w:rPr>
              <w:t>1</w:t>
            </w:r>
            <w:r>
              <w:rPr>
                <w:rFonts w:hint="default" w:ascii="Times New Roman" w:hAnsi="Times New Roman" w:cs="Times New Roman"/>
                <w:i/>
                <w:iCs/>
                <w:color w:val="auto"/>
                <w:sz w:val="24"/>
                <w:szCs w:val="24"/>
                <w:highlight w:val="none"/>
                <w:vertAlign w:val="subscript"/>
              </w:rPr>
              <w:t>i</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T</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——靠近围护结构处室内N个声源i倍频带的叠加声压级，dB；</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630" w:leftChars="300" w:right="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i/>
                <w:iCs/>
                <w:color w:val="auto"/>
                <w:sz w:val="24"/>
                <w:szCs w:val="24"/>
                <w:highlight w:val="none"/>
              </w:rPr>
              <w:t>L</w:t>
            </w:r>
            <w:r>
              <w:rPr>
                <w:rFonts w:hint="default" w:ascii="Times New Roman" w:hAnsi="Times New Roman" w:cs="Times New Roman"/>
                <w:i/>
                <w:iCs/>
                <w:color w:val="auto"/>
                <w:sz w:val="24"/>
                <w:szCs w:val="24"/>
                <w:highlight w:val="none"/>
                <w:vertAlign w:val="subscript"/>
              </w:rPr>
              <w:t>P</w:t>
            </w:r>
            <w:r>
              <w:rPr>
                <w:rFonts w:hint="default" w:ascii="Times New Roman" w:hAnsi="Times New Roman" w:cs="Times New Roman"/>
                <w:i/>
                <w:iCs/>
                <w:color w:val="auto"/>
                <w:sz w:val="24"/>
                <w:szCs w:val="24"/>
                <w:highlight w:val="none"/>
                <w:vertAlign w:val="subscript"/>
                <w:lang w:val="en-US" w:eastAsia="zh-CN"/>
              </w:rPr>
              <w:t>1</w:t>
            </w:r>
            <w:r>
              <w:rPr>
                <w:rFonts w:hint="default" w:ascii="Times New Roman" w:hAnsi="Times New Roman" w:eastAsia="宋体" w:cs="Times New Roman"/>
                <w:i/>
                <w:iCs/>
                <w:color w:val="auto"/>
                <w:sz w:val="24"/>
                <w:szCs w:val="24"/>
                <w:highlight w:val="none"/>
                <w:vertAlign w:val="subscript"/>
              </w:rPr>
              <w:t>i</w:t>
            </w:r>
            <w:r>
              <w:rPr>
                <w:rFonts w:hint="eastAsia" w:ascii="Times New Roman" w:hAnsi="Times New Roman" w:eastAsia="宋体" w:cs="Times New Roman"/>
                <w:i/>
                <w:iCs/>
                <w:color w:val="auto"/>
                <w:sz w:val="24"/>
                <w:szCs w:val="24"/>
                <w:highlight w:val="none"/>
                <w:vertAlign w:val="subscript"/>
                <w:lang w:val="en-US" w:eastAsia="zh-CN"/>
              </w:rPr>
              <w:t>j</w:t>
            </w:r>
            <w:r>
              <w:rPr>
                <w:rFonts w:hint="default" w:ascii="Times New Roman" w:hAnsi="Times New Roman" w:cs="Times New Roman"/>
                <w:color w:val="auto"/>
                <w:sz w:val="24"/>
                <w:szCs w:val="24"/>
                <w:highlight w:val="none"/>
                <w:lang w:val="en-US" w:eastAsia="zh-CN"/>
              </w:rPr>
              <w:t>——室内j声源i倍频带的声压级，dB；</w:t>
            </w:r>
          </w:p>
          <w:p>
            <w:pPr>
              <w:pStyle w:val="43"/>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firstLine="1200" w:firstLineChars="500"/>
              <w:textAlignment w:val="auto"/>
              <w:rPr>
                <w:rFonts w:hint="default"/>
                <w:color w:val="auto"/>
              </w:rPr>
            </w:pPr>
            <w:r>
              <w:rPr>
                <w:rFonts w:hint="default" w:ascii="Times New Roman" w:hAnsi="Times New Roman" w:cs="Times New Roman"/>
                <w:color w:val="auto"/>
                <w:sz w:val="24"/>
                <w:szCs w:val="24"/>
                <w:highlight w:val="none"/>
                <w:lang w:val="en-US" w:eastAsia="zh-CN"/>
              </w:rPr>
              <w:t>N——室内声源总数。</w:t>
            </w:r>
          </w:p>
          <w:p>
            <w:pPr>
              <w:pStyle w:val="83"/>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5</w:t>
            </w:r>
            <w:r>
              <w:rPr>
                <w:rFonts w:hint="eastAsia" w:ascii="Times New Roman" w:hAnsi="Times New Roman" w:eastAsia="宋体" w:cs="Times New Roman"/>
                <w:color w:val="auto"/>
                <w:highlight w:val="none"/>
                <w:lang w:eastAsia="zh-CN"/>
              </w:rPr>
              <w:t>）</w:t>
            </w:r>
            <w:r>
              <w:rPr>
                <w:rFonts w:hint="default"/>
                <w:color w:val="auto"/>
                <w:highlight w:val="none"/>
              </w:rPr>
              <w:t>噪声预测及影响评价</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color w:val="000000" w:themeColor="text1"/>
                <w:highlight w:val="none"/>
                <w14:textFill>
                  <w14:solidFill>
                    <w14:schemeClr w14:val="tx1"/>
                  </w14:solidFill>
                </w14:textFill>
              </w:rPr>
            </w:pPr>
            <w:r>
              <w:rPr>
                <w:rFonts w:hint="eastAsia"/>
                <w:highlight w:val="none"/>
                <w:lang w:val="en-US" w:eastAsia="zh-CN"/>
              </w:rPr>
              <w:t>本项目为</w:t>
            </w:r>
            <w:r>
              <w:rPr>
                <w:rFonts w:hint="eastAsia"/>
                <w:highlight w:val="none"/>
              </w:rPr>
              <w:t>双班制，每班生产8h</w:t>
            </w:r>
            <w:r>
              <w:rPr>
                <w:rFonts w:hint="eastAsia"/>
                <w:highlight w:val="none"/>
                <w:lang w:val="en-US" w:eastAsia="zh-CN"/>
              </w:rPr>
              <w:t>。</w:t>
            </w:r>
            <w:r>
              <w:rPr>
                <w:rFonts w:hint="default"/>
                <w:highlight w:val="none"/>
              </w:rPr>
              <w:t>经计算得出项目设备噪声对厂界的贡献值，具体详见下表。</w:t>
            </w:r>
          </w:p>
          <w:p>
            <w:pPr>
              <w:pStyle w:val="42"/>
              <w:keepNext w:val="0"/>
              <w:keepLines w:val="0"/>
              <w:suppressLineNumbers w:val="0"/>
              <w:bidi w:val="0"/>
              <w:spacing w:beforeAutospacing="0" w:after="0" w:afterAutospacing="0"/>
              <w:ind w:left="0" w:leftChars="0" w:right="0" w:firstLine="0" w:firstLineChars="0"/>
              <w:rPr>
                <w:rFonts w:hint="default"/>
              </w:rPr>
            </w:pPr>
            <w:bookmarkStart w:id="107" w:name="_Ref31915"/>
            <w:r>
              <w:rPr>
                <w:rFonts w:hint="default"/>
              </w:rPr>
              <w:t>项目厂界</w:t>
            </w:r>
            <w:r>
              <w:rPr>
                <w:rFonts w:hint="eastAsia"/>
              </w:rPr>
              <w:t>噪声预测结果</w:t>
            </w:r>
            <w:r>
              <w:rPr>
                <w:rFonts w:hint="default"/>
              </w:rPr>
              <w:t>一览表</w:t>
            </w:r>
            <w:bookmarkEnd w:id="107"/>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939"/>
              <w:gridCol w:w="940"/>
              <w:gridCol w:w="901"/>
              <w:gridCol w:w="901"/>
              <w:gridCol w:w="20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0" w:type="dxa"/>
                  <w:vMerge w:val="restart"/>
                  <w:tcBorders>
                    <w:tl2br w:val="nil"/>
                    <w:tr2bl w:val="nil"/>
                  </w:tcBorders>
                  <w:vAlign w:val="center"/>
                </w:tcPr>
                <w:p>
                  <w:pPr>
                    <w:pStyle w:val="136"/>
                    <w:keepNext w:val="0"/>
                    <w:keepLines w:val="0"/>
                    <w:suppressLineNumbers w:val="0"/>
                    <w:bidi w:val="0"/>
                    <w:spacing w:before="0" w:beforeAutospacing="0" w:after="0" w:afterAutospacing="0"/>
                    <w:ind w:left="0" w:right="0"/>
                    <w:rPr>
                      <w:rFonts w:hint="default"/>
                    </w:rPr>
                  </w:pPr>
                  <w:r>
                    <w:rPr>
                      <w:rFonts w:hint="default"/>
                    </w:rPr>
                    <w:t>预测方位</w:t>
                  </w:r>
                </w:p>
              </w:tc>
              <w:tc>
                <w:tcPr>
                  <w:tcW w:w="1581" w:type="dxa"/>
                  <w:gridSpan w:val="2"/>
                  <w:tcBorders>
                    <w:tl2br w:val="nil"/>
                    <w:tr2bl w:val="nil"/>
                  </w:tcBorders>
                  <w:vAlign w:val="center"/>
                </w:tcPr>
                <w:p>
                  <w:pPr>
                    <w:pStyle w:val="136"/>
                    <w:keepNext w:val="0"/>
                    <w:keepLines w:val="0"/>
                    <w:suppressLineNumbers w:val="0"/>
                    <w:bidi w:val="0"/>
                    <w:spacing w:before="0" w:beforeAutospacing="0" w:after="0" w:afterAutospacing="0"/>
                    <w:ind w:left="0" w:right="0"/>
                    <w:rPr>
                      <w:rFonts w:hint="default"/>
                    </w:rPr>
                  </w:pPr>
                  <w:r>
                    <w:rPr>
                      <w:rFonts w:hint="default"/>
                    </w:rPr>
                    <w:t>贡献值（dB(A)）</w:t>
                  </w:r>
                </w:p>
              </w:tc>
              <w:tc>
                <w:tcPr>
                  <w:tcW w:w="1516" w:type="dxa"/>
                  <w:gridSpan w:val="2"/>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rPr>
                  </w:pPr>
                  <w:r>
                    <w:rPr>
                      <w:rFonts w:hint="default"/>
                    </w:rPr>
                    <w:t>标准限值（dB(A)）</w:t>
                  </w:r>
                </w:p>
              </w:tc>
              <w:tc>
                <w:tcPr>
                  <w:tcW w:w="1743" w:type="dxa"/>
                  <w:vMerge w:val="restart"/>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0" w:type="dxa"/>
                  <w:vMerge w:val="continue"/>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rPr>
                  </w:pPr>
                </w:p>
              </w:tc>
              <w:tc>
                <w:tcPr>
                  <w:tcW w:w="790" w:type="dxa"/>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eastAsia"/>
                      <w:lang w:val="en-US" w:eastAsia="zh-CN"/>
                    </w:rPr>
                    <w:t>昼间</w:t>
                  </w:r>
                </w:p>
              </w:tc>
              <w:tc>
                <w:tcPr>
                  <w:tcW w:w="791" w:type="dxa"/>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eastAsia"/>
                      <w:lang w:val="en-US" w:eastAsia="zh-CN"/>
                    </w:rPr>
                    <w:t>夜间</w:t>
                  </w:r>
                </w:p>
              </w:tc>
              <w:tc>
                <w:tcPr>
                  <w:tcW w:w="758" w:type="dxa"/>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eastAsia" w:eastAsia="宋体"/>
                      <w:lang w:val="en-US" w:eastAsia="zh-CN"/>
                    </w:rPr>
                  </w:pPr>
                  <w:r>
                    <w:rPr>
                      <w:rFonts w:hint="eastAsia"/>
                      <w:lang w:val="en-US" w:eastAsia="zh-CN"/>
                    </w:rPr>
                    <w:t>昼间</w:t>
                  </w:r>
                </w:p>
              </w:tc>
              <w:tc>
                <w:tcPr>
                  <w:tcW w:w="758" w:type="dxa"/>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lang w:val="en-US" w:eastAsia="zh-CN"/>
                    </w:rPr>
                  </w:pPr>
                  <w:r>
                    <w:rPr>
                      <w:rFonts w:hint="eastAsia"/>
                      <w:lang w:val="en-US" w:eastAsia="zh-CN"/>
                    </w:rPr>
                    <w:t>夜间</w:t>
                  </w:r>
                </w:p>
              </w:tc>
              <w:tc>
                <w:tcPr>
                  <w:tcW w:w="1743" w:type="dxa"/>
                  <w:vMerge w:val="continue"/>
                  <w:tcBorders>
                    <w:tl2br w:val="nil"/>
                    <w:tr2bl w:val="nil"/>
                  </w:tcBorders>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96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eastAsia" w:eastAsia="宋体"/>
                      <w:lang w:val="en-US" w:eastAsia="zh-CN"/>
                    </w:rPr>
                  </w:pPr>
                  <w:r>
                    <w:rPr>
                      <w:rFonts w:hint="default"/>
                    </w:rPr>
                    <w:t>东侧</w:t>
                  </w:r>
                  <w:r>
                    <w:rPr>
                      <w:rFonts w:hint="eastAsia"/>
                      <w:lang w:val="en-US" w:eastAsia="zh-CN"/>
                    </w:rPr>
                    <w:t>厂界</w:t>
                  </w:r>
                </w:p>
              </w:tc>
              <w:tc>
                <w:tcPr>
                  <w:tcW w:w="79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46.9</w:t>
                  </w:r>
                </w:p>
              </w:tc>
              <w:tc>
                <w:tcPr>
                  <w:tcW w:w="791"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宋体" w:cs="Times New Roman"/>
                      <w:kern w:val="2"/>
                      <w:sz w:val="21"/>
                      <w:szCs w:val="21"/>
                      <w:lang w:val="en-US" w:eastAsia="zh-CN" w:bidi="ar-SA"/>
                    </w:rPr>
                  </w:pPr>
                  <w:r>
                    <w:rPr>
                      <w:rFonts w:hint="eastAsia"/>
                      <w:lang w:val="en-US" w:eastAsia="zh-CN"/>
                    </w:rPr>
                    <w:t>46.9</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eastAsia="宋体"/>
                      <w:lang w:val="en-US" w:eastAsia="zh-CN"/>
                    </w:rPr>
                  </w:pPr>
                  <w:r>
                    <w:rPr>
                      <w:rFonts w:hint="eastAsia"/>
                      <w:lang w:val="en-US" w:eastAsia="zh-CN"/>
                    </w:rPr>
                    <w:t>70</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eastAsia="宋体"/>
                      <w:lang w:val="en-US" w:eastAsia="zh-CN"/>
                    </w:rPr>
                  </w:pPr>
                  <w:r>
                    <w:rPr>
                      <w:rFonts w:hint="eastAsia"/>
                      <w:lang w:val="en-US" w:eastAsia="zh-CN"/>
                    </w:rPr>
                    <w:t>55</w:t>
                  </w:r>
                </w:p>
              </w:tc>
              <w:tc>
                <w:tcPr>
                  <w:tcW w:w="1743"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96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default"/>
                    </w:rPr>
                  </w:pPr>
                  <w:r>
                    <w:rPr>
                      <w:rFonts w:hint="eastAsia"/>
                      <w:lang w:val="en-US" w:eastAsia="zh-CN"/>
                    </w:rPr>
                    <w:t>南</w:t>
                  </w:r>
                  <w:r>
                    <w:rPr>
                      <w:rFonts w:hint="default"/>
                    </w:rPr>
                    <w:t>侧</w:t>
                  </w:r>
                  <w:r>
                    <w:rPr>
                      <w:rFonts w:hint="eastAsia"/>
                      <w:lang w:val="en-US" w:eastAsia="zh-CN"/>
                    </w:rPr>
                    <w:t>厂界</w:t>
                  </w:r>
                </w:p>
              </w:tc>
              <w:tc>
                <w:tcPr>
                  <w:tcW w:w="79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35.2</w:t>
                  </w:r>
                </w:p>
              </w:tc>
              <w:tc>
                <w:tcPr>
                  <w:tcW w:w="791"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宋体" w:cs="Times New Roman"/>
                      <w:kern w:val="2"/>
                      <w:sz w:val="21"/>
                      <w:szCs w:val="21"/>
                      <w:lang w:val="en-US" w:eastAsia="zh-CN" w:bidi="ar-SA"/>
                    </w:rPr>
                  </w:pPr>
                  <w:r>
                    <w:rPr>
                      <w:rFonts w:hint="eastAsia"/>
                      <w:lang w:val="en-US" w:eastAsia="zh-CN"/>
                    </w:rPr>
                    <w:t>35.2</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eastAsia" w:eastAsia="宋体"/>
                      <w:lang w:val="en-US" w:eastAsia="zh-CN"/>
                    </w:rPr>
                  </w:pPr>
                  <w:r>
                    <w:rPr>
                      <w:rFonts w:hint="eastAsia" w:eastAsia="宋体"/>
                      <w:lang w:val="en-US" w:eastAsia="zh-CN"/>
                    </w:rPr>
                    <w:t>65</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eastAsia="宋体"/>
                      <w:lang w:val="en-US" w:eastAsia="zh-CN"/>
                    </w:rPr>
                  </w:pPr>
                  <w:r>
                    <w:rPr>
                      <w:rFonts w:hint="eastAsia"/>
                      <w:lang w:val="en-US" w:eastAsia="zh-CN"/>
                    </w:rPr>
                    <w:t>55</w:t>
                  </w:r>
                </w:p>
              </w:tc>
              <w:tc>
                <w:tcPr>
                  <w:tcW w:w="1743"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96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default"/>
                    </w:rPr>
                  </w:pPr>
                  <w:r>
                    <w:rPr>
                      <w:rFonts w:hint="eastAsia"/>
                      <w:lang w:val="en-US" w:eastAsia="zh-CN"/>
                    </w:rPr>
                    <w:t>西</w:t>
                  </w:r>
                  <w:r>
                    <w:rPr>
                      <w:rFonts w:hint="default"/>
                    </w:rPr>
                    <w:t>侧</w:t>
                  </w:r>
                  <w:r>
                    <w:rPr>
                      <w:rFonts w:hint="eastAsia"/>
                      <w:lang w:val="en-US" w:eastAsia="zh-CN"/>
                    </w:rPr>
                    <w:t>厂界</w:t>
                  </w:r>
                </w:p>
              </w:tc>
              <w:tc>
                <w:tcPr>
                  <w:tcW w:w="79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default" w:eastAsia="宋体"/>
                      <w:lang w:val="en-US" w:eastAsia="zh-CN"/>
                    </w:rPr>
                  </w:pPr>
                  <w:r>
                    <w:rPr>
                      <w:rFonts w:hint="eastAsia"/>
                      <w:lang w:val="en-US" w:eastAsia="zh-CN"/>
                    </w:rPr>
                    <w:t>43.0</w:t>
                  </w:r>
                </w:p>
              </w:tc>
              <w:tc>
                <w:tcPr>
                  <w:tcW w:w="791"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宋体" w:cs="Times New Roman"/>
                      <w:kern w:val="2"/>
                      <w:sz w:val="21"/>
                      <w:szCs w:val="21"/>
                      <w:lang w:val="en-US" w:eastAsia="zh-CN" w:bidi="ar-SA"/>
                    </w:rPr>
                  </w:pPr>
                  <w:r>
                    <w:rPr>
                      <w:rFonts w:hint="eastAsia"/>
                      <w:lang w:val="en-US" w:eastAsia="zh-CN"/>
                    </w:rPr>
                    <w:t>43.0</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eastAsia="宋体"/>
                      <w:lang w:val="en-US" w:eastAsia="zh-CN"/>
                    </w:rPr>
                  </w:pPr>
                  <w:r>
                    <w:rPr>
                      <w:rFonts w:hint="eastAsia" w:eastAsia="宋体"/>
                      <w:lang w:val="en-US" w:eastAsia="zh-CN"/>
                    </w:rPr>
                    <w:t>65</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eastAsia="宋体"/>
                      <w:lang w:val="en-US" w:eastAsia="zh-CN"/>
                    </w:rPr>
                  </w:pPr>
                  <w:r>
                    <w:rPr>
                      <w:rFonts w:hint="eastAsia"/>
                      <w:lang w:val="en-US" w:eastAsia="zh-CN"/>
                    </w:rPr>
                    <w:t>55</w:t>
                  </w:r>
                </w:p>
              </w:tc>
              <w:tc>
                <w:tcPr>
                  <w:tcW w:w="1743"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196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eastAsia" w:eastAsia="宋体"/>
                      <w:lang w:val="en-US" w:eastAsia="zh-CN"/>
                    </w:rPr>
                  </w:pPr>
                  <w:r>
                    <w:rPr>
                      <w:rFonts w:hint="eastAsia"/>
                      <w:lang w:val="en-US" w:eastAsia="zh-CN"/>
                    </w:rPr>
                    <w:t>北</w:t>
                  </w:r>
                  <w:r>
                    <w:rPr>
                      <w:rFonts w:hint="default"/>
                    </w:rPr>
                    <w:t>侧</w:t>
                  </w:r>
                  <w:r>
                    <w:rPr>
                      <w:rFonts w:hint="eastAsia"/>
                      <w:lang w:val="en-US" w:eastAsia="zh-CN"/>
                    </w:rPr>
                    <w:t>厂界</w:t>
                  </w:r>
                </w:p>
              </w:tc>
              <w:tc>
                <w:tcPr>
                  <w:tcW w:w="790"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right="0"/>
                    <w:rPr>
                      <w:rFonts w:hint="default" w:eastAsia="宋体"/>
                      <w:lang w:val="en-US" w:eastAsia="zh-CN"/>
                    </w:rPr>
                  </w:pPr>
                  <w:r>
                    <w:rPr>
                      <w:rFonts w:hint="eastAsia"/>
                      <w:lang w:val="en-US" w:eastAsia="zh-CN"/>
                    </w:rPr>
                    <w:t>49.7</w:t>
                  </w:r>
                </w:p>
              </w:tc>
              <w:tc>
                <w:tcPr>
                  <w:tcW w:w="791"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宋体" w:cs="Times New Roman"/>
                      <w:kern w:val="2"/>
                      <w:sz w:val="21"/>
                      <w:szCs w:val="21"/>
                      <w:lang w:val="en-US" w:eastAsia="zh-CN" w:bidi="ar-SA"/>
                    </w:rPr>
                  </w:pPr>
                  <w:r>
                    <w:rPr>
                      <w:rFonts w:hint="eastAsia"/>
                      <w:lang w:val="en-US" w:eastAsia="zh-CN"/>
                    </w:rPr>
                    <w:t>49.7</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eastAsia" w:eastAsia="宋体"/>
                      <w:lang w:val="en-US" w:eastAsia="zh-CN"/>
                    </w:rPr>
                  </w:pPr>
                  <w:r>
                    <w:rPr>
                      <w:rFonts w:hint="eastAsia" w:eastAsia="宋体"/>
                      <w:lang w:val="en-US" w:eastAsia="zh-CN"/>
                    </w:rPr>
                    <w:t>65</w:t>
                  </w:r>
                </w:p>
              </w:tc>
              <w:tc>
                <w:tcPr>
                  <w:tcW w:w="758"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eastAsia="宋体"/>
                      <w:lang w:val="en-US" w:eastAsia="zh-CN"/>
                    </w:rPr>
                  </w:pPr>
                  <w:r>
                    <w:rPr>
                      <w:rFonts w:hint="eastAsia"/>
                      <w:lang w:val="en-US" w:eastAsia="zh-CN"/>
                    </w:rPr>
                    <w:t>55</w:t>
                  </w:r>
                </w:p>
              </w:tc>
              <w:tc>
                <w:tcPr>
                  <w:tcW w:w="1743" w:type="dxa"/>
                  <w:tcBorders>
                    <w:tl2br w:val="nil"/>
                    <w:tr2bl w:val="nil"/>
                  </w:tcBorders>
                  <w:shd w:val="clear" w:color="auto" w:fill="FFFFFF"/>
                  <w:vAlign w:val="center"/>
                </w:tcPr>
                <w:p>
                  <w:pPr>
                    <w:pStyle w:val="13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default"/>
                    </w:rPr>
                    <w:t>达标</w:t>
                  </w:r>
                </w:p>
              </w:tc>
            </w:tr>
          </w:tbl>
          <w:p>
            <w:pPr>
              <w:pStyle w:val="43"/>
              <w:keepNext w:val="0"/>
              <w:keepLines w:val="0"/>
              <w:suppressLineNumbers w:val="0"/>
              <w:spacing w:before="0" w:beforeLines="50" w:beforeAutospacing="0" w:after="0" w:afterAutospacing="0"/>
              <w:ind w:left="0" w:right="0" w:firstLine="480"/>
              <w:rPr>
                <w:rFonts w:hint="default"/>
                <w:highlight w:val="none"/>
              </w:rPr>
            </w:pPr>
            <w:r>
              <w:rPr>
                <w:rFonts w:hint="default" w:hAnsi="宋体" w:cs="宋体"/>
                <w:kern w:val="0"/>
                <w:highlight w:val="none"/>
              </w:rPr>
              <w:t>由上表可知，</w:t>
            </w:r>
            <w:r>
              <w:rPr>
                <w:rFonts w:hint="eastAsia" w:hAnsi="宋体" w:cs="宋体"/>
                <w:kern w:val="0"/>
                <w:highlight w:val="none"/>
              </w:rPr>
              <w:t>项目噪声经墙体、隔声和空间距离的自然衰减后</w:t>
            </w:r>
            <w:r>
              <w:rPr>
                <w:rFonts w:hint="eastAsia" w:hAnsi="宋体" w:cs="宋体"/>
                <w:kern w:val="0"/>
                <w:highlight w:val="none"/>
                <w:lang w:eastAsia="zh-CN"/>
              </w:rPr>
              <w:t>，</w:t>
            </w:r>
            <w:r>
              <w:rPr>
                <w:rFonts w:hint="eastAsia" w:hAnsi="宋体" w:cs="宋体"/>
                <w:kern w:val="0"/>
                <w:highlight w:val="none"/>
                <w:lang w:val="en-US" w:eastAsia="zh-CN"/>
              </w:rPr>
              <w:t>东侧厂界（临104国道）</w:t>
            </w:r>
            <w:r>
              <w:rPr>
                <w:rFonts w:hint="eastAsia" w:hAnsi="宋体" w:cs="宋体"/>
                <w:kern w:val="0"/>
                <w:highlight w:val="none"/>
              </w:rPr>
              <w:t>噪声贡献值可满足《工业企业厂界环境噪声排放标准》（</w:t>
            </w:r>
            <w:r>
              <w:rPr>
                <w:rFonts w:hint="default" w:hAnsi="宋体"/>
                <w:kern w:val="0"/>
                <w:highlight w:val="none"/>
              </w:rPr>
              <w:t>GB12348-2008</w:t>
            </w:r>
            <w:r>
              <w:rPr>
                <w:rFonts w:hint="eastAsia" w:hAnsi="宋体" w:cs="宋体"/>
                <w:kern w:val="0"/>
                <w:highlight w:val="none"/>
              </w:rPr>
              <w:t>）</w:t>
            </w:r>
            <w:r>
              <w:rPr>
                <w:rFonts w:hint="eastAsia" w:hAnsi="宋体" w:cs="宋体"/>
                <w:kern w:val="0"/>
                <w:highlight w:val="none"/>
                <w:lang w:val="en-US" w:eastAsia="zh-CN"/>
              </w:rPr>
              <w:t>4类</w:t>
            </w:r>
            <w:r>
              <w:rPr>
                <w:rFonts w:hint="eastAsia" w:hAnsi="宋体" w:cs="宋体"/>
                <w:kern w:val="0"/>
                <w:highlight w:val="none"/>
              </w:rPr>
              <w:t>标准限值</w:t>
            </w:r>
            <w:r>
              <w:rPr>
                <w:rFonts w:hint="eastAsia" w:hAnsi="宋体" w:cs="宋体"/>
                <w:kern w:val="0"/>
                <w:highlight w:val="none"/>
                <w:lang w:eastAsia="zh-CN"/>
              </w:rPr>
              <w:t>，</w:t>
            </w:r>
            <w:r>
              <w:rPr>
                <w:rFonts w:hint="eastAsia" w:hAnsi="宋体" w:cs="宋体"/>
                <w:kern w:val="0"/>
                <w:highlight w:val="none"/>
                <w:lang w:val="en-US" w:eastAsia="zh-CN"/>
              </w:rPr>
              <w:t>其余厂界可满足</w:t>
            </w:r>
            <w:r>
              <w:rPr>
                <w:rFonts w:hint="eastAsia" w:hAnsi="宋体"/>
                <w:kern w:val="0"/>
                <w:highlight w:val="none"/>
              </w:rPr>
              <w:t>《工业企业厂界环境噪声排放标准》（GB12348-2008）</w:t>
            </w:r>
            <w:r>
              <w:rPr>
                <w:rFonts w:hint="eastAsia" w:hAnsi="宋体"/>
                <w:kern w:val="0"/>
                <w:highlight w:val="none"/>
                <w:lang w:val="en-US" w:eastAsia="zh-CN"/>
              </w:rPr>
              <w:t>3</w:t>
            </w:r>
            <w:r>
              <w:rPr>
                <w:rFonts w:hint="eastAsia" w:hAnsi="宋体"/>
                <w:kern w:val="0"/>
                <w:highlight w:val="none"/>
              </w:rPr>
              <w:t>类标准限值</w:t>
            </w:r>
            <w:r>
              <w:rPr>
                <w:rFonts w:hint="eastAsia" w:hAnsi="宋体"/>
                <w:kern w:val="0"/>
                <w:highlight w:val="none"/>
                <w:lang w:eastAsia="zh-CN"/>
              </w:rPr>
              <w:t>。</w:t>
            </w:r>
            <w:r>
              <w:rPr>
                <w:rFonts w:hint="eastAsia" w:hAnsi="宋体" w:cs="宋体"/>
                <w:kern w:val="0"/>
                <w:highlight w:val="none"/>
                <w:lang w:val="en-US" w:eastAsia="zh-CN"/>
              </w:rPr>
              <w:t>厂区周边</w:t>
            </w:r>
            <w:r>
              <w:rPr>
                <w:rFonts w:hint="eastAsia"/>
                <w:lang w:val="en-US" w:eastAsia="zh-CN"/>
              </w:rPr>
              <w:t>50m范围内</w:t>
            </w:r>
            <w:r>
              <w:rPr>
                <w:rFonts w:hint="eastAsia" w:hAnsi="宋体" w:cs="宋体"/>
                <w:kern w:val="0"/>
                <w:highlight w:val="none"/>
                <w:lang w:val="en-US" w:eastAsia="zh-CN"/>
              </w:rPr>
              <w:t>无声敏感目标，采取隔声减振措施后生产噪声排放对周边环境影响较小，噪声防治措施合理可行。</w:t>
            </w:r>
          </w:p>
          <w:p>
            <w:pPr>
              <w:pStyle w:val="4"/>
              <w:suppressLineNumbers w:val="0"/>
              <w:bidi w:val="0"/>
              <w:spacing w:beforeAutospacing="0" w:after="0" w:afterAutospacing="0"/>
              <w:ind w:left="720" w:leftChars="0" w:right="0" w:hanging="720" w:firstLineChars="0"/>
              <w:rPr>
                <w:rFonts w:hint="default"/>
              </w:rPr>
            </w:pPr>
            <w:bookmarkStart w:id="108" w:name="_Toc20905"/>
            <w:r>
              <w:rPr>
                <w:rFonts w:hint="default"/>
              </w:rPr>
              <w:t>噪声防治措施</w:t>
            </w:r>
            <w:bookmarkEnd w:id="108"/>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default" w:ascii="Times New Roman" w:hAnsi="Times New Roman" w:eastAsia="宋体" w:cs="Times New Roman"/>
              </w:rPr>
              <w:t>为了减轻设备运行产生的噪声对周围环境的影响，建设单位拟采取如下降噪措施：</w:t>
            </w:r>
          </w:p>
          <w:p>
            <w:pPr>
              <w:pStyle w:val="43"/>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1</w:t>
            </w:r>
            <w:r>
              <w:rPr>
                <w:rFonts w:hint="eastAsia"/>
                <w:lang w:eastAsia="zh-CN"/>
              </w:rPr>
              <w:t>）</w:t>
            </w:r>
            <w:r>
              <w:rPr>
                <w:rFonts w:hint="default"/>
              </w:rPr>
              <w:t>设备选型：在设计中，应要求</w:t>
            </w:r>
            <w:r>
              <w:rPr>
                <w:rFonts w:hint="eastAsia"/>
                <w:lang w:val="en-US" w:eastAsia="zh-CN"/>
              </w:rPr>
              <w:t>建设单位</w:t>
            </w:r>
            <w:r>
              <w:rPr>
                <w:rFonts w:hint="default"/>
              </w:rPr>
              <w:t>按照《工业企业噪声控制设计规范》</w:t>
            </w:r>
            <w:r>
              <w:rPr>
                <w:rFonts w:hint="default" w:ascii="Times New Roman" w:hAnsi="Times New Roman" w:eastAsia="宋体" w:cs="Times New Roman"/>
                <w:color w:val="auto"/>
                <w:sz w:val="24"/>
                <w:szCs w:val="24"/>
                <w:highlight w:val="none"/>
                <w:lang w:eastAsia="zh-CN"/>
              </w:rPr>
              <w:t>（GB/T 50087-2013）</w:t>
            </w:r>
            <w:r>
              <w:rPr>
                <w:rFonts w:hint="default"/>
              </w:rPr>
              <w:t>规范要求，尽量选用技术先进、性能质量良好、同类成品中声级较低的设备，从源头上控制噪声源。</w:t>
            </w:r>
          </w:p>
          <w:p>
            <w:pPr>
              <w:pStyle w:val="43"/>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2</w:t>
            </w:r>
            <w:r>
              <w:rPr>
                <w:rFonts w:hint="eastAsia"/>
                <w:lang w:eastAsia="zh-CN"/>
              </w:rPr>
              <w:t>）</w:t>
            </w:r>
            <w:r>
              <w:rPr>
                <w:rFonts w:hint="default"/>
              </w:rPr>
              <w:t>尽量利用厂房隔声：设置封闭空间，利用厂房进行隔声，避免露天安置，以降低噪声对厂界的影响。</w:t>
            </w:r>
          </w:p>
          <w:p>
            <w:pPr>
              <w:pStyle w:val="43"/>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3</w:t>
            </w:r>
            <w:r>
              <w:rPr>
                <w:rFonts w:hint="eastAsia"/>
                <w:lang w:eastAsia="zh-CN"/>
              </w:rPr>
              <w:t>）</w:t>
            </w:r>
            <w:r>
              <w:rPr>
                <w:rFonts w:hint="default"/>
              </w:rPr>
              <w:t>加强对设备的管理和维护，在有关环保人员的统一管理下，定期检查、监测，发现噪声超标要及时治理并增加相关操作岗位工人的个体防护。</w:t>
            </w:r>
          </w:p>
          <w:p>
            <w:pPr>
              <w:pStyle w:val="43"/>
              <w:keepNext w:val="0"/>
              <w:keepLines w:val="0"/>
              <w:suppressLineNumbers w:val="0"/>
              <w:bidi w:val="0"/>
              <w:spacing w:before="0" w:beforeAutospacing="0" w:after="0" w:afterAutospacing="0"/>
              <w:ind w:left="0" w:right="0"/>
              <w:rPr>
                <w:rFonts w:hint="eastAsia"/>
                <w:lang w:val="en-US" w:eastAsia="zh-CN"/>
              </w:rPr>
            </w:pPr>
            <w:r>
              <w:rPr>
                <w:rFonts w:hint="eastAsia"/>
                <w:lang w:val="en-US" w:eastAsia="zh-CN"/>
              </w:rPr>
              <w:t>通过以上降噪措施，有效降低设备噪声的影响程度，确保各厂界噪声达标</w:t>
            </w:r>
            <w:r>
              <w:rPr>
                <w:rFonts w:hint="eastAsia"/>
              </w:rPr>
              <w:t>。</w:t>
            </w:r>
          </w:p>
          <w:p>
            <w:pPr>
              <w:pStyle w:val="4"/>
              <w:suppressLineNumbers w:val="0"/>
              <w:bidi w:val="0"/>
              <w:spacing w:beforeAutospacing="0" w:after="0" w:afterAutospacing="0"/>
              <w:ind w:left="720" w:leftChars="0" w:right="0" w:hanging="720" w:firstLineChars="0"/>
              <w:rPr>
                <w:rFonts w:hint="default"/>
              </w:rPr>
            </w:pPr>
            <w:bookmarkStart w:id="109" w:name="_Toc31036"/>
            <w:r>
              <w:rPr>
                <w:rFonts w:hint="default"/>
              </w:rPr>
              <w:t>噪声监测计划</w:t>
            </w:r>
            <w:bookmarkEnd w:id="109"/>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宋体"/>
                <w:sz w:val="24"/>
              </w:rPr>
            </w:pPr>
            <w:r>
              <w:rPr>
                <w:rFonts w:hint="default" w:ascii="Times New Roman" w:hAnsi="Times New Roman" w:eastAsia="宋体" w:cs="Times New Roman"/>
                <w:sz w:val="24"/>
              </w:rPr>
              <w:t>项目噪声监测计划详见下表</w:t>
            </w:r>
            <w:r>
              <w:rPr>
                <w:rFonts w:hint="eastAsia" w:ascii="Times New Roman" w:hAnsi="Times New Roman" w:cs="宋体"/>
                <w:sz w:val="24"/>
              </w:rPr>
              <w:t>。</w:t>
            </w:r>
          </w:p>
          <w:p>
            <w:pPr>
              <w:pStyle w:val="42"/>
              <w:keepNext w:val="0"/>
              <w:keepLines w:val="0"/>
              <w:suppressLineNumbers w:val="0"/>
              <w:bidi w:val="0"/>
              <w:spacing w:beforeAutospacing="0" w:after="0" w:afterAutospacing="0"/>
              <w:ind w:left="0" w:leftChars="0" w:right="0" w:firstLine="0" w:firstLineChars="0"/>
              <w:rPr>
                <w:rFonts w:hint="default"/>
              </w:rPr>
            </w:pPr>
            <w:r>
              <w:rPr>
                <w:rFonts w:hint="default"/>
              </w:rPr>
              <w:t>噪声监测计划</w:t>
            </w:r>
          </w:p>
          <w:tbl>
            <w:tblPr>
              <w:tblStyle w:val="3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130"/>
              <w:gridCol w:w="4231"/>
              <w:gridCol w:w="16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监测点位</w:t>
                  </w:r>
                </w:p>
              </w:tc>
              <w:tc>
                <w:tcPr>
                  <w:tcW w:w="699"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2618"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执行标准</w:t>
                  </w:r>
                </w:p>
              </w:tc>
              <w:tc>
                <w:tcPr>
                  <w:tcW w:w="1010"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1"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厂界</w:t>
                  </w:r>
                </w:p>
              </w:tc>
              <w:tc>
                <w:tcPr>
                  <w:tcW w:w="699"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夜间</w:t>
                  </w:r>
                  <w:r>
                    <w:rPr>
                      <w:rFonts w:hint="default" w:ascii="Times New Roman" w:hAnsi="Times New Roman" w:eastAsia="宋体" w:cs="Times New Roman"/>
                      <w:sz w:val="21"/>
                      <w:szCs w:val="21"/>
                    </w:rPr>
                    <w:t>Leq(A)</w:t>
                  </w:r>
                </w:p>
              </w:tc>
              <w:tc>
                <w:tcPr>
                  <w:tcW w:w="2618"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eastAsia"/>
                      <w:szCs w:val="21"/>
                      <w:lang w:val="en-US" w:eastAsia="zh-CN"/>
                    </w:rPr>
                    <w:t>东侧厂界</w:t>
                  </w:r>
                  <w:r>
                    <w:rPr>
                      <w:rFonts w:hint="default"/>
                      <w:szCs w:val="21"/>
                    </w:rPr>
                    <w:t>执行《工业企业厂界环境噪声排放标准》（GB12348-2008）</w:t>
                  </w:r>
                  <w:r>
                    <w:rPr>
                      <w:rFonts w:hint="eastAsia"/>
                      <w:szCs w:val="21"/>
                      <w:lang w:eastAsia="zh-CN"/>
                    </w:rPr>
                    <w:t>4</w:t>
                  </w:r>
                  <w:r>
                    <w:rPr>
                      <w:rFonts w:hint="default"/>
                      <w:szCs w:val="21"/>
                    </w:rPr>
                    <w:t>类标准限值，</w:t>
                  </w:r>
                  <w:r>
                    <w:rPr>
                      <w:rFonts w:hint="eastAsia"/>
                      <w:szCs w:val="21"/>
                      <w:lang w:val="en-US" w:eastAsia="zh-CN"/>
                    </w:rPr>
                    <w:t>其余厂界</w:t>
                  </w:r>
                  <w:r>
                    <w:rPr>
                      <w:rFonts w:hint="default"/>
                      <w:szCs w:val="21"/>
                    </w:rPr>
                    <w:t>执行《工业企业厂界环境噪声排放标准》（GB12348-2008）3类标准限值</w:t>
                  </w:r>
                </w:p>
              </w:tc>
              <w:tc>
                <w:tcPr>
                  <w:tcW w:w="1010" w:type="pct"/>
                  <w:noWrap w:val="0"/>
                  <w:vAlign w:val="center"/>
                </w:tcPr>
                <w:p>
                  <w:pPr>
                    <w:pStyle w:val="46"/>
                    <w:keepNext w:val="0"/>
                    <w:keepLines w:val="0"/>
                    <w:suppressLineNumbers w:val="0"/>
                    <w:spacing w:before="0" w:beforeAutospacing="0" w:after="0" w:afterAutospacing="0"/>
                    <w:ind w:right="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1次/季</w:t>
                  </w:r>
                </w:p>
              </w:tc>
            </w:tr>
          </w:tbl>
          <w:p>
            <w:pPr>
              <w:pStyle w:val="3"/>
              <w:keepNext w:val="0"/>
              <w:keepLines w:val="0"/>
              <w:suppressLineNumbers w:val="0"/>
              <w:bidi w:val="0"/>
              <w:spacing w:before="0" w:beforeAutospacing="0" w:after="0" w:afterAutospacing="0"/>
              <w:ind w:left="0" w:leftChars="0" w:right="0" w:firstLine="0" w:firstLineChars="0"/>
              <w:rPr>
                <w:rFonts w:hint="default"/>
              </w:rPr>
            </w:pPr>
            <w:bookmarkStart w:id="110" w:name="_Toc3077"/>
            <w:bookmarkStart w:id="111" w:name="_Toc12711"/>
            <w:r>
              <w:rPr>
                <w:rFonts w:hint="eastAsia"/>
              </w:rPr>
              <w:t>固体废物</w:t>
            </w:r>
            <w:bookmarkEnd w:id="110"/>
            <w:bookmarkEnd w:id="111"/>
          </w:p>
          <w:p>
            <w:pPr>
              <w:pStyle w:val="4"/>
              <w:suppressLineNumbers w:val="0"/>
              <w:bidi w:val="0"/>
              <w:spacing w:beforeAutospacing="0" w:after="0" w:afterAutospacing="0"/>
              <w:ind w:left="720" w:leftChars="0" w:right="0" w:hanging="720" w:firstLineChars="0"/>
              <w:rPr>
                <w:rFonts w:hint="default"/>
              </w:rPr>
            </w:pPr>
            <w:bookmarkStart w:id="112" w:name="_Toc21522"/>
            <w:r>
              <w:rPr>
                <w:rFonts w:hint="eastAsia"/>
              </w:rPr>
              <w:t>固废污染源分析</w:t>
            </w:r>
            <w:bookmarkEnd w:id="112"/>
          </w:p>
          <w:p>
            <w:pPr>
              <w:pStyle w:val="43"/>
              <w:keepNext w:val="0"/>
              <w:keepLines w:val="0"/>
              <w:suppressLineNumbers w:val="0"/>
              <w:bidi w:val="0"/>
              <w:spacing w:before="0" w:beforeAutospacing="0" w:after="0" w:afterAutospacing="0"/>
              <w:ind w:left="0" w:right="0"/>
              <w:rPr>
                <w:rFonts w:hint="default"/>
              </w:rPr>
            </w:pPr>
            <w:r>
              <w:rPr>
                <w:rFonts w:hint="eastAsia"/>
                <w:lang w:val="en-US" w:eastAsia="zh-CN"/>
              </w:rPr>
              <w:t>项目</w:t>
            </w:r>
            <w:r>
              <w:rPr>
                <w:rFonts w:hint="default"/>
              </w:rPr>
              <w:t>生产过程中产生</w:t>
            </w:r>
            <w:r>
              <w:rPr>
                <w:rFonts w:hint="eastAsia"/>
                <w:lang w:val="en-US" w:eastAsia="zh-CN"/>
              </w:rPr>
              <w:t>的</w:t>
            </w:r>
            <w:r>
              <w:rPr>
                <w:rFonts w:hint="default"/>
              </w:rPr>
              <w:t>固体废物</w:t>
            </w:r>
            <w:r>
              <w:rPr>
                <w:rFonts w:hint="eastAsia"/>
                <w:lang w:val="en-US" w:eastAsia="zh-CN"/>
              </w:rPr>
              <w:t>主要有不合格产品</w:t>
            </w:r>
            <w:r>
              <w:rPr>
                <w:rFonts w:hint="default"/>
              </w:rPr>
              <w:t>、</w:t>
            </w:r>
            <w:r>
              <w:rPr>
                <w:rFonts w:hint="eastAsia"/>
                <w:lang w:val="en-US" w:eastAsia="zh-CN"/>
              </w:rPr>
              <w:t>产品废边角料、废活性炭、废包装材料（包装袋、纸箱）、</w:t>
            </w:r>
            <w:r>
              <w:rPr>
                <w:rFonts w:hint="default"/>
              </w:rPr>
              <w:t>废机油</w:t>
            </w:r>
            <w:r>
              <w:rPr>
                <w:rFonts w:hint="eastAsia"/>
                <w:lang w:val="en-US" w:eastAsia="zh-CN"/>
              </w:rPr>
              <w:t>和</w:t>
            </w:r>
            <w:r>
              <w:rPr>
                <w:rFonts w:hint="default"/>
              </w:rPr>
              <w:t>生活垃圾等。根据固体废物的产生情况和性质，主要分为一般工业固体废物、危险废物和生活垃圾。</w:t>
            </w:r>
          </w:p>
          <w:p>
            <w:pPr>
              <w:pStyle w:val="43"/>
              <w:keepNext w:val="0"/>
              <w:keepLines w:val="0"/>
              <w:suppressLineNumbers w:val="0"/>
              <w:bidi w:val="0"/>
              <w:spacing w:before="0" w:beforeAutospacing="0" w:after="0" w:afterAutospacing="0"/>
              <w:ind w:left="0" w:right="0"/>
              <w:rPr>
                <w:rFonts w:hint="eastAsia"/>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一般工业固体废物</w:t>
            </w:r>
          </w:p>
          <w:p>
            <w:pPr>
              <w:pStyle w:val="43"/>
              <w:keepNext w:val="0"/>
              <w:keepLines w:val="0"/>
              <w:suppressLineNumbers w:val="0"/>
              <w:bidi w:val="0"/>
              <w:spacing w:before="0" w:beforeAutospacing="0" w:after="0" w:afterAutospacing="0"/>
              <w:ind w:left="0" w:right="0"/>
              <w:rPr>
                <w:rFonts w:hint="default" w:eastAsia="宋体"/>
                <w:lang w:val="en-US" w:eastAsia="zh-CN"/>
              </w:rPr>
            </w:pPr>
            <w:r>
              <w:rPr>
                <w:rFonts w:hint="eastAsia"/>
                <w:lang w:val="en-US" w:eastAsia="zh-CN"/>
              </w:rPr>
              <w:t>①不合格产品</w:t>
            </w:r>
          </w:p>
          <w:p>
            <w:pPr>
              <w:pStyle w:val="43"/>
              <w:keepNext w:val="0"/>
              <w:keepLines w:val="0"/>
              <w:suppressLineNumbers w:val="0"/>
              <w:bidi w:val="0"/>
              <w:spacing w:before="0" w:beforeAutospacing="0" w:after="0" w:afterAutospacing="0"/>
              <w:ind w:left="0" w:right="0"/>
              <w:rPr>
                <w:rFonts w:hint="eastAsia"/>
                <w:lang w:val="en-US" w:eastAsia="zh-CN"/>
              </w:rPr>
            </w:pPr>
            <w:r>
              <w:rPr>
                <w:rFonts w:hint="eastAsia"/>
                <w:lang w:val="en-US" w:eastAsia="zh-CN"/>
              </w:rPr>
              <w:t>不合格产品产生量约为原材料的2%，项目不合格产品的产生量为41.04t/a，为一般固体废物，根据《固体废物分类与代码目录》（2024版），不合格产品属于SW17可再生类废物，废物代码为900-003-S17，可定期外运进行综合利用。</w:t>
            </w:r>
          </w:p>
          <w:p>
            <w:pPr>
              <w:pStyle w:val="43"/>
              <w:keepNext w:val="0"/>
              <w:keepLines w:val="0"/>
              <w:suppressLineNumbers w:val="0"/>
              <w:bidi w:val="0"/>
              <w:spacing w:before="0" w:beforeAutospacing="0" w:after="0" w:afterAutospacing="0"/>
              <w:ind w:left="0" w:right="0"/>
              <w:rPr>
                <w:rFonts w:hint="default"/>
                <w:lang w:val="en-US"/>
              </w:rPr>
            </w:pPr>
            <w:r>
              <w:rPr>
                <w:rFonts w:hint="eastAsia"/>
                <w:lang w:val="en-US" w:eastAsia="zh-CN"/>
              </w:rPr>
              <w:t>②产品废边角料</w:t>
            </w:r>
          </w:p>
          <w:p>
            <w:pPr>
              <w:pStyle w:val="43"/>
              <w:keepNext w:val="0"/>
              <w:keepLines w:val="0"/>
              <w:suppressLineNumbers w:val="0"/>
              <w:bidi w:val="0"/>
              <w:spacing w:before="0" w:beforeAutospacing="0" w:after="0" w:afterAutospacing="0"/>
              <w:ind w:left="0" w:right="0"/>
              <w:rPr>
                <w:rFonts w:hint="eastAsia"/>
                <w:lang w:val="en-US" w:eastAsia="zh-CN"/>
              </w:rPr>
            </w:pPr>
            <w:r>
              <w:rPr>
                <w:rFonts w:hint="eastAsia"/>
                <w:lang w:val="en-US" w:eastAsia="zh-CN"/>
              </w:rPr>
              <w:t>由“物料平衡”分析可知，成品边角产生量约为5.56t/a，为一般固体废物，根据《固体废物分类与代码目录》（2024版），成品边角属于SW17可再生类废物，废物代码为900-003-S17，可定期外运进行综合利用。</w:t>
            </w:r>
          </w:p>
          <w:p>
            <w:pPr>
              <w:pStyle w:val="43"/>
              <w:keepNext w:val="0"/>
              <w:keepLines w:val="0"/>
              <w:suppressLineNumbers w:val="0"/>
              <w:bidi w:val="0"/>
              <w:spacing w:before="0" w:beforeAutospacing="0" w:after="0" w:afterAutospacing="0"/>
              <w:ind w:left="0" w:right="0"/>
              <w:rPr>
                <w:rFonts w:hint="eastAsia"/>
                <w:lang w:val="en-US" w:eastAsia="zh-CN"/>
              </w:rPr>
            </w:pPr>
            <w:r>
              <w:rPr>
                <w:rFonts w:hint="eastAsia"/>
                <w:lang w:val="en-US" w:eastAsia="zh-CN"/>
              </w:rPr>
              <w:t>③废包装材料（包装袋、纸箱）</w:t>
            </w:r>
          </w:p>
          <w:p>
            <w:pPr>
              <w:pStyle w:val="43"/>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原辅料投料时会产生原辅料包装材料（包装袋、纸箱），产生量约为0.5t/a，为一般固体废物，</w:t>
            </w:r>
            <w:r>
              <w:rPr>
                <w:rFonts w:hint="eastAsia"/>
              </w:rPr>
              <w:t>根据《固体废物分类与代码目录》（2024版），成品边角属于SW17可再生类废物，废物代码为900-0</w:t>
            </w:r>
            <w:r>
              <w:rPr>
                <w:rFonts w:hint="eastAsia"/>
                <w:lang w:val="en-US" w:eastAsia="zh-CN"/>
              </w:rPr>
              <w:t>99</w:t>
            </w:r>
            <w:r>
              <w:rPr>
                <w:rFonts w:hint="eastAsia"/>
              </w:rPr>
              <w:t>-S17，可定期外运进行综合利用。</w:t>
            </w:r>
          </w:p>
          <w:p>
            <w:pPr>
              <w:pStyle w:val="43"/>
              <w:keepNext w:val="0"/>
              <w:keepLines w:val="0"/>
              <w:numPr>
                <w:ilvl w:val="0"/>
                <w:numId w:val="0"/>
              </w:numPr>
              <w:suppressLineNumbers w:val="0"/>
              <w:bidi w:val="0"/>
              <w:spacing w:before="0" w:beforeAutospacing="0" w:after="0" w:afterAutospacing="0"/>
              <w:ind w:left="420" w:leftChars="200" w:right="0" w:rightChars="0"/>
              <w:rPr>
                <w:rFonts w:hint="eastAsia"/>
                <w:lang w:val="en-US" w:eastAsia="zh-CN"/>
              </w:rPr>
            </w:pPr>
            <w:r>
              <w:rPr>
                <w:rFonts w:hint="eastAsia"/>
                <w:lang w:val="en-US" w:eastAsia="zh-CN"/>
              </w:rPr>
              <w:t>（2）危险废物</w:t>
            </w:r>
          </w:p>
          <w:p>
            <w:pPr>
              <w:keepNext w:val="0"/>
              <w:keepLines w:val="0"/>
              <w:widowControl w:val="0"/>
              <w:suppressLineNumbers w:val="0"/>
              <w:tabs>
                <w:tab w:val="left" w:pos="600"/>
              </w:tabs>
              <w:spacing w:before="0" w:beforeAutospacing="0" w:after="0" w:afterAutospacing="0" w:line="360" w:lineRule="auto"/>
              <w:ind w:left="0" w:right="0" w:firstLine="480" w:firstLineChars="200"/>
              <w:jc w:val="both"/>
              <w:rPr>
                <w:rFonts w:hint="default" w:cs="宋体"/>
                <w:kern w:val="2"/>
                <w:sz w:val="24"/>
                <w:szCs w:val="24"/>
                <w:lang w:val="en-US" w:eastAsia="zh-CN" w:bidi="ar"/>
              </w:rPr>
            </w:pPr>
            <w:r>
              <w:rPr>
                <w:rFonts w:hint="eastAsia" w:cs="宋体"/>
                <w:kern w:val="2"/>
                <w:sz w:val="24"/>
                <w:szCs w:val="24"/>
                <w:lang w:val="en-US" w:eastAsia="zh-CN" w:bidi="ar"/>
              </w:rPr>
              <w:t>①废活性炭</w:t>
            </w:r>
          </w:p>
          <w:p>
            <w:pPr>
              <w:pStyle w:val="13"/>
              <w:keepNext w:val="0"/>
              <w:keepLines w:val="0"/>
              <w:suppressLineNumbers w:val="0"/>
              <w:spacing w:before="0" w:beforeAutospacing="0" w:after="0" w:afterAutospacing="0" w:line="360" w:lineRule="auto"/>
              <w:ind w:left="0" w:right="0" w:firstLine="480" w:firstLineChars="200"/>
              <w:rPr>
                <w:rFonts w:hint="eastAsia"/>
                <w:kern w:val="2"/>
                <w:sz w:val="24"/>
                <w:szCs w:val="24"/>
              </w:rPr>
            </w:pPr>
            <w:r>
              <w:rPr>
                <w:rFonts w:hint="eastAsia" w:ascii="Times New Roman" w:hAnsi="Times New Roman" w:eastAsia="宋体" w:cs="Times New Roman"/>
                <w:kern w:val="2"/>
                <w:sz w:val="24"/>
                <w:szCs w:val="24"/>
                <w:lang w:val="en-US" w:eastAsia="zh-CN" w:bidi="ar-SA"/>
              </w:rPr>
              <w:t>本项目采取二级活性炭吸附装置对挥发性有机废气进行处理，</w:t>
            </w:r>
            <w:r>
              <w:rPr>
                <w:rFonts w:hint="eastAsia" w:cs="Times New Roman"/>
                <w:kern w:val="2"/>
                <w:sz w:val="24"/>
                <w:szCs w:val="24"/>
                <w:lang w:val="en-US" w:eastAsia="zh-CN" w:bidi="ar-SA"/>
              </w:rPr>
              <w:t>定期更换产生的</w:t>
            </w:r>
            <w:r>
              <w:rPr>
                <w:rFonts w:hint="eastAsia" w:ascii="Times New Roman" w:hAnsi="Times New Roman" w:eastAsia="宋体" w:cs="Times New Roman"/>
                <w:kern w:val="2"/>
                <w:sz w:val="24"/>
                <w:szCs w:val="24"/>
                <w:lang w:val="en-US" w:eastAsia="zh-CN" w:bidi="ar-SA"/>
              </w:rPr>
              <w:t>废活性炭属于危险废物</w:t>
            </w:r>
            <w:r>
              <w:rPr>
                <w:rFonts w:hint="eastAsia" w:ascii="Times New Roman" w:hAnsi="Times New Roman" w:eastAsia="宋体" w:cs="Times New Roman"/>
                <w:color w:val="auto"/>
                <w:kern w:val="2"/>
                <w:sz w:val="24"/>
                <w:szCs w:val="24"/>
                <w:lang w:val="en-US" w:eastAsia="zh-CN" w:bidi="ar-SA"/>
              </w:rPr>
              <w:t>，</w:t>
            </w:r>
            <w:r>
              <w:rPr>
                <w:rFonts w:hint="eastAsia"/>
                <w:color w:val="auto"/>
                <w:kern w:val="2"/>
                <w:sz w:val="24"/>
                <w:szCs w:val="24"/>
                <w:lang w:val="en-US" w:eastAsia="zh-CN"/>
              </w:rPr>
              <w:t>根据《上海市工业固定源挥发性有机物治理技术指引》，</w:t>
            </w:r>
            <w:r>
              <w:rPr>
                <w:rFonts w:hint="eastAsia"/>
                <w:color w:val="auto"/>
                <w:kern w:val="2"/>
                <w:sz w:val="24"/>
                <w:szCs w:val="24"/>
              </w:rPr>
              <w:t>活性炭吸附VOCs的饱和吸附容量约20-40%</w:t>
            </w:r>
            <w:r>
              <w:rPr>
                <w:rFonts w:hint="eastAsia"/>
                <w:color w:val="auto"/>
                <w:kern w:val="2"/>
                <w:sz w:val="24"/>
                <w:szCs w:val="24"/>
                <w:lang w:val="en-US" w:eastAsia="zh-CN"/>
              </w:rPr>
              <w:t>万吨</w:t>
            </w:r>
            <w:r>
              <w:rPr>
                <w:rFonts w:hint="eastAsia"/>
                <w:color w:val="auto"/>
                <w:kern w:val="2"/>
                <w:sz w:val="24"/>
                <w:szCs w:val="24"/>
              </w:rPr>
              <w:t>;用于吸附装置中活性炭的实际有效吸附量约为饱和</w:t>
            </w:r>
            <w:r>
              <w:rPr>
                <w:rFonts w:hint="eastAsia"/>
                <w:kern w:val="2"/>
                <w:sz w:val="24"/>
                <w:szCs w:val="24"/>
              </w:rPr>
              <w:t>容量的40%以下。</w:t>
            </w:r>
          </w:p>
          <w:p>
            <w:pPr>
              <w:pStyle w:val="13"/>
              <w:keepNext w:val="0"/>
              <w:keepLines w:val="0"/>
              <w:suppressLineNumbers w:val="0"/>
              <w:spacing w:before="0" w:beforeAutospacing="0" w:after="0" w:afterAutospacing="0" w:line="360" w:lineRule="auto"/>
              <w:ind w:left="0" w:right="0" w:firstLine="480" w:firstLineChars="200"/>
              <w:rPr>
                <w:rFonts w:hint="eastAsia"/>
                <w:kern w:val="2"/>
                <w:sz w:val="24"/>
                <w:szCs w:val="24"/>
              </w:rPr>
            </w:pPr>
            <w:r>
              <w:rPr>
                <w:rFonts w:hint="eastAsia"/>
                <w:kern w:val="2"/>
                <w:sz w:val="24"/>
                <w:szCs w:val="24"/>
              </w:rPr>
              <w:t>本项目两级活性炭吸附装置需处理有机废气量为</w:t>
            </w:r>
            <w:r>
              <w:rPr>
                <w:rFonts w:hint="eastAsia"/>
                <w:kern w:val="2"/>
                <w:sz w:val="24"/>
                <w:szCs w:val="24"/>
                <w:lang w:val="en-US" w:eastAsia="zh-CN"/>
              </w:rPr>
              <w:t>3.024</w:t>
            </w:r>
            <w:r>
              <w:rPr>
                <w:rFonts w:hint="eastAsia"/>
                <w:kern w:val="2"/>
                <w:sz w:val="24"/>
                <w:szCs w:val="24"/>
              </w:rPr>
              <w:t>t/a，则项目需要消耗</w:t>
            </w:r>
            <w:r>
              <w:rPr>
                <w:rFonts w:hint="eastAsia"/>
                <w:kern w:val="2"/>
                <w:sz w:val="24"/>
                <w:szCs w:val="24"/>
                <w:lang w:val="en-US" w:eastAsia="zh-CN"/>
              </w:rPr>
              <w:t>18.9</w:t>
            </w:r>
            <w:r>
              <w:rPr>
                <w:rFonts w:hint="eastAsia"/>
                <w:kern w:val="2"/>
                <w:sz w:val="24"/>
                <w:szCs w:val="24"/>
              </w:rPr>
              <w:t>t/a活性炭，即废活性炭产生量约</w:t>
            </w:r>
            <w:r>
              <w:rPr>
                <w:rFonts w:hint="eastAsia"/>
                <w:kern w:val="2"/>
                <w:sz w:val="24"/>
                <w:szCs w:val="24"/>
                <w:lang w:val="en-US" w:eastAsia="zh-CN"/>
              </w:rPr>
              <w:t>21.924</w:t>
            </w:r>
            <w:r>
              <w:rPr>
                <w:rFonts w:hint="eastAsia"/>
                <w:kern w:val="2"/>
                <w:sz w:val="24"/>
                <w:szCs w:val="24"/>
              </w:rPr>
              <w:t>t/a（含吸附废气</w:t>
            </w:r>
            <w:r>
              <w:rPr>
                <w:rFonts w:hint="eastAsia"/>
                <w:kern w:val="2"/>
                <w:sz w:val="24"/>
                <w:szCs w:val="24"/>
                <w:lang w:val="en-US" w:eastAsia="zh-CN"/>
              </w:rPr>
              <w:t>3.024</w:t>
            </w:r>
            <w:r>
              <w:rPr>
                <w:rFonts w:hint="eastAsia"/>
                <w:kern w:val="2"/>
                <w:sz w:val="24"/>
                <w:szCs w:val="24"/>
              </w:rPr>
              <w:t>t/a）。项目计划每季度更换一次活性炭吸附填料，确保项目有机废气达标排放。对照国家危险废物名录（2021年版），废活性炭为危险废物，其类别为HW49（900-039-49），产生后暂存于危废间，定期委托有资质的单位外运处置。</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②废机油</w:t>
            </w:r>
          </w:p>
          <w:p>
            <w:pPr>
              <w:pStyle w:val="13"/>
              <w:keepNext w:val="0"/>
              <w:keepLines w:val="0"/>
              <w:suppressLineNumbers w:val="0"/>
              <w:spacing w:beforeAutospacing="0" w:afterAutospacing="0" w:line="360" w:lineRule="auto"/>
              <w:ind w:left="0" w:right="0"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设备维修保养产生的废机油属于危险废物，根据《国家危险废物名录》（</w:t>
            </w:r>
            <w:r>
              <w:rPr>
                <w:rFonts w:hint="default" w:ascii="Times New Roman" w:hAnsi="Times New Roman" w:eastAsia="宋体" w:cs="Times New Roman"/>
                <w:kern w:val="2"/>
                <w:sz w:val="24"/>
                <w:szCs w:val="24"/>
                <w:lang w:val="en-US" w:eastAsia="zh-CN" w:bidi="ar-SA"/>
              </w:rPr>
              <w:t>2021</w:t>
            </w:r>
            <w:r>
              <w:rPr>
                <w:rFonts w:hint="eastAsia" w:ascii="Times New Roman" w:hAnsi="Times New Roman" w:eastAsia="宋体" w:cs="Times New Roman"/>
                <w:kern w:val="2"/>
                <w:sz w:val="24"/>
                <w:szCs w:val="24"/>
                <w:lang w:val="en-US" w:eastAsia="zh-CN" w:bidi="ar-SA"/>
              </w:rPr>
              <w:t>版），废机油属于</w:t>
            </w:r>
            <w:r>
              <w:rPr>
                <w:rFonts w:hint="default" w:ascii="Times New Roman" w:hAnsi="Times New Roman" w:eastAsia="宋体" w:cs="Times New Roman"/>
                <w:kern w:val="2"/>
                <w:sz w:val="24"/>
                <w:szCs w:val="24"/>
                <w:lang w:val="en-US" w:eastAsia="zh-CN" w:bidi="ar-SA"/>
              </w:rPr>
              <w:t>HW08</w:t>
            </w:r>
            <w:r>
              <w:rPr>
                <w:rFonts w:hint="eastAsia" w:ascii="Times New Roman" w:hAnsi="Times New Roman" w:eastAsia="宋体" w:cs="Times New Roman"/>
                <w:kern w:val="2"/>
                <w:sz w:val="24"/>
                <w:szCs w:val="24"/>
                <w:lang w:val="en-US" w:eastAsia="zh-CN" w:bidi="ar-SA"/>
              </w:rPr>
              <w:t>废矿物油与含矿物油废物，废物代码为</w:t>
            </w:r>
            <w:r>
              <w:rPr>
                <w:rFonts w:hint="eastAsia" w:cs="Times New Roman"/>
                <w:kern w:val="2"/>
                <w:sz w:val="24"/>
                <w:szCs w:val="24"/>
                <w:lang w:val="en-US" w:eastAsia="zh-CN" w:bidi="ar-SA"/>
              </w:rPr>
              <w:t>HW08(</w:t>
            </w:r>
            <w:r>
              <w:rPr>
                <w:rFonts w:hint="default" w:ascii="Times New Roman" w:hAnsi="Times New Roman" w:eastAsia="宋体" w:cs="Times New Roman"/>
                <w:kern w:val="2"/>
                <w:sz w:val="24"/>
                <w:szCs w:val="24"/>
                <w:lang w:val="en-US" w:eastAsia="zh-CN" w:bidi="ar-SA"/>
              </w:rPr>
              <w:t>900-214-08</w:t>
            </w:r>
            <w:r>
              <w:rPr>
                <w:rFonts w:hint="eastAsia"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。废机油仅在设备检修和维护过程产生，产生量约</w:t>
            </w:r>
            <w:r>
              <w:rPr>
                <w:rFonts w:hint="default" w:ascii="Times New Roman" w:hAnsi="Times New Roman" w:eastAsia="宋体" w:cs="Times New Roman"/>
                <w:kern w:val="2"/>
                <w:sz w:val="24"/>
                <w:szCs w:val="24"/>
                <w:lang w:val="en-US" w:eastAsia="zh-CN" w:bidi="ar-SA"/>
              </w:rPr>
              <w:t>0.</w:t>
            </w:r>
            <w:r>
              <w:rPr>
                <w:rFonts w:hint="eastAsia" w:ascii="Times New Roman" w:hAnsi="Times New Roman" w:eastAsia="宋体" w:cs="Times New Roman"/>
                <w:kern w:val="2"/>
                <w:sz w:val="24"/>
                <w:szCs w:val="24"/>
                <w:lang w:val="en-US" w:eastAsia="zh-CN" w:bidi="ar-SA"/>
              </w:rPr>
              <w:t>05</w:t>
            </w:r>
            <w:r>
              <w:rPr>
                <w:rFonts w:hint="default" w:ascii="Times New Roman" w:hAnsi="Times New Roman" w:eastAsia="宋体" w:cs="Times New Roman"/>
                <w:kern w:val="2"/>
                <w:sz w:val="24"/>
                <w:szCs w:val="24"/>
                <w:lang w:val="en-US" w:eastAsia="zh-CN" w:bidi="ar-SA"/>
              </w:rPr>
              <w:t>t/a</w:t>
            </w:r>
            <w:r>
              <w:rPr>
                <w:rFonts w:hint="eastAsia" w:ascii="Times New Roman" w:hAnsi="Times New Roman" w:eastAsia="宋体" w:cs="Times New Roman"/>
                <w:kern w:val="2"/>
                <w:sz w:val="24"/>
                <w:szCs w:val="24"/>
                <w:lang w:val="en-US" w:eastAsia="zh-CN" w:bidi="ar-SA"/>
              </w:rPr>
              <w:t>，产生的废机油暂存于危废暂存间内，定期委托有资质单位处置。</w:t>
            </w:r>
          </w:p>
          <w:p>
            <w:pPr>
              <w:pStyle w:val="43"/>
              <w:keepNext w:val="0"/>
              <w:keepLines w:val="0"/>
              <w:numPr>
                <w:ilvl w:val="0"/>
                <w:numId w:val="0"/>
              </w:numPr>
              <w:suppressLineNumbers w:val="0"/>
              <w:spacing w:before="0" w:beforeAutospacing="0" w:after="0" w:afterAutospacing="0"/>
              <w:ind w:left="420" w:leftChars="200" w:right="0" w:rightChars="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生活垃圾</w:t>
            </w:r>
          </w:p>
          <w:p>
            <w:pPr>
              <w:pStyle w:val="29"/>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kern w:val="2"/>
                <w:sz w:val="24"/>
                <w:szCs w:val="24"/>
              </w:rPr>
              <w:t>本项目职工</w:t>
            </w:r>
            <w:r>
              <w:rPr>
                <w:rFonts w:hint="eastAsia" w:ascii="Times New Roman" w:hAnsi="Times New Roman" w:cs="Times New Roman"/>
                <w:kern w:val="2"/>
                <w:sz w:val="24"/>
                <w:szCs w:val="24"/>
                <w:lang w:val="en-US" w:eastAsia="zh-CN"/>
              </w:rPr>
              <w:t>10</w:t>
            </w:r>
            <w:r>
              <w:rPr>
                <w:rFonts w:hint="default" w:ascii="Times New Roman" w:hAnsi="Times New Roman" w:eastAsia="宋体" w:cs="Times New Roman"/>
                <w:kern w:val="2"/>
                <w:sz w:val="24"/>
                <w:szCs w:val="24"/>
              </w:rPr>
              <w:t>人，</w:t>
            </w:r>
            <w:r>
              <w:rPr>
                <w:rFonts w:hint="eastAsia" w:ascii="Times New Roman" w:hAnsi="Times New Roman" w:cs="Times New Roman"/>
                <w:kern w:val="2"/>
                <w:sz w:val="24"/>
                <w:szCs w:val="24"/>
                <w:lang w:val="en-US" w:eastAsia="zh-CN"/>
              </w:rPr>
              <w:t>均不在场内食宿，</w:t>
            </w:r>
            <w:r>
              <w:rPr>
                <w:rFonts w:hint="default" w:ascii="Times New Roman" w:hAnsi="Times New Roman" w:eastAsia="宋体" w:cs="Times New Roman"/>
                <w:kern w:val="2"/>
                <w:sz w:val="24"/>
                <w:szCs w:val="24"/>
              </w:rPr>
              <w:t>职工产生生活垃圾按</w:t>
            </w:r>
            <w:r>
              <w:rPr>
                <w:rFonts w:hint="eastAsia" w:ascii="Times New Roman" w:hAnsi="Times New Roman" w:cs="Times New Roman"/>
                <w:kern w:val="2"/>
                <w:sz w:val="24"/>
                <w:szCs w:val="24"/>
                <w:lang w:val="en-US" w:eastAsia="zh-CN"/>
              </w:rPr>
              <w:t>0.5</w:t>
            </w:r>
            <w:r>
              <w:rPr>
                <w:rFonts w:hint="default" w:ascii="Times New Roman" w:hAnsi="Times New Roman" w:eastAsia="宋体" w:cs="Times New Roman"/>
                <w:kern w:val="2"/>
                <w:sz w:val="24"/>
                <w:szCs w:val="24"/>
              </w:rPr>
              <w:t>kg/人·d计，则生活垃圾总产生</w:t>
            </w:r>
            <w:r>
              <w:rPr>
                <w:rFonts w:hint="default" w:ascii="Times New Roman" w:hAnsi="Times New Roman" w:eastAsia="宋体" w:cs="Times New Roman"/>
                <w:color w:val="auto"/>
                <w:kern w:val="2"/>
                <w:sz w:val="24"/>
                <w:szCs w:val="24"/>
              </w:rPr>
              <w:t>量</w:t>
            </w:r>
            <w:r>
              <w:rPr>
                <w:rFonts w:hint="eastAsia" w:ascii="Times New Roman" w:hAnsi="Times New Roman" w:cs="Times New Roman"/>
                <w:color w:val="auto"/>
                <w:kern w:val="2"/>
                <w:sz w:val="24"/>
                <w:szCs w:val="24"/>
                <w:lang w:val="en-US" w:eastAsia="zh-CN"/>
              </w:rPr>
              <w:t>1.5</w:t>
            </w:r>
            <w:r>
              <w:rPr>
                <w:rFonts w:hint="default" w:ascii="Times New Roman" w:hAnsi="Times New Roman" w:eastAsia="宋体" w:cs="Times New Roman"/>
                <w:color w:val="auto"/>
                <w:kern w:val="2"/>
                <w:sz w:val="24"/>
                <w:szCs w:val="24"/>
              </w:rPr>
              <w:t>t/a（0.0</w:t>
            </w:r>
            <w:r>
              <w:rPr>
                <w:rFonts w:hint="eastAsia" w:ascii="Times New Roman" w:hAnsi="Times New Roman" w:cs="Times New Roman"/>
                <w:color w:val="auto"/>
                <w:kern w:val="2"/>
                <w:sz w:val="24"/>
                <w:szCs w:val="24"/>
                <w:lang w:val="en-US" w:eastAsia="zh-CN"/>
              </w:rPr>
              <w:t>05</w:t>
            </w:r>
            <w:r>
              <w:rPr>
                <w:rFonts w:hint="default" w:ascii="Times New Roman" w:hAnsi="Times New Roman" w:eastAsia="宋体" w:cs="Times New Roman"/>
                <w:color w:val="auto"/>
                <w:sz w:val="24"/>
                <w:szCs w:val="24"/>
              </w:rPr>
              <w:t>t/d</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sz w:val="24"/>
                <w:szCs w:val="24"/>
              </w:rPr>
              <w:t>生活垃</w:t>
            </w:r>
            <w:r>
              <w:rPr>
                <w:rFonts w:hint="default" w:ascii="Times New Roman" w:hAnsi="Times New Roman" w:eastAsia="宋体" w:cs="Times New Roman"/>
                <w:sz w:val="24"/>
                <w:szCs w:val="24"/>
              </w:rPr>
              <w:t>圾统一收集后外运至垃圾中转站，由环卫部门统一处置。</w:t>
            </w:r>
          </w:p>
          <w:p>
            <w:pPr>
              <w:pStyle w:val="43"/>
              <w:keepNext w:val="0"/>
              <w:keepLines w:val="0"/>
              <w:suppressLineNumbers w:val="0"/>
              <w:spacing w:before="0" w:beforeAutospacing="0" w:after="0" w:afterAutospacing="0"/>
              <w:ind w:left="0" w:righ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本项目固废产生及处置情况见下表。</w:t>
            </w:r>
          </w:p>
          <w:p>
            <w:pPr>
              <w:pStyle w:val="42"/>
              <w:keepNext w:val="0"/>
              <w:keepLines w:val="0"/>
              <w:suppressLineNumbers w:val="0"/>
              <w:bidi w:val="0"/>
              <w:spacing w:beforeAutospacing="0" w:after="0" w:afterAutospacing="0"/>
              <w:ind w:left="0" w:leftChars="0" w:right="0" w:firstLine="0" w:firstLineChars="0"/>
              <w:rPr>
                <w:rFonts w:hint="default"/>
              </w:rPr>
            </w:pPr>
            <w:r>
              <w:rPr>
                <w:rFonts w:hint="eastAsia"/>
              </w:rPr>
              <w:t>固体废物源强核算结果及</w:t>
            </w:r>
            <w:r>
              <w:rPr>
                <w:rFonts w:hint="eastAsia"/>
                <w:lang w:val="en-US" w:eastAsia="zh-CN"/>
              </w:rPr>
              <w:t>处置方式</w:t>
            </w:r>
            <w:r>
              <w:rPr>
                <w:rFonts w:hint="eastAsia"/>
              </w:rPr>
              <w:t>一览表</w:t>
            </w:r>
          </w:p>
          <w:tbl>
            <w:tblPr>
              <w:tblStyle w:val="3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16"/>
              <w:gridCol w:w="1450"/>
              <w:gridCol w:w="960"/>
              <w:gridCol w:w="1798"/>
              <w:gridCol w:w="632"/>
              <w:gridCol w:w="663"/>
              <w:gridCol w:w="1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tblHeader/>
                <w:jc w:val="center"/>
              </w:trPr>
              <w:tc>
                <w:tcPr>
                  <w:tcW w:w="381" w:type="pct"/>
                  <w:vAlign w:val="center"/>
                </w:tcPr>
                <w:p>
                  <w:pPr>
                    <w:pStyle w:val="46"/>
                    <w:keepNext w:val="0"/>
                    <w:keepLines w:val="0"/>
                    <w:suppressLineNumbers w:val="0"/>
                    <w:bidi w:val="0"/>
                    <w:spacing w:before="0" w:beforeAutospacing="0" w:after="0" w:afterAutospacing="0"/>
                    <w:ind w:right="0"/>
                    <w:rPr>
                      <w:rFonts w:hint="eastAsia" w:eastAsia="宋体"/>
                      <w:color w:val="auto"/>
                      <w:szCs w:val="21"/>
                      <w:lang w:val="en-US" w:eastAsia="zh-CN"/>
                    </w:rPr>
                  </w:pPr>
                  <w:r>
                    <w:rPr>
                      <w:rFonts w:hint="eastAsia"/>
                      <w:color w:val="auto"/>
                      <w:szCs w:val="21"/>
                      <w:lang w:val="en-US" w:eastAsia="zh-CN"/>
                    </w:rPr>
                    <w:t>类别</w:t>
                  </w:r>
                </w:p>
              </w:tc>
              <w:tc>
                <w:tcPr>
                  <w:tcW w:w="897" w:type="pct"/>
                  <w:vAlign w:val="center"/>
                </w:tcPr>
                <w:p>
                  <w:pPr>
                    <w:pStyle w:val="46"/>
                    <w:keepNext w:val="0"/>
                    <w:keepLines w:val="0"/>
                    <w:suppressLineNumbers w:val="0"/>
                    <w:bidi w:val="0"/>
                    <w:spacing w:before="0" w:beforeAutospacing="0" w:after="0" w:afterAutospacing="0"/>
                    <w:ind w:right="0"/>
                    <w:rPr>
                      <w:rFonts w:hint="default"/>
                      <w:color w:val="auto"/>
                      <w:szCs w:val="21"/>
                    </w:rPr>
                  </w:pPr>
                  <w:r>
                    <w:rPr>
                      <w:rFonts w:hint="default"/>
                      <w:color w:val="auto"/>
                      <w:szCs w:val="21"/>
                    </w:rPr>
                    <w:t>名称</w:t>
                  </w:r>
                </w:p>
              </w:tc>
              <w:tc>
                <w:tcPr>
                  <w:tcW w:w="594" w:type="pct"/>
                  <w:vAlign w:val="center"/>
                </w:tcPr>
                <w:p>
                  <w:pPr>
                    <w:pStyle w:val="46"/>
                    <w:keepNext w:val="0"/>
                    <w:keepLines w:val="0"/>
                    <w:suppressLineNumbers w:val="0"/>
                    <w:bidi w:val="0"/>
                    <w:spacing w:before="0" w:beforeAutospacing="0" w:after="0" w:afterAutospacing="0"/>
                    <w:ind w:right="0"/>
                    <w:rPr>
                      <w:rFonts w:hint="default"/>
                      <w:color w:val="auto"/>
                      <w:szCs w:val="21"/>
                    </w:rPr>
                  </w:pPr>
                  <w:r>
                    <w:rPr>
                      <w:rFonts w:hint="default"/>
                      <w:color w:val="auto"/>
                      <w:szCs w:val="21"/>
                    </w:rPr>
                    <w:t>产生量</w:t>
                  </w:r>
                </w:p>
                <w:p>
                  <w:pPr>
                    <w:pStyle w:val="46"/>
                    <w:keepNext w:val="0"/>
                    <w:keepLines w:val="0"/>
                    <w:suppressLineNumbers w:val="0"/>
                    <w:bidi w:val="0"/>
                    <w:spacing w:before="0" w:beforeAutospacing="0" w:after="0" w:afterAutospacing="0"/>
                    <w:ind w:right="0"/>
                    <w:rPr>
                      <w:rFonts w:hint="default"/>
                      <w:color w:val="auto"/>
                      <w:szCs w:val="21"/>
                    </w:rPr>
                  </w:pPr>
                  <w:r>
                    <w:rPr>
                      <w:rFonts w:hint="default"/>
                      <w:color w:val="auto"/>
                      <w:szCs w:val="21"/>
                    </w:rPr>
                    <w:t>(t/a)</w:t>
                  </w:r>
                </w:p>
              </w:tc>
              <w:tc>
                <w:tcPr>
                  <w:tcW w:w="1112"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color w:val="auto"/>
                      <w:sz w:val="21"/>
                      <w:szCs w:val="21"/>
                    </w:rPr>
                  </w:pPr>
                  <w:r>
                    <w:rPr>
                      <w:rFonts w:hint="eastAsia"/>
                      <w:color w:val="auto"/>
                      <w:szCs w:val="21"/>
                    </w:rPr>
                    <w:t>类别及代码</w:t>
                  </w:r>
                </w:p>
              </w:tc>
              <w:tc>
                <w:tcPr>
                  <w:tcW w:w="391"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color w:val="auto"/>
                      <w:sz w:val="21"/>
                      <w:szCs w:val="21"/>
                    </w:rPr>
                  </w:pPr>
                  <w:r>
                    <w:rPr>
                      <w:rFonts w:hint="default"/>
                      <w:color w:val="auto"/>
                      <w:szCs w:val="21"/>
                    </w:rPr>
                    <w:t>形态</w:t>
                  </w:r>
                </w:p>
              </w:tc>
              <w:tc>
                <w:tcPr>
                  <w:tcW w:w="410" w:type="pct"/>
                  <w:vAlign w:val="center"/>
                </w:tcPr>
                <w:p>
                  <w:pPr>
                    <w:pStyle w:val="46"/>
                    <w:keepNext w:val="0"/>
                    <w:keepLines w:val="0"/>
                    <w:suppressLineNumbers w:val="0"/>
                    <w:bidi w:val="0"/>
                    <w:spacing w:before="0" w:beforeAutospacing="0" w:after="0" w:afterAutospacing="0"/>
                    <w:ind w:right="0"/>
                    <w:rPr>
                      <w:rFonts w:hint="default"/>
                      <w:color w:val="auto"/>
                      <w:szCs w:val="21"/>
                    </w:rPr>
                  </w:pPr>
                  <w:r>
                    <w:rPr>
                      <w:rFonts w:hint="default"/>
                      <w:color w:val="auto"/>
                      <w:szCs w:val="21"/>
                    </w:rPr>
                    <w:t>危险</w:t>
                  </w:r>
                </w:p>
                <w:p>
                  <w:pPr>
                    <w:pStyle w:val="46"/>
                    <w:keepNext w:val="0"/>
                    <w:keepLines w:val="0"/>
                    <w:suppressLineNumbers w:val="0"/>
                    <w:bidi w:val="0"/>
                    <w:spacing w:before="0" w:beforeAutospacing="0" w:after="0" w:afterAutospacing="0"/>
                    <w:ind w:right="0"/>
                    <w:rPr>
                      <w:rFonts w:hint="default"/>
                      <w:color w:val="auto"/>
                      <w:szCs w:val="21"/>
                    </w:rPr>
                  </w:pPr>
                  <w:r>
                    <w:rPr>
                      <w:rFonts w:hint="default"/>
                      <w:color w:val="auto"/>
                      <w:szCs w:val="21"/>
                    </w:rPr>
                    <w:t>特性</w:t>
                  </w:r>
                </w:p>
              </w:tc>
              <w:tc>
                <w:tcPr>
                  <w:tcW w:w="1212" w:type="pct"/>
                  <w:vAlign w:val="center"/>
                </w:tcPr>
                <w:p>
                  <w:pPr>
                    <w:pStyle w:val="46"/>
                    <w:keepNext w:val="0"/>
                    <w:keepLines w:val="0"/>
                    <w:suppressLineNumbers w:val="0"/>
                    <w:bidi w:val="0"/>
                    <w:spacing w:before="0" w:beforeAutospacing="0" w:after="0" w:afterAutospacing="0"/>
                    <w:ind w:right="0"/>
                    <w:rPr>
                      <w:rFonts w:hint="default"/>
                      <w:color w:val="auto"/>
                      <w:szCs w:val="21"/>
                    </w:rPr>
                  </w:pPr>
                  <w:r>
                    <w:rPr>
                      <w:rFonts w:hint="default"/>
                      <w:color w:val="auto"/>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81" w:type="pct"/>
                  <w:vMerge w:val="restart"/>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危险</w:t>
                  </w:r>
                </w:p>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color w:val="auto"/>
                      <w:sz w:val="21"/>
                      <w:szCs w:val="21"/>
                      <w:u w:val="none"/>
                      <w:lang w:val="en-US" w:eastAsia="zh-CN"/>
                    </w:rPr>
                  </w:pPr>
                  <w:r>
                    <w:rPr>
                      <w:rFonts w:hint="default" w:ascii="Times New Roman" w:hAnsi="Times New Roman" w:eastAsia="宋体" w:cs="Times New Roman"/>
                      <w:color w:val="auto"/>
                      <w:sz w:val="21"/>
                      <w:szCs w:val="21"/>
                      <w:u w:val="none"/>
                    </w:rPr>
                    <w:t>废物</w:t>
                  </w:r>
                </w:p>
              </w:tc>
              <w:tc>
                <w:tcPr>
                  <w:tcW w:w="897" w:type="pct"/>
                  <w:vAlign w:val="center"/>
                </w:tcPr>
                <w:p>
                  <w:pPr>
                    <w:pStyle w:val="46"/>
                    <w:keepNext w:val="0"/>
                    <w:keepLines w:val="0"/>
                    <w:pageBreakBefore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jc w:val="center"/>
                    <w:textAlignment w:val="auto"/>
                    <w:rPr>
                      <w:rFonts w:hint="default"/>
                      <w:color w:val="auto"/>
                      <w:szCs w:val="21"/>
                      <w:lang w:val="en-US" w:eastAsia="zh-CN"/>
                    </w:rPr>
                  </w:pPr>
                  <w:r>
                    <w:rPr>
                      <w:rFonts w:hint="eastAsia"/>
                      <w:color w:val="auto"/>
                      <w:szCs w:val="21"/>
                      <w:lang w:val="en-US" w:eastAsia="zh-CN"/>
                    </w:rPr>
                    <w:t>废活性炭</w:t>
                  </w:r>
                </w:p>
              </w:tc>
              <w:tc>
                <w:tcPr>
                  <w:tcW w:w="594"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21.924</w:t>
                  </w:r>
                </w:p>
              </w:tc>
              <w:tc>
                <w:tcPr>
                  <w:tcW w:w="1112"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HW49</w:t>
                  </w:r>
                </w:p>
                <w:p>
                  <w:pPr>
                    <w:pStyle w:val="46"/>
                    <w:keepNext w:val="0"/>
                    <w:keepLines w:val="0"/>
                    <w:suppressLineNumbers w:val="0"/>
                    <w:bidi w:val="0"/>
                    <w:spacing w:before="0" w:beforeAutospacing="0" w:after="0" w:afterAutospacing="0"/>
                    <w:ind w:left="0" w:leftChars="0" w:right="0" w:firstLine="0" w:firstLineChars="0"/>
                    <w:jc w:val="center"/>
                    <w:rPr>
                      <w:rFonts w:hint="eastAsia" w:cs="Times New Roman"/>
                      <w:color w:val="auto"/>
                      <w:kern w:val="2"/>
                      <w:sz w:val="21"/>
                      <w:szCs w:val="21"/>
                      <w:lang w:val="en-US" w:eastAsia="zh-CN" w:bidi="ar-SA"/>
                    </w:rPr>
                  </w:pPr>
                  <w:r>
                    <w:rPr>
                      <w:rFonts w:hint="eastAsia" w:cs="Times New Roman"/>
                      <w:color w:val="auto"/>
                      <w:kern w:val="2"/>
                      <w:sz w:val="21"/>
                      <w:szCs w:val="21"/>
                      <w:lang w:val="en-US" w:eastAsia="zh-CN" w:bidi="ar-SA"/>
                    </w:rPr>
                    <w:t>（900-039-49）</w:t>
                  </w:r>
                </w:p>
              </w:tc>
              <w:tc>
                <w:tcPr>
                  <w:tcW w:w="391"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cs="Times New Roman"/>
                      <w:color w:val="auto"/>
                      <w:sz w:val="21"/>
                      <w:szCs w:val="21"/>
                      <w:u w:val="none"/>
                      <w:lang w:val="en-US" w:eastAsia="zh-CN"/>
                    </w:rPr>
                  </w:pPr>
                  <w:r>
                    <w:rPr>
                      <w:rFonts w:hint="eastAsia" w:cs="Times New Roman"/>
                      <w:color w:val="auto"/>
                      <w:sz w:val="21"/>
                      <w:szCs w:val="21"/>
                      <w:u w:val="none"/>
                      <w:lang w:val="en-US" w:eastAsia="zh-CN"/>
                    </w:rPr>
                    <w:t>固态</w:t>
                  </w:r>
                </w:p>
              </w:tc>
              <w:tc>
                <w:tcPr>
                  <w:tcW w:w="410"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color w:val="auto"/>
                      <w:szCs w:val="21"/>
                      <w:lang w:val="en-US" w:eastAsia="zh-CN"/>
                    </w:rPr>
                  </w:pPr>
                  <w:r>
                    <w:rPr>
                      <w:rFonts w:hint="eastAsia"/>
                      <w:color w:val="auto"/>
                      <w:szCs w:val="21"/>
                      <w:lang w:val="en-US" w:eastAsia="zh-CN"/>
                    </w:rPr>
                    <w:t>T</w:t>
                  </w:r>
                </w:p>
              </w:tc>
              <w:tc>
                <w:tcPr>
                  <w:tcW w:w="1212" w:type="pct"/>
                  <w:vMerge w:val="restart"/>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jc w:val="both"/>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暂存于危险废物暂存间，委托有资质单位外运处置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81" w:type="pct"/>
                  <w:vMerge w:val="continue"/>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color w:val="auto"/>
                      <w:sz w:val="21"/>
                      <w:szCs w:val="21"/>
                      <w:u w:val="none"/>
                      <w:lang w:val="en-US" w:eastAsia="zh-CN"/>
                    </w:rPr>
                  </w:pPr>
                </w:p>
              </w:tc>
              <w:tc>
                <w:tcPr>
                  <w:tcW w:w="897" w:type="pct"/>
                  <w:vAlign w:val="center"/>
                </w:tcPr>
                <w:p>
                  <w:pPr>
                    <w:pStyle w:val="46"/>
                    <w:keepNext w:val="0"/>
                    <w:keepLines w:val="0"/>
                    <w:pageBreakBefore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废机油</w:t>
                  </w:r>
                </w:p>
              </w:tc>
              <w:tc>
                <w:tcPr>
                  <w:tcW w:w="594"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0.05</w:t>
                  </w:r>
                </w:p>
              </w:tc>
              <w:tc>
                <w:tcPr>
                  <w:tcW w:w="1112"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HW08</w:t>
                  </w:r>
                </w:p>
                <w:p>
                  <w:pPr>
                    <w:pStyle w:val="46"/>
                    <w:keepNext w:val="0"/>
                    <w:keepLines w:val="0"/>
                    <w:suppressLineNumbers w:val="0"/>
                    <w:bidi w:val="0"/>
                    <w:spacing w:before="0" w:beforeAutospacing="0" w:after="0" w:afterAutospacing="0"/>
                    <w:ind w:left="0" w:leftChars="0" w:right="0"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900-249-08</w:t>
                  </w:r>
                  <w:r>
                    <w:rPr>
                      <w:rFonts w:hint="eastAsia" w:cs="Times New Roman"/>
                      <w:color w:val="auto"/>
                      <w:kern w:val="2"/>
                      <w:sz w:val="21"/>
                      <w:szCs w:val="21"/>
                      <w:lang w:val="en-US" w:eastAsia="zh-CN" w:bidi="ar-SA"/>
                    </w:rPr>
                    <w:t>）</w:t>
                  </w:r>
                </w:p>
              </w:tc>
              <w:tc>
                <w:tcPr>
                  <w:tcW w:w="391" w:type="pct"/>
                  <w:vAlign w:val="center"/>
                </w:tcPr>
                <w:p>
                  <w:pPr>
                    <w:pStyle w:val="46"/>
                    <w:keepNext w:val="0"/>
                    <w:keepLines w:val="0"/>
                    <w:suppressLineNumbers w:val="0"/>
                    <w:bidi w:val="0"/>
                    <w:spacing w:before="0" w:beforeAutospacing="0" w:after="0" w:afterAutospacing="0"/>
                    <w:ind w:left="0" w:leftChars="0" w:right="0" w:firstLine="0" w:firstLineChars="0"/>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u w:val="none"/>
                      <w:lang w:val="en-US" w:eastAsia="zh-CN"/>
                    </w:rPr>
                    <w:t>液</w:t>
                  </w:r>
                  <w:r>
                    <w:rPr>
                      <w:rFonts w:hint="default" w:ascii="Times New Roman" w:hAnsi="Times New Roman" w:eastAsia="宋体" w:cs="Times New Roman"/>
                      <w:color w:val="auto"/>
                      <w:sz w:val="21"/>
                      <w:szCs w:val="21"/>
                      <w:u w:val="none"/>
                    </w:rPr>
                    <w:t>态</w:t>
                  </w:r>
                </w:p>
              </w:tc>
              <w:tc>
                <w:tcPr>
                  <w:tcW w:w="410"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T、I</w:t>
                  </w:r>
                </w:p>
              </w:tc>
              <w:tc>
                <w:tcPr>
                  <w:tcW w:w="1212" w:type="pct"/>
                  <w:vMerge w:val="continue"/>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jc w:val="both"/>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81" w:type="pct"/>
                  <w:vMerge w:val="continue"/>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color w:val="auto"/>
                      <w:sz w:val="21"/>
                      <w:szCs w:val="21"/>
                      <w:u w:val="none"/>
                      <w:lang w:val="en-US" w:eastAsia="zh-CN"/>
                    </w:rPr>
                  </w:pPr>
                </w:p>
              </w:tc>
              <w:tc>
                <w:tcPr>
                  <w:tcW w:w="897" w:type="pct"/>
                  <w:vAlign w:val="center"/>
                </w:tcPr>
                <w:p>
                  <w:pPr>
                    <w:pStyle w:val="46"/>
                    <w:keepNext w:val="0"/>
                    <w:keepLines w:val="0"/>
                    <w:pageBreakBefore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jc w:val="center"/>
                    <w:textAlignment w:val="auto"/>
                    <w:rPr>
                      <w:rFonts w:hint="default"/>
                      <w:color w:val="auto"/>
                      <w:szCs w:val="21"/>
                      <w:lang w:val="en-US" w:eastAsia="zh-CN"/>
                    </w:rPr>
                  </w:pPr>
                  <w:r>
                    <w:rPr>
                      <w:rFonts w:hint="eastAsia"/>
                      <w:color w:val="auto"/>
                      <w:szCs w:val="21"/>
                      <w:lang w:val="en-US" w:eastAsia="zh-CN"/>
                    </w:rPr>
                    <w:t>小计</w:t>
                  </w:r>
                </w:p>
              </w:tc>
              <w:tc>
                <w:tcPr>
                  <w:tcW w:w="594"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21.974</w:t>
                  </w:r>
                </w:p>
              </w:tc>
              <w:tc>
                <w:tcPr>
                  <w:tcW w:w="1112"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c>
                <w:tcPr>
                  <w:tcW w:w="391"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cs="Times New Roman"/>
                      <w:color w:val="auto"/>
                      <w:sz w:val="21"/>
                      <w:szCs w:val="21"/>
                      <w:u w:val="none"/>
                      <w:lang w:val="en-US" w:eastAsia="zh-CN"/>
                    </w:rPr>
                  </w:pPr>
                  <w:r>
                    <w:rPr>
                      <w:rFonts w:hint="eastAsia" w:cs="Times New Roman"/>
                      <w:color w:val="auto"/>
                      <w:sz w:val="21"/>
                      <w:szCs w:val="21"/>
                      <w:u w:val="none"/>
                      <w:lang w:val="en-US" w:eastAsia="zh-CN"/>
                    </w:rPr>
                    <w:t>/</w:t>
                  </w:r>
                </w:p>
              </w:tc>
              <w:tc>
                <w:tcPr>
                  <w:tcW w:w="410"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color w:val="auto"/>
                      <w:szCs w:val="21"/>
                      <w:lang w:val="en-US" w:eastAsia="zh-CN"/>
                    </w:rPr>
                  </w:pPr>
                  <w:r>
                    <w:rPr>
                      <w:rFonts w:hint="eastAsia"/>
                      <w:color w:val="auto"/>
                      <w:szCs w:val="21"/>
                      <w:lang w:val="en-US" w:eastAsia="zh-CN"/>
                    </w:rPr>
                    <w:t>/</w:t>
                  </w:r>
                </w:p>
              </w:tc>
              <w:tc>
                <w:tcPr>
                  <w:tcW w:w="1212" w:type="pct"/>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81" w:type="pct"/>
                  <w:vMerge w:val="restart"/>
                  <w:vAlign w:val="center"/>
                </w:tcPr>
                <w:p>
                  <w:pPr>
                    <w:pStyle w:val="46"/>
                    <w:keepNext w:val="0"/>
                    <w:keepLines w:val="0"/>
                    <w:suppressLineNumbers w:val="0"/>
                    <w:bidi w:val="0"/>
                    <w:spacing w:before="0" w:beforeAutospacing="0" w:after="0" w:afterAutospacing="0"/>
                    <w:ind w:right="0"/>
                    <w:rPr>
                      <w:rFonts w:hint="default" w:ascii="Times New Roman" w:hAnsi="Times New Roman" w:eastAsia="宋体" w:cs="Times New Roman"/>
                      <w:color w:val="auto"/>
                      <w:sz w:val="21"/>
                      <w:szCs w:val="21"/>
                      <w:u w:val="none"/>
                      <w:lang w:val="en-US" w:eastAsia="zh-CN"/>
                    </w:rPr>
                  </w:pPr>
                  <w:r>
                    <w:rPr>
                      <w:rFonts w:hint="eastAsia" w:cs="Times New Roman"/>
                      <w:color w:val="auto"/>
                      <w:sz w:val="21"/>
                      <w:szCs w:val="21"/>
                      <w:u w:val="none"/>
                      <w:lang w:val="en-US" w:eastAsia="zh-CN"/>
                    </w:rPr>
                    <w:t>一般工业固体废物</w:t>
                  </w:r>
                </w:p>
              </w:tc>
              <w:tc>
                <w:tcPr>
                  <w:tcW w:w="897"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eastAsia="宋体"/>
                      <w:color w:val="auto"/>
                      <w:szCs w:val="21"/>
                      <w:lang w:val="en-US" w:eastAsia="zh-CN"/>
                    </w:rPr>
                  </w:pPr>
                  <w:r>
                    <w:rPr>
                      <w:rFonts w:hint="eastAsia"/>
                      <w:szCs w:val="21"/>
                      <w:lang w:val="en-US" w:eastAsia="zh-CN"/>
                    </w:rPr>
                    <w:t>不合格产品</w:t>
                  </w:r>
                </w:p>
              </w:tc>
              <w:tc>
                <w:tcPr>
                  <w:tcW w:w="594"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eastAsia="宋体"/>
                      <w:color w:val="auto"/>
                      <w:sz w:val="21"/>
                      <w:szCs w:val="21"/>
                      <w:lang w:val="en-US" w:eastAsia="zh-CN"/>
                    </w:rPr>
                  </w:pPr>
                  <w:r>
                    <w:rPr>
                      <w:rFonts w:hint="eastAsia"/>
                      <w:color w:val="auto"/>
                      <w:sz w:val="21"/>
                      <w:szCs w:val="21"/>
                      <w:lang w:val="en-US" w:eastAsia="zh-CN"/>
                    </w:rPr>
                    <w:t>41.04</w:t>
                  </w:r>
                </w:p>
              </w:tc>
              <w:tc>
                <w:tcPr>
                  <w:tcW w:w="1112" w:type="pct"/>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SW</w:t>
                  </w:r>
                  <w:r>
                    <w:rPr>
                      <w:rFonts w:hint="eastAsia" w:cs="Times New Roman"/>
                      <w:color w:val="auto"/>
                      <w:kern w:val="2"/>
                      <w:sz w:val="21"/>
                      <w:szCs w:val="21"/>
                      <w:lang w:val="en-US" w:eastAsia="zh-CN" w:bidi="ar-SA"/>
                    </w:rPr>
                    <w:t>1</w:t>
                  </w:r>
                  <w:r>
                    <w:rPr>
                      <w:rFonts w:hint="eastAsia" w:ascii="Times New Roman" w:hAnsi="Times New Roman" w:eastAsia="宋体" w:cs="Times New Roman"/>
                      <w:color w:val="auto"/>
                      <w:kern w:val="2"/>
                      <w:sz w:val="21"/>
                      <w:szCs w:val="21"/>
                      <w:lang w:val="en-US" w:eastAsia="zh-CN" w:bidi="ar-SA"/>
                    </w:rPr>
                    <w:t>7/</w:t>
                  </w:r>
                  <w:r>
                    <w:rPr>
                      <w:rFonts w:hint="default" w:ascii="Times New Roman" w:hAnsi="Times New Roman" w:eastAsia="宋体" w:cs="Times New Roman"/>
                      <w:color w:val="auto"/>
                      <w:kern w:val="2"/>
                      <w:sz w:val="21"/>
                      <w:szCs w:val="21"/>
                      <w:lang w:val="en-US" w:eastAsia="zh-CN" w:bidi="ar-SA"/>
                    </w:rPr>
                    <w:t>900-0</w:t>
                  </w:r>
                  <w:r>
                    <w:rPr>
                      <w:rFonts w:hint="eastAsia" w:cs="Times New Roman"/>
                      <w:color w:val="auto"/>
                      <w:kern w:val="2"/>
                      <w:sz w:val="21"/>
                      <w:szCs w:val="21"/>
                      <w:lang w:val="en-US" w:eastAsia="zh-CN" w:bidi="ar-SA"/>
                    </w:rPr>
                    <w:t>03</w:t>
                  </w:r>
                  <w:r>
                    <w:rPr>
                      <w:rFonts w:hint="default" w:ascii="Times New Roman" w:hAnsi="Times New Roman" w:eastAsia="宋体" w:cs="Times New Roman"/>
                      <w:color w:val="auto"/>
                      <w:kern w:val="2"/>
                      <w:sz w:val="21"/>
                      <w:szCs w:val="21"/>
                      <w:lang w:val="en-US" w:eastAsia="zh-CN" w:bidi="ar-SA"/>
                    </w:rPr>
                    <w:t>-S</w:t>
                  </w:r>
                  <w:r>
                    <w:rPr>
                      <w:rFonts w:hint="eastAsia" w:cs="Times New Roman"/>
                      <w:color w:val="auto"/>
                      <w:kern w:val="2"/>
                      <w:sz w:val="21"/>
                      <w:szCs w:val="21"/>
                      <w:lang w:val="en-US" w:eastAsia="zh-CN" w:bidi="ar-SA"/>
                    </w:rPr>
                    <w:t>1</w:t>
                  </w:r>
                  <w:r>
                    <w:rPr>
                      <w:rFonts w:hint="default" w:ascii="Times New Roman" w:hAnsi="Times New Roman" w:eastAsia="宋体" w:cs="Times New Roman"/>
                      <w:color w:val="auto"/>
                      <w:kern w:val="2"/>
                      <w:sz w:val="21"/>
                      <w:szCs w:val="21"/>
                      <w:lang w:val="en-US" w:eastAsia="zh-CN" w:bidi="ar-SA"/>
                    </w:rPr>
                    <w:t>7</w:t>
                  </w:r>
                </w:p>
              </w:tc>
              <w:tc>
                <w:tcPr>
                  <w:tcW w:w="391" w:type="pct"/>
                  <w:vAlign w:val="center"/>
                </w:tcPr>
                <w:p>
                  <w:pPr>
                    <w:pStyle w:val="46"/>
                    <w:keepNext w:val="0"/>
                    <w:keepLines w:val="0"/>
                    <w:suppressLineNumbers w:val="0"/>
                    <w:bidi w:val="0"/>
                    <w:spacing w:before="0" w:beforeAutospacing="0" w:after="0" w:afterAutospacing="0"/>
                    <w:ind w:right="0"/>
                    <w:rPr>
                      <w:rFonts w:hint="default"/>
                      <w:color w:val="auto"/>
                      <w:szCs w:val="21"/>
                    </w:rPr>
                  </w:pPr>
                  <w:r>
                    <w:rPr>
                      <w:rFonts w:hint="default" w:ascii="Times New Roman" w:hAnsi="Times New Roman" w:eastAsia="宋体" w:cs="Times New Roman"/>
                      <w:color w:val="auto"/>
                      <w:sz w:val="21"/>
                      <w:szCs w:val="21"/>
                      <w:u w:val="none"/>
                    </w:rPr>
                    <w:t>固态</w:t>
                  </w:r>
                </w:p>
              </w:tc>
              <w:tc>
                <w:tcPr>
                  <w:tcW w:w="410" w:type="pct"/>
                  <w:vAlign w:val="center"/>
                </w:tcPr>
                <w:p>
                  <w:pPr>
                    <w:pStyle w:val="46"/>
                    <w:keepNext w:val="0"/>
                    <w:keepLines w:val="0"/>
                    <w:suppressLineNumbers w:val="0"/>
                    <w:bidi w:val="0"/>
                    <w:spacing w:before="0" w:beforeAutospacing="0" w:after="0" w:afterAutospacing="0"/>
                    <w:ind w:right="0"/>
                    <w:rPr>
                      <w:rFonts w:hint="default"/>
                      <w:color w:val="auto"/>
                      <w:szCs w:val="21"/>
                    </w:rPr>
                  </w:pPr>
                  <w:r>
                    <w:rPr>
                      <w:rFonts w:hint="eastAsia"/>
                      <w:color w:val="auto"/>
                      <w:szCs w:val="21"/>
                      <w:lang w:val="en-US" w:eastAsia="zh-CN"/>
                    </w:rPr>
                    <w:t>/</w:t>
                  </w:r>
                </w:p>
              </w:tc>
              <w:tc>
                <w:tcPr>
                  <w:tcW w:w="1212" w:type="pct"/>
                  <w:vMerge w:val="restart"/>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textAlignment w:val="auto"/>
                    <w:rPr>
                      <w:rFonts w:hint="eastAsia"/>
                      <w:szCs w:val="21"/>
                      <w:lang w:val="en-US" w:eastAsia="zh-CN"/>
                    </w:rPr>
                  </w:pP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textAlignment w:val="auto"/>
                    <w:rPr>
                      <w:rFonts w:hint="eastAsia"/>
                      <w:szCs w:val="21"/>
                      <w:lang w:val="en-US" w:eastAsia="zh-CN"/>
                    </w:rPr>
                  </w:pPr>
                  <w:r>
                    <w:rPr>
                      <w:rFonts w:hint="eastAsia"/>
                      <w:szCs w:val="21"/>
                      <w:lang w:val="en-US" w:eastAsia="zh-CN"/>
                    </w:rPr>
                    <w:t>外运综合利用</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63" w:rightChars="30" w:firstLine="0" w:firstLineChars="0"/>
                    <w:jc w:val="both"/>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81" w:type="pct"/>
                  <w:vMerge w:val="continue"/>
                  <w:vAlign w:val="center"/>
                </w:tcPr>
                <w:p>
                  <w:pPr>
                    <w:pStyle w:val="46"/>
                    <w:keepNext w:val="0"/>
                    <w:keepLines w:val="0"/>
                    <w:suppressLineNumbers w:val="0"/>
                    <w:bidi w:val="0"/>
                    <w:spacing w:before="0" w:beforeAutospacing="0" w:after="0" w:afterAutospacing="0"/>
                    <w:ind w:right="0"/>
                    <w:rPr>
                      <w:rFonts w:hint="default" w:ascii="Times New Roman" w:hAnsi="Times New Roman" w:cs="Times New Roman"/>
                      <w:color w:val="auto"/>
                      <w:sz w:val="21"/>
                      <w:szCs w:val="21"/>
                      <w:u w:val="none"/>
                    </w:rPr>
                  </w:pPr>
                </w:p>
              </w:tc>
              <w:tc>
                <w:tcPr>
                  <w:tcW w:w="897"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eastAsia="宋体"/>
                      <w:color w:val="auto"/>
                      <w:szCs w:val="21"/>
                      <w:lang w:val="en-US" w:eastAsia="zh-CN"/>
                    </w:rPr>
                  </w:pPr>
                  <w:r>
                    <w:rPr>
                      <w:rFonts w:hint="eastAsia"/>
                      <w:szCs w:val="21"/>
                      <w:lang w:val="en-US" w:eastAsia="zh-CN"/>
                    </w:rPr>
                    <w:t>产品废边角料</w:t>
                  </w:r>
                </w:p>
              </w:tc>
              <w:tc>
                <w:tcPr>
                  <w:tcW w:w="594"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ascii="Times New Roman" w:hAnsi="Times New Roman"/>
                      <w:color w:val="auto"/>
                      <w:szCs w:val="21"/>
                      <w:lang w:val="en-US" w:eastAsia="zh-CN"/>
                    </w:rPr>
                  </w:pPr>
                  <w:r>
                    <w:rPr>
                      <w:rFonts w:hint="eastAsia"/>
                      <w:color w:val="auto"/>
                      <w:szCs w:val="21"/>
                      <w:lang w:val="en-US" w:eastAsia="zh-CN"/>
                    </w:rPr>
                    <w:t>5.56</w:t>
                  </w:r>
                </w:p>
              </w:tc>
              <w:tc>
                <w:tcPr>
                  <w:tcW w:w="1112" w:type="pct"/>
                  <w:vAlign w:val="center"/>
                </w:tcPr>
                <w:p>
                  <w:pPr>
                    <w:pStyle w:val="46"/>
                    <w:keepNext w:val="0"/>
                    <w:keepLines w:val="0"/>
                    <w:suppressLineNumbers w:val="0"/>
                    <w:bidi w:val="0"/>
                    <w:spacing w:before="0" w:beforeAutospacing="0" w:after="0" w:afterAutospacing="0"/>
                    <w:ind w:right="0"/>
                    <w:rPr>
                      <w:rFonts w:hint="default"/>
                      <w:color w:val="auto"/>
                      <w:szCs w:val="21"/>
                      <w:lang w:val="en-US"/>
                    </w:rPr>
                  </w:pPr>
                  <w:r>
                    <w:rPr>
                      <w:rFonts w:hint="eastAsia" w:ascii="Times New Roman" w:hAnsi="Times New Roman" w:eastAsia="宋体" w:cs="Times New Roman"/>
                      <w:color w:val="auto"/>
                      <w:kern w:val="2"/>
                      <w:sz w:val="21"/>
                      <w:szCs w:val="21"/>
                      <w:lang w:val="en-US" w:eastAsia="zh-CN" w:bidi="ar-SA"/>
                    </w:rPr>
                    <w:t>SW</w:t>
                  </w:r>
                  <w:r>
                    <w:rPr>
                      <w:rFonts w:hint="eastAsia" w:cs="Times New Roman"/>
                      <w:color w:val="auto"/>
                      <w:kern w:val="2"/>
                      <w:sz w:val="21"/>
                      <w:szCs w:val="21"/>
                      <w:lang w:val="en-US" w:eastAsia="zh-CN" w:bidi="ar-SA"/>
                    </w:rPr>
                    <w:t>17</w:t>
                  </w:r>
                  <w:r>
                    <w:rPr>
                      <w:rFonts w:hint="eastAsia" w:ascii="Times New Roman" w:hAnsi="Times New Roman" w:eastAsia="宋体" w:cs="Times New Roman"/>
                      <w:color w:val="auto"/>
                      <w:kern w:val="2"/>
                      <w:sz w:val="21"/>
                      <w:szCs w:val="21"/>
                      <w:lang w:val="en-US" w:eastAsia="zh-CN" w:bidi="ar-SA"/>
                    </w:rPr>
                    <w:t>/</w:t>
                  </w:r>
                  <w:r>
                    <w:rPr>
                      <w:rFonts w:hint="default"/>
                      <w:color w:val="auto"/>
                      <w:szCs w:val="21"/>
                      <w:lang w:val="en-US" w:eastAsia="zh-CN"/>
                    </w:rPr>
                    <w:t>900-0</w:t>
                  </w:r>
                  <w:r>
                    <w:rPr>
                      <w:rFonts w:hint="eastAsia"/>
                      <w:color w:val="auto"/>
                      <w:szCs w:val="21"/>
                      <w:lang w:val="en-US" w:eastAsia="zh-CN"/>
                    </w:rPr>
                    <w:t>03</w:t>
                  </w:r>
                  <w:r>
                    <w:rPr>
                      <w:rFonts w:hint="default"/>
                      <w:color w:val="auto"/>
                      <w:szCs w:val="21"/>
                      <w:lang w:val="en-US" w:eastAsia="zh-CN"/>
                    </w:rPr>
                    <w:t>-S</w:t>
                  </w:r>
                  <w:r>
                    <w:rPr>
                      <w:rFonts w:hint="eastAsia"/>
                      <w:color w:val="auto"/>
                      <w:szCs w:val="21"/>
                      <w:lang w:val="en-US" w:eastAsia="zh-CN"/>
                    </w:rPr>
                    <w:t>17</w:t>
                  </w:r>
                </w:p>
              </w:tc>
              <w:tc>
                <w:tcPr>
                  <w:tcW w:w="391" w:type="pct"/>
                  <w:vAlign w:val="center"/>
                </w:tcPr>
                <w:p>
                  <w:pPr>
                    <w:pStyle w:val="46"/>
                    <w:keepNext w:val="0"/>
                    <w:keepLines w:val="0"/>
                    <w:suppressLineNumbers w:val="0"/>
                    <w:bidi w:val="0"/>
                    <w:spacing w:before="0" w:beforeAutospacing="0" w:after="0" w:afterAutospacing="0"/>
                    <w:ind w:right="0"/>
                    <w:rPr>
                      <w:rFonts w:hint="eastAsia" w:ascii="Times New Roman" w:hAnsi="Times New Roman" w:eastAsia="宋体" w:cs="Times New Roman"/>
                      <w:color w:val="auto"/>
                      <w:sz w:val="21"/>
                      <w:szCs w:val="21"/>
                      <w:u w:val="none"/>
                      <w:lang w:val="en-US" w:eastAsia="zh-CN"/>
                    </w:rPr>
                  </w:pPr>
                  <w:r>
                    <w:rPr>
                      <w:rFonts w:hint="eastAsia" w:cs="Times New Roman"/>
                      <w:color w:val="auto"/>
                      <w:sz w:val="21"/>
                      <w:szCs w:val="21"/>
                      <w:u w:val="none"/>
                      <w:lang w:val="en-US" w:eastAsia="zh-CN"/>
                    </w:rPr>
                    <w:t>固</w:t>
                  </w:r>
                  <w:r>
                    <w:rPr>
                      <w:rFonts w:hint="eastAsia" w:ascii="Times New Roman" w:hAnsi="Times New Roman" w:cs="Times New Roman"/>
                      <w:color w:val="auto"/>
                      <w:sz w:val="21"/>
                      <w:szCs w:val="21"/>
                      <w:u w:val="none"/>
                      <w:lang w:val="en-US" w:eastAsia="zh-CN"/>
                    </w:rPr>
                    <w:t>态</w:t>
                  </w:r>
                </w:p>
              </w:tc>
              <w:tc>
                <w:tcPr>
                  <w:tcW w:w="410" w:type="pct"/>
                  <w:vAlign w:val="center"/>
                </w:tcPr>
                <w:p>
                  <w:pPr>
                    <w:keepNext w:val="0"/>
                    <w:keepLines w:val="0"/>
                    <w:suppressLineNumbers w:val="0"/>
                    <w:bidi w:val="0"/>
                    <w:spacing w:before="0" w:beforeAutospacing="0" w:after="0" w:afterAutospacing="0"/>
                    <w:ind w:left="0" w:right="0"/>
                    <w:jc w:val="center"/>
                    <w:rPr>
                      <w:rFonts w:hint="eastAsia"/>
                      <w:color w:val="auto"/>
                      <w:szCs w:val="21"/>
                      <w:lang w:val="en-US" w:eastAsia="zh-CN"/>
                    </w:rPr>
                  </w:pPr>
                  <w:r>
                    <w:rPr>
                      <w:rFonts w:hint="eastAsia"/>
                      <w:color w:val="auto"/>
                      <w:szCs w:val="21"/>
                      <w:lang w:val="en-US" w:eastAsia="zh-CN"/>
                    </w:rPr>
                    <w:t>/</w:t>
                  </w:r>
                </w:p>
              </w:tc>
              <w:tc>
                <w:tcPr>
                  <w:tcW w:w="1212" w:type="pct"/>
                  <w:vMerge w:val="continue"/>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textAlignment w:val="auto"/>
                    <w:rPr>
                      <w:rFonts w:hint="eastAsia"/>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81" w:type="pct"/>
                  <w:vMerge w:val="continue"/>
                  <w:vAlign w:val="center"/>
                </w:tcPr>
                <w:p>
                  <w:pPr>
                    <w:pStyle w:val="46"/>
                    <w:keepNext w:val="0"/>
                    <w:keepLines w:val="0"/>
                    <w:suppressLineNumbers w:val="0"/>
                    <w:bidi w:val="0"/>
                    <w:spacing w:before="0" w:beforeAutospacing="0" w:after="0" w:afterAutospacing="0"/>
                    <w:ind w:right="0"/>
                    <w:rPr>
                      <w:rFonts w:hint="default" w:ascii="Times New Roman" w:hAnsi="Times New Roman" w:cs="Times New Roman"/>
                      <w:color w:val="auto"/>
                      <w:sz w:val="21"/>
                      <w:szCs w:val="21"/>
                      <w:u w:val="none"/>
                    </w:rPr>
                  </w:pPr>
                </w:p>
              </w:tc>
              <w:tc>
                <w:tcPr>
                  <w:tcW w:w="897" w:type="pct"/>
                  <w:vAlign w:val="center"/>
                </w:tcPr>
                <w:p>
                  <w:pPr>
                    <w:pStyle w:val="46"/>
                    <w:keepNext w:val="0"/>
                    <w:keepLines w:val="0"/>
                    <w:suppressLineNumbers w:val="0"/>
                    <w:bidi w:val="0"/>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废包装材料（包装袋、纸箱）</w:t>
                  </w:r>
                </w:p>
              </w:tc>
              <w:tc>
                <w:tcPr>
                  <w:tcW w:w="594" w:type="pct"/>
                  <w:vAlign w:val="center"/>
                </w:tcPr>
                <w:p>
                  <w:pPr>
                    <w:pStyle w:val="46"/>
                    <w:keepNext w:val="0"/>
                    <w:keepLines w:val="0"/>
                    <w:suppressLineNumbers w:val="0"/>
                    <w:bidi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0.5</w:t>
                  </w:r>
                </w:p>
              </w:tc>
              <w:tc>
                <w:tcPr>
                  <w:tcW w:w="1112" w:type="pct"/>
                  <w:vAlign w:val="center"/>
                </w:tcPr>
                <w:p>
                  <w:pPr>
                    <w:keepNext w:val="0"/>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Cs w:val="21"/>
                    </w:rPr>
                    <w:t>SW17/900-099-17</w:t>
                  </w:r>
                </w:p>
              </w:tc>
              <w:tc>
                <w:tcPr>
                  <w:tcW w:w="391" w:type="pct"/>
                  <w:vAlign w:val="center"/>
                </w:tcPr>
                <w:p>
                  <w:pPr>
                    <w:pStyle w:val="46"/>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宋体" w:cs="Times New Roman"/>
                      <w:color w:val="auto"/>
                      <w:kern w:val="2"/>
                      <w:sz w:val="21"/>
                      <w:szCs w:val="21"/>
                      <w:u w:val="none"/>
                      <w:lang w:val="en-US" w:eastAsia="zh-CN" w:bidi="ar-SA"/>
                    </w:rPr>
                  </w:pPr>
                  <w:r>
                    <w:rPr>
                      <w:rFonts w:hint="eastAsia" w:cs="Times New Roman"/>
                      <w:color w:val="auto"/>
                      <w:sz w:val="21"/>
                      <w:szCs w:val="21"/>
                      <w:u w:val="none"/>
                      <w:lang w:val="en-US" w:eastAsia="zh-CN"/>
                    </w:rPr>
                    <w:t>固态</w:t>
                  </w:r>
                </w:p>
              </w:tc>
              <w:tc>
                <w:tcPr>
                  <w:tcW w:w="410" w:type="pct"/>
                  <w:vAlign w:val="center"/>
                </w:tcPr>
                <w:p>
                  <w:pPr>
                    <w:pStyle w:val="46"/>
                    <w:keepNext w:val="0"/>
                    <w:keepLines w:val="0"/>
                    <w:suppressLineNumbers w:val="0"/>
                    <w:bidi w:val="0"/>
                    <w:spacing w:before="0" w:beforeAutospacing="0" w:after="0" w:afterAutospacing="0"/>
                    <w:ind w:left="0" w:leftChars="0" w:right="0" w:rightChars="0" w:firstLine="0" w:firstLineChars="0"/>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w:t>
                  </w:r>
                </w:p>
              </w:tc>
              <w:tc>
                <w:tcPr>
                  <w:tcW w:w="1212" w:type="pct"/>
                  <w:vMerge w:val="continue"/>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textAlignment w:val="auto"/>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381" w:type="pct"/>
                  <w:vMerge w:val="continue"/>
                  <w:vAlign w:val="center"/>
                </w:tcPr>
                <w:p>
                  <w:pPr>
                    <w:pStyle w:val="46"/>
                    <w:keepNext w:val="0"/>
                    <w:keepLines w:val="0"/>
                    <w:suppressLineNumbers w:val="0"/>
                    <w:bidi w:val="0"/>
                    <w:spacing w:before="0" w:beforeAutospacing="0" w:after="0" w:afterAutospacing="0"/>
                    <w:ind w:right="0"/>
                    <w:rPr>
                      <w:rFonts w:hint="default" w:ascii="Times New Roman" w:hAnsi="Times New Roman" w:cs="Times New Roman"/>
                      <w:color w:val="auto"/>
                      <w:sz w:val="21"/>
                      <w:szCs w:val="21"/>
                      <w:u w:val="none"/>
                    </w:rPr>
                  </w:pPr>
                </w:p>
              </w:tc>
              <w:tc>
                <w:tcPr>
                  <w:tcW w:w="897"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eastAsia"/>
                      <w:color w:val="auto"/>
                      <w:szCs w:val="21"/>
                      <w:lang w:val="en-US" w:eastAsia="zh-CN"/>
                    </w:rPr>
                  </w:pPr>
                  <w:r>
                    <w:rPr>
                      <w:rFonts w:hint="eastAsia"/>
                      <w:color w:val="auto"/>
                      <w:szCs w:val="21"/>
                      <w:lang w:val="en-US" w:eastAsia="zh-CN"/>
                    </w:rPr>
                    <w:t>小计</w:t>
                  </w:r>
                </w:p>
              </w:tc>
              <w:tc>
                <w:tcPr>
                  <w:tcW w:w="594"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color w:val="auto"/>
                      <w:szCs w:val="21"/>
                      <w:lang w:val="en-US" w:eastAsia="zh-CN"/>
                    </w:rPr>
                  </w:pPr>
                  <w:r>
                    <w:rPr>
                      <w:rFonts w:hint="eastAsia"/>
                      <w:color w:val="auto"/>
                      <w:szCs w:val="21"/>
                      <w:lang w:val="en-US" w:eastAsia="zh-CN"/>
                    </w:rPr>
                    <w:t>47.1</w:t>
                  </w:r>
                </w:p>
              </w:tc>
              <w:tc>
                <w:tcPr>
                  <w:tcW w:w="1112"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color w:val="auto"/>
                      <w:szCs w:val="21"/>
                    </w:rPr>
                  </w:pPr>
                  <w:r>
                    <w:rPr>
                      <w:rFonts w:hint="eastAsia"/>
                      <w:color w:val="auto"/>
                      <w:szCs w:val="21"/>
                      <w:lang w:val="en-US" w:eastAsia="zh-CN"/>
                    </w:rPr>
                    <w:t>/</w:t>
                  </w:r>
                </w:p>
              </w:tc>
              <w:tc>
                <w:tcPr>
                  <w:tcW w:w="391"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color w:val="auto"/>
                      <w:sz w:val="21"/>
                      <w:szCs w:val="21"/>
                      <w:u w:val="none"/>
                    </w:rPr>
                  </w:pPr>
                  <w:r>
                    <w:rPr>
                      <w:rFonts w:hint="eastAsia" w:ascii="Times New Roman" w:hAnsi="Times New Roman" w:eastAsia="宋体" w:cs="Times New Roman"/>
                      <w:color w:val="auto"/>
                      <w:sz w:val="21"/>
                      <w:szCs w:val="21"/>
                      <w:u w:val="none"/>
                      <w:lang w:val="en-US" w:eastAsia="zh-CN"/>
                    </w:rPr>
                    <w:t>/</w:t>
                  </w:r>
                </w:p>
              </w:tc>
              <w:tc>
                <w:tcPr>
                  <w:tcW w:w="410" w:type="pct"/>
                  <w:vAlign w:val="center"/>
                </w:tcPr>
                <w:p>
                  <w:pPr>
                    <w:pStyle w:val="46"/>
                    <w:keepNext w:val="0"/>
                    <w:keepLines w:val="0"/>
                    <w:suppressLineNumbers w:val="0"/>
                    <w:bidi w:val="0"/>
                    <w:spacing w:before="0" w:beforeAutospacing="0" w:after="0" w:afterAutospacing="0"/>
                    <w:ind w:left="0" w:leftChars="0" w:right="0" w:firstLine="0" w:firstLineChars="0"/>
                    <w:rPr>
                      <w:rFonts w:hint="eastAsia"/>
                      <w:color w:val="auto"/>
                      <w:szCs w:val="21"/>
                      <w:lang w:val="en-US" w:eastAsia="zh-CN"/>
                    </w:rPr>
                  </w:pPr>
                  <w:r>
                    <w:rPr>
                      <w:rFonts w:hint="eastAsia"/>
                      <w:color w:val="auto"/>
                      <w:szCs w:val="21"/>
                      <w:lang w:val="en-US" w:eastAsia="zh-CN"/>
                    </w:rPr>
                    <w:t>/</w:t>
                  </w:r>
                </w:p>
              </w:tc>
              <w:tc>
                <w:tcPr>
                  <w:tcW w:w="1212" w:type="pct"/>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textAlignment w:val="auto"/>
                    <w:rPr>
                      <w:rFonts w:hint="eastAsia"/>
                      <w:color w:val="auto"/>
                      <w:szCs w:val="21"/>
                      <w:lang w:val="en-US" w:eastAsia="zh-CN"/>
                    </w:rPr>
                  </w:pPr>
                  <w:r>
                    <w:rPr>
                      <w:rFonts w:hint="eastAsia"/>
                      <w:color w:val="auto"/>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78" w:type="pct"/>
                  <w:gridSpan w:val="2"/>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center"/>
                    <w:textAlignment w:val="auto"/>
                    <w:rPr>
                      <w:rFonts w:hint="default"/>
                      <w:color w:val="auto"/>
                      <w:szCs w:val="21"/>
                    </w:rPr>
                  </w:pPr>
                  <w:r>
                    <w:rPr>
                      <w:rFonts w:hint="default"/>
                      <w:color w:val="auto"/>
                      <w:szCs w:val="21"/>
                    </w:rPr>
                    <w:t>生活垃圾</w:t>
                  </w:r>
                </w:p>
              </w:tc>
              <w:tc>
                <w:tcPr>
                  <w:tcW w:w="594" w:type="pc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等线" w:cs="Times New Roman"/>
                      <w:i w:val="0"/>
                      <w:iCs w:val="0"/>
                      <w:color w:val="auto"/>
                      <w:kern w:val="0"/>
                      <w:sz w:val="21"/>
                      <w:szCs w:val="21"/>
                      <w:u w:val="none"/>
                      <w:lang w:val="en-US" w:eastAsia="zh-CN" w:bidi="ar"/>
                    </w:rPr>
                  </w:pPr>
                  <w:r>
                    <w:rPr>
                      <w:rFonts w:hint="eastAsia" w:eastAsia="等线" w:cs="Times New Roman"/>
                      <w:i w:val="0"/>
                      <w:iCs w:val="0"/>
                      <w:color w:val="auto"/>
                      <w:kern w:val="0"/>
                      <w:sz w:val="21"/>
                      <w:szCs w:val="21"/>
                      <w:u w:val="none"/>
                      <w:lang w:val="en-US" w:eastAsia="zh-CN" w:bidi="ar"/>
                    </w:rPr>
                    <w:t>1.5</w:t>
                  </w:r>
                </w:p>
              </w:tc>
              <w:tc>
                <w:tcPr>
                  <w:tcW w:w="1112" w:type="pct"/>
                  <w:vAlign w:val="center"/>
                </w:tcPr>
                <w:p>
                  <w:pPr>
                    <w:pStyle w:val="46"/>
                    <w:keepNext w:val="0"/>
                    <w:keepLines w:val="0"/>
                    <w:suppressLineNumbers w:val="0"/>
                    <w:bidi w:val="0"/>
                    <w:spacing w:before="0" w:beforeAutospacing="0" w:after="0" w:afterAutospacing="0"/>
                    <w:ind w:right="0"/>
                    <w:rPr>
                      <w:rFonts w:hint="default" w:ascii="Times New Roman" w:hAnsi="Times New Roman" w:cs="Times New Roman"/>
                      <w:color w:val="auto"/>
                      <w:sz w:val="21"/>
                      <w:szCs w:val="21"/>
                      <w:u w:val="none"/>
                    </w:rPr>
                  </w:pPr>
                  <w:r>
                    <w:rPr>
                      <w:rFonts w:hint="eastAsia"/>
                      <w:color w:val="auto"/>
                      <w:szCs w:val="21"/>
                      <w:lang w:val="en-US" w:eastAsia="zh-CN"/>
                    </w:rPr>
                    <w:t>/</w:t>
                  </w:r>
                </w:p>
              </w:tc>
              <w:tc>
                <w:tcPr>
                  <w:tcW w:w="391"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固态</w:t>
                  </w:r>
                </w:p>
              </w:tc>
              <w:tc>
                <w:tcPr>
                  <w:tcW w:w="410" w:type="pct"/>
                  <w:vAlign w:val="center"/>
                </w:tcPr>
                <w:p>
                  <w:pPr>
                    <w:pStyle w:val="46"/>
                    <w:keepNext w:val="0"/>
                    <w:keepLines w:val="0"/>
                    <w:suppressLineNumbers w:val="0"/>
                    <w:bidi w:val="0"/>
                    <w:spacing w:before="0" w:beforeAutospacing="0" w:after="0" w:afterAutospacing="0"/>
                    <w:ind w:left="0" w:leftChars="0" w:right="0" w:firstLine="0" w:firstLineChars="0"/>
                    <w:rPr>
                      <w:rFonts w:hint="eastAsia"/>
                      <w:color w:val="auto"/>
                      <w:szCs w:val="21"/>
                      <w:lang w:val="en-US" w:eastAsia="zh-CN"/>
                    </w:rPr>
                  </w:pPr>
                  <w:r>
                    <w:rPr>
                      <w:rFonts w:hint="eastAsia"/>
                      <w:color w:val="auto"/>
                      <w:szCs w:val="21"/>
                      <w:lang w:val="en-US" w:eastAsia="zh-CN"/>
                    </w:rPr>
                    <w:t>/</w:t>
                  </w:r>
                </w:p>
              </w:tc>
              <w:tc>
                <w:tcPr>
                  <w:tcW w:w="1212" w:type="pct"/>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textAlignment w:val="auto"/>
                    <w:rPr>
                      <w:rFonts w:hint="eastAsia"/>
                      <w:color w:val="auto"/>
                      <w:szCs w:val="21"/>
                      <w:lang w:val="en-US" w:eastAsia="zh-CN"/>
                    </w:rPr>
                  </w:pPr>
                  <w:r>
                    <w:rPr>
                      <w:rFonts w:hint="default"/>
                      <w:color w:val="auto"/>
                      <w:szCs w:val="21"/>
                    </w:rPr>
                    <w:t>由环卫部门统一处置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78" w:type="pct"/>
                  <w:gridSpan w:val="2"/>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105" w:leftChars="50" w:right="105" w:rightChars="50" w:firstLine="0" w:firstLineChars="0"/>
                    <w:jc w:val="center"/>
                    <w:textAlignment w:val="auto"/>
                    <w:rPr>
                      <w:rFonts w:hint="eastAsia" w:eastAsia="宋体"/>
                      <w:color w:val="auto"/>
                      <w:szCs w:val="21"/>
                      <w:lang w:val="en-US" w:eastAsia="zh-CN"/>
                    </w:rPr>
                  </w:pPr>
                  <w:r>
                    <w:rPr>
                      <w:rFonts w:hint="eastAsia"/>
                      <w:color w:val="auto"/>
                      <w:szCs w:val="21"/>
                      <w:lang w:val="en-US" w:eastAsia="zh-CN"/>
                    </w:rPr>
                    <w:t>合计</w:t>
                  </w:r>
                </w:p>
              </w:tc>
              <w:tc>
                <w:tcPr>
                  <w:tcW w:w="594" w:type="pct"/>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70.574</w:t>
                  </w:r>
                </w:p>
              </w:tc>
              <w:tc>
                <w:tcPr>
                  <w:tcW w:w="1112" w:type="pct"/>
                  <w:vAlign w:val="center"/>
                </w:tcPr>
                <w:p>
                  <w:pPr>
                    <w:pStyle w:val="46"/>
                    <w:keepNext w:val="0"/>
                    <w:keepLines w:val="0"/>
                    <w:suppressLineNumbers w:val="0"/>
                    <w:bidi w:val="0"/>
                    <w:spacing w:before="0" w:beforeAutospacing="0" w:after="0" w:afterAutospacing="0"/>
                    <w:ind w:left="0" w:leftChars="0" w:right="0" w:firstLine="0" w:firstLineChars="0"/>
                    <w:jc w:val="center"/>
                    <w:rPr>
                      <w:rFonts w:hint="default" w:ascii="Times New Roman" w:hAnsi="Times New Roman" w:cs="Times New Roman"/>
                      <w:color w:val="auto"/>
                      <w:sz w:val="21"/>
                      <w:szCs w:val="21"/>
                      <w:u w:val="none"/>
                    </w:rPr>
                  </w:pPr>
                  <w:r>
                    <w:rPr>
                      <w:rFonts w:hint="eastAsia"/>
                      <w:color w:val="auto"/>
                      <w:szCs w:val="21"/>
                      <w:lang w:val="en-US" w:eastAsia="zh-CN"/>
                    </w:rPr>
                    <w:t>/</w:t>
                  </w:r>
                </w:p>
              </w:tc>
              <w:tc>
                <w:tcPr>
                  <w:tcW w:w="391" w:type="pct"/>
                  <w:vAlign w:val="center"/>
                </w:tcPr>
                <w:p>
                  <w:pPr>
                    <w:pStyle w:val="46"/>
                    <w:keepNext w:val="0"/>
                    <w:keepLines w:val="0"/>
                    <w:suppressLineNumbers w:val="0"/>
                    <w:bidi w:val="0"/>
                    <w:spacing w:before="0" w:beforeAutospacing="0" w:after="0" w:afterAutospacing="0"/>
                    <w:ind w:left="0" w:leftChars="0" w:right="0" w:firstLine="0" w:firstLineChars="0"/>
                    <w:rPr>
                      <w:rFonts w:hint="default" w:ascii="Times New Roman" w:hAnsi="Times New Roman" w:eastAsia="宋体" w:cs="Times New Roman"/>
                      <w:color w:val="auto"/>
                      <w:sz w:val="21"/>
                      <w:szCs w:val="21"/>
                      <w:u w:val="none"/>
                    </w:rPr>
                  </w:pPr>
                  <w:r>
                    <w:rPr>
                      <w:rFonts w:hint="eastAsia" w:ascii="Times New Roman" w:hAnsi="Times New Roman" w:eastAsia="宋体" w:cs="Times New Roman"/>
                      <w:color w:val="auto"/>
                      <w:sz w:val="21"/>
                      <w:szCs w:val="21"/>
                      <w:u w:val="none"/>
                      <w:lang w:val="en-US" w:eastAsia="zh-CN"/>
                    </w:rPr>
                    <w:t>/</w:t>
                  </w:r>
                </w:p>
              </w:tc>
              <w:tc>
                <w:tcPr>
                  <w:tcW w:w="410" w:type="pct"/>
                  <w:vAlign w:val="center"/>
                </w:tcPr>
                <w:p>
                  <w:pPr>
                    <w:pStyle w:val="46"/>
                    <w:keepNext w:val="0"/>
                    <w:keepLines w:val="0"/>
                    <w:suppressLineNumbers w:val="0"/>
                    <w:bidi w:val="0"/>
                    <w:spacing w:before="0" w:beforeAutospacing="0" w:after="0" w:afterAutospacing="0"/>
                    <w:ind w:left="0" w:leftChars="0" w:right="0" w:firstLine="0" w:firstLineChars="0"/>
                    <w:rPr>
                      <w:rFonts w:hint="eastAsia"/>
                      <w:color w:val="auto"/>
                      <w:szCs w:val="21"/>
                      <w:lang w:val="en-US" w:eastAsia="zh-CN"/>
                    </w:rPr>
                  </w:pPr>
                  <w:r>
                    <w:rPr>
                      <w:rFonts w:hint="eastAsia"/>
                      <w:color w:val="auto"/>
                      <w:szCs w:val="21"/>
                      <w:lang w:val="en-US" w:eastAsia="zh-CN"/>
                    </w:rPr>
                    <w:t>/</w:t>
                  </w:r>
                </w:p>
              </w:tc>
              <w:tc>
                <w:tcPr>
                  <w:tcW w:w="1212" w:type="pct"/>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63" w:leftChars="30" w:right="63" w:rightChars="30" w:firstLine="0" w:firstLineChars="0"/>
                    <w:textAlignment w:val="auto"/>
                    <w:rPr>
                      <w:rFonts w:hint="default"/>
                      <w:color w:val="auto"/>
                      <w:szCs w:val="21"/>
                    </w:rPr>
                  </w:pPr>
                  <w:r>
                    <w:rPr>
                      <w:rFonts w:hint="eastAsia"/>
                      <w:color w:val="auto"/>
                      <w:szCs w:val="21"/>
                      <w:lang w:val="en-US" w:eastAsia="zh-CN"/>
                    </w:rPr>
                    <w:t>/</w:t>
                  </w:r>
                </w:p>
              </w:tc>
            </w:tr>
          </w:tbl>
          <w:p>
            <w:pPr>
              <w:pStyle w:val="4"/>
              <w:suppressLineNumbers w:val="0"/>
              <w:bidi w:val="0"/>
              <w:spacing w:beforeAutospacing="0" w:after="0" w:afterAutospacing="0"/>
              <w:ind w:left="720" w:leftChars="0" w:right="0" w:hanging="720" w:firstLineChars="0"/>
              <w:rPr>
                <w:rFonts w:hint="default"/>
              </w:rPr>
            </w:pPr>
            <w:bookmarkStart w:id="113" w:name="_Toc25568"/>
            <w:r>
              <w:rPr>
                <w:rFonts w:hint="eastAsia"/>
              </w:rPr>
              <w:t>管理要求</w:t>
            </w:r>
            <w:bookmarkEnd w:id="113"/>
          </w:p>
          <w:p>
            <w:pPr>
              <w:pStyle w:val="83"/>
              <w:keepNext w:val="0"/>
              <w:keepLines w:val="0"/>
              <w:suppressLineNumbers w:val="0"/>
              <w:spacing w:before="0" w:beforeAutospacing="0" w:after="0" w:afterAutospacing="0"/>
              <w:ind w:left="0" w:right="0" w:firstLine="480"/>
              <w:rPr>
                <w:rFonts w:hint="default" w:ascii="Times New Roman" w:hAnsi="Times New Roman" w:eastAsia="宋体" w:cs="Times New Roman"/>
                <w:color w:val="000000"/>
              </w:rPr>
            </w:pPr>
            <w:r>
              <w:rPr>
                <w:rFonts w:hint="default" w:ascii="Times New Roman" w:hAnsi="Times New Roman" w:eastAsia="宋体" w:cs="Times New Roman"/>
                <w:color w:val="000000"/>
              </w:rPr>
              <w:t>固体废物的收集方式强调采用分类收集，即各种垃圾按不同性质，分别收集处置。</w:t>
            </w:r>
          </w:p>
          <w:p>
            <w:pPr>
              <w:pStyle w:val="29"/>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（1）生活垃圾处置措施分析</w:t>
            </w:r>
          </w:p>
          <w:p>
            <w:pPr>
              <w:pStyle w:val="29"/>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rPr>
            </w:pPr>
            <w:r>
              <w:rPr>
                <w:rFonts w:hint="default" w:ascii="Times New Roman" w:hAnsi="Times New Roman" w:cs="Times New Roman"/>
              </w:rPr>
              <w:t>生活垃圾极易腐败发臭，必须定点收集，及时清运或处理。</w:t>
            </w:r>
            <w:r>
              <w:rPr>
                <w:rFonts w:hint="eastAsia" w:ascii="Times New Roman" w:hAnsi="Times New Roman" w:cs="Times New Roman"/>
                <w:lang w:val="en-US" w:eastAsia="zh-CN"/>
              </w:rPr>
              <w:t>项目厂内设置垃圾桶，</w:t>
            </w:r>
            <w:r>
              <w:rPr>
                <w:rFonts w:hint="default" w:ascii="Times New Roman" w:hAnsi="Times New Roman" w:cs="Times New Roman"/>
              </w:rPr>
              <w:t>生活垃圾收集后</w:t>
            </w:r>
            <w:r>
              <w:rPr>
                <w:rFonts w:hint="eastAsia" w:ascii="Times New Roman" w:hAnsi="Times New Roman" w:cs="Times New Roman"/>
                <w:lang w:val="en-US" w:eastAsia="zh-CN"/>
              </w:rPr>
              <w:t>由</w:t>
            </w:r>
            <w:r>
              <w:rPr>
                <w:rFonts w:hint="default" w:ascii="Times New Roman" w:hAnsi="Times New Roman" w:cs="Times New Roman"/>
              </w:rPr>
              <w:t>环卫部门</w:t>
            </w:r>
            <w:r>
              <w:rPr>
                <w:rFonts w:hint="eastAsia" w:ascii="Times New Roman" w:hAnsi="Times New Roman" w:cs="Times New Roman"/>
                <w:lang w:val="en-US" w:eastAsia="zh-CN"/>
              </w:rPr>
              <w:t>统一</w:t>
            </w:r>
            <w:r>
              <w:rPr>
                <w:rFonts w:hint="default" w:ascii="Times New Roman" w:hAnsi="Times New Roman" w:cs="Times New Roman"/>
              </w:rPr>
              <w:t>处理。</w:t>
            </w:r>
          </w:p>
          <w:p>
            <w:pPr>
              <w:pStyle w:val="5"/>
              <w:numPr>
                <w:ilvl w:val="3"/>
                <w:numId w:val="0"/>
              </w:numPr>
              <w:suppressLineNumbers w:val="0"/>
              <w:bidi w:val="0"/>
              <w:spacing w:before="0" w:beforeAutospacing="0" w:after="0" w:afterAutospacing="0"/>
              <w:ind w:leftChars="0" w:right="0" w:rightChars="0" w:firstLine="480" w:firstLineChars="200"/>
              <w:rPr>
                <w:rFonts w:hint="eastAsia"/>
              </w:rPr>
            </w:pPr>
            <w:r>
              <w:rPr>
                <w:rFonts w:hint="eastAsia"/>
                <w:lang w:eastAsia="zh-CN"/>
              </w:rPr>
              <w:t>（</w:t>
            </w:r>
            <w:r>
              <w:rPr>
                <w:rFonts w:hint="eastAsia"/>
                <w:lang w:val="en-US" w:eastAsia="zh-CN"/>
              </w:rPr>
              <w:t>2</w:t>
            </w:r>
            <w:r>
              <w:rPr>
                <w:rFonts w:hint="eastAsia"/>
                <w:lang w:eastAsia="zh-CN"/>
              </w:rPr>
              <w:t>）</w:t>
            </w:r>
            <w:r>
              <w:rPr>
                <w:rFonts w:hint="default"/>
              </w:rPr>
              <w:t>一般工业固体废物的贮存和管理</w:t>
            </w:r>
          </w:p>
          <w:p>
            <w:pPr>
              <w:pStyle w:val="43"/>
              <w:keepNext w:val="0"/>
              <w:keepLines w:val="0"/>
              <w:suppressLineNumbers w:val="0"/>
              <w:bidi w:val="0"/>
              <w:spacing w:before="0" w:beforeAutospacing="0" w:after="0" w:afterAutospacing="0"/>
              <w:ind w:left="0" w:right="0"/>
              <w:rPr>
                <w:rFonts w:hint="default"/>
              </w:rPr>
            </w:pPr>
            <w:r>
              <w:rPr>
                <w:rFonts w:hint="eastAsia"/>
              </w:rPr>
              <w:t>根据国家《</w:t>
            </w:r>
            <w:r>
              <w:rPr>
                <w:rFonts w:hint="eastAsia"/>
                <w:lang w:val="en-US" w:eastAsia="zh-CN"/>
              </w:rPr>
              <w:t>一般工业固体废物贮存和填埋污染控制标准</w:t>
            </w:r>
            <w:r>
              <w:rPr>
                <w:rFonts w:hint="eastAsia"/>
              </w:rPr>
              <w:t>》（</w:t>
            </w:r>
            <w:r>
              <w:rPr>
                <w:rFonts w:hint="default"/>
              </w:rPr>
              <w:t>GB18599-2020</w:t>
            </w:r>
            <w:r>
              <w:rPr>
                <w:rFonts w:hint="eastAsia"/>
              </w:rPr>
              <w:t>），一般工业固体废物的贮存和管理应做到：</w:t>
            </w:r>
          </w:p>
          <w:p>
            <w:pPr>
              <w:pStyle w:val="43"/>
              <w:keepNext w:val="0"/>
              <w:keepLines w:val="0"/>
              <w:suppressLineNumbers w:val="0"/>
              <w:bidi w:val="0"/>
              <w:spacing w:before="0" w:beforeAutospacing="0" w:after="0" w:afterAutospacing="0"/>
              <w:ind w:left="0" w:right="0"/>
              <w:rPr>
                <w:rFonts w:hint="default"/>
              </w:rPr>
            </w:pPr>
            <w:r>
              <w:rPr>
                <w:rFonts w:hint="eastAsia"/>
                <w:lang w:val="en-US" w:eastAsia="zh-CN"/>
              </w:rPr>
              <w:t>①</w:t>
            </w:r>
            <w:r>
              <w:rPr>
                <w:rFonts w:hint="eastAsia"/>
              </w:rPr>
              <w:t>一般工业固体废物应按</w:t>
            </w:r>
            <w:r>
              <w:rPr>
                <w:rFonts w:hint="default"/>
              </w:rPr>
              <w:t>Ⅰ</w:t>
            </w:r>
            <w:r>
              <w:rPr>
                <w:rFonts w:hint="eastAsia"/>
              </w:rPr>
              <w:t>类和</w:t>
            </w:r>
            <w:r>
              <w:rPr>
                <w:rFonts w:hint="default"/>
              </w:rPr>
              <w:t>Ⅱ</w:t>
            </w:r>
            <w:r>
              <w:rPr>
                <w:rFonts w:hint="eastAsia"/>
              </w:rPr>
              <w:t>类废物分别储存，建立分类收集房。不允许将危险废物和生活垃圾混入。</w:t>
            </w:r>
          </w:p>
          <w:p>
            <w:pPr>
              <w:pStyle w:val="43"/>
              <w:keepNext w:val="0"/>
              <w:keepLines w:val="0"/>
              <w:suppressLineNumbers w:val="0"/>
              <w:bidi w:val="0"/>
              <w:spacing w:before="0" w:beforeAutospacing="0" w:after="0" w:afterAutospacing="0"/>
              <w:ind w:left="0" w:right="0"/>
              <w:rPr>
                <w:rFonts w:hint="eastAsia"/>
                <w:lang w:val="en-US" w:eastAsia="zh-CN"/>
              </w:rPr>
            </w:pPr>
            <w:r>
              <w:rPr>
                <w:rFonts w:hint="eastAsia"/>
                <w:lang w:val="en-US" w:eastAsia="zh-CN"/>
              </w:rPr>
              <w:t>②</w:t>
            </w:r>
            <w:r>
              <w:rPr>
                <w:rFonts w:hint="default"/>
              </w:rPr>
              <w:t>尽量将可利用的一般工业固体废物回收、利用</w:t>
            </w:r>
            <w:r>
              <w:rPr>
                <w:rFonts w:hint="eastAsia"/>
                <w:lang w:eastAsia="zh-CN"/>
              </w:rPr>
              <w:t>。</w:t>
            </w:r>
          </w:p>
          <w:p>
            <w:pPr>
              <w:pStyle w:val="43"/>
              <w:keepNext w:val="0"/>
              <w:keepLines w:val="0"/>
              <w:suppressLineNumbers w:val="0"/>
              <w:bidi w:val="0"/>
              <w:spacing w:before="0" w:beforeAutospacing="0" w:after="0" w:afterAutospacing="0"/>
              <w:ind w:left="0" w:right="0"/>
              <w:rPr>
                <w:rFonts w:hint="default"/>
                <w:lang w:val="en-US" w:eastAsia="zh-CN"/>
              </w:rPr>
            </w:pPr>
            <w:r>
              <w:rPr>
                <w:rFonts w:hint="eastAsia"/>
                <w:lang w:val="en-US" w:eastAsia="zh-CN"/>
              </w:rPr>
              <w:t>③企业应设置专职人员管理，管理人员对入库和出库的固体废物数量等进行登记，并填写交接记录，防止废物流失。</w:t>
            </w:r>
          </w:p>
          <w:p>
            <w:pPr>
              <w:pStyle w:val="43"/>
              <w:keepNext w:val="0"/>
              <w:keepLines w:val="0"/>
              <w:suppressLineNumbers w:val="0"/>
              <w:bidi w:val="0"/>
              <w:spacing w:before="0" w:beforeAutospacing="0" w:after="0" w:afterAutospacing="0"/>
              <w:ind w:left="0" w:right="0"/>
              <w:rPr>
                <w:rFonts w:hint="default"/>
              </w:rPr>
            </w:pPr>
            <w:r>
              <w:rPr>
                <w:rFonts w:hint="eastAsia"/>
                <w:lang w:val="en-US" w:eastAsia="zh-CN"/>
              </w:rPr>
              <w:t>④</w:t>
            </w:r>
            <w:r>
              <w:rPr>
                <w:rFonts w:hint="eastAsia"/>
              </w:rPr>
              <w:t>临时储存地点必须建有雨棚，不允许露天堆放，以防止雨水冲刷，雨水应通过场地四周导流渠流向雨水排放管；临时堆放场地为水泥铺设地面，以防渗漏。</w:t>
            </w:r>
          </w:p>
          <w:p>
            <w:pPr>
              <w:pStyle w:val="43"/>
              <w:keepNext w:val="0"/>
              <w:keepLines w:val="0"/>
              <w:suppressLineNumbers w:val="0"/>
              <w:bidi w:val="0"/>
              <w:spacing w:before="0" w:beforeAutospacing="0" w:after="0" w:afterAutospacing="0"/>
              <w:ind w:left="0" w:right="0"/>
              <w:rPr>
                <w:rFonts w:hint="default"/>
              </w:rPr>
            </w:pPr>
            <w:r>
              <w:rPr>
                <w:rFonts w:hint="eastAsia"/>
                <w:lang w:val="en-US" w:eastAsia="zh-CN"/>
              </w:rPr>
              <w:t>⑤</w:t>
            </w:r>
            <w:r>
              <w:rPr>
                <w:rFonts w:hint="eastAsia"/>
              </w:rPr>
              <w:t>为加强管理监督，贮存、处置场所地应按《环境保护图形标志固体废物贮存（处置）场》（</w:t>
            </w:r>
            <w:r>
              <w:rPr>
                <w:rFonts w:hint="default"/>
              </w:rPr>
              <w:t>GB15562.2-1995</w:t>
            </w:r>
            <w:r>
              <w:rPr>
                <w:rFonts w:hint="eastAsia"/>
              </w:rPr>
              <w:t>）</w:t>
            </w:r>
            <w:r>
              <w:rPr>
                <w:rFonts w:hint="eastAsia"/>
                <w:lang w:val="en-US" w:eastAsia="zh-CN"/>
              </w:rPr>
              <w:t>及其2023年修改单</w:t>
            </w:r>
            <w:r>
              <w:rPr>
                <w:rFonts w:hint="eastAsia"/>
              </w:rPr>
              <w:t>设置环境保护图形标志。</w:t>
            </w:r>
          </w:p>
          <w:p>
            <w:pPr>
              <w:pStyle w:val="5"/>
              <w:numPr>
                <w:ilvl w:val="3"/>
                <w:numId w:val="0"/>
              </w:numPr>
              <w:suppressLineNumbers w:val="0"/>
              <w:bidi w:val="0"/>
              <w:spacing w:before="0" w:beforeAutospacing="0" w:after="0" w:afterAutospacing="0"/>
              <w:ind w:leftChars="0" w:right="0" w:rightChars="0" w:firstLine="480" w:firstLineChars="200"/>
              <w:rPr>
                <w:rFonts w:hint="default"/>
              </w:rPr>
            </w:pPr>
            <w:r>
              <w:rPr>
                <w:rFonts w:hint="eastAsia"/>
                <w:lang w:eastAsia="zh-CN"/>
              </w:rPr>
              <w:t>（</w:t>
            </w:r>
            <w:r>
              <w:rPr>
                <w:rFonts w:hint="eastAsia"/>
                <w:lang w:val="en-US" w:eastAsia="zh-CN"/>
              </w:rPr>
              <w:t>3</w:t>
            </w:r>
            <w:r>
              <w:rPr>
                <w:rFonts w:hint="eastAsia"/>
                <w:lang w:eastAsia="zh-CN"/>
              </w:rPr>
              <w:t>）</w:t>
            </w:r>
            <w:r>
              <w:rPr>
                <w:rFonts w:hint="default"/>
              </w:rPr>
              <w:t>危险废物的贮存和管理</w:t>
            </w:r>
          </w:p>
          <w:p>
            <w:pPr>
              <w:pStyle w:val="43"/>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①一般规定</w:t>
            </w:r>
          </w:p>
          <w:p>
            <w:pPr>
              <w:pStyle w:val="43"/>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A.</w:t>
            </w:r>
            <w:r>
              <w:rPr>
                <w:rFonts w:hint="eastAsia"/>
                <w:color w:val="auto"/>
              </w:rPr>
              <w:t>贮存设施应根据危险废物的形态、物理化学性质、包装形式和污染物迁移途径，采取必要的防风、防晒、防雨、防漏、防渗、防腐以及其他环境污染防治措施，不应露天堆放危险废物。</w:t>
            </w:r>
          </w:p>
          <w:p>
            <w:pPr>
              <w:pStyle w:val="43"/>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B.贮存设施应根据危险废物的类别、数量、形态、物理化学性质和污染防治等要求设置必要的贮存分区，避免不相容的危险废物接触、混合。</w:t>
            </w:r>
          </w:p>
          <w:p>
            <w:pPr>
              <w:pStyle w:val="43"/>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C.贮存设施或贮存分区内地面、墙面裙脚、堵截泄漏的围堰、接触危险废物的隔板和墙体等应采用坚固的材料建造，表面无裂缝。</w:t>
            </w:r>
          </w:p>
          <w:p>
            <w:pPr>
              <w:pStyle w:val="43"/>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D.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1m厚黏土层（渗透系数不大于10</w:t>
            </w:r>
            <w:r>
              <w:rPr>
                <w:rFonts w:hint="eastAsia"/>
                <w:color w:val="auto"/>
                <w:vertAlign w:val="superscript"/>
                <w:lang w:val="en-US" w:eastAsia="zh-CN"/>
              </w:rPr>
              <w:t>-7</w:t>
            </w:r>
            <w:r>
              <w:rPr>
                <w:rFonts w:hint="eastAsia"/>
                <w:color w:val="auto"/>
                <w:lang w:val="en-US" w:eastAsia="zh-CN"/>
              </w:rPr>
              <w:t>cm/s），或至少2mm厚高密度聚乙烯膜等人工防渗材料（渗透系数不大于10</w:t>
            </w:r>
            <w:r>
              <w:rPr>
                <w:rFonts w:hint="eastAsia"/>
                <w:color w:val="auto"/>
                <w:vertAlign w:val="superscript"/>
                <w:lang w:val="en-US" w:eastAsia="zh-CN"/>
              </w:rPr>
              <w:t>-10</w:t>
            </w:r>
            <w:r>
              <w:rPr>
                <w:rFonts w:hint="eastAsia"/>
                <w:color w:val="auto"/>
                <w:lang w:val="en-US" w:eastAsia="zh-CN"/>
              </w:rPr>
              <w:t>cm/s），或其他防渗性能等效的材料。</w:t>
            </w:r>
          </w:p>
          <w:p>
            <w:pPr>
              <w:pStyle w:val="43"/>
              <w:keepNext w:val="0"/>
              <w:keepLines w:val="0"/>
              <w:suppressLineNumbers w:val="0"/>
              <w:bidi w:val="0"/>
              <w:spacing w:before="0" w:beforeAutospacing="0" w:after="0" w:afterAutospacing="0"/>
              <w:ind w:left="0" w:right="0"/>
              <w:rPr>
                <w:rFonts w:hint="default" w:eastAsia="宋体"/>
                <w:color w:val="auto"/>
                <w:lang w:val="en-US" w:eastAsia="zh-CN"/>
              </w:rPr>
            </w:pPr>
            <w:r>
              <w:rPr>
                <w:rFonts w:hint="eastAsia"/>
                <w:color w:val="auto"/>
                <w:lang w:val="en-US" w:eastAsia="zh-CN"/>
              </w:rPr>
              <w:t>E.同一贮存设施宜采用相同的防渗、防腐工艺（包括防渗、防腐结构或材料），防渗、防腐材料应覆盖所有可能与废物及其渗滤液、渗漏液等接触的构筑物表面；采用不同防渗、防腐工艺应分别建设贮存分区。</w:t>
            </w:r>
          </w:p>
          <w:p>
            <w:pPr>
              <w:pStyle w:val="43"/>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F.贮存设施应采取技术和管理措施防止无关人员进入。</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②贮存库要求</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A.贮存库内不同贮存分区之间应采取隔离措施。隔离措施可根据危险废物特性采用过道、隔板或隔墙等方式。</w:t>
            </w:r>
          </w:p>
          <w:p>
            <w:pPr>
              <w:pStyle w:val="43"/>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B.在贮存库内或通过贮存分区方式贮存液态危险废物的，应具有液体泄漏堵截设施，堵截设施最小容积不应低于对应贮存区域最大液态废物容器容积或液态废物总储量1/10（二者取较大者）；用于贮存可能产生渗滤液的危险废物的贮存库或贮存分区应设计渗滤液收集设施，收集设施容积应满足渗滤液的收集要求。</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③容器和包装物要求</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A.</w:t>
            </w:r>
            <w:r>
              <w:rPr>
                <w:rFonts w:hint="default"/>
                <w:color w:val="auto"/>
                <w:lang w:val="en-US" w:eastAsia="zh-CN"/>
              </w:rPr>
              <w:t>容器和包装物材质、内衬应与盛装的危险废物相容。</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B.</w:t>
            </w:r>
            <w:r>
              <w:rPr>
                <w:rFonts w:hint="default"/>
                <w:color w:val="auto"/>
                <w:lang w:val="en-US" w:eastAsia="zh-CN"/>
              </w:rPr>
              <w:t>针对不同类别、形态、物理化学性质的危险废物，其容器和包装物应满足相应的防渗、防漏、防腐和强度等要求。</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C.硬质容器和包装物及其支护结构堆叠码放时不应有明显变形，无破损泄漏。</w:t>
            </w:r>
          </w:p>
          <w:p>
            <w:pPr>
              <w:pStyle w:val="43"/>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D.柔性容器和包装物堆叠码放时应封口严密，无破损泄漏。</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E.</w:t>
            </w:r>
            <w:r>
              <w:rPr>
                <w:rFonts w:hint="default"/>
                <w:color w:val="auto"/>
                <w:lang w:val="en-US" w:eastAsia="zh-CN"/>
              </w:rPr>
              <w:t>使用容器盛装液态、半固态危险废物时，容器内部应留有适当的空间，以适应因温度变化等可能引发的收缩和膨胀，防止其导致容器渗漏或永久变形</w:t>
            </w:r>
            <w:r>
              <w:rPr>
                <w:rFonts w:hint="eastAsia"/>
                <w:color w:val="auto"/>
                <w:lang w:val="en-US" w:eastAsia="zh-CN"/>
              </w:rPr>
              <w:t>。</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F.容器和包装物外表面应保持清洁。</w:t>
            </w:r>
          </w:p>
          <w:p>
            <w:pPr>
              <w:pStyle w:val="43"/>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④</w:t>
            </w:r>
            <w:r>
              <w:rPr>
                <w:rFonts w:hint="eastAsia"/>
                <w:color w:val="auto"/>
              </w:rPr>
              <w:t>建立危险废物申报登记制度。</w:t>
            </w:r>
          </w:p>
          <w:p>
            <w:pPr>
              <w:pStyle w:val="43"/>
              <w:keepNext w:val="0"/>
              <w:keepLines w:val="0"/>
              <w:suppressLineNumbers w:val="0"/>
              <w:bidi w:val="0"/>
              <w:spacing w:before="0" w:beforeAutospacing="0" w:after="0" w:afterAutospacing="0"/>
              <w:ind w:left="0" w:right="0"/>
              <w:rPr>
                <w:rFonts w:hint="default"/>
                <w:color w:val="auto"/>
              </w:rPr>
            </w:pPr>
            <w:r>
              <w:rPr>
                <w:rFonts w:hint="eastAsia"/>
                <w:color w:val="auto"/>
              </w:rPr>
              <w:t>由专门人员负责危险废物的日常收集和管理，对任何进出临时贮存场所的危险废物都要记录在案，做好台账；危险废物临时贮存场所周围要设置防护栅栏，并设置警示标志。贮存所内配备通</w:t>
            </w:r>
            <w:r>
              <w:rPr>
                <w:rFonts w:hint="eastAsia"/>
                <w:color w:val="auto"/>
                <w:lang w:val="en-US" w:eastAsia="zh-CN"/>
              </w:rPr>
              <w:t>信</w:t>
            </w:r>
            <w:r>
              <w:rPr>
                <w:rFonts w:hint="eastAsia"/>
                <w:color w:val="auto"/>
              </w:rPr>
              <w:t>设备、照明设备、安全防护服装及工具，并有应急防护措施；危险废物的贮存和转运应严格按照《危险废物贮存污染控制标准》（</w:t>
            </w:r>
            <w:r>
              <w:rPr>
                <w:rFonts w:hint="default"/>
                <w:color w:val="auto"/>
              </w:rPr>
              <w:t>GB18597-20</w:t>
            </w:r>
            <w:r>
              <w:rPr>
                <w:rFonts w:hint="eastAsia"/>
                <w:color w:val="auto"/>
                <w:lang w:val="en-US" w:eastAsia="zh-CN"/>
              </w:rPr>
              <w:t>23</w:t>
            </w:r>
            <w:r>
              <w:rPr>
                <w:rFonts w:hint="eastAsia"/>
                <w:color w:val="auto"/>
              </w:rPr>
              <w:t>）和《危险废物转移管理办法》要求执行。建设单位应强化废物产生、收集、贮放各环节的管理，各种固体废物按照类别分类存放，杜绝固体废物在厂区内散失、渗漏，达到无害化的目的，避免产生二次污染。</w:t>
            </w:r>
          </w:p>
          <w:p>
            <w:pPr>
              <w:pStyle w:val="43"/>
              <w:keepNext w:val="0"/>
              <w:keepLines w:val="0"/>
              <w:suppressLineNumbers w:val="0"/>
              <w:bidi w:val="0"/>
              <w:spacing w:before="0" w:beforeAutospacing="0" w:after="0" w:afterAutospacing="0"/>
              <w:ind w:left="0" w:right="0"/>
              <w:rPr>
                <w:rFonts w:hint="eastAsia"/>
                <w:color w:val="auto"/>
              </w:rPr>
            </w:pPr>
            <w:r>
              <w:rPr>
                <w:rFonts w:hint="eastAsia"/>
                <w:color w:val="auto"/>
              </w:rPr>
              <w:t>危险废物的运输采取危险废物转移“电子联单”制度，保证运输安全，防止非法转移和非法处置，保证危险废物的安全监控，防止危险废物污染事故发生。</w:t>
            </w:r>
          </w:p>
          <w:p>
            <w:pPr>
              <w:pStyle w:val="43"/>
              <w:keepNext w:val="0"/>
              <w:keepLines w:val="0"/>
              <w:suppressLineNumbers w:val="0"/>
              <w:bidi w:val="0"/>
              <w:spacing w:before="0" w:beforeAutospacing="0" w:after="0" w:afterAutospacing="0"/>
              <w:ind w:left="0" w:right="0"/>
              <w:rPr>
                <w:rFonts w:hint="default"/>
                <w:color w:val="auto"/>
              </w:rPr>
            </w:pPr>
            <w:r>
              <w:rPr>
                <w:rFonts w:hint="eastAsia"/>
                <w:color w:val="auto"/>
              </w:rPr>
              <w:t>“电子联单”应通过福建省固体废物环境监管平台申请电子联单，危险废物产生者</w:t>
            </w:r>
            <w:r>
              <w:rPr>
                <w:rFonts w:hint="eastAsia"/>
                <w:color w:val="auto"/>
                <w:lang w:eastAsia="zh-CN"/>
              </w:rPr>
              <w:t>及其他</w:t>
            </w:r>
            <w:r>
              <w:rPr>
                <w:rFonts w:hint="eastAsia"/>
                <w:color w:val="auto"/>
              </w:rPr>
              <w:t>需要转移危险废物的单位在转移危险废物之前，须按照国家有关规定报批危险废物转移计划。经批准后，通过《信息系统》申请电子联单。</w:t>
            </w:r>
          </w:p>
          <w:p>
            <w:pPr>
              <w:pStyle w:val="43"/>
              <w:keepNext w:val="0"/>
              <w:keepLines w:val="0"/>
              <w:suppressLineNumbers w:val="0"/>
              <w:bidi w:val="0"/>
              <w:spacing w:before="0" w:beforeAutospacing="0" w:after="0" w:afterAutospacing="0"/>
              <w:ind w:left="0" w:right="0"/>
              <w:rPr>
                <w:rFonts w:hint="eastAsia"/>
                <w:color w:val="auto"/>
                <w:lang w:val="en-US" w:eastAsia="zh-CN"/>
              </w:rPr>
            </w:pPr>
            <w:r>
              <w:rPr>
                <w:rFonts w:hint="eastAsia"/>
                <w:color w:val="auto"/>
                <w:lang w:val="en-US" w:eastAsia="zh-CN"/>
              </w:rPr>
              <w:t>⑤</w:t>
            </w:r>
            <w:r>
              <w:rPr>
                <w:rFonts w:hint="eastAsia"/>
                <w:color w:val="auto"/>
              </w:rPr>
              <w:t>危险废物识别标志的设置</w:t>
            </w:r>
            <w:r>
              <w:rPr>
                <w:rFonts w:hint="eastAsia"/>
                <w:color w:val="auto"/>
                <w:lang w:val="en-US" w:eastAsia="zh-CN"/>
              </w:rPr>
              <w:t>要求</w:t>
            </w:r>
          </w:p>
          <w:p>
            <w:pPr>
              <w:pStyle w:val="43"/>
              <w:keepNext w:val="0"/>
              <w:keepLines w:val="0"/>
              <w:suppressLineNumbers w:val="0"/>
              <w:bidi w:val="0"/>
              <w:spacing w:before="0" w:beforeAutospacing="0" w:after="0" w:afterAutospacing="0"/>
              <w:ind w:left="0" w:right="0"/>
              <w:rPr>
                <w:rFonts w:hint="default"/>
                <w:color w:val="auto"/>
                <w:lang w:val="en-US" w:eastAsia="zh-CN"/>
              </w:rPr>
            </w:pPr>
            <w:r>
              <w:rPr>
                <w:rFonts w:hint="eastAsia"/>
                <w:color w:val="auto"/>
                <w:lang w:val="en-US" w:eastAsia="zh-CN"/>
              </w:rPr>
              <w:t>按照《危险废物识别标志设置技术规范》（HJ1276—2022）要求，对危险废物</w:t>
            </w:r>
            <w:r>
              <w:rPr>
                <w:rFonts w:hint="eastAsia"/>
                <w:color w:val="auto"/>
              </w:rPr>
              <w:t>设置</w:t>
            </w:r>
            <w:r>
              <w:rPr>
                <w:rFonts w:hint="eastAsia"/>
                <w:color w:val="auto"/>
                <w:lang w:val="en-US" w:eastAsia="zh-CN"/>
              </w:rPr>
              <w:t>识别标志。</w:t>
            </w:r>
          </w:p>
          <w:p>
            <w:pPr>
              <w:pStyle w:val="43"/>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A.</w:t>
            </w:r>
            <w:r>
              <w:rPr>
                <w:rFonts w:hint="eastAsia"/>
                <w:color w:val="auto"/>
              </w:rPr>
              <w:t>危险废物识别标志应具有足够的警示性，以提醒相关人员在从事收集、贮存、利用、处置危险废物经营活动时注意防范危险废物的环境风险。</w:t>
            </w:r>
          </w:p>
          <w:p>
            <w:pPr>
              <w:pStyle w:val="43"/>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B.</w:t>
            </w:r>
            <w:r>
              <w:rPr>
                <w:rFonts w:hint="eastAsia"/>
                <w:color w:val="auto"/>
              </w:rPr>
              <w:t>危险废物识别标志应设置在醒目的位置，避免被其他固定物体遮挡，并与周边的环境特点相协调。</w:t>
            </w:r>
          </w:p>
          <w:p>
            <w:pPr>
              <w:pStyle w:val="43"/>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C.</w:t>
            </w:r>
            <w:r>
              <w:rPr>
                <w:rFonts w:hint="eastAsia"/>
                <w:color w:val="auto"/>
              </w:rPr>
              <w:t>危险废物识别标志与其他标志宜保持视觉上的分离。危险废物识别标志与其他标志相近设置时，宜确保危险废物识别标志在视觉上的识别和信息的读取不受其他标志的影响。</w:t>
            </w:r>
          </w:p>
          <w:p>
            <w:pPr>
              <w:pStyle w:val="43"/>
              <w:keepNext w:val="0"/>
              <w:keepLines w:val="0"/>
              <w:suppressLineNumbers w:val="0"/>
              <w:bidi w:val="0"/>
              <w:spacing w:before="0" w:beforeAutospacing="0" w:after="0" w:afterAutospacing="0"/>
              <w:ind w:left="0" w:right="0"/>
              <w:rPr>
                <w:rFonts w:hint="eastAsia"/>
                <w:color w:val="auto"/>
              </w:rPr>
            </w:pPr>
            <w:r>
              <w:rPr>
                <w:rFonts w:hint="eastAsia"/>
                <w:color w:val="auto"/>
                <w:lang w:val="en-US" w:eastAsia="zh-CN"/>
              </w:rPr>
              <w:t>D.</w:t>
            </w:r>
            <w:r>
              <w:rPr>
                <w:rFonts w:hint="eastAsia"/>
                <w:color w:val="auto"/>
              </w:rPr>
              <w:t>同一场所内，同一种类危险废物识别标志的尺寸、设置位置、设置方式和设置高度等宜保持一致。</w:t>
            </w:r>
          </w:p>
          <w:p>
            <w:pPr>
              <w:pStyle w:val="43"/>
              <w:keepNext w:val="0"/>
              <w:keepLines w:val="0"/>
              <w:suppressLineNumbers w:val="0"/>
              <w:bidi w:val="0"/>
              <w:spacing w:before="0" w:beforeAutospacing="0" w:after="0" w:afterAutospacing="0"/>
              <w:ind w:left="0" w:right="0"/>
              <w:jc w:val="left"/>
              <w:rPr>
                <w:rFonts w:hint="eastAsia"/>
                <w:color w:val="auto"/>
                <w:lang w:val="en-US" w:eastAsia="zh-CN"/>
              </w:rPr>
            </w:pPr>
            <w:r>
              <w:rPr>
                <w:rFonts w:hint="eastAsia"/>
                <w:color w:val="auto"/>
                <w:lang w:val="en-US" w:eastAsia="zh-CN"/>
              </w:rPr>
              <w:t>E.</w:t>
            </w:r>
            <w:r>
              <w:rPr>
                <w:rFonts w:hint="eastAsia"/>
                <w:color w:val="auto"/>
              </w:rPr>
              <w:t>危险废物识别标志的设置除应满足本标准的要求外，还应执行国家安全生产、消防等有关</w:t>
            </w:r>
            <w:r>
              <w:rPr>
                <w:rFonts w:hint="eastAsia"/>
                <w:color w:val="auto"/>
                <w:lang w:eastAsia="zh-CN"/>
              </w:rPr>
              <w:t>法律法规</w:t>
            </w:r>
            <w:r>
              <w:rPr>
                <w:rFonts w:hint="eastAsia"/>
                <w:color w:val="auto"/>
              </w:rPr>
              <w:t>和标准的要求。</w:t>
            </w:r>
          </w:p>
          <w:p>
            <w:pPr>
              <w:pStyle w:val="43"/>
              <w:keepNext w:val="0"/>
              <w:keepLines w:val="0"/>
              <w:suppressLineNumbers w:val="0"/>
              <w:bidi w:val="0"/>
              <w:spacing w:before="0" w:beforeAutospacing="0" w:after="0" w:afterAutospacing="0"/>
              <w:ind w:left="0" w:right="0"/>
              <w:jc w:val="left"/>
              <w:rPr>
                <w:rFonts w:hint="default" w:ascii="Times New Roman" w:hAnsi="Times New Roman" w:eastAsia="宋体" w:cs="Times New Roman"/>
                <w:color w:val="000000"/>
              </w:rPr>
            </w:pPr>
            <w:r>
              <w:rPr>
                <w:rFonts w:hint="eastAsia"/>
                <w:color w:val="auto"/>
                <w:lang w:val="en-US" w:eastAsia="zh-CN"/>
              </w:rPr>
              <w:t>⑥</w:t>
            </w:r>
            <w:r>
              <w:rPr>
                <w:rFonts w:hint="eastAsia"/>
                <w:color w:val="auto"/>
              </w:rPr>
              <w:t>应将危险废物提供或者委托给有危险废物经营许可证的单位从事利用和处置，并签订处置合同。同时应加强对运输单位及处置单位的跟踪检查，控制运输过程中的环境风险。</w:t>
            </w:r>
          </w:p>
          <w:p>
            <w:pPr>
              <w:pStyle w:val="29"/>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color w:val="000000"/>
              </w:rPr>
            </w:pPr>
            <w:r>
              <w:rPr>
                <w:rFonts w:hint="default" w:ascii="Times New Roman" w:hAnsi="Times New Roman" w:eastAsia="宋体" w:cs="Times New Roman"/>
                <w:color w:val="000000"/>
              </w:rPr>
              <w:t>综上，本项目危险废物严格按照《危险废物贮存污染控制标准》（GB18597-2023</w:t>
            </w:r>
            <w:r>
              <w:rPr>
                <w:rFonts w:hint="eastAsia" w:ascii="Times New Roman" w:hAnsi="Times New Roman" w:cs="Times New Roman"/>
                <w:color w:val="000000"/>
                <w:lang w:eastAsia="zh-CN"/>
              </w:rPr>
              <w:t>）</w:t>
            </w:r>
            <w:r>
              <w:rPr>
                <w:rFonts w:hint="default" w:ascii="Times New Roman" w:hAnsi="Times New Roman" w:eastAsia="宋体" w:cs="Times New Roman"/>
                <w:color w:val="000000"/>
              </w:rPr>
              <w:t>的有关规定执行，严格按照国家《危险废物污染防治技术政策》管理规定执行；本着</w:t>
            </w:r>
            <w:r>
              <w:rPr>
                <w:rFonts w:hint="eastAsia" w:ascii="Times New Roman" w:hAnsi="Times New Roman" w:eastAsia="宋体" w:cs="Times New Roman"/>
                <w:color w:val="000000"/>
                <w:lang w:eastAsia="zh-CN"/>
              </w:rPr>
              <w:t>“</w:t>
            </w:r>
            <w:r>
              <w:rPr>
                <w:rFonts w:hint="default" w:ascii="Times New Roman" w:hAnsi="Times New Roman" w:eastAsia="宋体" w:cs="Times New Roman"/>
                <w:color w:val="000000"/>
              </w:rPr>
              <w:t>无害化、减量化、资源化</w:t>
            </w:r>
            <w:r>
              <w:rPr>
                <w:rFonts w:hint="eastAsia" w:ascii="Times New Roman" w:hAnsi="Times New Roman" w:eastAsia="宋体" w:cs="Times New Roman"/>
                <w:color w:val="000000"/>
                <w:lang w:eastAsia="zh-CN"/>
              </w:rPr>
              <w:t>”</w:t>
            </w:r>
            <w:r>
              <w:rPr>
                <w:rFonts w:hint="default" w:ascii="Times New Roman" w:hAnsi="Times New Roman" w:eastAsia="宋体" w:cs="Times New Roman"/>
                <w:color w:val="000000"/>
              </w:rPr>
              <w:t>的原则，固体废物基本可以得到综合利用和有效处置，对环境造成的影响较小。因此项目产生的各种固体废物均有合理的处理途径，不会产生二次环境污染，措施可行。</w:t>
            </w:r>
          </w:p>
          <w:p>
            <w:pPr>
              <w:pStyle w:val="3"/>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rPr>
            </w:pPr>
            <w:bookmarkStart w:id="114" w:name="_Toc30372"/>
            <w:bookmarkStart w:id="115" w:name="_Toc28569"/>
            <w:r>
              <w:rPr>
                <w:rFonts w:hint="eastAsia" w:cs="Times New Roman"/>
                <w:color w:val="auto"/>
                <w:lang w:val="en-US" w:eastAsia="zh-CN"/>
              </w:rPr>
              <w:t>地下水、土壤</w:t>
            </w:r>
          </w:p>
          <w:p>
            <w:pPr>
              <w:pStyle w:val="4"/>
              <w:suppressLineNumbers w:val="0"/>
              <w:spacing w:beforeAutospacing="0" w:after="0" w:afterAutospacing="0"/>
              <w:ind w:left="720" w:right="0" w:hanging="720" w:firstLineChars="0"/>
              <w:rPr>
                <w:rFonts w:hint="default" w:ascii="Times New Roman" w:hAnsi="Times New Roman" w:eastAsia="宋体" w:cs="Times New Roman"/>
              </w:rPr>
            </w:pPr>
            <w:r>
              <w:rPr>
                <w:rFonts w:hint="default" w:ascii="Times New Roman" w:hAnsi="Times New Roman" w:eastAsia="宋体" w:cs="Times New Roman"/>
                <w:lang w:val="en-US" w:eastAsia="zh-CN"/>
              </w:rPr>
              <w:t>污染途径识别</w:t>
            </w:r>
          </w:p>
          <w:p>
            <w:pPr>
              <w:pStyle w:val="43"/>
              <w:keepNext w:val="0"/>
              <w:keepLines w:val="0"/>
              <w:suppressLineNumbers w:val="0"/>
              <w:spacing w:before="0" w:beforeAutospacing="0" w:after="0" w:afterAutospacing="0"/>
              <w:ind w:left="0" w:leftChars="0" w:right="0" w:firstLine="480" w:firstLineChars="200"/>
              <w:rPr>
                <w:rFonts w:hint="eastAsia"/>
              </w:rPr>
            </w:pPr>
            <w:r>
              <w:rPr>
                <w:rFonts w:hint="eastAsia"/>
              </w:rPr>
              <w:t>本项目为</w:t>
            </w:r>
            <w:r>
              <w:rPr>
                <w:rFonts w:hint="eastAsia"/>
                <w:lang w:val="en-US" w:eastAsia="zh-CN"/>
              </w:rPr>
              <w:t>塑料果篮生产</w:t>
            </w:r>
            <w:r>
              <w:rPr>
                <w:rFonts w:hint="eastAsia"/>
              </w:rPr>
              <w:t>项目，营运过程中无生产废水产生。</w:t>
            </w:r>
            <w:r>
              <w:rPr>
                <w:rFonts w:hint="eastAsia"/>
                <w:lang w:val="en-US" w:eastAsia="zh-CN"/>
              </w:rPr>
              <w:t>设备维修产生的废机油暂存于危废间，并采用</w:t>
            </w:r>
            <w:r>
              <w:rPr>
                <w:rFonts w:hint="eastAsia"/>
              </w:rPr>
              <w:t>专用容器包装，</w:t>
            </w:r>
            <w:r>
              <w:rPr>
                <w:rFonts w:hint="eastAsia"/>
                <w:lang w:val="en-US" w:eastAsia="zh-CN"/>
              </w:rPr>
              <w:t>危废间</w:t>
            </w:r>
            <w:r>
              <w:rPr>
                <w:rFonts w:hint="eastAsia"/>
              </w:rPr>
              <w:t>采取防腐防渗措施，正常情况下不会对地下水和土壤造成污染。</w:t>
            </w:r>
          </w:p>
          <w:p>
            <w:pPr>
              <w:pStyle w:val="43"/>
              <w:keepNext w:val="0"/>
              <w:keepLines w:val="0"/>
              <w:suppressLineNumbers w:val="0"/>
              <w:spacing w:before="0" w:beforeAutospacing="0" w:after="0" w:afterAutospacing="0"/>
              <w:ind w:left="0" w:right="0" w:firstLine="480" w:firstLineChars="200"/>
              <w:rPr>
                <w:rFonts w:hint="default"/>
              </w:rPr>
            </w:pPr>
            <w:r>
              <w:rPr>
                <w:rFonts w:hint="eastAsia"/>
              </w:rPr>
              <w:t>因此本项目对土壤和地下水环境的污染途径主要为事故状态下，</w:t>
            </w:r>
            <w:r>
              <w:rPr>
                <w:rFonts w:hint="eastAsia"/>
                <w:lang w:val="en-US" w:eastAsia="zh-CN"/>
              </w:rPr>
              <w:t>废机油</w:t>
            </w:r>
            <w:r>
              <w:rPr>
                <w:rFonts w:hint="eastAsia"/>
              </w:rPr>
              <w:t>发生泄漏，防渗层破裂，渗漏进入地下水和土壤环境，根据本项目危险废物收集类别，可能涉及的污染物为石油类。</w:t>
            </w:r>
          </w:p>
          <w:p>
            <w:pPr>
              <w:pStyle w:val="4"/>
              <w:suppressLineNumbers w:val="0"/>
              <w:spacing w:beforeAutospacing="0" w:after="0" w:afterAutospacing="0"/>
              <w:ind w:left="720" w:right="0" w:hanging="720" w:firstLineChars="0"/>
              <w:rPr>
                <w:rFonts w:hint="default"/>
              </w:rPr>
            </w:pPr>
            <w:r>
              <w:rPr>
                <w:rFonts w:hint="default"/>
              </w:rPr>
              <w:t>防渗区划</w:t>
            </w:r>
          </w:p>
          <w:p>
            <w:pPr>
              <w:pStyle w:val="43"/>
              <w:keepNext w:val="0"/>
              <w:keepLines w:val="0"/>
              <w:suppressLineNumbers w:val="0"/>
              <w:spacing w:before="0" w:beforeAutospacing="0" w:after="0" w:afterAutospacing="0"/>
              <w:ind w:left="0" w:right="0" w:firstLine="0"/>
              <w:rPr>
                <w:rFonts w:hint="default" w:ascii="Times New Roman" w:hAnsi="Times New Roman" w:eastAsia="宋体" w:cs="Times New Roman"/>
              </w:rPr>
            </w:pPr>
            <w:r>
              <w:rPr>
                <w:rFonts w:hint="default" w:ascii="Times New Roman" w:hAnsi="Times New Roman" w:eastAsia="宋体" w:cs="Times New Roman"/>
              </w:rPr>
              <w:t>根据《环境影响评价技术导则 地下水环境》（HJ610-2016），本项目防渗分区</w:t>
            </w:r>
            <w:r>
              <w:rPr>
                <w:rFonts w:hint="default" w:ascii="Times New Roman" w:hAnsi="Times New Roman" w:eastAsia="宋体" w:cs="Times New Roman"/>
                <w:lang w:val="en-US" w:eastAsia="zh-CN"/>
              </w:rPr>
              <w:t>划定</w:t>
            </w:r>
            <w:r>
              <w:rPr>
                <w:rFonts w:hint="default" w:ascii="Times New Roman" w:hAnsi="Times New Roman" w:eastAsia="宋体" w:cs="Times New Roman"/>
              </w:rPr>
              <w:t>按下表确定。</w:t>
            </w:r>
          </w:p>
          <w:p>
            <w:pPr>
              <w:pStyle w:val="42"/>
              <w:keepNext w:val="0"/>
              <w:keepLines w:val="0"/>
              <w:suppressLineNumbers w:val="0"/>
              <w:tabs>
                <w:tab w:val="clear" w:pos="2126"/>
              </w:tabs>
              <w:bidi w:val="0"/>
              <w:spacing w:before="0" w:beforeAutospacing="0" w:after="0" w:afterAutospacing="0"/>
              <w:ind w:right="0"/>
              <w:rPr>
                <w:rFonts w:hint="default"/>
                <w:lang w:val="en-US" w:eastAsia="zh-CN"/>
              </w:rPr>
            </w:pPr>
            <w:r>
              <w:rPr>
                <w:rFonts w:hint="default"/>
                <w:lang w:val="en-US" w:eastAsia="zh-CN"/>
              </w:rPr>
              <w:t>污染控制难易程度分级参照表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58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污染物控制难易程度</w:t>
                  </w:r>
                </w:p>
              </w:tc>
              <w:tc>
                <w:tcPr>
                  <w:tcW w:w="580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污染物类型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难</w:t>
                  </w:r>
                </w:p>
              </w:tc>
              <w:tc>
                <w:tcPr>
                  <w:tcW w:w="580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对地下水环境有污染的物料或污染物</w:t>
                  </w:r>
                  <w:r>
                    <w:rPr>
                      <w:rFonts w:hint="eastAsia"/>
                      <w:szCs w:val="21"/>
                      <w:lang w:eastAsia="zh-CN"/>
                    </w:rPr>
                    <w:t>泄漏</w:t>
                  </w:r>
                  <w:r>
                    <w:rPr>
                      <w:rFonts w:hint="default"/>
                      <w:szCs w:val="21"/>
                    </w:rPr>
                    <w:t>后，不能及时发现和处理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7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易</w:t>
                  </w:r>
                </w:p>
              </w:tc>
              <w:tc>
                <w:tcPr>
                  <w:tcW w:w="580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对地下水环境有污染的物料或污染物</w:t>
                  </w:r>
                  <w:r>
                    <w:rPr>
                      <w:rFonts w:hint="eastAsia"/>
                      <w:szCs w:val="21"/>
                      <w:lang w:eastAsia="zh-CN"/>
                    </w:rPr>
                    <w:t>泄漏</w:t>
                  </w:r>
                  <w:r>
                    <w:rPr>
                      <w:rFonts w:hint="default"/>
                      <w:szCs w:val="21"/>
                    </w:rPr>
                    <w:t>后，可及时发现和处理</w:t>
                  </w:r>
                </w:p>
              </w:tc>
            </w:tr>
          </w:tbl>
          <w:p>
            <w:pPr>
              <w:pStyle w:val="42"/>
              <w:keepNext w:val="0"/>
              <w:keepLines w:val="0"/>
              <w:suppressLineNumbers w:val="0"/>
              <w:tabs>
                <w:tab w:val="clear" w:pos="2126"/>
              </w:tabs>
              <w:bidi w:val="0"/>
              <w:spacing w:before="0" w:beforeAutospacing="0" w:after="0" w:afterAutospacing="0"/>
              <w:ind w:right="0"/>
              <w:rPr>
                <w:rFonts w:hint="default"/>
                <w:lang w:val="en-US" w:eastAsia="zh-CN"/>
              </w:rPr>
            </w:pPr>
            <w:r>
              <w:rPr>
                <w:rFonts w:hint="eastAsia"/>
                <w:lang w:val="en-US" w:eastAsia="zh-CN"/>
              </w:rPr>
              <w:t>天然包气袋防污性能分级参照表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3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分级</w:t>
                  </w:r>
                </w:p>
              </w:tc>
              <w:tc>
                <w:tcPr>
                  <w:tcW w:w="739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包气带岩土的渗透性能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强</w:t>
                  </w:r>
                </w:p>
              </w:tc>
              <w:tc>
                <w:tcPr>
                  <w:tcW w:w="739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岩（土）层单层厚度Mb≥1.0m，渗透系数K≤1×10</w:t>
                  </w:r>
                  <w:r>
                    <w:rPr>
                      <w:rFonts w:hint="default"/>
                      <w:szCs w:val="21"/>
                      <w:vertAlign w:val="superscript"/>
                    </w:rPr>
                    <w:t>-6</w:t>
                  </w:r>
                  <w:r>
                    <w:rPr>
                      <w:rFonts w:hint="default"/>
                      <w:szCs w:val="21"/>
                    </w:rPr>
                    <w:t>cm/s，且分布连续、稳定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中</w:t>
                  </w:r>
                </w:p>
              </w:tc>
              <w:tc>
                <w:tcPr>
                  <w:tcW w:w="739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岩（土）层单层厚度0.5m≤Mb&lt;1.0m，渗透系数K≤1×10</w:t>
                  </w:r>
                  <w:r>
                    <w:rPr>
                      <w:rFonts w:hint="default"/>
                      <w:szCs w:val="21"/>
                      <w:vertAlign w:val="superscript"/>
                    </w:rPr>
                    <w:t>-6</w:t>
                  </w:r>
                  <w:r>
                    <w:rPr>
                      <w:rFonts w:hint="default"/>
                      <w:szCs w:val="21"/>
                    </w:rPr>
                    <w:t>cm/s，且分布连续、稳定</w:t>
                  </w:r>
                </w:p>
                <w:p>
                  <w:pPr>
                    <w:pStyle w:val="46"/>
                    <w:keepNext w:val="0"/>
                    <w:keepLines w:val="0"/>
                    <w:suppressLineNumbers w:val="0"/>
                    <w:bidi w:val="0"/>
                    <w:spacing w:before="0" w:beforeAutospacing="0" w:after="0" w:afterAutospacing="0"/>
                    <w:ind w:right="0"/>
                    <w:rPr>
                      <w:rFonts w:hint="default"/>
                      <w:szCs w:val="21"/>
                    </w:rPr>
                  </w:pPr>
                  <w:r>
                    <w:rPr>
                      <w:rFonts w:hint="default"/>
                      <w:szCs w:val="21"/>
                    </w:rPr>
                    <w:t>岩（土）层单层厚度Mb≥1.0m，渗透系数1×10</w:t>
                  </w:r>
                  <w:r>
                    <w:rPr>
                      <w:rFonts w:hint="default"/>
                      <w:szCs w:val="21"/>
                      <w:vertAlign w:val="superscript"/>
                    </w:rPr>
                    <w:t>-6</w:t>
                  </w:r>
                  <w:r>
                    <w:rPr>
                      <w:rFonts w:hint="default"/>
                      <w:szCs w:val="21"/>
                    </w:rPr>
                    <w:t>cm/s&lt;K≤1×10</w:t>
                  </w:r>
                  <w:r>
                    <w:rPr>
                      <w:rFonts w:hint="default"/>
                      <w:szCs w:val="21"/>
                      <w:vertAlign w:val="superscript"/>
                    </w:rPr>
                    <w:t>-4</w:t>
                  </w:r>
                  <w:r>
                    <w:rPr>
                      <w:rFonts w:hint="default"/>
                      <w:szCs w:val="21"/>
                    </w:rPr>
                    <w:t>cm/s，且分布连续、稳定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弱</w:t>
                  </w:r>
                </w:p>
              </w:tc>
              <w:tc>
                <w:tcPr>
                  <w:tcW w:w="739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岩土层不满足上述“强”和“中”条件</w:t>
                  </w:r>
                </w:p>
              </w:tc>
            </w:tr>
          </w:tbl>
          <w:p>
            <w:pPr>
              <w:pStyle w:val="42"/>
              <w:keepNext w:val="0"/>
              <w:keepLines w:val="0"/>
              <w:suppressLineNumbers w:val="0"/>
              <w:tabs>
                <w:tab w:val="clear" w:pos="2126"/>
              </w:tabs>
              <w:bidi w:val="0"/>
              <w:spacing w:before="0" w:beforeAutospacing="0" w:after="0" w:afterAutospacing="0"/>
              <w:ind w:right="0"/>
              <w:rPr>
                <w:rFonts w:hint="eastAsia"/>
                <w:lang w:val="en-US" w:eastAsia="zh-CN"/>
              </w:rPr>
            </w:pPr>
            <w:r>
              <w:rPr>
                <w:rFonts w:hint="eastAsia"/>
                <w:lang w:val="en-US" w:eastAsia="zh-CN"/>
              </w:rPr>
              <w:t>防渗分区参照表</w:t>
            </w:r>
          </w:p>
          <w:tbl>
            <w:tblPr>
              <w:tblStyle w:val="3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455"/>
              <w:gridCol w:w="1372"/>
              <w:gridCol w:w="1476"/>
              <w:gridCol w:w="25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防渗分区</w:t>
                  </w:r>
                </w:p>
              </w:tc>
              <w:tc>
                <w:tcPr>
                  <w:tcW w:w="151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天然包气带防污性能</w:t>
                  </w:r>
                </w:p>
              </w:tc>
              <w:tc>
                <w:tcPr>
                  <w:tcW w:w="142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污染控制难易程度</w:t>
                  </w:r>
                </w:p>
              </w:tc>
              <w:tc>
                <w:tcPr>
                  <w:tcW w:w="1534"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污染物类型</w:t>
                  </w:r>
                </w:p>
              </w:tc>
              <w:tc>
                <w:tcPr>
                  <w:tcW w:w="266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防渗技术要求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重点防渗区</w:t>
                  </w:r>
                </w:p>
              </w:tc>
              <w:tc>
                <w:tcPr>
                  <w:tcW w:w="151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弱</w:t>
                  </w:r>
                </w:p>
              </w:tc>
              <w:tc>
                <w:tcPr>
                  <w:tcW w:w="142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难</w:t>
                  </w:r>
                </w:p>
              </w:tc>
              <w:tc>
                <w:tcPr>
                  <w:tcW w:w="1534"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重金属、持久性有机污染物</w:t>
                  </w:r>
                </w:p>
              </w:tc>
              <w:tc>
                <w:tcPr>
                  <w:tcW w:w="2663"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等效黏土防渗层Mb≥6.0m，K≤1×10</w:t>
                  </w:r>
                  <w:r>
                    <w:rPr>
                      <w:rFonts w:hint="default"/>
                      <w:szCs w:val="21"/>
                      <w:vertAlign w:val="superscript"/>
                    </w:rPr>
                    <w:t>-7</w:t>
                  </w:r>
                  <w:r>
                    <w:rPr>
                      <w:rFonts w:hint="default"/>
                      <w:szCs w:val="21"/>
                    </w:rPr>
                    <w:t>cm/s，或参照GB18598执行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1513"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中-强</w:t>
                  </w:r>
                </w:p>
              </w:tc>
              <w:tc>
                <w:tcPr>
                  <w:tcW w:w="1426"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难</w:t>
                  </w:r>
                </w:p>
              </w:tc>
              <w:tc>
                <w:tcPr>
                  <w:tcW w:w="1534"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2663"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1513"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弱</w:t>
                  </w:r>
                </w:p>
              </w:tc>
              <w:tc>
                <w:tcPr>
                  <w:tcW w:w="1426"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易</w:t>
                  </w:r>
                </w:p>
              </w:tc>
              <w:tc>
                <w:tcPr>
                  <w:tcW w:w="1534"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2663"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一般防渗区</w:t>
                  </w:r>
                </w:p>
              </w:tc>
              <w:tc>
                <w:tcPr>
                  <w:tcW w:w="151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弱</w:t>
                  </w:r>
                </w:p>
              </w:tc>
              <w:tc>
                <w:tcPr>
                  <w:tcW w:w="142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易-难</w:t>
                  </w:r>
                </w:p>
              </w:tc>
              <w:tc>
                <w:tcPr>
                  <w:tcW w:w="1534"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其他类型</w:t>
                  </w:r>
                </w:p>
              </w:tc>
              <w:tc>
                <w:tcPr>
                  <w:tcW w:w="2663"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等效黏土防渗层Mb≥1.5m，K≤1×10</w:t>
                  </w:r>
                  <w:r>
                    <w:rPr>
                      <w:rFonts w:hint="default"/>
                      <w:szCs w:val="21"/>
                      <w:vertAlign w:val="superscript"/>
                    </w:rPr>
                    <w:t>-7</w:t>
                  </w:r>
                  <w:r>
                    <w:rPr>
                      <w:rFonts w:hint="default"/>
                      <w:szCs w:val="21"/>
                    </w:rPr>
                    <w:t>cm/s，或参照GB16889执行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1513"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中-强</w:t>
                  </w:r>
                </w:p>
              </w:tc>
              <w:tc>
                <w:tcPr>
                  <w:tcW w:w="1426"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难</w:t>
                  </w:r>
                </w:p>
              </w:tc>
              <w:tc>
                <w:tcPr>
                  <w:tcW w:w="1534"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2663"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1513"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中</w:t>
                  </w:r>
                </w:p>
              </w:tc>
              <w:tc>
                <w:tcPr>
                  <w:tcW w:w="1426"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易</w:t>
                  </w:r>
                </w:p>
              </w:tc>
              <w:tc>
                <w:tcPr>
                  <w:tcW w:w="1534" w:type="dxa"/>
                  <w:vMerge w:val="restart"/>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重金属、持久性有机污染物</w:t>
                  </w:r>
                </w:p>
              </w:tc>
              <w:tc>
                <w:tcPr>
                  <w:tcW w:w="2663"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1513"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强</w:t>
                  </w:r>
                </w:p>
              </w:tc>
              <w:tc>
                <w:tcPr>
                  <w:tcW w:w="1426" w:type="dxa"/>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r>
                    <w:rPr>
                      <w:rFonts w:hint="default"/>
                      <w:szCs w:val="21"/>
                    </w:rPr>
                    <w:t>易</w:t>
                  </w:r>
                </w:p>
              </w:tc>
              <w:tc>
                <w:tcPr>
                  <w:tcW w:w="1534"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c>
                <w:tcPr>
                  <w:tcW w:w="2663" w:type="dxa"/>
                  <w:vMerge w:val="continue"/>
                  <w:tcBorders>
                    <w:tl2br w:val="nil"/>
                    <w:tr2bl w:val="nil"/>
                  </w:tcBorders>
                  <w:vAlign w:val="center"/>
                </w:tcPr>
                <w:p>
                  <w:pPr>
                    <w:pStyle w:val="46"/>
                    <w:keepNext w:val="0"/>
                    <w:keepLines w:val="0"/>
                    <w:suppressLineNumbers w:val="0"/>
                    <w:spacing w:before="0" w:beforeAutospacing="0" w:after="0" w:afterAutospacing="0"/>
                    <w:ind w:left="0" w:right="0"/>
                    <w:rPr>
                      <w:rFonts w:hint="default"/>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简单防渗区</w:t>
                  </w:r>
                </w:p>
              </w:tc>
              <w:tc>
                <w:tcPr>
                  <w:tcW w:w="151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中-强</w:t>
                  </w:r>
                </w:p>
              </w:tc>
              <w:tc>
                <w:tcPr>
                  <w:tcW w:w="142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易</w:t>
                  </w:r>
                </w:p>
              </w:tc>
              <w:tc>
                <w:tcPr>
                  <w:tcW w:w="1534"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其他类型</w:t>
                  </w:r>
                </w:p>
              </w:tc>
              <w:tc>
                <w:tcPr>
                  <w:tcW w:w="266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一般地面硬化</w:t>
                  </w:r>
                </w:p>
              </w:tc>
            </w:tr>
          </w:tbl>
          <w:p>
            <w:pPr>
              <w:pStyle w:val="43"/>
              <w:keepNext w:val="0"/>
              <w:keepLines w:val="0"/>
              <w:pageBreakBefore w:val="0"/>
              <w:widowControl w:val="0"/>
              <w:suppressLineNumbers w:val="0"/>
              <w:kinsoku/>
              <w:wordWrap/>
              <w:overflowPunct/>
              <w:topLinePunct w:val="0"/>
              <w:autoSpaceDE/>
              <w:autoSpaceDN/>
              <w:bidi w:val="0"/>
              <w:adjustRightInd/>
              <w:snapToGrid/>
              <w:spacing w:before="0" w:beforeLines="-2147483648" w:beforeAutospacing="0" w:after="0" w:afterAutospacing="0"/>
              <w:ind w:left="0" w:right="0" w:firstLine="0"/>
              <w:textAlignment w:val="auto"/>
              <w:rPr>
                <w:rFonts w:hint="eastAsia"/>
              </w:rPr>
            </w:pPr>
            <w:r>
              <w:rPr>
                <w:rFonts w:hint="eastAsia"/>
              </w:rPr>
              <w:t>项目防渗分区判定结果详见下表。</w:t>
            </w:r>
          </w:p>
          <w:p>
            <w:pPr>
              <w:pStyle w:val="42"/>
              <w:keepNext w:val="0"/>
              <w:keepLines w:val="0"/>
              <w:suppressLineNumbers w:val="0"/>
              <w:tabs>
                <w:tab w:val="clear" w:pos="2126"/>
              </w:tabs>
              <w:bidi w:val="0"/>
              <w:spacing w:before="0" w:beforeAutospacing="0" w:after="0" w:afterAutospacing="0"/>
              <w:ind w:right="0"/>
              <w:rPr>
                <w:rFonts w:hint="default"/>
                <w:color w:val="auto"/>
                <w:lang w:val="en-US" w:eastAsia="zh-CN"/>
              </w:rPr>
            </w:pPr>
            <w:r>
              <w:rPr>
                <w:rFonts w:hint="eastAsia"/>
                <w:color w:val="auto"/>
                <w:lang w:val="en-US" w:eastAsia="zh-CN"/>
              </w:rPr>
              <w:t>厂区防渗分区一览表</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970"/>
              <w:gridCol w:w="1296"/>
              <w:gridCol w:w="1025"/>
              <w:gridCol w:w="953"/>
              <w:gridCol w:w="982"/>
              <w:gridCol w:w="14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4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编号</w:t>
                  </w:r>
                </w:p>
              </w:tc>
              <w:tc>
                <w:tcPr>
                  <w:tcW w:w="19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判定内容</w:t>
                  </w:r>
                </w:p>
              </w:tc>
              <w:tc>
                <w:tcPr>
                  <w:tcW w:w="129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天然包气带防污性能</w:t>
                  </w:r>
                </w:p>
              </w:tc>
              <w:tc>
                <w:tcPr>
                  <w:tcW w:w="102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污染控制难易程度</w:t>
                  </w:r>
                </w:p>
              </w:tc>
              <w:tc>
                <w:tcPr>
                  <w:tcW w:w="95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污染物类型</w:t>
                  </w:r>
                </w:p>
              </w:tc>
              <w:tc>
                <w:tcPr>
                  <w:tcW w:w="982"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判定结果</w:t>
                  </w:r>
                </w:p>
              </w:tc>
              <w:tc>
                <w:tcPr>
                  <w:tcW w:w="1412"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防渗区域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1</w:t>
                  </w:r>
                </w:p>
              </w:tc>
              <w:tc>
                <w:tcPr>
                  <w:tcW w:w="19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eastAsia="zh-CN"/>
                    </w:rPr>
                  </w:pPr>
                  <w:r>
                    <w:rPr>
                      <w:rFonts w:hint="default"/>
                      <w:szCs w:val="21"/>
                      <w:lang w:val="en-US" w:eastAsia="zh-CN"/>
                    </w:rPr>
                    <w:t>危废</w:t>
                  </w:r>
                  <w:r>
                    <w:rPr>
                      <w:rFonts w:hint="eastAsia"/>
                      <w:szCs w:val="21"/>
                      <w:lang w:val="en-US" w:eastAsia="zh-CN"/>
                    </w:rPr>
                    <w:t>间</w:t>
                  </w:r>
                </w:p>
              </w:tc>
              <w:tc>
                <w:tcPr>
                  <w:tcW w:w="129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中</w:t>
                  </w:r>
                </w:p>
              </w:tc>
              <w:tc>
                <w:tcPr>
                  <w:tcW w:w="102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难</w:t>
                  </w:r>
                </w:p>
              </w:tc>
              <w:tc>
                <w:tcPr>
                  <w:tcW w:w="95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eastAsia"/>
                      <w:szCs w:val="21"/>
                      <w:lang w:val="en-US" w:eastAsia="zh-CN"/>
                    </w:rPr>
                    <w:t>持久性</w:t>
                  </w:r>
                  <w:r>
                    <w:rPr>
                      <w:rFonts w:hint="default"/>
                      <w:szCs w:val="21"/>
                    </w:rPr>
                    <w:t>有机污染物</w:t>
                  </w:r>
                </w:p>
              </w:tc>
              <w:tc>
                <w:tcPr>
                  <w:tcW w:w="982"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default"/>
                      <w:szCs w:val="21"/>
                      <w:lang w:val="en-US" w:eastAsia="zh-CN"/>
                    </w:rPr>
                    <w:t>重点防渗</w:t>
                  </w:r>
                  <w:r>
                    <w:rPr>
                      <w:rFonts w:hint="default"/>
                      <w:szCs w:val="21"/>
                    </w:rPr>
                    <w:t>区</w:t>
                  </w:r>
                </w:p>
              </w:tc>
              <w:tc>
                <w:tcPr>
                  <w:tcW w:w="1412"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地面、墙体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rightChars="0" w:firstLine="0" w:firstLineChars="0"/>
                    <w:rPr>
                      <w:rFonts w:hint="eastAsia"/>
                      <w:szCs w:val="21"/>
                      <w:lang w:val="en-US" w:eastAsia="zh-CN"/>
                    </w:rPr>
                  </w:pPr>
                  <w:r>
                    <w:rPr>
                      <w:rFonts w:hint="eastAsia"/>
                      <w:szCs w:val="21"/>
                      <w:lang w:val="en-US" w:eastAsia="zh-CN"/>
                    </w:rPr>
                    <w:t>4</w:t>
                  </w:r>
                </w:p>
              </w:tc>
              <w:tc>
                <w:tcPr>
                  <w:tcW w:w="19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原料区</w:t>
                  </w:r>
                </w:p>
              </w:tc>
              <w:tc>
                <w:tcPr>
                  <w:tcW w:w="1296" w:type="dxa"/>
                  <w:tcBorders>
                    <w:tl2br w:val="nil"/>
                    <w:tr2bl w:val="nil"/>
                  </w:tcBorders>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中</w:t>
                  </w:r>
                </w:p>
              </w:tc>
              <w:tc>
                <w:tcPr>
                  <w:tcW w:w="102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易</w:t>
                  </w:r>
                </w:p>
              </w:tc>
              <w:tc>
                <w:tcPr>
                  <w:tcW w:w="953"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其他类型</w:t>
                  </w:r>
                </w:p>
              </w:tc>
              <w:tc>
                <w:tcPr>
                  <w:tcW w:w="982" w:type="dxa"/>
                  <w:vMerge w:val="restart"/>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简单防渗区</w:t>
                  </w:r>
                </w:p>
              </w:tc>
              <w:tc>
                <w:tcPr>
                  <w:tcW w:w="1412" w:type="dxa"/>
                  <w:tcBorders>
                    <w:tl2br w:val="nil"/>
                    <w:tr2bl w:val="nil"/>
                  </w:tcBorders>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rightChars="0" w:firstLine="0" w:firstLineChars="0"/>
                    <w:rPr>
                      <w:rFonts w:hint="eastAsia"/>
                      <w:szCs w:val="21"/>
                      <w:lang w:val="en-US" w:eastAsia="zh-CN"/>
                    </w:rPr>
                  </w:pPr>
                  <w:r>
                    <w:rPr>
                      <w:rFonts w:hint="eastAsia"/>
                      <w:szCs w:val="21"/>
                      <w:lang w:val="en-US" w:eastAsia="zh-CN"/>
                    </w:rPr>
                    <w:t>5</w:t>
                  </w:r>
                </w:p>
              </w:tc>
              <w:tc>
                <w:tcPr>
                  <w:tcW w:w="19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成品区</w:t>
                  </w:r>
                </w:p>
              </w:tc>
              <w:tc>
                <w:tcPr>
                  <w:tcW w:w="129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中</w:t>
                  </w:r>
                </w:p>
              </w:tc>
              <w:tc>
                <w:tcPr>
                  <w:tcW w:w="102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易</w:t>
                  </w:r>
                </w:p>
              </w:tc>
              <w:tc>
                <w:tcPr>
                  <w:tcW w:w="953"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982"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1412"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eastAsia"/>
                      <w:szCs w:val="21"/>
                      <w:lang w:val="en-US" w:eastAsia="zh-CN"/>
                    </w:rPr>
                    <w:t>6</w:t>
                  </w:r>
                </w:p>
              </w:tc>
              <w:tc>
                <w:tcPr>
                  <w:tcW w:w="19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default"/>
                      <w:szCs w:val="21"/>
                    </w:rPr>
                    <w:t>一般固废</w:t>
                  </w:r>
                  <w:r>
                    <w:rPr>
                      <w:rFonts w:hint="default"/>
                      <w:szCs w:val="21"/>
                      <w:lang w:val="en-US" w:eastAsia="zh-CN"/>
                    </w:rPr>
                    <w:t>间</w:t>
                  </w:r>
                </w:p>
              </w:tc>
              <w:tc>
                <w:tcPr>
                  <w:tcW w:w="129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中</w:t>
                  </w:r>
                </w:p>
              </w:tc>
              <w:tc>
                <w:tcPr>
                  <w:tcW w:w="102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易</w:t>
                  </w:r>
                </w:p>
              </w:tc>
              <w:tc>
                <w:tcPr>
                  <w:tcW w:w="953"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982"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1412"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pStyle w:val="46"/>
                    <w:keepNext w:val="0"/>
                    <w:keepLines w:val="0"/>
                    <w:suppressLineNumbers w:val="0"/>
                    <w:bidi w:val="0"/>
                    <w:spacing w:before="0" w:beforeAutospacing="0" w:after="0" w:afterAutospacing="0"/>
                    <w:ind w:left="0" w:leftChars="0" w:right="0" w:rightChars="0" w:firstLine="0" w:firstLineChars="0"/>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w:t>
                  </w:r>
                </w:p>
              </w:tc>
              <w:tc>
                <w:tcPr>
                  <w:tcW w:w="19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default"/>
                      <w:szCs w:val="21"/>
                      <w:lang w:val="en-US" w:eastAsia="zh-CN"/>
                    </w:rPr>
                    <w:t>生产车间</w:t>
                  </w:r>
                </w:p>
              </w:tc>
              <w:tc>
                <w:tcPr>
                  <w:tcW w:w="1296" w:type="dxa"/>
                  <w:tcBorders>
                    <w:tl2br w:val="nil"/>
                    <w:tr2bl w:val="nil"/>
                  </w:tcBorders>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中</w:t>
                  </w:r>
                </w:p>
              </w:tc>
              <w:tc>
                <w:tcPr>
                  <w:tcW w:w="1025" w:type="dxa"/>
                  <w:tcBorders>
                    <w:tl2br w:val="nil"/>
                    <w:tr2bl w:val="nil"/>
                  </w:tcBorders>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易</w:t>
                  </w:r>
                </w:p>
              </w:tc>
              <w:tc>
                <w:tcPr>
                  <w:tcW w:w="953"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982"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1412" w:type="dxa"/>
                  <w:tcBorders>
                    <w:tl2br w:val="nil"/>
                    <w:tr2bl w:val="nil"/>
                  </w:tcBorders>
                  <w:vAlign w:val="center"/>
                </w:tcPr>
                <w:p>
                  <w:pPr>
                    <w:pStyle w:val="46"/>
                    <w:keepNext w:val="0"/>
                    <w:keepLines w:val="0"/>
                    <w:suppressLineNumbers w:val="0"/>
                    <w:bidi w:val="0"/>
                    <w:spacing w:before="0" w:beforeAutospacing="0" w:after="0" w:afterAutospacing="0"/>
                    <w:ind w:right="0"/>
                    <w:rPr>
                      <w:rFonts w:hint="eastAsia" w:eastAsia="宋体"/>
                      <w:szCs w:val="21"/>
                      <w:lang w:val="en-US" w:eastAsia="zh-CN"/>
                    </w:rPr>
                  </w:pPr>
                  <w:r>
                    <w:rPr>
                      <w:rFonts w:hint="eastAsia"/>
                      <w:szCs w:val="21"/>
                      <w:lang w:val="en-US" w:eastAsia="zh-CN"/>
                    </w:rPr>
                    <w:t>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eastAsia"/>
                      <w:szCs w:val="21"/>
                      <w:lang w:val="en-US" w:eastAsia="zh-CN"/>
                    </w:rPr>
                    <w:t>8</w:t>
                  </w:r>
                </w:p>
              </w:tc>
              <w:tc>
                <w:tcPr>
                  <w:tcW w:w="1970"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default"/>
                      <w:szCs w:val="21"/>
                      <w:lang w:val="en-US" w:eastAsia="zh-CN"/>
                    </w:rPr>
                    <w:t>厂内</w:t>
                  </w:r>
                  <w:r>
                    <w:rPr>
                      <w:rFonts w:hint="eastAsia"/>
                      <w:szCs w:val="21"/>
                      <w:lang w:val="en-US" w:eastAsia="zh-CN"/>
                    </w:rPr>
                    <w:t>过道</w:t>
                  </w:r>
                </w:p>
              </w:tc>
              <w:tc>
                <w:tcPr>
                  <w:tcW w:w="1296"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default"/>
                      <w:szCs w:val="21"/>
                    </w:rPr>
                    <w:t>中</w:t>
                  </w:r>
                </w:p>
              </w:tc>
              <w:tc>
                <w:tcPr>
                  <w:tcW w:w="1025"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lang w:val="en-US" w:eastAsia="zh-CN"/>
                    </w:rPr>
                  </w:pPr>
                  <w:r>
                    <w:rPr>
                      <w:rFonts w:hint="default"/>
                      <w:szCs w:val="21"/>
                    </w:rPr>
                    <w:t>易</w:t>
                  </w:r>
                </w:p>
              </w:tc>
              <w:tc>
                <w:tcPr>
                  <w:tcW w:w="953"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982" w:type="dxa"/>
                  <w:vMerge w:val="continue"/>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p>
              </w:tc>
              <w:tc>
                <w:tcPr>
                  <w:tcW w:w="1412" w:type="dxa"/>
                  <w:tcBorders>
                    <w:tl2br w:val="nil"/>
                    <w:tr2bl w:val="nil"/>
                  </w:tcBorders>
                  <w:vAlign w:val="center"/>
                </w:tcPr>
                <w:p>
                  <w:pPr>
                    <w:pStyle w:val="46"/>
                    <w:keepNext w:val="0"/>
                    <w:keepLines w:val="0"/>
                    <w:suppressLineNumbers w:val="0"/>
                    <w:bidi w:val="0"/>
                    <w:spacing w:before="0" w:beforeAutospacing="0" w:after="0" w:afterAutospacing="0"/>
                    <w:ind w:right="0"/>
                    <w:rPr>
                      <w:rFonts w:hint="default"/>
                      <w:szCs w:val="21"/>
                    </w:rPr>
                  </w:pPr>
                  <w:r>
                    <w:rPr>
                      <w:rFonts w:hint="default"/>
                      <w:szCs w:val="21"/>
                    </w:rPr>
                    <w:t>地面</w:t>
                  </w:r>
                </w:p>
              </w:tc>
            </w:tr>
          </w:tbl>
          <w:p>
            <w:pPr>
              <w:pStyle w:val="43"/>
              <w:keepNext w:val="0"/>
              <w:keepLines w:val="0"/>
              <w:pageBreakBefore w:val="0"/>
              <w:widowControl w:val="0"/>
              <w:suppressLineNumbers w:val="0"/>
              <w:kinsoku/>
              <w:wordWrap/>
              <w:overflowPunct/>
              <w:topLinePunct w:val="0"/>
              <w:autoSpaceDE/>
              <w:autoSpaceDN/>
              <w:bidi w:val="0"/>
              <w:adjustRightInd/>
              <w:snapToGrid/>
              <w:spacing w:before="0" w:beforeLines="-2147483648" w:beforeAutospacing="0" w:after="0" w:afterAutospacing="0" w:line="360" w:lineRule="auto"/>
              <w:ind w:left="0" w:right="0" w:firstLine="0"/>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由判定结果可知，本项目</w:t>
            </w:r>
            <w:r>
              <w:rPr>
                <w:rFonts w:hint="default" w:ascii="Times New Roman" w:hAnsi="Times New Roman" w:eastAsia="宋体" w:cs="Times New Roman"/>
                <w:szCs w:val="21"/>
                <w:lang w:val="en-US" w:eastAsia="zh-CN"/>
              </w:rPr>
              <w:t>危废</w:t>
            </w:r>
            <w:r>
              <w:rPr>
                <w:rFonts w:hint="default" w:ascii="Times New Roman" w:hAnsi="Times New Roman" w:eastAsia="宋体" w:cs="Times New Roman"/>
                <w:szCs w:val="21"/>
                <w:highlight w:val="none"/>
                <w:lang w:val="en-US" w:eastAsia="zh-CN"/>
              </w:rPr>
              <w:t>间</w:t>
            </w:r>
            <w:r>
              <w:rPr>
                <w:rFonts w:hint="default" w:ascii="Times New Roman" w:hAnsi="Times New Roman" w:eastAsia="宋体" w:cs="Times New Roman"/>
                <w:highlight w:val="none"/>
              </w:rPr>
              <w:t>为重点防渗区；</w:t>
            </w:r>
            <w:r>
              <w:rPr>
                <w:rFonts w:hint="eastAsia" w:cs="Times New Roman"/>
                <w:highlight w:val="none"/>
                <w:lang w:val="en-US" w:eastAsia="zh-CN"/>
              </w:rPr>
              <w:t>原料区、成品区、</w:t>
            </w:r>
            <w:r>
              <w:rPr>
                <w:rFonts w:hint="eastAsia" w:ascii="Times New Roman" w:hAnsi="Times New Roman" w:eastAsia="宋体" w:cs="Times New Roman"/>
                <w:szCs w:val="21"/>
                <w:highlight w:val="none"/>
                <w:lang w:val="en-US" w:eastAsia="zh-CN"/>
              </w:rPr>
              <w:t>一般固废间</w:t>
            </w:r>
            <w:r>
              <w:rPr>
                <w:rFonts w:hint="eastAsia" w:cs="Times New Roman"/>
                <w:szCs w:val="21"/>
                <w:highlight w:val="none"/>
                <w:lang w:val="en-US" w:eastAsia="zh-CN"/>
              </w:rPr>
              <w:t>、</w:t>
            </w:r>
            <w:r>
              <w:rPr>
                <w:rFonts w:hint="default" w:ascii="Times New Roman" w:hAnsi="Times New Roman" w:eastAsia="宋体" w:cs="Times New Roman"/>
                <w:highlight w:val="none"/>
                <w:lang w:val="en-US" w:eastAsia="zh-CN"/>
              </w:rPr>
              <w:t>生产车间</w:t>
            </w:r>
            <w:r>
              <w:rPr>
                <w:rFonts w:hint="eastAsia" w:cs="Times New Roman"/>
                <w:highlight w:val="none"/>
                <w:lang w:val="en-US" w:eastAsia="zh-CN"/>
              </w:rPr>
              <w:t>及</w:t>
            </w:r>
            <w:r>
              <w:rPr>
                <w:rFonts w:hint="default" w:ascii="Times New Roman" w:hAnsi="Times New Roman" w:eastAsia="宋体" w:cs="Times New Roman"/>
                <w:highlight w:val="none"/>
                <w:lang w:val="en-US" w:eastAsia="zh-CN"/>
              </w:rPr>
              <w:t>厂内</w:t>
            </w:r>
            <w:r>
              <w:rPr>
                <w:rFonts w:hint="eastAsia" w:cs="Times New Roman"/>
                <w:highlight w:val="none"/>
                <w:lang w:val="en-US" w:eastAsia="zh-CN"/>
              </w:rPr>
              <w:t>过道</w:t>
            </w:r>
            <w:r>
              <w:rPr>
                <w:rFonts w:hint="default" w:ascii="Times New Roman" w:hAnsi="Times New Roman" w:eastAsia="宋体" w:cs="Times New Roman"/>
                <w:highlight w:val="none"/>
              </w:rPr>
              <w:t>为简单防渗区。具体防渗分区详见附图</w:t>
            </w:r>
            <w:r>
              <w:rPr>
                <w:rFonts w:hint="eastAsia" w:cs="Times New Roman"/>
                <w:highlight w:val="none"/>
                <w:lang w:val="en-US" w:eastAsia="zh-CN"/>
              </w:rPr>
              <w:t>4</w:t>
            </w:r>
            <w:r>
              <w:rPr>
                <w:rFonts w:hint="default" w:ascii="Times New Roman" w:hAnsi="Times New Roman" w:eastAsia="宋体" w:cs="Times New Roman"/>
                <w:highlight w:val="none"/>
              </w:rPr>
              <w:t>。</w:t>
            </w:r>
          </w:p>
          <w:p>
            <w:pPr>
              <w:pStyle w:val="4"/>
              <w:suppressLineNumbers w:val="0"/>
              <w:spacing w:beforeAutospacing="0" w:after="0" w:afterAutospacing="0"/>
              <w:ind w:left="720" w:right="0" w:hanging="720" w:firstLineChars="0"/>
              <w:rPr>
                <w:rFonts w:hint="default"/>
              </w:rPr>
            </w:pPr>
            <w:r>
              <w:rPr>
                <w:rFonts w:hint="default"/>
              </w:rPr>
              <w:t>防渗要求</w:t>
            </w:r>
          </w:p>
          <w:p>
            <w:pPr>
              <w:pStyle w:val="43"/>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1</w:t>
            </w:r>
            <w:r>
              <w:rPr>
                <w:rFonts w:hint="eastAsia"/>
                <w:lang w:eastAsia="zh-CN"/>
              </w:rPr>
              <w:t>）</w:t>
            </w:r>
            <w:r>
              <w:rPr>
                <w:rFonts w:hint="default"/>
              </w:rPr>
              <w:t>重点防渗区</w:t>
            </w:r>
          </w:p>
          <w:p>
            <w:pPr>
              <w:pStyle w:val="43"/>
              <w:keepNext w:val="0"/>
              <w:keepLines w:val="0"/>
              <w:suppressLineNumbers w:val="0"/>
              <w:bidi w:val="0"/>
              <w:spacing w:before="0" w:beforeAutospacing="0" w:after="0" w:afterAutospacing="0"/>
              <w:ind w:left="0" w:right="0"/>
              <w:rPr>
                <w:rFonts w:hint="default"/>
              </w:rPr>
            </w:pPr>
            <w:r>
              <w:rPr>
                <w:rFonts w:hint="default"/>
              </w:rPr>
              <w:t>指污染地下水环境的物料泄漏后，不容易被及时发现和处理的区域。本项目重点污染防治区主要包括</w:t>
            </w:r>
            <w:r>
              <w:rPr>
                <w:rFonts w:hint="default" w:ascii="Times New Roman" w:hAnsi="Times New Roman" w:eastAsia="宋体" w:cs="Times New Roman"/>
                <w:szCs w:val="21"/>
                <w:lang w:val="en-US" w:eastAsia="zh-CN"/>
              </w:rPr>
              <w:t>危废</w:t>
            </w:r>
            <w:r>
              <w:rPr>
                <w:rFonts w:hint="eastAsia" w:ascii="Times New Roman" w:hAnsi="Times New Roman" w:eastAsia="宋体" w:cs="Times New Roman"/>
                <w:szCs w:val="21"/>
                <w:lang w:val="en-US" w:eastAsia="zh-CN"/>
              </w:rPr>
              <w:t>间</w:t>
            </w:r>
            <w:r>
              <w:rPr>
                <w:rFonts w:hint="default"/>
              </w:rPr>
              <w:t>。</w:t>
            </w:r>
          </w:p>
          <w:p>
            <w:pPr>
              <w:pStyle w:val="43"/>
              <w:keepNext w:val="0"/>
              <w:keepLines w:val="0"/>
              <w:suppressLineNumbers w:val="0"/>
              <w:bidi w:val="0"/>
              <w:spacing w:before="0" w:beforeAutospacing="0" w:after="0" w:afterAutospacing="0"/>
              <w:ind w:left="0" w:right="0"/>
              <w:rPr>
                <w:rFonts w:hint="default"/>
              </w:rPr>
            </w:pPr>
            <w:r>
              <w:rPr>
                <w:rFonts w:hint="default"/>
              </w:rPr>
              <w:t>重点污染区防渗要求：</w:t>
            </w:r>
            <w:r>
              <w:rPr>
                <w:rFonts w:hint="default"/>
                <w:lang w:val="en-US" w:eastAsia="zh-CN"/>
              </w:rPr>
              <w:t>参照</w:t>
            </w:r>
            <w:r>
              <w:rPr>
                <w:rFonts w:hint="default"/>
              </w:rPr>
              <w:t>《危险废物贮存污染控制标准》（GB18597-20</w:t>
            </w:r>
            <w:r>
              <w:rPr>
                <w:rFonts w:hint="eastAsia"/>
                <w:lang w:val="en-US" w:eastAsia="zh-CN"/>
              </w:rPr>
              <w:t>23</w:t>
            </w:r>
            <w:r>
              <w:rPr>
                <w:rFonts w:hint="default"/>
              </w:rPr>
              <w:t>）、《危险废物污染防治技术政策》等危险废物处理的相关标准、法律法规的要求</w:t>
            </w:r>
            <w:r>
              <w:rPr>
                <w:rFonts w:hint="default"/>
                <w:lang w:val="en-US" w:eastAsia="zh-CN"/>
              </w:rPr>
              <w:t>进行设计，</w:t>
            </w:r>
            <w:r>
              <w:rPr>
                <w:rFonts w:hint="default"/>
              </w:rPr>
              <w:t>防渗层为至少1m厚黏土层（渗透系数≤10</w:t>
            </w:r>
            <w:r>
              <w:rPr>
                <w:rFonts w:hint="default"/>
                <w:vertAlign w:val="superscript"/>
              </w:rPr>
              <w:t>-7</w:t>
            </w:r>
            <w:r>
              <w:rPr>
                <w:rFonts w:hint="default"/>
              </w:rPr>
              <w:t>cm/s），或2mm厚高密度聚氯乙烯，或至少2mm厚</w:t>
            </w:r>
            <w:r>
              <w:rPr>
                <w:rFonts w:hint="eastAsia"/>
                <w:lang w:eastAsia="zh-CN"/>
              </w:rPr>
              <w:t>的其他</w:t>
            </w:r>
            <w:r>
              <w:rPr>
                <w:rFonts w:hint="default"/>
              </w:rPr>
              <w:t>人工材料，渗透系数≤10</w:t>
            </w:r>
            <w:r>
              <w:rPr>
                <w:rFonts w:hint="default"/>
                <w:vertAlign w:val="superscript"/>
              </w:rPr>
              <w:t>-10</w:t>
            </w:r>
            <w:r>
              <w:rPr>
                <w:rFonts w:hint="default"/>
              </w:rPr>
              <w:t>cm/s。</w:t>
            </w:r>
          </w:p>
          <w:p>
            <w:pPr>
              <w:pStyle w:val="43"/>
              <w:keepNext w:val="0"/>
              <w:keepLines w:val="0"/>
              <w:suppressLineNumbers w:val="0"/>
              <w:bidi w:val="0"/>
              <w:spacing w:before="0" w:beforeAutospacing="0" w:after="0" w:afterAutospacing="0"/>
              <w:ind w:left="0" w:right="0"/>
              <w:rPr>
                <w:rFonts w:hint="default"/>
              </w:rPr>
            </w:pPr>
            <w:r>
              <w:rPr>
                <w:rFonts w:hint="eastAsia"/>
                <w:lang w:eastAsia="zh-CN"/>
              </w:rPr>
              <w:t>（</w:t>
            </w:r>
            <w:r>
              <w:rPr>
                <w:rFonts w:hint="eastAsia"/>
                <w:lang w:val="en-US" w:eastAsia="zh-CN"/>
              </w:rPr>
              <w:t>2</w:t>
            </w:r>
            <w:r>
              <w:rPr>
                <w:rFonts w:hint="eastAsia"/>
                <w:lang w:eastAsia="zh-CN"/>
              </w:rPr>
              <w:t>）</w:t>
            </w:r>
            <w:r>
              <w:rPr>
                <w:rFonts w:hint="default"/>
              </w:rPr>
              <w:t>简单防渗区</w:t>
            </w:r>
          </w:p>
          <w:p>
            <w:pPr>
              <w:pStyle w:val="43"/>
              <w:keepNext w:val="0"/>
              <w:keepLines w:val="0"/>
              <w:suppressLineNumbers w:val="0"/>
              <w:bidi w:val="0"/>
              <w:spacing w:before="0" w:beforeAutospacing="0" w:after="0" w:afterAutospacing="0"/>
              <w:ind w:left="0" w:right="0"/>
              <w:rPr>
                <w:rFonts w:hint="default"/>
              </w:rPr>
            </w:pPr>
            <w:r>
              <w:rPr>
                <w:rFonts w:hint="default"/>
              </w:rPr>
              <w:t>指不会对地下水环境造成污染的区域，主要包括</w:t>
            </w:r>
            <w:r>
              <w:rPr>
                <w:rFonts w:hint="eastAsia"/>
              </w:rPr>
              <w:t>料区、成品区、一般固废间</w:t>
            </w:r>
            <w:r>
              <w:rPr>
                <w:rFonts w:hint="eastAsia"/>
                <w:lang w:eastAsia="zh-CN"/>
              </w:rPr>
              <w:t>、</w:t>
            </w:r>
            <w:r>
              <w:rPr>
                <w:rFonts w:hint="eastAsia"/>
              </w:rPr>
              <w:t>生产车间及</w:t>
            </w:r>
            <w:r>
              <w:rPr>
                <w:rFonts w:hint="default"/>
                <w:lang w:val="en-US" w:eastAsia="zh-CN"/>
              </w:rPr>
              <w:t>厂内</w:t>
            </w:r>
            <w:r>
              <w:rPr>
                <w:rFonts w:hint="eastAsia"/>
                <w:lang w:val="en-US" w:eastAsia="zh-CN"/>
              </w:rPr>
              <w:t>过道</w:t>
            </w:r>
            <w:r>
              <w:rPr>
                <w:rFonts w:hint="default"/>
              </w:rPr>
              <w:t>等。对于基本上不产生污染物的非污染防治区，不采取专门针对地下水污染的防治措施，但</w:t>
            </w:r>
            <w:r>
              <w:rPr>
                <w:rFonts w:hint="eastAsia"/>
                <w:lang w:val="en-US" w:eastAsia="zh-CN"/>
              </w:rPr>
              <w:t>对厂区进行硬化处理</w:t>
            </w:r>
            <w:r>
              <w:rPr>
                <w:rFonts w:hint="default"/>
              </w:rPr>
              <w:t>。</w:t>
            </w:r>
          </w:p>
          <w:p>
            <w:pPr>
              <w:pStyle w:val="43"/>
              <w:keepNext w:val="0"/>
              <w:keepLines w:val="0"/>
              <w:suppressLineNumbers w:val="0"/>
              <w:bidi w:val="0"/>
              <w:spacing w:before="0" w:beforeAutospacing="0" w:after="0" w:afterAutospacing="0"/>
              <w:ind w:left="0" w:right="0" w:firstLine="0"/>
              <w:rPr>
                <w:rFonts w:hint="default"/>
              </w:rPr>
            </w:pPr>
            <w:r>
              <w:rPr>
                <w:rFonts w:hint="default"/>
              </w:rPr>
              <w:t>为保证防渗工程正常施工、运行，达到设计防渗等级，应对工程质量进行管理控制：</w:t>
            </w:r>
          </w:p>
          <w:p>
            <w:pPr>
              <w:pStyle w:val="43"/>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cs="Times New Roman"/>
                <w:lang w:val="en-US" w:eastAsia="zh-CN"/>
              </w:rPr>
              <w:t>①</w:t>
            </w:r>
            <w:r>
              <w:rPr>
                <w:rFonts w:hint="default" w:ascii="Times New Roman" w:hAnsi="Times New Roman" w:eastAsia="宋体" w:cs="Times New Roman"/>
              </w:rPr>
              <w:t>选择具有相应资质的设计单位对工程进行设计，防渗工程的设计符合相应要求及设计规范；</w:t>
            </w:r>
          </w:p>
          <w:p>
            <w:pPr>
              <w:pStyle w:val="43"/>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cs="Times New Roman"/>
                <w:lang w:val="en-US" w:eastAsia="zh-CN"/>
              </w:rPr>
              <w:t>②</w:t>
            </w:r>
            <w:r>
              <w:rPr>
                <w:rFonts w:hint="default" w:ascii="Times New Roman" w:hAnsi="Times New Roman" w:eastAsia="宋体" w:cs="Times New Roman"/>
              </w:rPr>
              <w:t>工程材料符合设计要求，并按照有关规定和要求进行质量检验，保证使用材料全部合格；</w:t>
            </w:r>
          </w:p>
          <w:p>
            <w:pPr>
              <w:pStyle w:val="43"/>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cs="Times New Roman"/>
                <w:lang w:val="en-US" w:eastAsia="zh-CN"/>
              </w:rPr>
              <w:t>③</w:t>
            </w:r>
            <w:r>
              <w:rPr>
                <w:rFonts w:hint="default" w:ascii="Times New Roman" w:hAnsi="Times New Roman" w:eastAsia="宋体" w:cs="Times New Roman"/>
              </w:rPr>
              <w:t>聘请优秀专业施工队伍，施工方法符合规范要求；</w:t>
            </w:r>
          </w:p>
          <w:p>
            <w:pPr>
              <w:pStyle w:val="43"/>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cs="Times New Roman"/>
                <w:lang w:val="en-US" w:eastAsia="zh-CN"/>
              </w:rPr>
              <w:t>④</w:t>
            </w:r>
            <w:r>
              <w:rPr>
                <w:rFonts w:hint="default" w:ascii="Times New Roman" w:hAnsi="Times New Roman" w:eastAsia="宋体" w:cs="Times New Roman"/>
              </w:rPr>
              <w:t>工程完工后应进行质量检测；</w:t>
            </w:r>
          </w:p>
          <w:p>
            <w:pPr>
              <w:pStyle w:val="43"/>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rPr>
            </w:pPr>
            <w:r>
              <w:rPr>
                <w:rFonts w:hint="default" w:cs="Times New Roman"/>
                <w:lang w:val="en-US" w:eastAsia="zh-CN"/>
              </w:rPr>
              <w:t>⑤</w:t>
            </w:r>
            <w:r>
              <w:rPr>
                <w:rFonts w:hint="default" w:ascii="Times New Roman" w:hAnsi="Times New Roman" w:eastAsia="宋体" w:cs="Times New Roman"/>
              </w:rPr>
              <w:t>在防渗措施投入使用后，应加强日常的维护管理。</w:t>
            </w:r>
          </w:p>
          <w:p>
            <w:pPr>
              <w:pStyle w:val="43"/>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rPr>
            </w:pPr>
            <w:r>
              <w:rPr>
                <w:rFonts w:hint="default" w:ascii="Times New Roman" w:hAnsi="Times New Roman" w:eastAsia="宋体" w:cs="Times New Roman"/>
              </w:rPr>
              <w:t>综上所述，采取分区防渗等措施后，对土壤及地下水环境影响较小，防治措施可行。</w:t>
            </w:r>
          </w:p>
          <w:p>
            <w:pPr>
              <w:pStyle w:val="43"/>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（3）防扩散措施</w:t>
            </w:r>
          </w:p>
          <w:p>
            <w:pPr>
              <w:pStyle w:val="43"/>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rPr>
            </w:pPr>
            <w:r>
              <w:rPr>
                <w:rFonts w:hint="default" w:ascii="Times New Roman" w:hAnsi="Times New Roman" w:eastAsia="宋体" w:cs="Times New Roman"/>
              </w:rPr>
              <w:t>①项目</w:t>
            </w:r>
            <w:r>
              <w:rPr>
                <w:rFonts w:hint="default" w:ascii="Times New Roman" w:hAnsi="Times New Roman" w:eastAsia="宋体" w:cs="Times New Roman"/>
                <w:szCs w:val="21"/>
                <w:lang w:val="en-US" w:eastAsia="zh-CN"/>
              </w:rPr>
              <w:t>危废</w:t>
            </w:r>
            <w:r>
              <w:rPr>
                <w:rFonts w:hint="eastAsia" w:ascii="Times New Roman" w:hAnsi="Times New Roman" w:eastAsia="宋体" w:cs="Times New Roman"/>
                <w:szCs w:val="21"/>
                <w:lang w:val="en-US" w:eastAsia="zh-CN"/>
              </w:rPr>
              <w:t>间</w:t>
            </w:r>
            <w:r>
              <w:rPr>
                <w:rFonts w:hint="default" w:ascii="Times New Roman" w:hAnsi="Times New Roman" w:eastAsia="宋体" w:cs="Times New Roman"/>
              </w:rPr>
              <w:t>四周建设导流沟装置，防止</w:t>
            </w:r>
            <w:r>
              <w:rPr>
                <w:rFonts w:hint="eastAsia" w:cs="Times New Roman"/>
                <w:lang w:val="en-US" w:eastAsia="zh-CN"/>
              </w:rPr>
              <w:t>废机油</w:t>
            </w:r>
            <w:r>
              <w:rPr>
                <w:rFonts w:hint="default" w:ascii="Times New Roman" w:hAnsi="Times New Roman" w:eastAsia="宋体" w:cs="Times New Roman"/>
              </w:rPr>
              <w:t>泄漏时四处扩散，并可</w:t>
            </w:r>
            <w:r>
              <w:rPr>
                <w:rFonts w:hint="eastAsia" w:ascii="Times New Roman" w:hAnsi="Times New Roman" w:eastAsia="宋体" w:cs="Times New Roman"/>
                <w:lang w:eastAsia="zh-CN"/>
              </w:rPr>
              <w:t>及时</w:t>
            </w:r>
            <w:r>
              <w:rPr>
                <w:rFonts w:hint="default" w:ascii="Times New Roman" w:hAnsi="Times New Roman" w:eastAsia="宋体" w:cs="Times New Roman"/>
              </w:rPr>
              <w:t>移除或者清理污染源；</w:t>
            </w:r>
          </w:p>
          <w:p>
            <w:pPr>
              <w:pStyle w:val="43"/>
              <w:keepNext w:val="0"/>
              <w:keepLines w:val="0"/>
              <w:suppressLineNumbers w:val="0"/>
              <w:bidi w:val="0"/>
              <w:spacing w:before="0" w:beforeAutospacing="0" w:after="0" w:afterAutospacing="0"/>
              <w:ind w:left="0" w:right="0" w:firstLine="0"/>
              <w:rPr>
                <w:rFonts w:hint="default"/>
                <w:lang w:val="en-US" w:eastAsia="zh-CN"/>
              </w:rPr>
            </w:pPr>
            <w:r>
              <w:rPr>
                <w:rFonts w:hint="default" w:ascii="Times New Roman" w:hAnsi="Times New Roman" w:eastAsia="宋体" w:cs="Times New Roman"/>
              </w:rPr>
              <w:t>②</w:t>
            </w:r>
            <w:r>
              <w:rPr>
                <w:rFonts w:hint="default"/>
              </w:rPr>
              <w:t>在今后的生产活动中，做好设备维护、检修，杜绝跑、冒、滴、漏现象。同时，加强污染物产生主要环节的收集治理，加强厂区安全防护、环境风险防范措施，以便及时发现事故隐患，及时采取有效的应对措施。</w:t>
            </w:r>
          </w:p>
          <w:p>
            <w:pPr>
              <w:pStyle w:val="43"/>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lang w:val="en-US" w:eastAsia="zh-CN"/>
              </w:rPr>
            </w:pPr>
            <w:r>
              <w:rPr>
                <w:rFonts w:hint="eastAsia" w:cs="Times New Roman"/>
                <w:lang w:val="en-US" w:eastAsia="zh-CN"/>
              </w:rPr>
              <w:t>③</w:t>
            </w:r>
            <w:r>
              <w:rPr>
                <w:rFonts w:hint="default" w:ascii="Times New Roman" w:hAnsi="Times New Roman" w:eastAsia="宋体" w:cs="Times New Roman"/>
                <w:lang w:val="en-US" w:eastAsia="zh-CN"/>
              </w:rPr>
              <w:t>项目防渗层如果发生破损等防渗层性能降低的情况下，项目污染源对潜水含水层环境有一定的影响，因此环评要求应对危废暂存间设置必要的检漏时间及周期，在一个检漏周期内，对可能有污染物跑冒滴漏等产生的地区进行必要的检漏工作，及时发现污染物渗漏等事件，采取补救措施。</w:t>
            </w:r>
          </w:p>
          <w:p>
            <w:pPr>
              <w:pStyle w:val="43"/>
              <w:keepNext w:val="0"/>
              <w:keepLines w:val="0"/>
              <w:suppressLineNumbers w:val="0"/>
              <w:spacing w:before="0" w:beforeAutospacing="0" w:after="0" w:afterAutospacing="0" w:line="360" w:lineRule="auto"/>
              <w:ind w:left="0" w:right="0" w:firstLine="0"/>
              <w:rPr>
                <w:rFonts w:hint="default" w:ascii="Times New Roman" w:hAnsi="Times New Roman" w:eastAsia="宋体" w:cs="Times New Roman"/>
                <w:lang w:val="en-US" w:eastAsia="zh-CN"/>
              </w:rPr>
            </w:pPr>
            <w:r>
              <w:rPr>
                <w:rFonts w:hint="default" w:ascii="Times New Roman" w:hAnsi="Times New Roman" w:eastAsia="宋体" w:cs="Times New Roman"/>
              </w:rPr>
              <w:t>综上，</w:t>
            </w:r>
            <w:r>
              <w:rPr>
                <w:rFonts w:hint="default" w:ascii="Times New Roman" w:hAnsi="Times New Roman" w:eastAsia="宋体" w:cs="Times New Roman"/>
                <w:lang w:val="en-US" w:eastAsia="zh-CN"/>
              </w:rPr>
              <w:t>项目经采取上述分区防渗措施后，对区域地下水、土壤环境影响较小。</w:t>
            </w:r>
          </w:p>
          <w:p>
            <w:pPr>
              <w:pStyle w:val="3"/>
              <w:keepNext w:val="0"/>
              <w:keepLines w:val="0"/>
              <w:suppressLineNumbers w:val="0"/>
              <w:bidi w:val="0"/>
              <w:spacing w:before="0" w:beforeAutospacing="0" w:after="0" w:afterAutospacing="0" w:line="360" w:lineRule="auto"/>
              <w:ind w:left="0" w:right="0"/>
              <w:rPr>
                <w:rFonts w:hint="default" w:ascii="Times New Roman" w:hAnsi="Times New Roman" w:eastAsia="宋体" w:cs="Times New Roman"/>
              </w:rPr>
            </w:pPr>
            <w:r>
              <w:rPr>
                <w:rFonts w:hint="default" w:ascii="Times New Roman" w:hAnsi="Times New Roman" w:eastAsia="宋体" w:cs="Times New Roman"/>
              </w:rPr>
              <w:t>环境风险</w:t>
            </w:r>
            <w:bookmarkEnd w:id="114"/>
            <w:bookmarkEnd w:id="115"/>
          </w:p>
          <w:p>
            <w:pPr>
              <w:pStyle w:val="4"/>
              <w:suppressLineNumbers w:val="0"/>
              <w:spacing w:beforeAutospacing="0" w:after="0" w:afterAutospacing="0"/>
              <w:ind w:left="720" w:right="0" w:hanging="720" w:firstLineChars="0"/>
              <w:rPr>
                <w:rFonts w:hint="eastAsia" w:eastAsia="宋体"/>
                <w:color w:val="000000"/>
              </w:rPr>
            </w:pPr>
            <w:r>
              <w:rPr>
                <w:rFonts w:hint="eastAsia" w:eastAsia="宋体"/>
                <w:color w:val="000000"/>
              </w:rPr>
              <w:t>环境风险</w:t>
            </w:r>
            <w:r>
              <w:rPr>
                <w:rFonts w:hint="eastAsia"/>
                <w:color w:val="000000"/>
                <w:lang w:val="en-US" w:eastAsia="zh-CN"/>
              </w:rPr>
              <w:t>物质</w:t>
            </w:r>
            <w:r>
              <w:rPr>
                <w:rFonts w:hint="eastAsia" w:eastAsia="宋体"/>
                <w:color w:val="000000"/>
              </w:rPr>
              <w:t>识别</w:t>
            </w:r>
          </w:p>
          <w:p>
            <w:pPr>
              <w:pStyle w:val="43"/>
              <w:keepNext w:val="0"/>
              <w:keepLines w:val="0"/>
              <w:suppressLineNumbers w:val="0"/>
              <w:spacing w:before="0" w:beforeLines="0" w:beforeAutospacing="0" w:after="0" w:afterAutospacing="0"/>
              <w:ind w:left="0" w:right="0" w:firstLine="480"/>
              <w:rPr>
                <w:rFonts w:hint="eastAsia" w:eastAsia="宋体"/>
                <w:color w:val="000000"/>
              </w:rPr>
            </w:pPr>
            <w:r>
              <w:rPr>
                <w:rFonts w:hint="eastAsia" w:eastAsia="宋体"/>
                <w:color w:val="000000"/>
              </w:rPr>
              <w:t>计算所涉及的每种危险物质在厂界内的最大存在总量与其在《建设项目环境风险评价技术导则》（HJ 169-2018）附录B中对应临界量的比值Q。在不同厂区的同一种物质，按其在厂界内的最大存在总量计算。</w:t>
            </w:r>
          </w:p>
          <w:p>
            <w:pPr>
              <w:pStyle w:val="43"/>
              <w:keepNext w:val="0"/>
              <w:keepLines w:val="0"/>
              <w:suppressLineNumbers w:val="0"/>
              <w:spacing w:before="157" w:beforeLines="50" w:beforeAutospacing="0" w:after="0" w:afterAutospacing="0"/>
              <w:ind w:left="0" w:right="0" w:firstLine="480"/>
              <w:rPr>
                <w:rFonts w:hint="eastAsia" w:eastAsia="宋体"/>
                <w:color w:val="000000"/>
              </w:rPr>
            </w:pPr>
            <w:r>
              <w:rPr>
                <w:rFonts w:hint="eastAsia" w:eastAsia="宋体"/>
                <w:color w:val="000000"/>
              </w:rPr>
              <w:t>当只涉及一种危险物质时，计算该物质的总量与其临界量比值，即为Q；</w:t>
            </w:r>
          </w:p>
          <w:p>
            <w:pPr>
              <w:pStyle w:val="43"/>
              <w:keepNext w:val="0"/>
              <w:keepLines w:val="0"/>
              <w:suppressLineNumbers w:val="0"/>
              <w:spacing w:before="157" w:beforeLines="50" w:beforeAutospacing="0" w:after="0" w:afterAutospacing="0"/>
              <w:ind w:left="0" w:right="0" w:firstLine="480"/>
              <w:rPr>
                <w:rFonts w:hint="eastAsia" w:eastAsia="宋体"/>
                <w:color w:val="000000"/>
              </w:rPr>
            </w:pPr>
            <w:r>
              <w:rPr>
                <w:rFonts w:hint="eastAsia" w:eastAsia="宋体"/>
                <w:color w:val="000000"/>
              </w:rPr>
              <w:t>当存在多种危险物质时，则按下式计算物质总量与其临界量比值（Q）：</w:t>
            </w:r>
          </w:p>
          <w:p>
            <w:pPr>
              <w:pStyle w:val="43"/>
              <w:keepNext w:val="0"/>
              <w:keepLines w:val="0"/>
              <w:suppressLineNumbers w:val="0"/>
              <w:spacing w:before="157" w:beforeLines="50" w:beforeAutospacing="0" w:after="0" w:afterAutospacing="0"/>
              <w:ind w:left="0" w:right="0" w:firstLine="480"/>
              <w:jc w:val="center"/>
              <w:rPr>
                <w:rFonts w:hint="eastAsia" w:eastAsia="宋体"/>
                <w:color w:val="000000"/>
              </w:rPr>
            </w:pPr>
            <w:r>
              <w:rPr>
                <w:rFonts w:hint="eastAsia" w:eastAsia="宋体"/>
                <w:color w:val="000000"/>
              </w:rPr>
              <w:drawing>
                <wp:inline distT="0" distB="0" distL="114300" distR="114300">
                  <wp:extent cx="1978025" cy="496570"/>
                  <wp:effectExtent l="0" t="0" r="3175" b="17780"/>
                  <wp:docPr id="7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6"/>
                          <pic:cNvPicPr>
                            <a:picLocks noChangeAspect="1"/>
                          </pic:cNvPicPr>
                        </pic:nvPicPr>
                        <pic:blipFill>
                          <a:blip r:embed="rId20"/>
                          <a:stretch>
                            <a:fillRect/>
                          </a:stretch>
                        </pic:blipFill>
                        <pic:spPr>
                          <a:xfrm>
                            <a:off x="0" y="0"/>
                            <a:ext cx="1978025" cy="496570"/>
                          </a:xfrm>
                          <a:prstGeom prst="rect">
                            <a:avLst/>
                          </a:prstGeom>
                          <a:noFill/>
                          <a:ln>
                            <a:noFill/>
                          </a:ln>
                        </pic:spPr>
                      </pic:pic>
                    </a:graphicData>
                  </a:graphic>
                </wp:inline>
              </w:drawing>
            </w:r>
          </w:p>
          <w:p>
            <w:pPr>
              <w:pStyle w:val="43"/>
              <w:keepNext w:val="0"/>
              <w:keepLines w:val="0"/>
              <w:suppressLineNumbers w:val="0"/>
              <w:spacing w:before="157" w:beforeLines="50" w:beforeAutospacing="0" w:after="0" w:afterAutospacing="0"/>
              <w:ind w:left="0" w:right="0" w:firstLine="480"/>
              <w:rPr>
                <w:rFonts w:hint="eastAsia" w:eastAsia="宋体"/>
                <w:color w:val="000000"/>
              </w:rPr>
            </w:pPr>
            <w:r>
              <w:rPr>
                <w:rFonts w:hint="eastAsia" w:eastAsia="宋体"/>
                <w:color w:val="000000"/>
              </w:rPr>
              <w:t>式中：q</w:t>
            </w:r>
            <w:r>
              <w:rPr>
                <w:rFonts w:hint="eastAsia" w:eastAsia="宋体"/>
                <w:color w:val="000000"/>
                <w:vertAlign w:val="subscript"/>
              </w:rPr>
              <w:t>1</w:t>
            </w:r>
            <w:r>
              <w:rPr>
                <w:rFonts w:hint="eastAsia" w:eastAsia="宋体"/>
                <w:color w:val="000000"/>
              </w:rPr>
              <w:t>，q</w:t>
            </w:r>
            <w:r>
              <w:rPr>
                <w:rFonts w:hint="eastAsia" w:eastAsia="宋体"/>
                <w:color w:val="000000"/>
                <w:vertAlign w:val="subscript"/>
              </w:rPr>
              <w:t>2</w:t>
            </w:r>
            <w:r>
              <w:rPr>
                <w:rFonts w:hint="eastAsia" w:eastAsia="宋体"/>
                <w:color w:val="000000"/>
              </w:rPr>
              <w:t>，...，</w:t>
            </w:r>
            <w:r>
              <w:rPr>
                <w:rFonts w:hint="eastAsia" w:eastAsia="宋体"/>
                <w:color w:val="000000"/>
                <w:lang w:val="en-US" w:eastAsia="zh-CN"/>
              </w:rPr>
              <w:t>q</w:t>
            </w:r>
            <w:r>
              <w:rPr>
                <w:rFonts w:hint="eastAsia" w:eastAsia="宋体"/>
                <w:color w:val="000000"/>
                <w:vertAlign w:val="subscript"/>
              </w:rPr>
              <w:t>n</w:t>
            </w:r>
            <w:r>
              <w:rPr>
                <w:rFonts w:hint="eastAsia" w:eastAsia="宋体"/>
                <w:color w:val="000000"/>
              </w:rPr>
              <w:t>——每种危险物质的最大存在总量，t；</w:t>
            </w:r>
          </w:p>
          <w:p>
            <w:pPr>
              <w:pStyle w:val="43"/>
              <w:keepNext w:val="0"/>
              <w:keepLines w:val="0"/>
              <w:suppressLineNumbers w:val="0"/>
              <w:spacing w:before="157" w:beforeLines="50" w:beforeAutospacing="0" w:after="0" w:afterAutospacing="0"/>
              <w:ind w:left="0" w:right="0" w:firstLine="480"/>
              <w:rPr>
                <w:rFonts w:hint="eastAsia" w:eastAsia="宋体"/>
                <w:color w:val="000000"/>
              </w:rPr>
            </w:pPr>
            <w:r>
              <w:rPr>
                <w:rFonts w:hint="eastAsia" w:eastAsia="宋体"/>
                <w:color w:val="000000"/>
              </w:rPr>
              <w:t>Q</w:t>
            </w:r>
            <w:r>
              <w:rPr>
                <w:rFonts w:hint="eastAsia" w:eastAsia="宋体"/>
                <w:color w:val="000000"/>
                <w:vertAlign w:val="subscript"/>
                <w:lang w:val="en-US" w:eastAsia="zh-CN"/>
              </w:rPr>
              <w:t>1</w:t>
            </w:r>
            <w:r>
              <w:rPr>
                <w:rFonts w:hint="eastAsia" w:eastAsia="宋体"/>
                <w:color w:val="000000"/>
                <w:lang w:val="en-US" w:eastAsia="zh-CN"/>
              </w:rPr>
              <w:t>，</w:t>
            </w:r>
            <w:r>
              <w:rPr>
                <w:rFonts w:hint="eastAsia" w:eastAsia="宋体"/>
                <w:color w:val="000000"/>
              </w:rPr>
              <w:t>Q</w:t>
            </w:r>
            <w:r>
              <w:rPr>
                <w:rFonts w:hint="eastAsia" w:eastAsia="宋体"/>
                <w:color w:val="000000"/>
                <w:vertAlign w:val="subscript"/>
                <w:lang w:val="en-US" w:eastAsia="zh-CN"/>
              </w:rPr>
              <w:t>2</w:t>
            </w:r>
            <w:r>
              <w:rPr>
                <w:rFonts w:hint="eastAsia" w:eastAsia="宋体"/>
                <w:color w:val="000000"/>
                <w:lang w:val="en-US" w:eastAsia="zh-CN"/>
              </w:rPr>
              <w:t>，</w:t>
            </w:r>
            <w:r>
              <w:rPr>
                <w:rFonts w:hint="eastAsia" w:eastAsia="宋体"/>
                <w:color w:val="000000"/>
              </w:rPr>
              <w:t>...,Q</w:t>
            </w:r>
            <w:r>
              <w:rPr>
                <w:rFonts w:hint="eastAsia" w:eastAsia="宋体"/>
                <w:color w:val="000000"/>
                <w:vertAlign w:val="subscript"/>
                <w:lang w:val="en-US" w:eastAsia="zh-CN"/>
              </w:rPr>
              <w:t>n</w:t>
            </w:r>
            <w:r>
              <w:rPr>
                <w:rFonts w:hint="eastAsia" w:eastAsia="宋体"/>
                <w:color w:val="000000"/>
              </w:rPr>
              <w:t>——每种危险物质的临界量，t。</w:t>
            </w:r>
          </w:p>
          <w:p>
            <w:pPr>
              <w:pStyle w:val="43"/>
              <w:keepNext w:val="0"/>
              <w:keepLines w:val="0"/>
              <w:suppressLineNumbers w:val="0"/>
              <w:spacing w:before="157" w:beforeLines="50" w:beforeAutospacing="0" w:after="0" w:afterAutospacing="0"/>
              <w:ind w:left="0" w:right="0" w:firstLine="480"/>
              <w:rPr>
                <w:rFonts w:hint="eastAsia" w:eastAsia="宋体"/>
                <w:color w:val="000000"/>
              </w:rPr>
            </w:pPr>
            <w:r>
              <w:rPr>
                <w:rFonts w:hint="eastAsia" w:eastAsia="宋体"/>
                <w:color w:val="000000"/>
              </w:rPr>
              <w:t>当Q＜1时，该项目环境风险潜势为</w:t>
            </w:r>
            <w:r>
              <w:rPr>
                <w:rFonts w:hint="default" w:eastAsia="宋体"/>
                <w:color w:val="000000"/>
              </w:rPr>
              <w:t>Ⅰ</w:t>
            </w:r>
            <w:r>
              <w:rPr>
                <w:rFonts w:hint="eastAsia" w:eastAsia="宋体"/>
                <w:color w:val="000000"/>
              </w:rPr>
              <w:t>。</w:t>
            </w:r>
          </w:p>
          <w:p>
            <w:pPr>
              <w:pStyle w:val="43"/>
              <w:keepNext w:val="0"/>
              <w:keepLines w:val="0"/>
              <w:suppressLineNumbers w:val="0"/>
              <w:spacing w:before="157" w:beforeLines="50" w:beforeAutospacing="0" w:after="0" w:afterAutospacing="0"/>
              <w:ind w:left="0" w:right="0" w:firstLine="480"/>
              <w:rPr>
                <w:rFonts w:hint="eastAsia" w:eastAsia="宋体"/>
                <w:color w:val="000000"/>
              </w:rPr>
            </w:pPr>
            <w:r>
              <w:rPr>
                <w:rFonts w:hint="eastAsia" w:eastAsia="宋体"/>
                <w:color w:val="000000"/>
              </w:rPr>
              <w:t>当Q≥1时，将Q值划分为：（1）1≤Q＜10；（2）10≤Q＜100；（3）Q≥100。</w:t>
            </w:r>
          </w:p>
          <w:p>
            <w:pPr>
              <w:pStyle w:val="43"/>
              <w:keepNext w:val="0"/>
              <w:keepLines w:val="0"/>
              <w:suppressLineNumbers w:val="0"/>
              <w:spacing w:before="157" w:beforeLines="50" w:beforeAutospacing="0" w:after="0" w:afterAutospacing="0"/>
              <w:ind w:left="0" w:right="0" w:firstLine="480"/>
              <w:rPr>
                <w:rFonts w:hint="eastAsia" w:eastAsia="宋体"/>
                <w:color w:val="000000"/>
              </w:rPr>
            </w:pPr>
            <w:r>
              <w:rPr>
                <w:rFonts w:hint="eastAsia" w:eastAsia="宋体"/>
                <w:color w:val="000000"/>
              </w:rPr>
              <w:t>项目环境风险物质</w:t>
            </w:r>
            <w:r>
              <w:rPr>
                <w:rFonts w:hint="eastAsia" w:eastAsia="宋体"/>
                <w:color w:val="000000"/>
                <w:lang w:val="en-US" w:eastAsia="zh-CN"/>
              </w:rPr>
              <w:t>为废机油，贮存于危险废物暂存间，</w:t>
            </w:r>
            <w:r>
              <w:rPr>
                <w:rFonts w:hint="eastAsia"/>
                <w:color w:val="000000"/>
                <w:lang w:val="en-US" w:eastAsia="zh-CN"/>
              </w:rPr>
              <w:t>其最大</w:t>
            </w:r>
            <w:r>
              <w:rPr>
                <w:rFonts w:hint="eastAsia" w:eastAsia="宋体"/>
                <w:color w:val="000000"/>
              </w:rPr>
              <w:t>存在量及其临界量见</w:t>
            </w:r>
            <w:r>
              <w:rPr>
                <w:rFonts w:hint="eastAsia" w:eastAsia="宋体"/>
                <w:color w:val="000000"/>
                <w:lang w:val="en-US" w:eastAsia="zh-CN"/>
              </w:rPr>
              <w:t>下表</w:t>
            </w:r>
            <w:r>
              <w:rPr>
                <w:rFonts w:hint="eastAsia" w:eastAsia="宋体"/>
                <w:color w:val="000000"/>
              </w:rPr>
              <w:t>。</w:t>
            </w:r>
          </w:p>
          <w:p>
            <w:pPr>
              <w:pStyle w:val="42"/>
              <w:keepNext w:val="0"/>
              <w:keepLines w:val="0"/>
              <w:suppressLineNumbers w:val="0"/>
              <w:autoSpaceDE/>
              <w:autoSpaceDN/>
              <w:adjustRightInd/>
              <w:snapToGrid/>
              <w:spacing w:beforeLines="0" w:beforeAutospacing="0" w:after="0" w:afterAutospacing="0"/>
              <w:ind w:right="0"/>
              <w:rPr>
                <w:rFonts w:hint="eastAsia" w:eastAsia="宋体"/>
                <w:color w:val="000000"/>
              </w:rPr>
            </w:pPr>
            <w:r>
              <w:rPr>
                <w:rFonts w:hint="eastAsia" w:eastAsia="宋体"/>
                <w:color w:val="000000"/>
              </w:rPr>
              <w:t>项目Q值计算</w:t>
            </w:r>
          </w:p>
          <w:tbl>
            <w:tblPr>
              <w:tblStyle w:val="3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924"/>
              <w:gridCol w:w="1924"/>
              <w:gridCol w:w="1152"/>
              <w:gridCol w:w="15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风险物质</w:t>
                  </w:r>
                </w:p>
              </w:tc>
              <w:tc>
                <w:tcPr>
                  <w:tcW w:w="1190"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CAS号</w:t>
                  </w:r>
                </w:p>
              </w:tc>
              <w:tc>
                <w:tcPr>
                  <w:tcW w:w="1190"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最大储存量 t</w:t>
                  </w:r>
                </w:p>
              </w:tc>
              <w:tc>
                <w:tcPr>
                  <w:tcW w:w="713"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临界量 t</w:t>
                  </w:r>
                </w:p>
              </w:tc>
              <w:tc>
                <w:tcPr>
                  <w:tcW w:w="952"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废机油</w:t>
                  </w:r>
                </w:p>
              </w:tc>
              <w:tc>
                <w:tcPr>
                  <w:tcW w:w="1190"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w:t>
                  </w:r>
                </w:p>
              </w:tc>
              <w:tc>
                <w:tcPr>
                  <w:tcW w:w="1190"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lang w:val="en-US" w:eastAsia="zh-CN"/>
                    </w:rPr>
                  </w:pPr>
                  <w:r>
                    <w:rPr>
                      <w:rFonts w:hint="default" w:ascii="Times New Roman" w:hAnsi="Times New Roman" w:eastAsia="宋体" w:cs="Times New Roman"/>
                      <w:b w:val="0"/>
                      <w:bCs w:val="0"/>
                      <w:color w:val="auto"/>
                      <w:sz w:val="21"/>
                      <w:highlight w:val="none"/>
                      <w:lang w:val="en-US" w:eastAsia="zh-CN"/>
                    </w:rPr>
                    <w:t>0.02</w:t>
                  </w:r>
                </w:p>
              </w:tc>
              <w:tc>
                <w:tcPr>
                  <w:tcW w:w="713"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2500</w:t>
                  </w:r>
                </w:p>
              </w:tc>
              <w:tc>
                <w:tcPr>
                  <w:tcW w:w="952"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lang w:val="en-US" w:eastAsia="zh-CN"/>
                    </w:rPr>
                  </w:pPr>
                  <w:r>
                    <w:rPr>
                      <w:rFonts w:hint="default" w:ascii="Times New Roman" w:hAnsi="Times New Roman" w:eastAsia="宋体" w:cs="Times New Roman"/>
                      <w:b w:val="0"/>
                      <w:bCs w:val="0"/>
                      <w:color w:val="auto"/>
                      <w:sz w:val="21"/>
                      <w:highlight w:val="none"/>
                    </w:rPr>
                    <w:t>0.00</w:t>
                  </w:r>
                  <w:r>
                    <w:rPr>
                      <w:rFonts w:hint="default" w:ascii="Times New Roman" w:hAnsi="Times New Roman" w:eastAsia="宋体" w:cs="Times New Roman"/>
                      <w:b w:val="0"/>
                      <w:bCs w:val="0"/>
                      <w:color w:val="auto"/>
                      <w:sz w:val="21"/>
                      <w:highlight w:val="none"/>
                      <w:lang w:val="en-US" w:eastAsia="zh-CN"/>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合计</w:t>
                  </w:r>
                </w:p>
              </w:tc>
              <w:tc>
                <w:tcPr>
                  <w:tcW w:w="1190"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w:t>
                  </w:r>
                </w:p>
              </w:tc>
              <w:tc>
                <w:tcPr>
                  <w:tcW w:w="1190"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w:t>
                  </w:r>
                </w:p>
              </w:tc>
              <w:tc>
                <w:tcPr>
                  <w:tcW w:w="713"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rPr>
                  </w:pPr>
                  <w:r>
                    <w:rPr>
                      <w:rFonts w:hint="default" w:ascii="Times New Roman" w:hAnsi="Times New Roman" w:eastAsia="宋体" w:cs="Times New Roman"/>
                      <w:b w:val="0"/>
                      <w:bCs w:val="0"/>
                      <w:color w:val="auto"/>
                      <w:sz w:val="21"/>
                      <w:highlight w:val="none"/>
                    </w:rPr>
                    <w:t>/</w:t>
                  </w:r>
                </w:p>
              </w:tc>
              <w:tc>
                <w:tcPr>
                  <w:tcW w:w="952" w:type="pct"/>
                  <w:tcBorders>
                    <w:tl2br w:val="nil"/>
                    <w:tr2bl w:val="nil"/>
                  </w:tcBorders>
                  <w:noWrap w:val="0"/>
                  <w:vAlign w:val="center"/>
                </w:tcPr>
                <w:p>
                  <w:pPr>
                    <w:pStyle w:val="140"/>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sz w:val="21"/>
                      <w:highlight w:val="none"/>
                      <w:lang w:val="en-US"/>
                    </w:rPr>
                  </w:pPr>
                  <w:r>
                    <w:rPr>
                      <w:rFonts w:hint="default" w:ascii="Times New Roman" w:hAnsi="Times New Roman" w:eastAsia="宋体" w:cs="Times New Roman"/>
                      <w:b w:val="0"/>
                      <w:bCs w:val="0"/>
                      <w:color w:val="auto"/>
                      <w:sz w:val="21"/>
                      <w:highlight w:val="none"/>
                    </w:rPr>
                    <w:t>0.00</w:t>
                  </w:r>
                  <w:r>
                    <w:rPr>
                      <w:rFonts w:hint="default" w:ascii="Times New Roman" w:hAnsi="Times New Roman" w:eastAsia="宋体" w:cs="Times New Roman"/>
                      <w:b w:val="0"/>
                      <w:bCs w:val="0"/>
                      <w:color w:val="auto"/>
                      <w:sz w:val="21"/>
                      <w:highlight w:val="none"/>
                      <w:lang w:val="en-US" w:eastAsia="zh-CN"/>
                    </w:rPr>
                    <w:t>0008</w:t>
                  </w:r>
                </w:p>
              </w:tc>
            </w:tr>
          </w:tbl>
          <w:p>
            <w:pPr>
              <w:keepNext w:val="0"/>
              <w:keepLines w:val="0"/>
              <w:suppressLineNumbers w:val="0"/>
              <w:spacing w:before="0" w:beforeAutospacing="0" w:after="0" w:afterAutospacing="0" w:line="360" w:lineRule="auto"/>
              <w:ind w:left="0" w:right="0" w:firstLine="480" w:firstLineChars="200"/>
              <w:rPr>
                <w:rFonts w:hint="eastAsia" w:eastAsia="宋体"/>
                <w:color w:val="000000"/>
                <w:sz w:val="24"/>
                <w:szCs w:val="20"/>
              </w:rPr>
            </w:pPr>
            <w:r>
              <w:rPr>
                <w:rFonts w:hint="eastAsia" w:eastAsia="宋体"/>
                <w:color w:val="000000"/>
                <w:sz w:val="24"/>
                <w:szCs w:val="20"/>
              </w:rPr>
              <w:t>根据上表可知，本项目Q=0.000</w:t>
            </w:r>
            <w:r>
              <w:rPr>
                <w:rFonts w:hint="eastAsia" w:eastAsia="宋体"/>
                <w:color w:val="000000"/>
                <w:sz w:val="24"/>
                <w:szCs w:val="20"/>
                <w:lang w:eastAsia="zh-CN"/>
              </w:rPr>
              <w:t>0</w:t>
            </w:r>
            <w:r>
              <w:rPr>
                <w:rFonts w:hint="eastAsia" w:eastAsia="宋体"/>
                <w:color w:val="000000"/>
                <w:sz w:val="24"/>
                <w:szCs w:val="20"/>
                <w:lang w:val="en-US" w:eastAsia="zh-CN"/>
              </w:rPr>
              <w:t>08</w:t>
            </w:r>
            <w:r>
              <w:rPr>
                <w:rFonts w:hint="eastAsia" w:eastAsia="宋体"/>
                <w:color w:val="000000"/>
                <w:sz w:val="24"/>
                <w:szCs w:val="20"/>
              </w:rPr>
              <w:t>＜1，即环境风险潜势为</w:t>
            </w:r>
            <w:r>
              <w:rPr>
                <w:rFonts w:hint="default" w:ascii="Times New Roman" w:hAnsi="Times New Roman" w:eastAsia="宋体" w:cs="Times New Roman"/>
                <w:color w:val="000000"/>
              </w:rPr>
              <w:t>Ⅰ</w:t>
            </w:r>
            <w:r>
              <w:rPr>
                <w:rFonts w:hint="eastAsia" w:eastAsia="宋体"/>
                <w:color w:val="000000"/>
                <w:sz w:val="24"/>
                <w:szCs w:val="20"/>
              </w:rPr>
              <w:t>，只需开展简单分析。</w:t>
            </w:r>
          </w:p>
          <w:p>
            <w:pPr>
              <w:pStyle w:val="4"/>
              <w:suppressLineNumbers w:val="0"/>
              <w:spacing w:beforeAutospacing="0" w:after="0" w:afterAutospacing="0"/>
              <w:ind w:left="720" w:right="0" w:hanging="720" w:firstLineChars="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环境风险</w:t>
            </w:r>
            <w:r>
              <w:rPr>
                <w:rFonts w:hint="eastAsia" w:cs="Times New Roman"/>
                <w:color w:val="000000"/>
                <w:sz w:val="24"/>
                <w:szCs w:val="24"/>
                <w:lang w:val="en-US" w:eastAsia="zh-CN"/>
              </w:rPr>
              <w:t>识别</w:t>
            </w:r>
          </w:p>
          <w:p>
            <w:pPr>
              <w:keepNext w:val="0"/>
              <w:keepLines w:val="0"/>
              <w:suppressLineNumbers w:val="0"/>
              <w:spacing w:before="0" w:beforeAutospacing="0" w:after="0" w:afterAutospacing="0" w:line="360" w:lineRule="auto"/>
              <w:ind w:left="0" w:right="0" w:firstLine="480" w:firstLineChars="200"/>
              <w:rPr>
                <w:rFonts w:hint="default" w:eastAsia="宋体"/>
                <w:color w:val="000000"/>
                <w:sz w:val="24"/>
                <w:szCs w:val="24"/>
              </w:rPr>
            </w:pPr>
            <w:r>
              <w:rPr>
                <w:rFonts w:hint="eastAsia"/>
                <w:color w:val="000000"/>
                <w:sz w:val="24"/>
                <w:szCs w:val="24"/>
                <w:lang w:val="en-US" w:eastAsia="zh-CN"/>
              </w:rPr>
              <w:t>a.</w:t>
            </w:r>
            <w:r>
              <w:rPr>
                <w:rFonts w:hint="eastAsia" w:eastAsia="宋体"/>
                <w:color w:val="000000"/>
                <w:sz w:val="24"/>
                <w:szCs w:val="24"/>
              </w:rPr>
              <w:t>废机油对环境影响途径为：废机油液发生泄漏，</w:t>
            </w:r>
            <w:r>
              <w:rPr>
                <w:rFonts w:hint="eastAsia"/>
                <w:color w:val="000000"/>
                <w:sz w:val="24"/>
                <w:szCs w:val="24"/>
                <w:lang w:val="en-US" w:eastAsia="zh-CN"/>
              </w:rPr>
              <w:t>可能</w:t>
            </w:r>
            <w:r>
              <w:rPr>
                <w:rFonts w:hint="eastAsia" w:eastAsia="宋体"/>
                <w:color w:val="000000"/>
                <w:sz w:val="24"/>
                <w:szCs w:val="24"/>
              </w:rPr>
              <w:t>对周边地表水、地下水及土壤环境产生影响。</w:t>
            </w:r>
          </w:p>
          <w:p>
            <w:pPr>
              <w:pStyle w:val="30"/>
              <w:keepNext w:val="0"/>
              <w:keepLines w:val="0"/>
              <w:suppressLineNumbers w:val="0"/>
              <w:spacing w:before="0" w:beforeAutospacing="0" w:after="0" w:afterAutospacing="0" w:line="360" w:lineRule="auto"/>
              <w:ind w:left="0" w:right="0" w:firstLine="480" w:firstLineChars="200"/>
              <w:jc w:val="both"/>
              <w:rPr>
                <w:rFonts w:hint="eastAsia" w:ascii="Times New Roman" w:hAnsi="Times New Roman"/>
                <w:b w:val="0"/>
                <w:bCs w:val="0"/>
                <w:color w:val="000000"/>
                <w:sz w:val="24"/>
                <w:szCs w:val="20"/>
                <w:lang w:val="en-US" w:eastAsia="zh-CN"/>
              </w:rPr>
            </w:pPr>
            <w:r>
              <w:rPr>
                <w:rFonts w:hint="eastAsia" w:ascii="Times New Roman" w:hAnsi="Times New Roman"/>
                <w:b w:val="0"/>
                <w:bCs w:val="0"/>
                <w:color w:val="000000"/>
                <w:sz w:val="24"/>
                <w:szCs w:val="24"/>
                <w:lang w:val="en-US" w:eastAsia="zh-CN"/>
              </w:rPr>
              <w:t>b.火灾对环境的影响</w:t>
            </w:r>
            <w:r>
              <w:rPr>
                <w:rFonts w:hint="eastAsia" w:ascii="Times New Roman" w:hAnsi="Times New Roman"/>
                <w:b w:val="0"/>
                <w:bCs w:val="0"/>
                <w:color w:val="000000"/>
                <w:sz w:val="24"/>
                <w:szCs w:val="20"/>
                <w:lang w:val="en-US" w:eastAsia="zh-CN"/>
              </w:rPr>
              <w:t>途径为：火灾带来的次生、衍生环境风险，原辅材料燃烧后会产生有毒气体对周边居民及企业造成一定的影响。</w:t>
            </w:r>
          </w:p>
          <w:p>
            <w:pPr>
              <w:pStyle w:val="30"/>
              <w:keepNext w:val="0"/>
              <w:keepLines w:val="0"/>
              <w:suppressLineNumbers w:val="0"/>
              <w:spacing w:before="0" w:beforeAutospacing="0" w:after="0" w:afterAutospacing="0" w:line="360" w:lineRule="auto"/>
              <w:ind w:left="0" w:right="0" w:firstLine="480" w:firstLineChars="200"/>
              <w:jc w:val="both"/>
              <w:rPr>
                <w:rFonts w:hint="default" w:ascii="Times New Roman" w:hAnsi="Times New Roman" w:eastAsia="宋体"/>
                <w:b w:val="0"/>
                <w:bCs w:val="0"/>
                <w:color w:val="000000"/>
                <w:sz w:val="24"/>
                <w:szCs w:val="20"/>
                <w:lang w:val="en-US" w:eastAsia="zh-CN"/>
              </w:rPr>
            </w:pPr>
            <w:r>
              <w:rPr>
                <w:rFonts w:hint="eastAsia" w:ascii="Times New Roman" w:hAnsi="Times New Roman"/>
                <w:b w:val="0"/>
                <w:bCs w:val="0"/>
                <w:color w:val="000000"/>
                <w:sz w:val="24"/>
                <w:szCs w:val="20"/>
                <w:lang w:val="en-US" w:eastAsia="zh-CN"/>
              </w:rPr>
              <w:t>c.废气对环境的影响途径为：</w:t>
            </w:r>
            <w:r>
              <w:rPr>
                <w:rFonts w:hint="eastAsia" w:ascii="Times New Roman" w:hAnsi="Times New Roman"/>
                <w:b w:val="0"/>
                <w:bCs w:val="0"/>
                <w:color w:val="000000"/>
                <w:sz w:val="24"/>
                <w:szCs w:val="20"/>
              </w:rPr>
              <w:t>废气处理设施出现故障，废气不经处理就直接排入大气</w:t>
            </w:r>
            <w:r>
              <w:rPr>
                <w:rFonts w:hint="eastAsia" w:ascii="Times New Roman" w:hAnsi="Times New Roman"/>
                <w:b w:val="0"/>
                <w:bCs w:val="0"/>
                <w:color w:val="000000"/>
                <w:sz w:val="24"/>
                <w:szCs w:val="20"/>
                <w:lang w:eastAsia="zh-CN"/>
              </w:rPr>
              <w:t>，</w:t>
            </w:r>
            <w:r>
              <w:rPr>
                <w:rFonts w:hint="eastAsia" w:ascii="Times New Roman" w:hAnsi="Times New Roman"/>
                <w:b w:val="0"/>
                <w:bCs w:val="0"/>
                <w:color w:val="000000"/>
                <w:sz w:val="24"/>
                <w:szCs w:val="20"/>
                <w:lang w:val="en-US" w:eastAsia="zh-CN"/>
              </w:rPr>
              <w:t>会对周边大气环境产生影响。</w:t>
            </w:r>
          </w:p>
          <w:p>
            <w:pPr>
              <w:pStyle w:val="4"/>
              <w:suppressLineNumbers w:val="0"/>
              <w:bidi w:val="0"/>
              <w:spacing w:beforeAutospacing="0" w:after="0" w:afterAutospacing="0" w:line="360" w:lineRule="auto"/>
              <w:ind w:left="720" w:leftChars="0" w:right="0" w:hanging="720" w:firstLineChars="0"/>
              <w:rPr>
                <w:rFonts w:hint="default" w:ascii="Times New Roman" w:hAnsi="Times New Roman" w:eastAsia="宋体" w:cs="Times New Roman"/>
                <w:lang w:val="en-US" w:eastAsia="zh-CN"/>
              </w:rPr>
            </w:pPr>
            <w:r>
              <w:rPr>
                <w:rFonts w:hint="eastAsia" w:cs="Times New Roman"/>
                <w:lang w:val="en-US" w:eastAsia="zh-CN"/>
              </w:rPr>
              <w:t>环境风险影响分析</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lang w:val="en-US" w:eastAsia="zh-CN"/>
              </w:rPr>
            </w:pPr>
            <w:r>
              <w:rPr>
                <w:rFonts w:hint="eastAsia"/>
                <w:color w:val="000000"/>
                <w:sz w:val="24"/>
                <w:szCs w:val="20"/>
                <w:lang w:eastAsia="zh-CN"/>
              </w:rPr>
              <w:t>（</w:t>
            </w:r>
            <w:r>
              <w:rPr>
                <w:rFonts w:hint="eastAsia"/>
                <w:color w:val="000000"/>
                <w:sz w:val="24"/>
                <w:szCs w:val="20"/>
                <w:lang w:val="en-US" w:eastAsia="zh-CN"/>
              </w:rPr>
              <w:t>1</w:t>
            </w:r>
            <w:r>
              <w:rPr>
                <w:rFonts w:hint="eastAsia"/>
                <w:color w:val="000000"/>
                <w:sz w:val="24"/>
                <w:szCs w:val="20"/>
                <w:lang w:eastAsia="zh-CN"/>
              </w:rPr>
              <w:t>）</w:t>
            </w:r>
            <w:r>
              <w:rPr>
                <w:rFonts w:hint="eastAsia"/>
                <w:color w:val="000000"/>
                <w:sz w:val="24"/>
                <w:szCs w:val="20"/>
                <w:lang w:val="en-US" w:eastAsia="zh-CN"/>
              </w:rPr>
              <w:t>废机油泄漏环境风险分析</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lang w:val="en-US" w:eastAsia="zh-CN"/>
              </w:rPr>
            </w:pPr>
            <w:r>
              <w:rPr>
                <w:rFonts w:hint="eastAsia"/>
                <w:color w:val="000000"/>
                <w:sz w:val="24"/>
                <w:szCs w:val="20"/>
              </w:rPr>
              <w:t>本项目产生的废机油储存在危废间内，</w:t>
            </w:r>
            <w:r>
              <w:rPr>
                <w:rFonts w:hint="eastAsia"/>
                <w:color w:val="000000"/>
                <w:sz w:val="24"/>
                <w:szCs w:val="20"/>
                <w:lang w:val="en-US" w:eastAsia="zh-CN"/>
              </w:rPr>
              <w:t>并</w:t>
            </w:r>
            <w:r>
              <w:rPr>
                <w:rFonts w:hint="eastAsia"/>
                <w:color w:val="000000"/>
                <w:sz w:val="24"/>
                <w:szCs w:val="20"/>
              </w:rPr>
              <w:t>按照</w:t>
            </w:r>
            <w:r>
              <w:rPr>
                <w:rFonts w:hint="eastAsia"/>
                <w:color w:val="000000"/>
                <w:sz w:val="24"/>
                <w:szCs w:val="20"/>
                <w:lang w:eastAsia="zh-CN"/>
              </w:rPr>
              <w:t>《危险废物贮存污染控制标准》（GB 18597-2023）</w:t>
            </w:r>
            <w:r>
              <w:rPr>
                <w:rFonts w:hint="eastAsia"/>
                <w:color w:val="000000"/>
                <w:sz w:val="24"/>
                <w:szCs w:val="20"/>
              </w:rPr>
              <w:t>要求在危废暂存间采取</w:t>
            </w:r>
            <w:r>
              <w:rPr>
                <w:rFonts w:hint="eastAsia"/>
                <w:color w:val="000000"/>
                <w:sz w:val="24"/>
                <w:szCs w:val="20"/>
                <w:lang w:val="en-US" w:eastAsia="zh-CN"/>
              </w:rPr>
              <w:t>重点</w:t>
            </w:r>
            <w:r>
              <w:rPr>
                <w:rFonts w:hint="eastAsia"/>
                <w:color w:val="000000"/>
                <w:sz w:val="24"/>
                <w:szCs w:val="20"/>
              </w:rPr>
              <w:t>防渗措施</w:t>
            </w:r>
            <w:r>
              <w:rPr>
                <w:rFonts w:hint="eastAsia"/>
                <w:color w:val="000000"/>
                <w:sz w:val="24"/>
                <w:szCs w:val="20"/>
                <w:lang w:eastAsia="zh-CN"/>
              </w:rPr>
              <w:t>，</w:t>
            </w:r>
            <w:r>
              <w:rPr>
                <w:rFonts w:hint="eastAsia"/>
                <w:color w:val="000000"/>
                <w:sz w:val="24"/>
                <w:szCs w:val="20"/>
              </w:rPr>
              <w:t>定期委托有资质的单位处置清运</w:t>
            </w:r>
            <w:r>
              <w:rPr>
                <w:rFonts w:hint="eastAsia"/>
                <w:color w:val="000000"/>
                <w:sz w:val="24"/>
                <w:szCs w:val="20"/>
                <w:lang w:eastAsia="zh-CN"/>
              </w:rPr>
              <w:t>，</w:t>
            </w:r>
            <w:r>
              <w:rPr>
                <w:rFonts w:hint="eastAsia"/>
                <w:color w:val="000000"/>
                <w:sz w:val="24"/>
                <w:szCs w:val="20"/>
                <w:lang w:val="en-US" w:eastAsia="zh-CN"/>
              </w:rPr>
              <w:t>防止发生废机油泄漏事故。废机油</w:t>
            </w:r>
            <w:r>
              <w:rPr>
                <w:rFonts w:hint="eastAsia"/>
                <w:color w:val="000000"/>
                <w:sz w:val="24"/>
                <w:szCs w:val="20"/>
              </w:rPr>
              <w:t>泄漏事故风险防范措施</w:t>
            </w:r>
            <w:r>
              <w:rPr>
                <w:rFonts w:hint="eastAsia"/>
                <w:color w:val="000000"/>
                <w:sz w:val="24"/>
                <w:szCs w:val="20"/>
                <w:lang w:val="en-US" w:eastAsia="zh-CN"/>
              </w:rPr>
              <w:t>如下：</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rPr>
              <w:t>①</w:t>
            </w:r>
            <w:r>
              <w:rPr>
                <w:rFonts w:hint="eastAsia"/>
                <w:color w:val="000000"/>
                <w:sz w:val="24"/>
                <w:szCs w:val="20"/>
                <w:lang w:val="en-US" w:eastAsia="zh-CN"/>
              </w:rPr>
              <w:t>危废间</w:t>
            </w:r>
            <w:r>
              <w:rPr>
                <w:rFonts w:hint="eastAsia"/>
                <w:color w:val="000000"/>
                <w:sz w:val="24"/>
                <w:szCs w:val="20"/>
              </w:rPr>
              <w:t>四周设置</w:t>
            </w:r>
            <w:r>
              <w:rPr>
                <w:rFonts w:hint="eastAsia"/>
                <w:color w:val="000000"/>
                <w:sz w:val="24"/>
                <w:szCs w:val="20"/>
                <w:lang w:val="en-US" w:eastAsia="zh-CN"/>
              </w:rPr>
              <w:t>导流沟</w:t>
            </w:r>
            <w:r>
              <w:rPr>
                <w:rFonts w:hint="eastAsia"/>
                <w:color w:val="000000"/>
                <w:sz w:val="24"/>
                <w:szCs w:val="20"/>
              </w:rPr>
              <w:t>，地面采取防渗，设置警示标识等。</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rPr>
              <w:t>②严禁明火，严格遵守操作规程，避免因操作失误发生事故。</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lang w:val="en-US" w:eastAsia="zh-CN"/>
              </w:rPr>
            </w:pPr>
            <w:r>
              <w:rPr>
                <w:rFonts w:hint="eastAsia"/>
                <w:color w:val="000000"/>
                <w:sz w:val="24"/>
                <w:szCs w:val="20"/>
              </w:rPr>
              <w:t>③配备相应的堵漏材料(沙袋、吸油毡等)。</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000000"/>
                <w:sz w:val="24"/>
                <w:szCs w:val="20"/>
                <w:lang w:val="en-US" w:eastAsia="zh-CN"/>
              </w:rPr>
            </w:pPr>
            <w:r>
              <w:rPr>
                <w:rFonts w:hint="eastAsia"/>
                <w:color w:val="000000"/>
                <w:sz w:val="24"/>
                <w:szCs w:val="20"/>
                <w:lang w:eastAsia="zh-CN"/>
              </w:rPr>
              <w:t>（</w:t>
            </w:r>
            <w:r>
              <w:rPr>
                <w:rFonts w:hint="eastAsia"/>
                <w:color w:val="000000"/>
                <w:sz w:val="24"/>
                <w:szCs w:val="20"/>
                <w:lang w:val="en-US" w:eastAsia="zh-CN"/>
              </w:rPr>
              <w:t>2</w:t>
            </w:r>
            <w:r>
              <w:rPr>
                <w:rFonts w:hint="eastAsia"/>
                <w:color w:val="000000"/>
                <w:sz w:val="24"/>
                <w:szCs w:val="20"/>
                <w:lang w:eastAsia="zh-CN"/>
              </w:rPr>
              <w:t>）</w:t>
            </w:r>
            <w:r>
              <w:rPr>
                <w:rFonts w:hint="eastAsia"/>
                <w:color w:val="000000"/>
                <w:sz w:val="24"/>
                <w:szCs w:val="20"/>
              </w:rPr>
              <w:t>火灾次生、衍生环境风险分析</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①</w:t>
            </w:r>
            <w:r>
              <w:rPr>
                <w:rFonts w:hint="eastAsia"/>
                <w:color w:val="000000"/>
                <w:sz w:val="24"/>
                <w:szCs w:val="20"/>
              </w:rPr>
              <w:t>火灾事故</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rPr>
              <w:t>本项目配套的储存设施为</w:t>
            </w:r>
            <w:r>
              <w:rPr>
                <w:rFonts w:hint="eastAsia"/>
                <w:color w:val="000000"/>
                <w:sz w:val="24"/>
                <w:szCs w:val="20"/>
                <w:lang w:val="en-US" w:eastAsia="zh-CN"/>
              </w:rPr>
              <w:t>原料区</w:t>
            </w:r>
            <w:r>
              <w:rPr>
                <w:rFonts w:hint="eastAsia"/>
                <w:color w:val="000000"/>
                <w:sz w:val="24"/>
                <w:szCs w:val="20"/>
              </w:rPr>
              <w:t>。本项目主要原辅材料均</w:t>
            </w:r>
            <w:r>
              <w:rPr>
                <w:rFonts w:hint="eastAsia"/>
                <w:color w:val="000000"/>
                <w:sz w:val="24"/>
                <w:szCs w:val="20"/>
                <w:lang w:val="en-US" w:eastAsia="zh-CN"/>
              </w:rPr>
              <w:t>以</w:t>
            </w:r>
            <w:r>
              <w:rPr>
                <w:rFonts w:hint="eastAsia"/>
                <w:color w:val="000000"/>
                <w:sz w:val="24"/>
                <w:szCs w:val="20"/>
              </w:rPr>
              <w:t>无环境危险物质、对人体健康无害物质为主，故不会造成重大事故。但本项目储存的原辅材料塑料极易燃烧，储存过程中若遇管理不当、通风不良等情况，极易发生火灾。仓库一旦发生火灾，会产生大量的烟气，而且烟气中含有一定的毒性成分，如果不能迅速排出室外，极易造成人员伤亡事故，也给消防员进入仓库扑救带来困难。</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②</w:t>
            </w:r>
            <w:r>
              <w:rPr>
                <w:rFonts w:hint="eastAsia"/>
                <w:color w:val="000000"/>
                <w:sz w:val="24"/>
                <w:szCs w:val="20"/>
              </w:rPr>
              <w:t>火灾爆炸事故引发的衍生物</w:t>
            </w:r>
          </w:p>
          <w:p>
            <w:pPr>
              <w:keepNext w:val="0"/>
              <w:keepLines w:val="0"/>
              <w:suppressLineNumbers w:val="0"/>
              <w:spacing w:before="0" w:beforeAutospacing="0" w:after="0" w:afterAutospacing="0" w:line="360" w:lineRule="auto"/>
              <w:ind w:left="0" w:right="0" w:firstLine="480" w:firstLineChars="200"/>
              <w:rPr>
                <w:rFonts w:hint="default" w:eastAsia="宋体"/>
                <w:color w:val="000000"/>
                <w:sz w:val="24"/>
                <w:szCs w:val="20"/>
                <w:lang w:val="en-US" w:eastAsia="zh-CN"/>
              </w:rPr>
            </w:pPr>
            <w:r>
              <w:rPr>
                <w:rFonts w:hint="eastAsia"/>
                <w:color w:val="000000"/>
                <w:sz w:val="24"/>
                <w:szCs w:val="20"/>
              </w:rPr>
              <w:t>项目原料塑料主要以碳、氢为主要组成元素，在火灾条件下，燃烧产生的有毒气体主要为一氧化碳，但同时也需要考虑其他易燃物遇热燃烧后产生的其他烃类气体、酚类气体等</w:t>
            </w:r>
            <w:r>
              <w:rPr>
                <w:rFonts w:hint="eastAsia"/>
                <w:lang w:val="en-US" w:eastAsia="zh-CN"/>
              </w:rPr>
              <w:t>。</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rPr>
              <w:t>一般情况下，只有热塑性塑料制品才在受热时熔化和流动，产生可燃烧的溶滴，燃烧溶滴的出现，会加速火势蔓延，对安全疏散及灭火都有影响。燃烧溶滴可能带来两种结果：一是塑料从火焰区熔化外流并组织再燃烧，二是溶滴燃烧并产生柏油一样的滴落物，后一种结果出现的可能性更大。</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rPr>
              <w:t>塑料燃烧或受热分解产物中的可燃气体，如一氧化碳与空气的混合物，在</w:t>
            </w:r>
            <w:r>
              <w:rPr>
                <w:rFonts w:hint="eastAsia"/>
                <w:color w:val="000000"/>
                <w:sz w:val="24"/>
                <w:szCs w:val="20"/>
                <w:lang w:val="en-US" w:eastAsia="zh-CN"/>
              </w:rPr>
              <w:t>一定</w:t>
            </w:r>
            <w:r>
              <w:rPr>
                <w:rFonts w:hint="eastAsia"/>
                <w:color w:val="000000"/>
                <w:sz w:val="24"/>
                <w:szCs w:val="20"/>
              </w:rPr>
              <w:t>的条件下会燃烧或爆炸，当火场氧气浓度改变时，可能导致更猛烈的燃烧或爆炸发生。</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rPr>
              <w:t>当火灾事故发生时，塑料燃烧产生的烟气短时间内会对厂内员工有较大的影响，并随着时间扩散，对项目周边企业和居民产生一定影响。</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a.</w:t>
            </w:r>
            <w:r>
              <w:rPr>
                <w:rFonts w:hint="eastAsia"/>
                <w:color w:val="000000"/>
                <w:sz w:val="24"/>
                <w:szCs w:val="20"/>
              </w:rPr>
              <w:t>塑料燃烧时产生的烟气中含大量的一氧化碳，一氧化碳随空气进入人体后，经肺泡进入血液循环，能与血液中红细胞里的血红蛋白、血液外的肌红蛋白和二价铁的细胞呼吸及酶等形成可逆性结合，高浓度一氧化碳可引起急性中毒，中毒者常出现脉弱，呼吸变慢等反应，最后衰竭而死；慢性一氧化碳中毒会出现头痛、头晕、记忆力降低等神经衰弱症状。燃烧事故发生后，先是对近距离目标影响最大，且危害程度也大，随着时间的推移，逐渐对远处产生影响，但危害程度逐渐减小。</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b.</w:t>
            </w:r>
            <w:r>
              <w:rPr>
                <w:rFonts w:hint="eastAsia"/>
                <w:color w:val="000000"/>
                <w:sz w:val="24"/>
                <w:szCs w:val="20"/>
              </w:rPr>
              <w:t>有毒烟气能在极短的时间快速进入密闭空间，可以使人窒息死亡。例如燃烧废旧塑料，能产生二噁英，并且在短时间内对人体危害较大，二噁英进入人体的途径主要有呼吸道、皮肤和消化道。它能够导致严重的皮肤损伤性疾病，具有强烈的致癌、致畸作用，同时还具有生殖毒性、免疫毒性和内分泌毒性，这种情况对于工厂内的工人的影响较大。</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c.</w:t>
            </w:r>
            <w:r>
              <w:rPr>
                <w:rFonts w:hint="eastAsia"/>
                <w:color w:val="000000"/>
                <w:sz w:val="24"/>
                <w:szCs w:val="20"/>
              </w:rPr>
              <w:t>如果发生爆炸事故，直接后果是近距离人员伤亡和设备受损，并造成大量的气态污染物和烟尘。</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lang w:eastAsia="zh-CN"/>
              </w:rPr>
            </w:pPr>
            <w:r>
              <w:rPr>
                <w:rFonts w:hint="eastAsia"/>
                <w:color w:val="000000"/>
                <w:sz w:val="24"/>
                <w:szCs w:val="20"/>
                <w:lang w:val="en-US" w:eastAsia="zh-CN"/>
              </w:rPr>
              <w:t>d.</w:t>
            </w:r>
            <w:r>
              <w:rPr>
                <w:rFonts w:hint="eastAsia"/>
                <w:color w:val="000000"/>
                <w:sz w:val="24"/>
                <w:szCs w:val="20"/>
              </w:rPr>
              <w:t>火灾发生时对厂区周围近距离敏感点也将产生一定影响，最近敏感点为</w:t>
            </w:r>
            <w:r>
              <w:rPr>
                <w:rFonts w:hint="eastAsia"/>
                <w:color w:val="000000"/>
                <w:sz w:val="24"/>
                <w:szCs w:val="20"/>
                <w:lang w:val="en-US" w:eastAsia="zh-CN"/>
              </w:rPr>
              <w:t>南</w:t>
            </w:r>
            <w:r>
              <w:rPr>
                <w:rFonts w:hint="eastAsia"/>
                <w:color w:val="000000"/>
                <w:sz w:val="24"/>
                <w:szCs w:val="20"/>
              </w:rPr>
              <w:t>侧</w:t>
            </w:r>
            <w:r>
              <w:rPr>
                <w:rFonts w:hint="eastAsia"/>
                <w:color w:val="000000"/>
                <w:sz w:val="24"/>
                <w:szCs w:val="20"/>
                <w:lang w:val="en-US" w:eastAsia="zh-CN"/>
              </w:rPr>
              <w:t>320</w:t>
            </w:r>
            <w:r>
              <w:rPr>
                <w:rFonts w:hint="eastAsia"/>
                <w:color w:val="000000"/>
                <w:sz w:val="24"/>
                <w:szCs w:val="20"/>
              </w:rPr>
              <w:t>m的</w:t>
            </w:r>
            <w:r>
              <w:rPr>
                <w:rFonts w:hint="eastAsia"/>
                <w:color w:val="000000"/>
                <w:sz w:val="24"/>
                <w:szCs w:val="20"/>
                <w:lang w:val="en-US" w:eastAsia="zh-CN"/>
              </w:rPr>
              <w:t>飞石</w:t>
            </w:r>
            <w:r>
              <w:rPr>
                <w:rFonts w:hint="eastAsia"/>
                <w:color w:val="000000"/>
                <w:sz w:val="24"/>
                <w:szCs w:val="20"/>
              </w:rPr>
              <w:t>村，火灾事故发生时，烟气在短时间内会造成周围敏感点环境空气质量一定程度的恶化</w:t>
            </w:r>
            <w:r>
              <w:rPr>
                <w:rFonts w:hint="eastAsia"/>
                <w:color w:val="000000"/>
                <w:sz w:val="24"/>
                <w:szCs w:val="20"/>
                <w:lang w:eastAsia="zh-CN"/>
              </w:rPr>
              <w:t>。</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rPr>
              <w:t>因此，</w:t>
            </w:r>
            <w:r>
              <w:rPr>
                <w:rFonts w:hint="eastAsia"/>
                <w:color w:val="000000"/>
                <w:sz w:val="24"/>
                <w:szCs w:val="20"/>
                <w:lang w:val="en-US" w:eastAsia="zh-CN"/>
              </w:rPr>
              <w:t>事故一旦发生</w:t>
            </w:r>
            <w:r>
              <w:rPr>
                <w:rFonts w:hint="eastAsia"/>
                <w:color w:val="000000"/>
                <w:sz w:val="24"/>
                <w:szCs w:val="20"/>
              </w:rPr>
              <w:t>应第一时间通知附近敏感点人员及时撤离，并积极采取灭火措施，将火灾对周围环境及敏感点的影响降至最低。</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③</w:t>
            </w:r>
            <w:r>
              <w:rPr>
                <w:rFonts w:hint="eastAsia"/>
                <w:color w:val="000000"/>
                <w:sz w:val="24"/>
                <w:szCs w:val="20"/>
              </w:rPr>
              <w:t>火灾事故风险防范措施</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a.</w:t>
            </w:r>
            <w:r>
              <w:rPr>
                <w:rFonts w:hint="eastAsia"/>
                <w:color w:val="000000"/>
                <w:sz w:val="24"/>
                <w:szCs w:val="20"/>
              </w:rPr>
              <w:t>加强消防设施和灭火器材的配备，严格落实有关消防技术规范的规定，加强人员疏散设施管理，保证疏散通道畅通。</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b.</w:t>
            </w:r>
            <w:r>
              <w:rPr>
                <w:rFonts w:hint="eastAsia"/>
                <w:color w:val="000000"/>
                <w:sz w:val="24"/>
                <w:szCs w:val="20"/>
              </w:rPr>
              <w:t>定期进行防火安全检查，确保消防设施完整好用。</w:t>
            </w:r>
          </w:p>
          <w:p>
            <w:pPr>
              <w:keepNext w:val="0"/>
              <w:keepLines w:val="0"/>
              <w:suppressLineNumbers w:val="0"/>
              <w:spacing w:before="0" w:beforeAutospacing="0" w:after="0" w:afterAutospacing="0" w:line="360" w:lineRule="auto"/>
              <w:ind w:left="0" w:right="0" w:firstLine="480" w:firstLineChars="200"/>
              <w:rPr>
                <w:rFonts w:hint="eastAsia"/>
                <w:color w:val="000000"/>
                <w:sz w:val="24"/>
                <w:szCs w:val="20"/>
              </w:rPr>
            </w:pPr>
            <w:r>
              <w:rPr>
                <w:rFonts w:hint="eastAsia"/>
                <w:color w:val="000000"/>
                <w:sz w:val="24"/>
                <w:szCs w:val="20"/>
                <w:lang w:val="en-US" w:eastAsia="zh-CN"/>
              </w:rPr>
              <w:t>c.</w:t>
            </w:r>
            <w:r>
              <w:rPr>
                <w:rFonts w:hint="eastAsia"/>
                <w:color w:val="000000"/>
                <w:sz w:val="24"/>
                <w:szCs w:val="20"/>
              </w:rPr>
              <w:t>公司要求职工应遵守各项规章制度，作业时要遵守各项规定要求，确保安全生产。</w:t>
            </w:r>
          </w:p>
          <w:p>
            <w:pPr>
              <w:keepNext w:val="0"/>
              <w:keepLines w:val="0"/>
              <w:suppressLineNumbers w:val="0"/>
              <w:spacing w:before="0" w:beforeAutospacing="0" w:after="0" w:afterAutospacing="0" w:line="360" w:lineRule="auto"/>
              <w:ind w:left="0" w:right="0" w:firstLine="480" w:firstLineChars="200"/>
              <w:rPr>
                <w:rFonts w:hint="eastAsia" w:eastAsia="宋体"/>
                <w:color w:val="000000"/>
                <w:sz w:val="24"/>
                <w:szCs w:val="20"/>
                <w:lang w:eastAsia="zh-CN"/>
              </w:rPr>
            </w:pPr>
            <w:r>
              <w:rPr>
                <w:rFonts w:hint="eastAsia"/>
                <w:color w:val="000000"/>
                <w:sz w:val="24"/>
                <w:szCs w:val="20"/>
                <w:lang w:val="en-US" w:eastAsia="zh-CN"/>
              </w:rPr>
              <w:t>d.</w:t>
            </w:r>
            <w:r>
              <w:rPr>
                <w:rFonts w:hint="eastAsia"/>
                <w:color w:val="000000"/>
                <w:sz w:val="24"/>
                <w:szCs w:val="20"/>
              </w:rPr>
              <w:t>公司强化安全、消防和环保管理，完善环保安全管理机构，完善各项管理制度，加强日常监督检查；车间内严禁烟火</w:t>
            </w:r>
            <w:r>
              <w:rPr>
                <w:rFonts w:hint="eastAsia"/>
                <w:color w:val="000000"/>
                <w:sz w:val="24"/>
                <w:szCs w:val="20"/>
                <w:lang w:eastAsia="zh-CN"/>
              </w:rPr>
              <w:t>。</w:t>
            </w:r>
          </w:p>
          <w:p>
            <w:pPr>
              <w:pStyle w:val="43"/>
              <w:keepNext w:val="0"/>
              <w:keepLines w:val="0"/>
              <w:suppressLineNumbers w:val="0"/>
              <w:spacing w:before="0" w:beforeAutospacing="0" w:after="0" w:afterAutospacing="0"/>
              <w:ind w:left="0" w:right="0" w:firstLine="480"/>
              <w:rPr>
                <w:rFonts w:hint="eastAsia" w:ascii="Times New Roman" w:hAnsi="Times New Roman" w:eastAsia="宋体" w:cs="Times New Roman"/>
                <w:lang w:val="en-US" w:eastAsia="zh-CN"/>
              </w:rPr>
            </w:pPr>
            <w:r>
              <w:rPr>
                <w:rFonts w:hint="eastAsia" w:cs="Times New Roman"/>
                <w:lang w:val="en-US" w:eastAsia="zh-CN"/>
              </w:rPr>
              <w:t>（3）</w:t>
            </w:r>
            <w:r>
              <w:rPr>
                <w:rFonts w:hint="eastAsia" w:ascii="Times New Roman" w:hAnsi="Times New Roman" w:eastAsia="宋体" w:cs="Times New Roman"/>
                <w:lang w:val="en-US" w:eastAsia="zh-CN"/>
              </w:rPr>
              <w:t>废气事故性排放影响分析</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val="en-US" w:eastAsia="zh-CN"/>
              </w:rPr>
            </w:pPr>
            <w:r>
              <w:rPr>
                <w:rFonts w:hint="eastAsia" w:cs="Times New Roman"/>
                <w:lang w:val="en-US" w:eastAsia="zh-CN"/>
              </w:rPr>
              <w:t>①废气事故排放</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项目事故性废气排放情况的出现可能是废气处理设施出现故障，导致废气不经处理就直接排入大气</w:t>
            </w:r>
            <w:r>
              <w:rPr>
                <w:rFonts w:hint="eastAsia" w:cs="Times New Roman"/>
                <w:lang w:val="en-US" w:eastAsia="zh-CN"/>
              </w:rPr>
              <w:t>环境</w:t>
            </w:r>
            <w:r>
              <w:rPr>
                <w:rFonts w:hint="default" w:ascii="Times New Roman" w:hAnsi="Times New Roman" w:eastAsia="宋体" w:cs="Times New Roman"/>
                <w:lang w:val="en-US" w:eastAsia="zh-CN"/>
              </w:rPr>
              <w:t>，对项目周围环境空气</w:t>
            </w:r>
            <w:r>
              <w:rPr>
                <w:rFonts w:hint="eastAsia" w:cs="Times New Roman"/>
                <w:lang w:val="en-US" w:eastAsia="zh-CN"/>
              </w:rPr>
              <w:t>有</w:t>
            </w:r>
            <w:r>
              <w:rPr>
                <w:rFonts w:hint="default" w:ascii="Times New Roman" w:hAnsi="Times New Roman" w:eastAsia="宋体" w:cs="Times New Roman"/>
                <w:lang w:val="en-US" w:eastAsia="zh-CN"/>
              </w:rPr>
              <w:t>一定影响，因此当出现废气处理设备出现故障时必须立刻停止生产。</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val="en-US" w:eastAsia="zh-CN"/>
              </w:rPr>
            </w:pPr>
            <w:r>
              <w:rPr>
                <w:rFonts w:hint="eastAsia" w:cs="Times New Roman"/>
                <w:lang w:val="en-US" w:eastAsia="zh-CN"/>
              </w:rPr>
              <w:t>②</w:t>
            </w:r>
            <w:r>
              <w:rPr>
                <w:rFonts w:hint="default" w:ascii="Times New Roman" w:hAnsi="Times New Roman" w:eastAsia="宋体" w:cs="Times New Roman"/>
                <w:lang w:val="en-US" w:eastAsia="zh-CN"/>
              </w:rPr>
              <w:t>废气事故排放风险防范措施</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val="en-US" w:eastAsia="zh-CN"/>
              </w:rPr>
            </w:pPr>
            <w:r>
              <w:rPr>
                <w:rFonts w:hint="eastAsia" w:cs="Times New Roman"/>
                <w:lang w:val="en-US" w:eastAsia="zh-CN"/>
              </w:rPr>
              <w:t>a.</w:t>
            </w:r>
            <w:r>
              <w:rPr>
                <w:rFonts w:hint="default" w:ascii="Times New Roman" w:hAnsi="Times New Roman" w:eastAsia="宋体" w:cs="Times New Roman"/>
                <w:lang w:val="en-US" w:eastAsia="zh-CN"/>
              </w:rPr>
              <w:t>定期对废气处理设施从设备到输送管道</w:t>
            </w:r>
            <w:r>
              <w:rPr>
                <w:rFonts w:hint="eastAsia" w:cs="Times New Roman"/>
                <w:lang w:val="en-US" w:eastAsia="zh-CN"/>
              </w:rPr>
              <w:t>、</w:t>
            </w:r>
            <w:r>
              <w:rPr>
                <w:rFonts w:hint="eastAsia"/>
              </w:rPr>
              <w:t>阀门部件等</w:t>
            </w:r>
            <w:r>
              <w:rPr>
                <w:rFonts w:hint="default" w:ascii="Times New Roman" w:hAnsi="Times New Roman" w:eastAsia="宋体" w:cs="Times New Roman"/>
                <w:lang w:val="en-US" w:eastAsia="zh-CN"/>
              </w:rPr>
              <w:t>进行检修，发现问题及时解决。</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lang w:val="en-US" w:eastAsia="zh-CN"/>
              </w:rPr>
            </w:pPr>
            <w:r>
              <w:rPr>
                <w:rFonts w:hint="eastAsia" w:cs="Times New Roman"/>
                <w:lang w:val="en-US" w:eastAsia="zh-CN"/>
              </w:rPr>
              <w:t>b.</w:t>
            </w:r>
            <w:r>
              <w:rPr>
                <w:rFonts w:hint="default" w:ascii="Times New Roman" w:hAnsi="Times New Roman" w:eastAsia="宋体" w:cs="Times New Roman"/>
                <w:lang w:val="en-US" w:eastAsia="zh-CN"/>
              </w:rPr>
              <w:t>各生产岗位制定严格的操作规程和注意事项，车间工人需熟悉工作流程，严格按操作规程进行运行控制，防止操作失误导致废气事故排放。</w:t>
            </w:r>
          </w:p>
          <w:p>
            <w:pPr>
              <w:pStyle w:val="43"/>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rPr>
            </w:pPr>
            <w:r>
              <w:rPr>
                <w:rFonts w:hint="eastAsia" w:cs="Times New Roman"/>
                <w:lang w:val="en-US" w:eastAsia="zh-CN"/>
              </w:rPr>
              <w:t>c.</w:t>
            </w:r>
            <w:r>
              <w:rPr>
                <w:rFonts w:hint="default" w:ascii="Times New Roman" w:hAnsi="Times New Roman" w:eastAsia="宋体" w:cs="Times New Roman"/>
                <w:lang w:val="en-US" w:eastAsia="zh-CN"/>
              </w:rPr>
              <w:t>定期更换活性炭，同时确保项目活性炭吸附装置一次性</w:t>
            </w:r>
            <w:r>
              <w:rPr>
                <w:rFonts w:hint="eastAsia" w:cs="Times New Roman"/>
                <w:lang w:val="en-US" w:eastAsia="zh-CN"/>
              </w:rPr>
              <w:t>装填</w:t>
            </w:r>
            <w:r>
              <w:rPr>
                <w:rFonts w:hint="default" w:ascii="Times New Roman" w:hAnsi="Times New Roman" w:eastAsia="宋体" w:cs="Times New Roman"/>
                <w:lang w:val="en-US" w:eastAsia="zh-CN"/>
              </w:rPr>
              <w:t>量</w:t>
            </w:r>
            <w:r>
              <w:rPr>
                <w:rFonts w:hint="eastAsia" w:cs="Times New Roman"/>
                <w:lang w:val="en-US" w:eastAsia="zh-CN"/>
              </w:rPr>
              <w:t>可满足吸附要求</w:t>
            </w:r>
            <w:r>
              <w:rPr>
                <w:rFonts w:hint="default" w:ascii="Times New Roman" w:hAnsi="Times New Roman" w:eastAsia="宋体" w:cs="Times New Roman"/>
                <w:lang w:val="en-US" w:eastAsia="zh-CN"/>
              </w:rPr>
              <w:t>。</w:t>
            </w:r>
          </w:p>
          <w:p>
            <w:pPr>
              <w:pStyle w:val="128"/>
              <w:keepNext w:val="0"/>
              <w:keepLines w:val="0"/>
              <w:suppressLineNumbers w:val="0"/>
              <w:spacing w:before="0" w:beforeAutospacing="0" w:after="0" w:afterAutospacing="0"/>
              <w:ind w:left="0" w:leftChars="0" w:right="0" w:firstLine="0" w:firstLineChars="0"/>
              <w:rPr>
                <w:rFonts w:hint="eastAsia" w:ascii="宋体" w:hAnsi="宋体" w:cs="宋体"/>
                <w:bCs/>
                <w:sz w:val="24"/>
                <w:szCs w:val="24"/>
              </w:rPr>
            </w:pPr>
          </w:p>
        </w:tc>
      </w:tr>
    </w:tbl>
    <w:p/>
    <w:p>
      <w:pPr>
        <w:sectPr>
          <w:pgSz w:w="11907" w:h="16840"/>
          <w:pgMar w:top="1701" w:right="1531" w:bottom="2127"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
        <w:bidi w:val="0"/>
      </w:pPr>
      <w:bookmarkStart w:id="116" w:name="_Toc24740"/>
      <w:bookmarkStart w:id="117" w:name="_Hlk54167917"/>
      <w:bookmarkStart w:id="118" w:name="_Toc22166"/>
      <w:r>
        <w:rPr>
          <w:rFonts w:hint="eastAsia"/>
        </w:rPr>
        <w:t>环境保护措施监督检查清单</w:t>
      </w:r>
      <w:bookmarkEnd w:id="116"/>
      <w:bookmarkEnd w:id="117"/>
      <w:bookmarkEnd w:id="118"/>
    </w:p>
    <w:p/>
    <w:tbl>
      <w:tblPr>
        <w:tblStyle w:val="3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338"/>
        <w:gridCol w:w="1444"/>
        <w:gridCol w:w="2123"/>
        <w:gridCol w:w="34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tcBorders>
              <w:tl2br w:val="single" w:color="auto" w:sz="4" w:space="0"/>
            </w:tcBorders>
            <w:noWrap w:val="0"/>
            <w:vAlign w:val="top"/>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内容</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要素</w:t>
            </w:r>
          </w:p>
        </w:tc>
        <w:tc>
          <w:tcPr>
            <w:tcW w:w="133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排放口</w:t>
            </w:r>
            <w:r>
              <w:rPr>
                <w:rStyle w:val="48"/>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编号、名称)/污染源</w:t>
            </w:r>
          </w:p>
        </w:tc>
        <w:tc>
          <w:tcPr>
            <w:tcW w:w="1444"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污染物项目</w:t>
            </w:r>
          </w:p>
        </w:tc>
        <w:tc>
          <w:tcPr>
            <w:tcW w:w="2123"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环境保护措施</w:t>
            </w:r>
          </w:p>
        </w:tc>
        <w:tc>
          <w:tcPr>
            <w:tcW w:w="346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7" w:type="dxa"/>
            <w:vMerge w:val="restart"/>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大气环境</w:t>
            </w:r>
          </w:p>
        </w:tc>
        <w:tc>
          <w:tcPr>
            <w:tcW w:w="1338"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DA001</w:t>
            </w:r>
          </w:p>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注塑废气</w:t>
            </w:r>
          </w:p>
        </w:tc>
        <w:tc>
          <w:tcPr>
            <w:tcW w:w="1444" w:type="dxa"/>
            <w:vMerge w:val="restart"/>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auto"/>
                <w:sz w:val="21"/>
                <w:szCs w:val="21"/>
                <w:highlight w:val="none"/>
                <w:lang w:eastAsia="zh-CN"/>
              </w:rPr>
            </w:pPr>
            <w:r>
              <w:rPr>
                <w:rStyle w:val="48"/>
                <w:rFonts w:hint="default" w:ascii="Times New Roman" w:hAnsi="Times New Roman" w:eastAsia="宋体" w:cs="Times New Roman"/>
                <w:color w:val="auto"/>
                <w:sz w:val="21"/>
                <w:szCs w:val="21"/>
                <w:highlight w:val="none"/>
                <w:lang w:val="en-US" w:eastAsia="zh-CN"/>
              </w:rPr>
              <w:t>非甲烷总烃、</w:t>
            </w:r>
            <w:r>
              <w:rPr>
                <w:rStyle w:val="48"/>
                <w:rFonts w:hint="default" w:ascii="Times New Roman" w:hAnsi="Times New Roman" w:eastAsia="宋体" w:cs="Times New Roman"/>
                <w:color w:val="auto"/>
                <w:szCs w:val="21"/>
                <w:highlight w:val="none"/>
              </w:rPr>
              <w:t>臭气浓度</w:t>
            </w:r>
          </w:p>
        </w:tc>
        <w:tc>
          <w:tcPr>
            <w:tcW w:w="2123"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both"/>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注塑机取件口设置半密闭罩并采取二级活性炭处理装置，由15米排气筒排放。</w:t>
            </w:r>
          </w:p>
        </w:tc>
        <w:tc>
          <w:tcPr>
            <w:tcW w:w="346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auto"/>
                <w:sz w:val="21"/>
                <w:szCs w:val="21"/>
                <w:highlight w:val="none"/>
                <w:lang w:eastAsia="zh-CN"/>
              </w:rPr>
            </w:pPr>
            <w:r>
              <w:rPr>
                <w:rStyle w:val="48"/>
                <w:rFonts w:hint="default" w:ascii="Times New Roman" w:hAnsi="Times New Roman" w:eastAsia="宋体" w:cs="Times New Roman"/>
                <w:color w:val="auto"/>
                <w:sz w:val="21"/>
                <w:szCs w:val="21"/>
                <w:highlight w:val="none"/>
              </w:rPr>
              <w:t>《合成树脂工业污染物排放标准》（GB31572-2015）表</w:t>
            </w:r>
            <w:r>
              <w:rPr>
                <w:rStyle w:val="48"/>
                <w:rFonts w:hint="default" w:ascii="Times New Roman" w:hAnsi="Times New Roman" w:eastAsia="宋体" w:cs="Times New Roman"/>
                <w:color w:val="auto"/>
                <w:sz w:val="21"/>
                <w:szCs w:val="21"/>
                <w:highlight w:val="none"/>
                <w:lang w:val="en-US" w:eastAsia="zh-CN"/>
              </w:rPr>
              <w:t>5</w:t>
            </w:r>
            <w:r>
              <w:rPr>
                <w:rStyle w:val="48"/>
                <w:rFonts w:hint="default" w:ascii="Times New Roman" w:hAnsi="Times New Roman" w:eastAsia="宋体" w:cs="Times New Roman"/>
                <w:color w:val="auto"/>
                <w:szCs w:val="21"/>
                <w:highlight w:val="none"/>
              </w:rPr>
              <w:t>大气污染物特别排放限值</w:t>
            </w:r>
            <w:r>
              <w:rPr>
                <w:rStyle w:val="48"/>
                <w:rFonts w:hint="eastAsia" w:cs="Times New Roman"/>
                <w:color w:val="auto"/>
                <w:sz w:val="21"/>
                <w:szCs w:val="21"/>
                <w:highlight w:val="none"/>
                <w:lang w:val="en-US" w:eastAsia="zh-CN"/>
              </w:rPr>
              <w:t>及其修改单</w:t>
            </w:r>
            <w:r>
              <w:rPr>
                <w:rStyle w:val="48"/>
                <w:rFonts w:hint="default" w:ascii="Times New Roman" w:hAnsi="Times New Roman" w:eastAsia="宋体" w:cs="Times New Roman"/>
                <w:color w:val="auto"/>
                <w:szCs w:val="21"/>
                <w:highlight w:val="none"/>
                <w:lang w:val="en-US" w:eastAsia="zh-CN"/>
              </w:rPr>
              <w:t>要求</w:t>
            </w:r>
            <w:r>
              <w:rPr>
                <w:rStyle w:val="48"/>
                <w:rFonts w:hint="default" w:ascii="Times New Roman" w:hAnsi="Times New Roman" w:eastAsia="宋体" w:cs="Times New Roman"/>
                <w:color w:val="auto"/>
                <w:sz w:val="21"/>
                <w:szCs w:val="21"/>
                <w:highlight w:val="none"/>
                <w:lang w:eastAsia="zh-CN"/>
              </w:rPr>
              <w:t>；</w:t>
            </w:r>
            <w:r>
              <w:rPr>
                <w:rStyle w:val="48"/>
                <w:rFonts w:hint="default" w:ascii="Times New Roman" w:hAnsi="Times New Roman" w:eastAsia="宋体" w:cs="Times New Roman"/>
                <w:color w:val="auto"/>
                <w:szCs w:val="21"/>
                <w:highlight w:val="none"/>
              </w:rPr>
              <w:t>《恶臭污染物排放标准》(GB 14554-93)表2中相关标准要求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7" w:type="dxa"/>
            <w:vMerge w:val="continue"/>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p>
        </w:tc>
        <w:tc>
          <w:tcPr>
            <w:tcW w:w="1338"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color w:val="auto"/>
                <w:szCs w:val="21"/>
                <w:lang w:val="en-US" w:eastAsia="zh-CN"/>
              </w:rPr>
              <w:t>厂界</w:t>
            </w:r>
          </w:p>
        </w:tc>
        <w:tc>
          <w:tcPr>
            <w:tcW w:w="1444" w:type="dxa"/>
            <w:vMerge w:val="continue"/>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auto"/>
                <w:sz w:val="21"/>
                <w:szCs w:val="21"/>
                <w:highlight w:val="none"/>
                <w:lang w:val="en-US" w:eastAsia="zh-CN"/>
              </w:rPr>
            </w:pPr>
          </w:p>
        </w:tc>
        <w:tc>
          <w:tcPr>
            <w:tcW w:w="2123"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bidi="ar-SA"/>
              </w:rPr>
              <w:t>/</w:t>
            </w:r>
          </w:p>
        </w:tc>
        <w:tc>
          <w:tcPr>
            <w:tcW w:w="346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auto"/>
                <w:sz w:val="21"/>
                <w:szCs w:val="21"/>
                <w:highlight w:val="none"/>
                <w:lang w:eastAsia="zh-CN"/>
              </w:rPr>
            </w:pPr>
            <w:r>
              <w:rPr>
                <w:rStyle w:val="48"/>
                <w:rFonts w:hint="default" w:ascii="Times New Roman" w:hAnsi="Times New Roman" w:eastAsia="宋体" w:cs="Times New Roman"/>
                <w:color w:val="auto"/>
                <w:sz w:val="21"/>
                <w:szCs w:val="21"/>
                <w:highlight w:val="none"/>
              </w:rPr>
              <w:t>《合成树脂工业污染物排放标准》（GB31572-2015）表9</w:t>
            </w:r>
            <w:r>
              <w:rPr>
                <w:rStyle w:val="48"/>
                <w:rFonts w:hint="eastAsia" w:cs="Times New Roman"/>
                <w:color w:val="auto"/>
                <w:sz w:val="21"/>
                <w:szCs w:val="21"/>
                <w:highlight w:val="none"/>
                <w:lang w:val="en-US" w:eastAsia="zh-CN"/>
              </w:rPr>
              <w:t>及其修改单要求</w:t>
            </w:r>
            <w:r>
              <w:rPr>
                <w:rStyle w:val="48"/>
                <w:rFonts w:hint="default" w:ascii="Times New Roman" w:hAnsi="Times New Roman" w:eastAsia="宋体" w:cs="Times New Roman"/>
                <w:color w:val="auto"/>
                <w:sz w:val="21"/>
                <w:szCs w:val="21"/>
                <w:highlight w:val="none"/>
                <w:lang w:eastAsia="zh-CN"/>
              </w:rPr>
              <w:t>；</w:t>
            </w:r>
            <w:r>
              <w:rPr>
                <w:rStyle w:val="48"/>
                <w:rFonts w:hint="default" w:ascii="Times New Roman" w:hAnsi="Times New Roman" w:eastAsia="宋体" w:cs="Times New Roman"/>
                <w:color w:val="auto"/>
                <w:szCs w:val="21"/>
                <w:highlight w:val="none"/>
              </w:rPr>
              <w:t>《恶臭污染物排放标准》(GB 14554-93)表</w:t>
            </w:r>
            <w:r>
              <w:rPr>
                <w:rStyle w:val="48"/>
                <w:rFonts w:hint="default" w:ascii="Times New Roman" w:hAnsi="Times New Roman" w:eastAsia="宋体" w:cs="Times New Roman"/>
                <w:color w:val="auto"/>
                <w:szCs w:val="21"/>
                <w:highlight w:val="none"/>
                <w:lang w:eastAsia="zh-CN"/>
              </w:rPr>
              <w:t>1</w:t>
            </w:r>
            <w:r>
              <w:rPr>
                <w:rStyle w:val="48"/>
                <w:rFonts w:hint="default" w:ascii="Times New Roman" w:hAnsi="Times New Roman" w:eastAsia="宋体" w:cs="Times New Roman"/>
                <w:color w:val="auto"/>
                <w:szCs w:val="21"/>
                <w:highlight w:val="none"/>
              </w:rPr>
              <w:t>中相关标准要求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7" w:type="dxa"/>
            <w:vMerge w:val="continue"/>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zCs w:val="21"/>
              </w:rPr>
            </w:pPr>
          </w:p>
        </w:tc>
        <w:tc>
          <w:tcPr>
            <w:tcW w:w="1338"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厂内</w:t>
            </w:r>
          </w:p>
        </w:tc>
        <w:tc>
          <w:tcPr>
            <w:tcW w:w="1444"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非甲烷总烃</w:t>
            </w:r>
          </w:p>
        </w:tc>
        <w:tc>
          <w:tcPr>
            <w:tcW w:w="2123"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加强有机废气的收集及活性炭吸附净化装置维护保养</w:t>
            </w:r>
          </w:p>
        </w:tc>
        <w:tc>
          <w:tcPr>
            <w:tcW w:w="3468" w:type="dxa"/>
            <w:noWrap w:val="0"/>
            <w:vAlign w:val="center"/>
          </w:tcPr>
          <w:p>
            <w:pPr>
              <w:pStyle w:val="8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cs="Times New Roman"/>
                <w:snapToGrid w:val="0"/>
                <w:color w:val="auto"/>
                <w:szCs w:val="21"/>
                <w:highlight w:val="none"/>
                <w:lang w:bidi="zh-CN"/>
              </w:rPr>
              <w:t>《挥发性有机物无组织排放控制标准》（GB37822-2019）附录A中表A.1特别排放标准限值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87" w:type="dxa"/>
            <w:vMerge w:val="restart"/>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地表水环境</w:t>
            </w:r>
          </w:p>
        </w:tc>
        <w:tc>
          <w:tcPr>
            <w:tcW w:w="1338" w:type="dxa"/>
            <w:vMerge w:val="restart"/>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Style w:val="48"/>
                <w:rFonts w:hint="default" w:ascii="Times New Roman" w:hAnsi="Times New Roman" w:eastAsia="宋体" w:cs="Times New Roman"/>
                <w:color w:val="auto"/>
                <w:sz w:val="21"/>
                <w:szCs w:val="21"/>
                <w:highlight w:val="none"/>
                <w:lang w:val="en-US" w:eastAsia="zh-CN"/>
              </w:rPr>
            </w:pPr>
            <w:r>
              <w:rPr>
                <w:rFonts w:hint="eastAsia"/>
                <w:color w:val="auto"/>
                <w:lang w:val="en-US" w:eastAsia="zh-CN"/>
              </w:rPr>
              <w:t>DW001</w:t>
            </w:r>
            <w:r>
              <w:rPr>
                <w:rStyle w:val="48"/>
                <w:rFonts w:hint="default" w:ascii="Times New Roman" w:hAnsi="Times New Roman" w:eastAsia="宋体" w:cs="Times New Roman"/>
                <w:color w:val="auto"/>
                <w:sz w:val="21"/>
                <w:szCs w:val="21"/>
                <w:highlight w:val="none"/>
                <w:lang w:val="en-US" w:eastAsia="zh-CN"/>
              </w:rPr>
              <w:t>生活污水</w:t>
            </w:r>
          </w:p>
        </w:tc>
        <w:tc>
          <w:tcPr>
            <w:tcW w:w="1444" w:type="dxa"/>
            <w:noWrap w:val="0"/>
            <w:vAlign w:val="center"/>
          </w:tcPr>
          <w:p>
            <w:pPr>
              <w:pStyle w:val="29"/>
              <w:keepNext w:val="0"/>
              <w:keepLines w:val="0"/>
              <w:widowControl w:val="0"/>
              <w:suppressLineNumbers w:val="0"/>
              <w:tabs>
                <w:tab w:val="left" w:pos="0"/>
              </w:tabs>
              <w:spacing w:before="0" w:beforeAutospacing="0" w:after="0" w:afterAutospacing="0"/>
              <w:ind w:left="0" w:right="0"/>
              <w:jc w:val="center"/>
              <w:rPr>
                <w:rStyle w:val="48"/>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highlight w:val="none"/>
                <w:lang w:val="en-US" w:eastAsia="zh-CN" w:bidi="ar"/>
              </w:rPr>
              <w:t>pH、COD、BOD</w:t>
            </w:r>
            <w:r>
              <w:rPr>
                <w:rFonts w:hint="default" w:ascii="Times New Roman" w:hAnsi="Times New Roman" w:eastAsia="宋体" w:cs="Times New Roman"/>
                <w:color w:val="auto"/>
                <w:kern w:val="2"/>
                <w:sz w:val="21"/>
                <w:szCs w:val="21"/>
                <w:highlight w:val="none"/>
                <w:vertAlign w:val="subscript"/>
                <w:lang w:val="en-US" w:eastAsia="zh-CN" w:bidi="ar"/>
              </w:rPr>
              <w:t>5</w:t>
            </w:r>
            <w:r>
              <w:rPr>
                <w:rFonts w:hint="default" w:ascii="Times New Roman" w:hAnsi="Times New Roman" w:eastAsia="宋体" w:cs="Times New Roman"/>
                <w:color w:val="auto"/>
                <w:kern w:val="2"/>
                <w:sz w:val="21"/>
                <w:szCs w:val="21"/>
                <w:highlight w:val="none"/>
                <w:lang w:val="en-US" w:eastAsia="zh-CN" w:bidi="ar"/>
              </w:rPr>
              <w:t>、SS</w:t>
            </w:r>
          </w:p>
        </w:tc>
        <w:tc>
          <w:tcPr>
            <w:tcW w:w="2123" w:type="dxa"/>
            <w:vMerge w:val="restart"/>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化粪池处理后</w:t>
            </w:r>
            <w:r>
              <w:rPr>
                <w:rFonts w:hint="default" w:ascii="Times New Roman" w:hAnsi="Times New Roman" w:eastAsia="宋体" w:cs="Times New Roman"/>
                <w:color w:val="auto"/>
                <w:sz w:val="21"/>
                <w:szCs w:val="21"/>
                <w:highlight w:val="none"/>
                <w:lang w:val="en-US" w:eastAsia="zh-CN"/>
              </w:rPr>
              <w:t>通过市政污水管网排入连江县污水处理厂处理。</w:t>
            </w:r>
          </w:p>
        </w:tc>
        <w:tc>
          <w:tcPr>
            <w:tcW w:w="3468" w:type="dxa"/>
            <w:noWrap w:val="0"/>
            <w:vAlign w:val="center"/>
          </w:tcPr>
          <w:p>
            <w:pPr>
              <w:pStyle w:val="46"/>
              <w:keepNext w:val="0"/>
              <w:keepLines w:val="0"/>
              <w:suppressLineNumbers w:val="0"/>
              <w:spacing w:before="0" w:beforeAutospacing="0" w:after="0" w:afterAutospacing="0"/>
              <w:ind w:right="0"/>
              <w:rPr>
                <w:rStyle w:val="48"/>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《污水综合排放标准》（GB8978-1996）表4中三级标准</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pH：6~9、</w:t>
            </w:r>
            <w:r>
              <w:rPr>
                <w:rFonts w:hint="default" w:ascii="Times New Roman" w:hAnsi="Times New Roman" w:eastAsia="宋体" w:cs="Times New Roman"/>
                <w:color w:val="auto"/>
                <w:sz w:val="21"/>
                <w:szCs w:val="21"/>
                <w:highlight w:val="none"/>
              </w:rPr>
              <w:t>COD</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500</w:t>
            </w:r>
            <w:r>
              <w:rPr>
                <w:rFonts w:hint="default" w:ascii="Times New Roman" w:hAnsi="Times New Roman" w:eastAsia="宋体" w:cs="Times New Roman"/>
                <w:color w:val="auto"/>
                <w:sz w:val="21"/>
                <w:szCs w:val="21"/>
                <w:highlight w:val="none"/>
              </w:rPr>
              <w:t>mg/L</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BOD</w:t>
            </w:r>
            <w:r>
              <w:rPr>
                <w:rFonts w:hint="default" w:ascii="Times New Roman" w:hAnsi="Times New Roman" w:eastAsia="宋体" w:cs="Times New Roman"/>
                <w:color w:val="auto"/>
                <w:sz w:val="21"/>
                <w:szCs w:val="21"/>
                <w:highlight w:val="none"/>
                <w:vertAlign w:val="subscript"/>
              </w:rPr>
              <w:t>5</w:t>
            </w:r>
            <w:r>
              <w:rPr>
                <w:rFonts w:hint="default" w:ascii="Times New Roman" w:hAnsi="Times New Roman" w:eastAsia="宋体" w:cs="Times New Roman"/>
                <w:color w:val="auto"/>
                <w:sz w:val="21"/>
                <w:szCs w:val="21"/>
                <w:highlight w:val="none"/>
                <w:lang w:val="en-US" w:eastAsia="zh-CN"/>
              </w:rPr>
              <w:t>：300</w:t>
            </w:r>
            <w:r>
              <w:rPr>
                <w:rFonts w:hint="default" w:ascii="Times New Roman" w:hAnsi="Times New Roman" w:eastAsia="宋体" w:cs="Times New Roman"/>
                <w:color w:val="auto"/>
                <w:sz w:val="21"/>
                <w:szCs w:val="21"/>
                <w:highlight w:val="none"/>
              </w:rPr>
              <w:t>mg/L</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SS</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400</w:t>
            </w:r>
            <w:r>
              <w:rPr>
                <w:rFonts w:hint="default" w:ascii="Times New Roman" w:hAnsi="Times New Roman" w:eastAsia="宋体" w:cs="Times New Roman"/>
                <w:color w:val="auto"/>
                <w:sz w:val="21"/>
                <w:szCs w:val="21"/>
                <w:highlight w:val="none"/>
              </w:rPr>
              <w:t>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8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338"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Cs w:val="21"/>
                <w:highlight w:val="none"/>
              </w:rPr>
            </w:pPr>
          </w:p>
        </w:tc>
        <w:tc>
          <w:tcPr>
            <w:tcW w:w="144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NH</w:t>
            </w:r>
            <w:r>
              <w:rPr>
                <w:rFonts w:hint="default" w:ascii="Times New Roman" w:hAnsi="Times New Roman" w:eastAsia="宋体" w:cs="Times New Roman"/>
                <w:kern w:val="2"/>
                <w:sz w:val="21"/>
                <w:szCs w:val="21"/>
                <w:highlight w:val="none"/>
                <w:vertAlign w:val="subscript"/>
                <w:lang w:val="en-US" w:eastAsia="zh-CN" w:bidi="ar"/>
              </w:rPr>
              <w:t>3</w:t>
            </w:r>
            <w:r>
              <w:rPr>
                <w:rFonts w:hint="default" w:ascii="Times New Roman" w:hAnsi="Times New Roman" w:eastAsia="宋体" w:cs="Times New Roman"/>
                <w:kern w:val="2"/>
                <w:sz w:val="21"/>
                <w:szCs w:val="21"/>
                <w:highlight w:val="none"/>
                <w:lang w:val="en-US" w:eastAsia="zh-CN" w:bidi="ar"/>
              </w:rPr>
              <w:t>-N</w:t>
            </w:r>
          </w:p>
        </w:tc>
        <w:tc>
          <w:tcPr>
            <w:tcW w:w="2123"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2"/>
                <w:sz w:val="21"/>
                <w:szCs w:val="21"/>
                <w:highlight w:val="none"/>
                <w:lang w:val="en-US" w:eastAsia="zh-CN" w:bidi="ar"/>
              </w:rPr>
            </w:pPr>
          </w:p>
        </w:tc>
        <w:tc>
          <w:tcPr>
            <w:tcW w:w="3468" w:type="dxa"/>
            <w:noWrap w:val="0"/>
            <w:vAlign w:val="center"/>
          </w:tcPr>
          <w:p>
            <w:pPr>
              <w:pStyle w:val="46"/>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ind w:right="0"/>
              <w:jc w:val="center"/>
              <w:textAlignment w:val="auto"/>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sz w:val="21"/>
                <w:szCs w:val="21"/>
                <w:highlight w:val="none"/>
              </w:rPr>
              <w:t>《污水排入城镇下水道水质标准》（GBT31962-2015）表1中B等级NH</w:t>
            </w:r>
            <w:r>
              <w:rPr>
                <w:rFonts w:hint="default" w:ascii="Times New Roman" w:hAnsi="Times New Roman" w:eastAsia="宋体" w:cs="Times New Roman"/>
                <w:sz w:val="21"/>
                <w:szCs w:val="21"/>
                <w:highlight w:val="none"/>
                <w:vertAlign w:val="subscript"/>
              </w:rPr>
              <w:t>3</w:t>
            </w:r>
            <w:r>
              <w:rPr>
                <w:rFonts w:hint="default" w:ascii="Times New Roman" w:hAnsi="Times New Roman" w:eastAsia="宋体" w:cs="Times New Roman"/>
                <w:sz w:val="21"/>
                <w:szCs w:val="21"/>
                <w:highlight w:val="none"/>
              </w:rPr>
              <w:t>-N</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45</w:t>
            </w:r>
            <w:r>
              <w:rPr>
                <w:rFonts w:hint="default" w:ascii="Times New Roman" w:hAnsi="Times New Roman" w:eastAsia="宋体" w:cs="Times New Roman"/>
                <w:sz w:val="21"/>
                <w:szCs w:val="21"/>
                <w:highlight w:val="none"/>
              </w:rPr>
              <w:t>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687"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Cs w:val="21"/>
              </w:rPr>
            </w:pPr>
          </w:p>
        </w:tc>
        <w:tc>
          <w:tcPr>
            <w:tcW w:w="1338"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Cs w:val="21"/>
                <w:highlight w:val="none"/>
                <w:lang w:val="en-US" w:eastAsia="zh-CN"/>
              </w:rPr>
            </w:pPr>
            <w:r>
              <w:rPr>
                <w:rFonts w:hint="default" w:ascii="Times New Roman" w:hAnsi="Times New Roman" w:eastAsia="宋体" w:cs="Times New Roman"/>
                <w:szCs w:val="21"/>
                <w:highlight w:val="none"/>
                <w:lang w:val="en-US" w:eastAsia="zh-CN"/>
              </w:rPr>
              <w:t>冷却水</w:t>
            </w:r>
          </w:p>
        </w:tc>
        <w:tc>
          <w:tcPr>
            <w:tcW w:w="144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p>
        </w:tc>
        <w:tc>
          <w:tcPr>
            <w:tcW w:w="212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循环冷却</w:t>
            </w:r>
            <w:r>
              <w:rPr>
                <w:rFonts w:hint="eastAsia" w:cs="Times New Roman"/>
                <w:kern w:val="2"/>
                <w:sz w:val="21"/>
                <w:szCs w:val="21"/>
                <w:highlight w:val="none"/>
                <w:lang w:val="en-US" w:eastAsia="zh-CN" w:bidi="ar"/>
              </w:rPr>
              <w:t>，不外排</w:t>
            </w:r>
          </w:p>
        </w:tc>
        <w:tc>
          <w:tcPr>
            <w:tcW w:w="3468" w:type="dxa"/>
            <w:noWrap w:val="0"/>
            <w:vAlign w:val="center"/>
          </w:tcPr>
          <w:p>
            <w:pPr>
              <w:pStyle w:val="46"/>
              <w:keepNext w:val="0"/>
              <w:keepLines w:val="0"/>
              <w:pageBreakBefore w:val="0"/>
              <w:widowControl w:val="0"/>
              <w:suppressLineNumbers w:val="0"/>
              <w:kinsoku w:val="0"/>
              <w:wordWrap/>
              <w:overflowPunct w:val="0"/>
              <w:topLinePunct w:val="0"/>
              <w:autoSpaceDE/>
              <w:autoSpaceDN/>
              <w:bidi w:val="0"/>
              <w:adjustRightInd/>
              <w:snapToGrid/>
              <w:spacing w:before="0" w:beforeAutospacing="0" w:after="0" w:afterAutospacing="0"/>
              <w:ind w:right="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声环境</w:t>
            </w:r>
          </w:p>
        </w:tc>
        <w:tc>
          <w:tcPr>
            <w:tcW w:w="133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厂界噪声</w:t>
            </w:r>
          </w:p>
        </w:tc>
        <w:tc>
          <w:tcPr>
            <w:tcW w:w="1444"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连续等效A声级</w:t>
            </w:r>
          </w:p>
        </w:tc>
        <w:tc>
          <w:tcPr>
            <w:tcW w:w="2123"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设备采取隔声降噪减振和消声等措施</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p>
        </w:tc>
        <w:tc>
          <w:tcPr>
            <w:tcW w:w="346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lang w:val="en-US"/>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东侧厂界</w:t>
            </w:r>
            <w:r>
              <w:rPr>
                <w:rFonts w:hint="default"/>
                <w:color w:val="000000" w:themeColor="text1"/>
                <w:szCs w:val="21"/>
                <w:highlight w:val="none"/>
                <w14:textFill>
                  <w14:solidFill>
                    <w14:schemeClr w14:val="tx1"/>
                  </w14:solidFill>
                </w14:textFill>
              </w:rPr>
              <w:t>执行《工业企业厂界环境噪声排放标准》（GB12348-2008）</w:t>
            </w:r>
            <w:r>
              <w:rPr>
                <w:rFonts w:hint="eastAsia"/>
                <w:color w:val="000000" w:themeColor="text1"/>
                <w:szCs w:val="21"/>
                <w:highlight w:val="none"/>
                <w:lang w:eastAsia="zh-CN"/>
                <w14:textFill>
                  <w14:solidFill>
                    <w14:schemeClr w14:val="tx1"/>
                  </w14:solidFill>
                </w14:textFill>
              </w:rPr>
              <w:t>4</w:t>
            </w:r>
            <w:r>
              <w:rPr>
                <w:rFonts w:hint="default"/>
                <w:color w:val="000000" w:themeColor="text1"/>
                <w:szCs w:val="21"/>
                <w:highlight w:val="none"/>
                <w14:textFill>
                  <w14:solidFill>
                    <w14:schemeClr w14:val="tx1"/>
                  </w14:solidFill>
                </w14:textFill>
              </w:rPr>
              <w:t>类标准限值，其他</w:t>
            </w:r>
            <w:r>
              <w:rPr>
                <w:rFonts w:hint="eastAsia"/>
                <w:color w:val="000000" w:themeColor="text1"/>
                <w:szCs w:val="21"/>
                <w:highlight w:val="none"/>
                <w:lang w:val="en-US" w:eastAsia="zh-CN"/>
                <w14:textFill>
                  <w14:solidFill>
                    <w14:schemeClr w14:val="tx1"/>
                  </w14:solidFill>
                </w14:textFill>
              </w:rPr>
              <w:t>厂界</w:t>
            </w:r>
            <w:r>
              <w:rPr>
                <w:rFonts w:hint="default"/>
                <w:color w:val="000000" w:themeColor="text1"/>
                <w:szCs w:val="21"/>
                <w:highlight w:val="none"/>
                <w14:textFill>
                  <w14:solidFill>
                    <w14:schemeClr w14:val="tx1"/>
                  </w14:solidFill>
                </w14:textFill>
              </w:rPr>
              <w:t>执行《工业企业厂界环境噪声排放标准》（GB12348-2008）3类标准限值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87"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电磁辐射</w:t>
            </w:r>
          </w:p>
        </w:tc>
        <w:tc>
          <w:tcPr>
            <w:tcW w:w="133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w:t>
            </w:r>
          </w:p>
        </w:tc>
        <w:tc>
          <w:tcPr>
            <w:tcW w:w="1444"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w:t>
            </w:r>
          </w:p>
        </w:tc>
        <w:tc>
          <w:tcPr>
            <w:tcW w:w="2123"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w:t>
            </w:r>
          </w:p>
        </w:tc>
        <w:tc>
          <w:tcPr>
            <w:tcW w:w="3468"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87"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固体废物</w:t>
            </w:r>
          </w:p>
        </w:tc>
        <w:tc>
          <w:tcPr>
            <w:tcW w:w="8373" w:type="dxa"/>
            <w:gridSpan w:val="4"/>
            <w:noWrap w:val="0"/>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textAlignment w:val="auto"/>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（1）一般工业固废：设置一般固废间，不合格产品</w:t>
            </w:r>
            <w:r>
              <w:rPr>
                <w:rFonts w:hint="eastAsia" w:cs="Times New Roman"/>
                <w:kern w:val="2"/>
                <w:sz w:val="21"/>
                <w:szCs w:val="21"/>
                <w:lang w:val="en-US" w:eastAsia="zh-CN" w:bidi="ar"/>
              </w:rPr>
              <w:t>、产品废边角料</w:t>
            </w:r>
            <w:r>
              <w:rPr>
                <w:rFonts w:hint="default" w:ascii="Times New Roman" w:hAnsi="Times New Roman" w:eastAsia="宋体" w:cs="Times New Roman"/>
                <w:kern w:val="2"/>
                <w:sz w:val="21"/>
                <w:szCs w:val="21"/>
                <w:lang w:val="en-US" w:eastAsia="zh-CN" w:bidi="ar"/>
              </w:rPr>
              <w:t>及废包装材料（包装袋、纸箱）统一收集后外运综合利用；满足《一般工业固体废物贮存和填埋污染控制标准》（GB18599-2020）的相关要求；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textAlignment w:val="auto"/>
              <w:rPr>
                <w:rFonts w:hint="default" w:ascii="Times New Roman" w:hAnsi="Times New Roman" w:eastAsia="宋体" w:cs="Times New Roman"/>
                <w:color w:val="000000"/>
                <w:kern w:val="2"/>
                <w:sz w:val="21"/>
                <w:szCs w:val="21"/>
                <w:lang w:val="en-US" w:eastAsia="zh-CN" w:bidi="ar"/>
              </w:rPr>
            </w:pPr>
            <w:r>
              <w:rPr>
                <w:rFonts w:hint="default" w:ascii="Times New Roman" w:hAnsi="Times New Roman" w:eastAsia="宋体" w:cs="Times New Roman"/>
                <w:color w:val="000000"/>
                <w:kern w:val="2"/>
                <w:sz w:val="21"/>
                <w:szCs w:val="21"/>
                <w:lang w:val="en-US" w:eastAsia="zh-CN" w:bidi="ar"/>
              </w:rPr>
              <w:t>（2）危险废物：分类收集，暂存在危废间，定期委托有资质单位处置。满足《危险废物贮存污染控制标准》（GB 18597-2023）的相关要求。危废转移应严格按《危险废物转移管理办法》要求；根据《危险废物管理计划和管理台账制定技术导则》（HJ1259-2022），制定危险废物管理计划及台账；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kern w:val="2"/>
                <w:sz w:val="21"/>
                <w:szCs w:val="21"/>
                <w:lang w:val="en-US" w:eastAsia="zh-CN" w:bidi="ar"/>
              </w:rPr>
              <w:t>（3）生活垃圾：设置垃圾桶收集，由环卫部门统一处理。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687"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土壤及地下水</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污染防治措施</w:t>
            </w:r>
          </w:p>
        </w:tc>
        <w:tc>
          <w:tcPr>
            <w:tcW w:w="8373" w:type="dxa"/>
            <w:gridSpan w:val="4"/>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①</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危废间</w:t>
            </w:r>
            <w:r>
              <w:rPr>
                <w:rFonts w:hint="default" w:ascii="Times New Roman" w:hAnsi="Times New Roman" w:eastAsia="宋体" w:cs="Times New Roman"/>
                <w:color w:val="auto"/>
                <w:sz w:val="21"/>
                <w:szCs w:val="21"/>
                <w:highlight w:val="none"/>
                <w:lang w:val="en-US" w:eastAsia="zh-CN"/>
              </w:rPr>
              <w:t>为</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重点防渗；</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②原料区、成品区、一般固废间、生产车间及厂内过道为简单防渗。</w:t>
            </w:r>
          </w:p>
          <w:p>
            <w:pPr>
              <w:keepNext w:val="0"/>
              <w:keepLines w:val="0"/>
              <w:suppressLineNumbers w:val="0"/>
              <w:spacing w:before="0" w:beforeAutospacing="0" w:after="0" w:afterAutospacing="0"/>
              <w:ind w:left="0" w:right="0"/>
              <w:rPr>
                <w:rFonts w:hint="default" w:ascii="Times New Roman" w:hAnsi="Times New Roman" w:eastAsia="宋体" w:cs="Times New Roman"/>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87"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生态保护措施</w:t>
            </w:r>
          </w:p>
        </w:tc>
        <w:tc>
          <w:tcPr>
            <w:tcW w:w="8373" w:type="dxa"/>
            <w:gridSpan w:val="4"/>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87"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环境风险</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防范措施</w:t>
            </w:r>
          </w:p>
        </w:tc>
        <w:tc>
          <w:tcPr>
            <w:tcW w:w="8373" w:type="dxa"/>
            <w:gridSpan w:val="4"/>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color w:val="auto"/>
                <w:szCs w:val="21"/>
                <w:highlight w:val="none"/>
                <w:lang w:eastAsia="zh-CN"/>
              </w:rPr>
            </w:pPr>
            <w:r>
              <w:rPr>
                <w:rFonts w:hint="eastAsia"/>
                <w:color w:val="auto"/>
                <w:szCs w:val="21"/>
                <w:highlight w:val="none"/>
                <w:lang w:val="en-US" w:eastAsia="zh-CN"/>
              </w:rPr>
              <w:t>①</w:t>
            </w:r>
            <w:r>
              <w:rPr>
                <w:rFonts w:hint="default"/>
                <w:color w:val="auto"/>
                <w:szCs w:val="21"/>
                <w:highlight w:val="none"/>
              </w:rPr>
              <w:t>严禁明火，严格遵守操作规程，避免因操作失误发生事故</w:t>
            </w:r>
            <w:r>
              <w:rPr>
                <w:rFonts w:hint="eastAsia"/>
                <w:color w:val="auto"/>
                <w:szCs w:val="21"/>
                <w:highlight w:val="none"/>
                <w:lang w:eastAsia="zh-CN"/>
              </w:rPr>
              <w:t>；</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color w:val="auto"/>
                <w:szCs w:val="21"/>
                <w:highlight w:val="none"/>
              </w:rPr>
            </w:pPr>
            <w:r>
              <w:rPr>
                <w:rFonts w:hint="eastAsia"/>
                <w:color w:val="auto"/>
                <w:szCs w:val="21"/>
                <w:highlight w:val="none"/>
                <w:lang w:val="en-US" w:eastAsia="zh-CN"/>
              </w:rPr>
              <w:t>②</w:t>
            </w:r>
            <w:r>
              <w:rPr>
                <w:rFonts w:hint="default"/>
                <w:color w:val="auto"/>
                <w:szCs w:val="21"/>
                <w:highlight w:val="none"/>
              </w:rPr>
              <w:t>公司强化安全、消防和环保管理，完善环保安全管理机构，完善各项管理制度，加强日常监督检查；</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eastAsia="宋体"/>
                <w:color w:val="auto"/>
                <w:szCs w:val="21"/>
                <w:highlight w:val="none"/>
                <w:lang w:val="en-US" w:eastAsia="zh-CN"/>
              </w:rPr>
            </w:pPr>
            <w:r>
              <w:rPr>
                <w:rFonts w:hint="eastAsia"/>
                <w:color w:val="auto"/>
                <w:szCs w:val="21"/>
                <w:highlight w:val="none"/>
                <w:lang w:val="en-US" w:eastAsia="zh-CN"/>
              </w:rPr>
              <w:t>③</w:t>
            </w:r>
            <w:r>
              <w:rPr>
                <w:rFonts w:hint="eastAsia"/>
                <w:color w:val="auto"/>
                <w:szCs w:val="21"/>
                <w:highlight w:val="none"/>
              </w:rPr>
              <w:t>定期对废气处理设施从设备到输送管道、阀门部件等进行检修，发现问题及时解决。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687" w:type="dxa"/>
            <w:noWrap w:val="0"/>
            <w:vAlign w:val="center"/>
          </w:tcPr>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其他环境</w:t>
            </w:r>
          </w:p>
          <w:p>
            <w:pPr>
              <w:pStyle w:val="4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Style w:val="48"/>
                <w:rFonts w:hint="default" w:ascii="Times New Roman" w:hAnsi="Times New Roman" w:eastAsia="宋体" w:cs="Times New Roman"/>
                <w:color w:val="000000" w:themeColor="text1"/>
                <w:sz w:val="21"/>
                <w:szCs w:val="21"/>
                <w:highlight w:val="none"/>
                <w14:textFill>
                  <w14:solidFill>
                    <w14:schemeClr w14:val="tx1"/>
                  </w14:solidFill>
                </w14:textFill>
              </w:rPr>
            </w:pPr>
            <w:r>
              <w:rPr>
                <w:rStyle w:val="48"/>
                <w:rFonts w:hint="default" w:ascii="Times New Roman" w:hAnsi="Times New Roman" w:eastAsia="宋体" w:cs="Times New Roman"/>
                <w:color w:val="000000" w:themeColor="text1"/>
                <w:sz w:val="21"/>
                <w:szCs w:val="21"/>
                <w:highlight w:val="none"/>
                <w14:textFill>
                  <w14:solidFill>
                    <w14:schemeClr w14:val="tx1"/>
                  </w14:solidFill>
                </w14:textFill>
              </w:rPr>
              <w:t>管理要求</w:t>
            </w:r>
          </w:p>
        </w:tc>
        <w:tc>
          <w:tcPr>
            <w:tcW w:w="8373"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①设立专门的环保机构，配备专职环保工作人员。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②建立完善的环境管理制度，设立专门环境管理机构，建立完善的环境监测制度。按照环境监测计划对项目废气和厂界噪声等定期进行监测。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③加强环保设施运行管理维护，建立环保设施运行台账，确保环保设施正常运行及污染物稳定达标排放。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textAlignment w:val="auto"/>
              <w:rPr>
                <w:rFonts w:hint="default" w:ascii="Times New Roman" w:hAnsi="Times New Roman" w:eastAsia="宋体" w:cs="Times New Roman"/>
                <w:color w:val="auto"/>
                <w:kern w:val="2"/>
                <w:sz w:val="21"/>
                <w:szCs w:val="21"/>
                <w:lang w:val="en-US" w:eastAsia="zh-CN" w:bidi="ar"/>
              </w:rPr>
            </w:pPr>
            <w:r>
              <w:rPr>
                <w:rFonts w:hint="default" w:ascii="Times New Roman" w:hAnsi="Times New Roman" w:eastAsia="宋体" w:cs="Times New Roman"/>
                <w:color w:val="auto"/>
                <w:kern w:val="2"/>
                <w:sz w:val="21"/>
                <w:szCs w:val="21"/>
                <w:lang w:val="en-US" w:eastAsia="zh-CN" w:bidi="ar"/>
              </w:rPr>
              <w:t>④</w:t>
            </w:r>
            <w:r>
              <w:rPr>
                <w:rFonts w:hint="default" w:ascii="Times New Roman" w:hAnsi="Times New Roman" w:eastAsia="宋体" w:cs="Times New Roman"/>
                <w:b w:val="0"/>
                <w:color w:val="auto"/>
                <w:szCs w:val="21"/>
              </w:rPr>
              <w:t>根据《固定污染源排污许可分类管理名录》（2019年版），本项目属于</w:t>
            </w:r>
            <w:r>
              <w:rPr>
                <w:rFonts w:hint="default" w:ascii="Times New Roman" w:hAnsi="Times New Roman" w:eastAsia="宋体" w:cs="Times New Roman"/>
                <w:b w:val="0"/>
                <w:color w:val="auto"/>
                <w:szCs w:val="21"/>
                <w:lang w:eastAsia="zh-CN"/>
              </w:rPr>
              <w:t>“</w:t>
            </w:r>
            <w:r>
              <w:rPr>
                <w:rFonts w:hint="default" w:ascii="Times New Roman" w:hAnsi="Times New Roman" w:eastAsia="宋体" w:cs="Times New Roman"/>
                <w:b w:val="0"/>
                <w:color w:val="auto"/>
                <w:szCs w:val="21"/>
                <w:lang w:val="en-US" w:eastAsia="zh-CN"/>
              </w:rPr>
              <w:t>二十四、橡胶和塑料制品业29-62塑料制品业292</w:t>
            </w:r>
            <w:r>
              <w:rPr>
                <w:rFonts w:hint="default" w:ascii="Times New Roman" w:hAnsi="Times New Roman" w:eastAsia="宋体" w:cs="Times New Roman"/>
                <w:b w:val="0"/>
                <w:color w:val="auto"/>
                <w:szCs w:val="21"/>
                <w:lang w:eastAsia="zh-CN"/>
              </w:rPr>
              <w:t>”</w:t>
            </w:r>
            <w:r>
              <w:rPr>
                <w:rFonts w:hint="default" w:ascii="Times New Roman" w:hAnsi="Times New Roman" w:eastAsia="宋体" w:cs="Times New Roman"/>
                <w:b w:val="0"/>
                <w:color w:val="auto"/>
                <w:szCs w:val="21"/>
              </w:rPr>
              <w:t>本项目</w:t>
            </w:r>
            <w:r>
              <w:rPr>
                <w:rFonts w:hint="default" w:ascii="Times New Roman" w:hAnsi="Times New Roman" w:eastAsia="宋体" w:cs="Times New Roman"/>
                <w:b w:val="0"/>
                <w:color w:val="auto"/>
                <w:szCs w:val="21"/>
                <w:lang w:val="en-US" w:eastAsia="zh-CN"/>
              </w:rPr>
              <w:t>属于登记</w:t>
            </w:r>
            <w:r>
              <w:rPr>
                <w:rFonts w:hint="default" w:ascii="Times New Roman" w:hAnsi="Times New Roman" w:eastAsia="宋体" w:cs="Times New Roman"/>
                <w:b w:val="0"/>
                <w:color w:val="auto"/>
                <w:szCs w:val="21"/>
              </w:rPr>
              <w:t>管理，</w:t>
            </w:r>
            <w:r>
              <w:rPr>
                <w:rFonts w:hint="default" w:ascii="Times New Roman" w:hAnsi="Times New Roman" w:eastAsia="宋体" w:cs="Times New Roman"/>
                <w:b w:val="0"/>
                <w:color w:val="auto"/>
                <w:szCs w:val="21"/>
                <w:lang w:val="en-US" w:eastAsia="zh-CN"/>
              </w:rPr>
              <w:t>建</w:t>
            </w:r>
            <w:r>
              <w:rPr>
                <w:rFonts w:hint="default" w:ascii="Times New Roman" w:hAnsi="Times New Roman" w:eastAsia="宋体" w:cs="Times New Roman"/>
                <w:color w:val="auto"/>
                <w:szCs w:val="21"/>
              </w:rPr>
              <w:t>设单位应</w:t>
            </w:r>
            <w:r>
              <w:rPr>
                <w:rFonts w:hint="default" w:ascii="Times New Roman" w:hAnsi="Times New Roman" w:eastAsia="宋体" w:cs="Times New Roman"/>
                <w:color w:val="auto"/>
                <w:szCs w:val="21"/>
                <w:highlight w:val="none"/>
              </w:rPr>
              <w:t>依据国家及地方相关环保要求进行固定污染源排污许可登记，并</w:t>
            </w:r>
            <w:r>
              <w:rPr>
                <w:rFonts w:hint="default" w:ascii="Times New Roman" w:hAnsi="Times New Roman" w:eastAsia="宋体" w:cs="Times New Roman"/>
                <w:color w:val="auto"/>
                <w:szCs w:val="21"/>
                <w:highlight w:val="none"/>
                <w:lang w:val="en-US" w:eastAsia="zh-CN"/>
              </w:rPr>
              <w:t>参照</w:t>
            </w:r>
            <w:r>
              <w:rPr>
                <w:rFonts w:hint="eastAsia"/>
                <w:color w:val="auto"/>
                <w:szCs w:val="21"/>
              </w:rPr>
              <w:t>《排污单位自行监测技术指南橡胶和塑料制品》</w:t>
            </w:r>
            <w:r>
              <w:rPr>
                <w:rFonts w:hint="eastAsia"/>
                <w:color w:val="auto"/>
                <w:szCs w:val="21"/>
                <w:lang w:eastAsia="zh-CN"/>
              </w:rPr>
              <w:t>（</w:t>
            </w:r>
            <w:r>
              <w:rPr>
                <w:rFonts w:hint="eastAsia"/>
                <w:color w:val="auto"/>
                <w:szCs w:val="21"/>
              </w:rPr>
              <w:t>HJ1207-2021</w:t>
            </w:r>
            <w:r>
              <w:rPr>
                <w:rFonts w:hint="eastAsia"/>
                <w:color w:val="auto"/>
                <w:szCs w:val="21"/>
                <w:lang w:eastAsia="zh-CN"/>
              </w:rPr>
              <w:t>）</w:t>
            </w:r>
            <w:r>
              <w:rPr>
                <w:rFonts w:hint="default" w:ascii="Times New Roman" w:hAnsi="Times New Roman" w:eastAsia="宋体" w:cs="Times New Roman"/>
                <w:color w:val="auto"/>
                <w:szCs w:val="21"/>
              </w:rPr>
              <w:t>等有关要求，制定项目污染源监测计划，按照相关要求开展例行监测。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2"/>
                <w:sz w:val="21"/>
                <w:szCs w:val="21"/>
                <w:lang w:val="en-US" w:eastAsia="zh-CN" w:bidi="ar"/>
              </w:rPr>
              <w:t>⑤建设单位应强化环境保护主体责任，落实建设项目环境保护“三同时”制度，本工程竣工后的验收程序、验收自查、验收监测方案和报告编制、验收监测技术均应按照技术指南的要求进行。</w:t>
            </w:r>
          </w:p>
        </w:tc>
      </w:tr>
    </w:tbl>
    <w:p/>
    <w:p>
      <w:r>
        <w:br w:type="page"/>
      </w:r>
    </w:p>
    <w:p>
      <w:pPr>
        <w:pStyle w:val="2"/>
        <w:bidi w:val="0"/>
        <w:ind w:left="432" w:leftChars="0" w:hanging="432" w:firstLineChars="0"/>
      </w:pPr>
      <w:bookmarkStart w:id="119" w:name="_Toc7855"/>
      <w:bookmarkStart w:id="120" w:name="_Toc15474"/>
      <w:r>
        <w:rPr>
          <w:rFonts w:hint="eastAsia"/>
        </w:rPr>
        <w:t>结论</w:t>
      </w:r>
      <w:bookmarkEnd w:id="119"/>
      <w:bookmarkEnd w:id="120"/>
    </w:p>
    <w:tbl>
      <w:tblPr>
        <w:tblStyle w:val="32"/>
        <w:tblW w:w="88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pStyle w:val="43"/>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rPr>
              <w:t>福州诚东塑业有限公司</w:t>
            </w:r>
            <w:r>
              <w:rPr>
                <w:rFonts w:hint="default" w:ascii="Times New Roman" w:hAnsi="Times New Roman" w:eastAsia="宋体" w:cs="Times New Roman"/>
                <w:sz w:val="24"/>
                <w:szCs w:val="24"/>
              </w:rPr>
              <w:t>塑料果篮生产项目的建设符合国家有关产业政策，项目选址合理</w:t>
            </w: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rPr>
              <w:t>平面布局可行。项目运营后产生的污水、废气、噪声、固废通过采取相应的措施治理，能够实现污染物的达标排放，对环境造成影响较小。在工程建设中，严格执行</w:t>
            </w:r>
            <w:r>
              <w:rPr>
                <w:rFonts w:hint="eastAsia" w:cs="Times New Roman"/>
                <w:sz w:val="24"/>
                <w:szCs w:val="24"/>
                <w:lang w:eastAsia="zh-CN"/>
              </w:rPr>
              <w:t>“</w:t>
            </w:r>
            <w:r>
              <w:rPr>
                <w:rFonts w:hint="default" w:ascii="Times New Roman" w:hAnsi="Times New Roman" w:eastAsia="宋体" w:cs="Times New Roman"/>
                <w:sz w:val="24"/>
                <w:szCs w:val="24"/>
              </w:rPr>
              <w:t>三同时</w:t>
            </w:r>
            <w:r>
              <w:rPr>
                <w:rFonts w:hint="eastAsia" w:cs="Times New Roman"/>
                <w:sz w:val="24"/>
                <w:szCs w:val="24"/>
                <w:lang w:eastAsia="zh-CN"/>
              </w:rPr>
              <w:t>”</w:t>
            </w:r>
            <w:r>
              <w:rPr>
                <w:rFonts w:hint="default" w:ascii="Times New Roman" w:hAnsi="Times New Roman" w:eastAsia="宋体" w:cs="Times New Roman"/>
                <w:sz w:val="24"/>
                <w:szCs w:val="24"/>
              </w:rPr>
              <w:t>制度，项目投产后，严格遵守国家有关法律法规，严格执行相关标准和技术规范，严格落实各项环境</w:t>
            </w:r>
            <w:r>
              <w:rPr>
                <w:rFonts w:hint="eastAsia" w:cs="Times New Roman"/>
                <w:sz w:val="24"/>
                <w:szCs w:val="24"/>
                <w:lang w:val="en-US" w:eastAsia="zh-CN"/>
              </w:rPr>
              <w:t>污染治理</w:t>
            </w:r>
            <w:r>
              <w:rPr>
                <w:rFonts w:hint="default" w:ascii="Times New Roman" w:hAnsi="Times New Roman" w:eastAsia="宋体" w:cs="Times New Roman"/>
                <w:sz w:val="24"/>
                <w:szCs w:val="24"/>
              </w:rPr>
              <w:t>措施，</w:t>
            </w:r>
            <w:r>
              <w:rPr>
                <w:rFonts w:hint="eastAsia" w:cs="Times New Roman"/>
                <w:sz w:val="24"/>
                <w:szCs w:val="24"/>
                <w:lang w:val="en-US" w:eastAsia="zh-CN"/>
              </w:rPr>
              <w:t>在</w:t>
            </w:r>
            <w:r>
              <w:rPr>
                <w:rFonts w:hint="default" w:ascii="Times New Roman" w:hAnsi="Times New Roman" w:eastAsia="宋体" w:cs="Times New Roman"/>
                <w:sz w:val="24"/>
                <w:szCs w:val="24"/>
              </w:rPr>
              <w:t>污染物稳定达标排放的前提下，对周边环境影响较小，该项目可实现经济效益、环境效益的协调性发展。从环境保护的角度分析，该项目的建设是可行的。</w:t>
            </w: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keepNext w:val="0"/>
              <w:keepLines w:val="0"/>
              <w:suppressLineNumbers w:val="0"/>
              <w:bidi w:val="0"/>
              <w:spacing w:before="0" w:beforeAutospacing="0" w:after="0" w:afterAutospacing="0" w:line="360" w:lineRule="auto"/>
              <w:ind w:left="0" w:right="0"/>
              <w:jc w:val="right"/>
              <w:rPr>
                <w:rStyle w:val="79"/>
                <w:rFonts w:hint="default" w:ascii="Times New Roman" w:hAnsi="Times New Roman" w:eastAsia="宋体" w:cs="Times New Roman"/>
                <w:color w:val="auto"/>
                <w:sz w:val="24"/>
                <w:szCs w:val="24"/>
                <w:highlight w:val="none"/>
                <w:lang w:val="en-US" w:eastAsia="zh-CN"/>
              </w:rPr>
            </w:pPr>
            <w:r>
              <w:rPr>
                <w:rStyle w:val="79"/>
                <w:rFonts w:hint="default" w:ascii="Times New Roman" w:hAnsi="Times New Roman" w:eastAsia="宋体" w:cs="Times New Roman"/>
                <w:color w:val="auto"/>
                <w:sz w:val="24"/>
                <w:szCs w:val="24"/>
                <w:highlight w:val="none"/>
                <w:lang w:val="en-US" w:eastAsia="zh-CN"/>
              </w:rPr>
              <w:t>福建省闽创环保科技有限公司</w:t>
            </w:r>
          </w:p>
          <w:p>
            <w:pPr>
              <w:pStyle w:val="23"/>
              <w:keepNext w:val="0"/>
              <w:keepLines w:val="0"/>
              <w:suppressLineNumbers w:val="0"/>
              <w:spacing w:before="0" w:beforeAutospacing="0" w:after="0" w:afterAutospacing="0"/>
              <w:ind w:left="0" w:right="0"/>
              <w:jc w:val="right"/>
              <w:rPr>
                <w:rFonts w:hint="default" w:ascii="Times New Roman" w:hAnsi="Times New Roman" w:eastAsia="宋体" w:cs="Times New Roman"/>
                <w:sz w:val="24"/>
                <w:szCs w:val="24"/>
              </w:rPr>
            </w:pPr>
            <w:r>
              <w:rPr>
                <w:rStyle w:val="79"/>
                <w:rFonts w:hint="default" w:ascii="Times New Roman" w:hAnsi="Times New Roman" w:eastAsia="宋体" w:cs="Times New Roman"/>
                <w:color w:val="auto"/>
                <w:sz w:val="24"/>
                <w:szCs w:val="24"/>
                <w:highlight w:val="none"/>
                <w:lang w:val="en-US" w:eastAsia="zh-CN"/>
              </w:rPr>
              <w:t>2024年</w:t>
            </w:r>
            <w:r>
              <w:rPr>
                <w:rStyle w:val="79"/>
                <w:rFonts w:hint="eastAsia" w:cs="Times New Roman"/>
                <w:color w:val="auto"/>
                <w:sz w:val="24"/>
                <w:szCs w:val="24"/>
                <w:highlight w:val="none"/>
                <w:lang w:val="en-US" w:eastAsia="zh-CN"/>
              </w:rPr>
              <w:t>6</w:t>
            </w:r>
            <w:r>
              <w:rPr>
                <w:rStyle w:val="79"/>
                <w:rFonts w:hint="default" w:ascii="Times New Roman" w:hAnsi="Times New Roman" w:eastAsia="宋体" w:cs="Times New Roman"/>
                <w:color w:val="auto"/>
                <w:sz w:val="24"/>
                <w:szCs w:val="24"/>
                <w:highlight w:val="none"/>
                <w:lang w:val="en-US" w:eastAsia="zh-CN"/>
              </w:rPr>
              <w:t>月</w:t>
            </w:r>
          </w:p>
          <w:p>
            <w:pPr>
              <w:pStyle w:val="23"/>
              <w:keepNext w:val="0"/>
              <w:keepLines w:val="0"/>
              <w:suppressLineNumbers w:val="0"/>
              <w:spacing w:before="0" w:beforeAutospacing="0" w:after="0" w:afterAutospacing="0"/>
              <w:ind w:left="0" w:right="0"/>
              <w:rPr>
                <w:rFonts w:hint="default" w:ascii="Times New Roman" w:hAnsi="Times New Roman" w:eastAsia="宋体"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cs="Times New Roman"/>
                <w:sz w:val="24"/>
                <w:szCs w:val="24"/>
              </w:rPr>
            </w:pPr>
          </w:p>
          <w:p>
            <w:pPr>
              <w:pStyle w:val="23"/>
              <w:keepNext w:val="0"/>
              <w:keepLines w:val="0"/>
              <w:suppressLineNumbers w:val="0"/>
              <w:spacing w:before="0" w:beforeAutospacing="0" w:after="0" w:afterAutospacing="0"/>
              <w:ind w:left="0" w:right="0"/>
              <w:rPr>
                <w:rFonts w:hint="default" w:ascii="Times New Roman" w:hAnsi="Times New Roman"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cs="Times New Roman"/>
                <w:b/>
                <w:bCs/>
                <w:sz w:val="24"/>
                <w:lang w:val="zh-CN"/>
              </w:rPr>
            </w:pPr>
          </w:p>
          <w:p>
            <w:pPr>
              <w:keepNext w:val="0"/>
              <w:keepLines w:val="0"/>
              <w:suppressLineNumbers w:val="0"/>
              <w:spacing w:before="0" w:beforeAutospacing="0" w:after="0" w:afterAutospacing="0" w:line="360" w:lineRule="auto"/>
              <w:ind w:left="0" w:right="0"/>
              <w:rPr>
                <w:rFonts w:hint="default" w:ascii="宋体" w:hAnsi="Times New Roman" w:cs="宋体"/>
                <w:sz w:val="24"/>
              </w:rPr>
            </w:pPr>
          </w:p>
        </w:tc>
      </w:tr>
    </w:tbl>
    <w:p>
      <w:pPr>
        <w:jc w:val="center"/>
        <w:rPr>
          <w:rFonts w:ascii="宋体"/>
        </w:rPr>
        <w:sectPr>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9"/>
        <w:adjustRightInd w:val="0"/>
        <w:snapToGrid w:val="0"/>
        <w:spacing w:before="0" w:beforeAutospacing="0" w:after="0" w:afterAutospacing="0"/>
        <w:outlineLvl w:val="0"/>
        <w:rPr>
          <w:rFonts w:ascii="黑体" w:hAnsi="黑体" w:eastAsia="黑体"/>
          <w:snapToGrid w:val="0"/>
          <w:sz w:val="32"/>
          <w:szCs w:val="32"/>
        </w:rPr>
      </w:pPr>
      <w:bookmarkStart w:id="121" w:name="_Toc23485"/>
      <w:bookmarkStart w:id="122" w:name="_Toc24884"/>
      <w:bookmarkStart w:id="125" w:name="_GoBack"/>
      <w:bookmarkEnd w:id="125"/>
      <w:r>
        <w:rPr>
          <w:rFonts w:hint="eastAsia" w:ascii="黑体" w:hAnsi="黑体" w:eastAsia="黑体"/>
          <w:snapToGrid w:val="0"/>
          <w:sz w:val="32"/>
          <w:szCs w:val="32"/>
        </w:rPr>
        <w:t>附表</w:t>
      </w:r>
      <w:bookmarkEnd w:id="121"/>
      <w:bookmarkEnd w:id="122"/>
    </w:p>
    <w:p>
      <w:pPr>
        <w:pStyle w:val="29"/>
        <w:adjustRightInd w:val="0"/>
        <w:snapToGrid w:val="0"/>
        <w:spacing w:before="0" w:beforeAutospacing="0" w:after="0" w:afterAutospacing="0"/>
        <w:jc w:val="center"/>
        <w:outlineLvl w:val="9"/>
        <w:rPr>
          <w:rFonts w:ascii="方正小标宋_GBK" w:hAnsi="黑体" w:eastAsia="方正小标宋_GBK"/>
          <w:snapToGrid w:val="0"/>
          <w:sz w:val="36"/>
          <w:szCs w:val="36"/>
        </w:rPr>
      </w:pPr>
      <w:bookmarkStart w:id="123" w:name="_Toc32502"/>
      <w:bookmarkStart w:id="124" w:name="_Toc31132"/>
      <w:r>
        <w:rPr>
          <w:rFonts w:hint="eastAsia" w:ascii="方正小标宋_GBK" w:hAnsi="黑体" w:eastAsia="方正小标宋_GBK"/>
          <w:snapToGrid w:val="0"/>
          <w:sz w:val="36"/>
          <w:szCs w:val="36"/>
        </w:rPr>
        <w:t>建设项目污染物排放量汇总表</w:t>
      </w:r>
      <w:bookmarkEnd w:id="123"/>
      <w:bookmarkEnd w:id="124"/>
    </w:p>
    <w:tbl>
      <w:tblPr>
        <w:tblStyle w:val="32"/>
        <w:tblW w:w="140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87"/>
        <w:gridCol w:w="1620"/>
        <w:gridCol w:w="1496"/>
        <w:gridCol w:w="1275"/>
        <w:gridCol w:w="1701"/>
        <w:gridCol w:w="1615"/>
        <w:gridCol w:w="1703"/>
        <w:gridCol w:w="1718"/>
        <w:gridCol w:w="12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587" w:type="dxa"/>
            <w:tcBorders>
              <w:top w:val="single" w:color="auto" w:sz="8" w:space="0"/>
              <w:left w:val="single" w:color="auto" w:sz="8" w:space="0"/>
              <w:bottom w:val="single" w:color="auto" w:sz="4" w:space="0"/>
              <w:right w:val="single" w:color="auto" w:sz="4" w:space="0"/>
              <w:tl2br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right"/>
              <w:rPr>
                <w:rFonts w:hint="eastAsia" w:ascii="黑体" w:hAnsi="宋体" w:eastAsia="黑体" w:cs="宋体"/>
                <w:color w:val="000000"/>
                <w:spacing w:val="-6"/>
                <w:kern w:val="21"/>
                <w:szCs w:val="21"/>
                <w:lang w:val="en-US"/>
              </w:rPr>
            </w:pPr>
            <w:r>
              <w:rPr>
                <w:rFonts w:hint="eastAsia" w:ascii="黑体" w:hAnsi="宋体" w:eastAsia="黑体" w:cs="宋体"/>
                <w:snapToGrid w:val="0"/>
                <w:color w:val="000000"/>
                <w:spacing w:val="-6"/>
                <w:kern w:val="21"/>
                <w:sz w:val="21"/>
                <w:szCs w:val="21"/>
                <w:lang w:val="en-US" w:eastAsia="zh-CN" w:bidi="ar"/>
              </w:rPr>
              <w:t>项目</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left"/>
              <w:rPr>
                <w:rFonts w:hint="eastAsia" w:ascii="黑体" w:hAnsi="宋体" w:eastAsia="黑体" w:cs="宋体"/>
                <w:color w:val="000000"/>
                <w:spacing w:val="-6"/>
                <w:kern w:val="21"/>
                <w:szCs w:val="21"/>
                <w:lang w:val="en-US"/>
              </w:rPr>
            </w:pPr>
            <w:r>
              <w:rPr>
                <w:rFonts w:hint="eastAsia" w:ascii="黑体" w:hAnsi="宋体" w:eastAsia="黑体" w:cs="宋体"/>
                <w:snapToGrid w:val="0"/>
                <w:color w:val="000000"/>
                <w:spacing w:val="-6"/>
                <w:kern w:val="21"/>
                <w:sz w:val="21"/>
                <w:szCs w:val="21"/>
                <w:lang w:val="en-US" w:eastAsia="zh-CN" w:bidi="ar"/>
              </w:rPr>
              <w:t>分类</w:t>
            </w:r>
          </w:p>
        </w:tc>
        <w:tc>
          <w:tcPr>
            <w:tcW w:w="1620"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宋体"/>
                <w:color w:val="000000"/>
                <w:spacing w:val="-6"/>
                <w:kern w:val="21"/>
                <w:szCs w:val="21"/>
                <w:lang w:val="en-US"/>
              </w:rPr>
            </w:pPr>
            <w:r>
              <w:rPr>
                <w:rFonts w:hint="eastAsia" w:ascii="黑体" w:hAnsi="宋体" w:eastAsia="黑体" w:cs="宋体"/>
                <w:snapToGrid w:val="0"/>
                <w:color w:val="000000"/>
                <w:spacing w:val="-6"/>
                <w:kern w:val="21"/>
                <w:sz w:val="21"/>
                <w:szCs w:val="21"/>
                <w:lang w:val="en-US" w:eastAsia="zh-CN" w:bidi="ar"/>
              </w:rPr>
              <w:t>污染物名称</w:t>
            </w:r>
          </w:p>
        </w:tc>
        <w:tc>
          <w:tcPr>
            <w:tcW w:w="1496"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现有工程</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snapToGrid w:val="0"/>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排放量（固体废物产生量）</w:t>
            </w:r>
            <w:r>
              <w:rPr>
                <w:rFonts w:hint="eastAsia" w:ascii="黑体" w:hAnsi="宋体" w:eastAsia="黑体" w:cs="黑体"/>
                <w:color w:val="000000"/>
                <w:spacing w:val="-6"/>
                <w:kern w:val="21"/>
                <w:sz w:val="21"/>
                <w:szCs w:val="21"/>
                <w:lang w:val="en-US" w:eastAsia="zh-CN" w:bidi="ar"/>
              </w:rPr>
              <w:fldChar w:fldCharType="begin"/>
            </w:r>
            <w:r>
              <w:rPr>
                <w:rFonts w:hint="eastAsia" w:ascii="黑体" w:hAnsi="宋体" w:eastAsia="黑体" w:cs="黑体"/>
                <w:snapToGrid w:val="0"/>
                <w:color w:val="000000"/>
                <w:spacing w:val="-6"/>
                <w:kern w:val="21"/>
                <w:sz w:val="21"/>
                <w:szCs w:val="21"/>
                <w:lang w:val="en-US" w:eastAsia="zh-CN" w:bidi="ar"/>
              </w:rPr>
              <w:instrText xml:space="preserve"> = 1 \* GB3 \* MERGEFORMAT </w:instrText>
            </w:r>
            <w:r>
              <w:rPr>
                <w:rFonts w:hint="eastAsia" w:ascii="黑体" w:hAnsi="宋体" w:eastAsia="黑体" w:cs="黑体"/>
                <w:color w:val="000000"/>
                <w:spacing w:val="-6"/>
                <w:kern w:val="21"/>
                <w:sz w:val="21"/>
                <w:szCs w:val="21"/>
                <w:lang w:val="en-US" w:eastAsia="zh-CN" w:bidi="ar"/>
              </w:rPr>
              <w:fldChar w:fldCharType="separate"/>
            </w:r>
            <w:r>
              <w:rPr>
                <w:rFonts w:hint="eastAsia" w:ascii="黑体" w:hAnsi="宋体" w:eastAsia="黑体" w:cs="宋体"/>
                <w:kern w:val="2"/>
                <w:sz w:val="21"/>
                <w:szCs w:val="21"/>
                <w:lang w:val="en-US" w:eastAsia="zh-CN" w:bidi="ar"/>
              </w:rPr>
              <w:t>①</w:t>
            </w:r>
            <w:r>
              <w:rPr>
                <w:rFonts w:hint="eastAsia" w:ascii="黑体" w:hAnsi="宋体" w:eastAsia="黑体" w:cs="黑体"/>
                <w:color w:val="000000"/>
                <w:spacing w:val="-6"/>
                <w:kern w:val="21"/>
                <w:sz w:val="21"/>
                <w:szCs w:val="21"/>
                <w:lang w:val="en-US" w:eastAsia="zh-CN" w:bidi="ar"/>
              </w:rPr>
              <w:fldChar w:fldCharType="end"/>
            </w:r>
          </w:p>
        </w:tc>
        <w:tc>
          <w:tcPr>
            <w:tcW w:w="127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现有工程</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许可排放量</w:t>
            </w:r>
          </w:p>
          <w:p>
            <w:pPr>
              <w:pStyle w:val="29"/>
              <w:keepNext w:val="0"/>
              <w:keepLines w:val="0"/>
              <w:widowControl w:val="0"/>
              <w:suppressLineNumbers w:val="0"/>
              <w:adjustRightInd w:val="0"/>
              <w:snapToGrid w:val="0"/>
              <w:spacing w:before="0" w:beforeLines="10" w:beforeAutospacing="0" w:after="0" w:afterAutospacing="0" w:line="256" w:lineRule="auto"/>
              <w:ind w:left="0" w:right="0"/>
              <w:jc w:val="center"/>
              <w:rPr>
                <w:rFonts w:hint="eastAsia" w:ascii="黑体" w:hAnsi="宋体" w:eastAsia="黑体" w:cs="黑体"/>
                <w:snapToGrid w:val="0"/>
                <w:color w:val="000000"/>
                <w:spacing w:val="-6"/>
                <w:kern w:val="21"/>
                <w:szCs w:val="21"/>
                <w:lang w:val="en-US"/>
              </w:rPr>
            </w:pPr>
            <w:r>
              <w:rPr>
                <w:rFonts w:hint="eastAsia" w:ascii="黑体" w:hAnsi="宋体" w:eastAsia="黑体" w:cs="黑体"/>
                <w:color w:val="000000"/>
                <w:spacing w:val="-6"/>
                <w:kern w:val="21"/>
                <w:sz w:val="21"/>
                <w:szCs w:val="21"/>
                <w:lang w:val="en-US" w:eastAsia="zh-CN" w:bidi="ar"/>
              </w:rPr>
              <w:fldChar w:fldCharType="begin"/>
            </w:r>
            <w:r>
              <w:rPr>
                <w:rFonts w:hint="eastAsia" w:ascii="黑体" w:hAnsi="宋体" w:eastAsia="黑体" w:cs="黑体"/>
                <w:color w:val="000000"/>
                <w:spacing w:val="-6"/>
                <w:kern w:val="21"/>
                <w:sz w:val="21"/>
                <w:szCs w:val="21"/>
                <w:lang w:val="en-US" w:eastAsia="zh-CN" w:bidi="ar"/>
              </w:rPr>
              <w:instrText xml:space="preserve"> </w:instrText>
            </w:r>
            <w:r>
              <w:rPr>
                <w:rFonts w:hint="eastAsia" w:ascii="黑体" w:hAnsi="宋体" w:eastAsia="黑体" w:cs="黑体"/>
                <w:snapToGrid w:val="0"/>
                <w:color w:val="000000"/>
                <w:spacing w:val="-6"/>
                <w:kern w:val="21"/>
                <w:sz w:val="21"/>
                <w:szCs w:val="21"/>
                <w:lang w:val="en-US" w:eastAsia="zh-CN" w:bidi="ar"/>
              </w:rPr>
              <w:instrText xml:space="preserve">= 2 \* GB3 \* MERGEFORMAT </w:instrText>
            </w:r>
            <w:r>
              <w:rPr>
                <w:rFonts w:hint="eastAsia" w:ascii="黑体" w:hAnsi="宋体" w:eastAsia="黑体" w:cs="黑体"/>
                <w:color w:val="000000"/>
                <w:spacing w:val="-6"/>
                <w:kern w:val="21"/>
                <w:sz w:val="21"/>
                <w:szCs w:val="21"/>
                <w:lang w:val="en-US" w:eastAsia="zh-CN" w:bidi="ar"/>
              </w:rPr>
              <w:fldChar w:fldCharType="separate"/>
            </w:r>
            <w:r>
              <w:rPr>
                <w:rFonts w:hint="eastAsia" w:ascii="黑体" w:hAnsi="宋体" w:eastAsia="黑体" w:cs="宋体"/>
                <w:snapToGrid w:val="0"/>
                <w:color w:val="000000"/>
                <w:spacing w:val="-6"/>
                <w:kern w:val="21"/>
                <w:sz w:val="21"/>
                <w:szCs w:val="21"/>
                <w:lang w:val="en-US" w:eastAsia="zh-CN" w:bidi="ar"/>
              </w:rPr>
              <w:t>②</w:t>
            </w:r>
            <w:r>
              <w:rPr>
                <w:rFonts w:hint="eastAsia" w:ascii="黑体" w:hAnsi="宋体" w:eastAsia="黑体" w:cs="黑体"/>
                <w:color w:val="000000"/>
                <w:spacing w:val="-6"/>
                <w:kern w:val="21"/>
                <w:sz w:val="21"/>
                <w:szCs w:val="21"/>
                <w:lang w:val="en-US" w:eastAsia="zh-CN" w:bidi="ar"/>
              </w:rPr>
              <w:fldChar w:fldCharType="end"/>
            </w:r>
          </w:p>
        </w:tc>
        <w:tc>
          <w:tcPr>
            <w:tcW w:w="1701"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在建工程</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snapToGrid w:val="0"/>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排放量（固体废物产生量）</w:t>
            </w:r>
            <w:r>
              <w:rPr>
                <w:rFonts w:hint="eastAsia" w:ascii="黑体" w:hAnsi="宋体" w:eastAsia="黑体" w:cs="黑体"/>
                <w:color w:val="000000"/>
                <w:spacing w:val="-6"/>
                <w:kern w:val="21"/>
                <w:sz w:val="21"/>
                <w:szCs w:val="21"/>
                <w:lang w:val="en-US" w:eastAsia="zh-CN" w:bidi="ar"/>
              </w:rPr>
              <w:fldChar w:fldCharType="begin"/>
            </w:r>
            <w:r>
              <w:rPr>
                <w:rFonts w:hint="eastAsia" w:ascii="黑体" w:hAnsi="宋体" w:eastAsia="黑体" w:cs="黑体"/>
                <w:snapToGrid w:val="0"/>
                <w:color w:val="000000"/>
                <w:spacing w:val="-6"/>
                <w:kern w:val="21"/>
                <w:sz w:val="21"/>
                <w:szCs w:val="21"/>
                <w:lang w:val="en-US" w:eastAsia="zh-CN" w:bidi="ar"/>
              </w:rPr>
              <w:instrText xml:space="preserve"> = 3 \* GB3 \* MERGEFORMAT </w:instrText>
            </w:r>
            <w:r>
              <w:rPr>
                <w:rFonts w:hint="eastAsia" w:ascii="黑体" w:hAnsi="宋体" w:eastAsia="黑体" w:cs="黑体"/>
                <w:color w:val="000000"/>
                <w:spacing w:val="-6"/>
                <w:kern w:val="21"/>
                <w:sz w:val="21"/>
                <w:szCs w:val="21"/>
                <w:lang w:val="en-US" w:eastAsia="zh-CN" w:bidi="ar"/>
              </w:rPr>
              <w:fldChar w:fldCharType="separate"/>
            </w:r>
            <w:r>
              <w:rPr>
                <w:rFonts w:hint="eastAsia" w:ascii="黑体" w:hAnsi="宋体" w:eastAsia="黑体" w:cs="宋体"/>
                <w:kern w:val="2"/>
                <w:sz w:val="21"/>
                <w:szCs w:val="21"/>
                <w:lang w:val="en-US" w:eastAsia="zh-CN" w:bidi="ar"/>
              </w:rPr>
              <w:t>③</w:t>
            </w:r>
            <w:r>
              <w:rPr>
                <w:rFonts w:hint="eastAsia" w:ascii="黑体" w:hAnsi="宋体" w:eastAsia="黑体" w:cs="黑体"/>
                <w:color w:val="000000"/>
                <w:spacing w:val="-6"/>
                <w:kern w:val="21"/>
                <w:sz w:val="21"/>
                <w:szCs w:val="21"/>
                <w:lang w:val="en-US" w:eastAsia="zh-CN" w:bidi="ar"/>
              </w:rPr>
              <w:fldChar w:fldCharType="end"/>
            </w:r>
          </w:p>
        </w:tc>
        <w:tc>
          <w:tcPr>
            <w:tcW w:w="1615"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本项目</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snapToGrid w:val="0"/>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排放量（固体废物产生量）</w:t>
            </w:r>
            <w:r>
              <w:rPr>
                <w:rFonts w:hint="eastAsia" w:ascii="黑体" w:hAnsi="宋体" w:eastAsia="黑体" w:cs="黑体"/>
                <w:color w:val="000000"/>
                <w:spacing w:val="-6"/>
                <w:kern w:val="21"/>
                <w:sz w:val="21"/>
                <w:szCs w:val="21"/>
                <w:lang w:val="en-US" w:eastAsia="zh-CN" w:bidi="ar"/>
              </w:rPr>
              <w:fldChar w:fldCharType="begin"/>
            </w:r>
            <w:r>
              <w:rPr>
                <w:rFonts w:hint="eastAsia" w:ascii="黑体" w:hAnsi="宋体" w:eastAsia="黑体" w:cs="黑体"/>
                <w:snapToGrid w:val="0"/>
                <w:color w:val="000000"/>
                <w:spacing w:val="-6"/>
                <w:kern w:val="21"/>
                <w:sz w:val="21"/>
                <w:szCs w:val="21"/>
                <w:lang w:val="en-US" w:eastAsia="zh-CN" w:bidi="ar"/>
              </w:rPr>
              <w:instrText xml:space="preserve"> = 4 \* GB3 \* MERGEFORMAT </w:instrText>
            </w:r>
            <w:r>
              <w:rPr>
                <w:rFonts w:hint="eastAsia" w:ascii="黑体" w:hAnsi="宋体" w:eastAsia="黑体" w:cs="黑体"/>
                <w:color w:val="000000"/>
                <w:spacing w:val="-6"/>
                <w:kern w:val="21"/>
                <w:sz w:val="21"/>
                <w:szCs w:val="21"/>
                <w:lang w:val="en-US" w:eastAsia="zh-CN" w:bidi="ar"/>
              </w:rPr>
              <w:fldChar w:fldCharType="separate"/>
            </w:r>
            <w:r>
              <w:rPr>
                <w:rFonts w:hint="eastAsia" w:ascii="黑体" w:hAnsi="宋体" w:eastAsia="黑体" w:cs="宋体"/>
                <w:kern w:val="2"/>
                <w:sz w:val="21"/>
                <w:szCs w:val="21"/>
                <w:lang w:val="en-US" w:eastAsia="zh-CN" w:bidi="ar"/>
              </w:rPr>
              <w:t>④</w:t>
            </w:r>
            <w:r>
              <w:rPr>
                <w:rFonts w:hint="eastAsia" w:ascii="黑体" w:hAnsi="宋体" w:eastAsia="黑体" w:cs="黑体"/>
                <w:color w:val="000000"/>
                <w:spacing w:val="-6"/>
                <w:kern w:val="21"/>
                <w:sz w:val="21"/>
                <w:szCs w:val="21"/>
                <w:lang w:val="en-US" w:eastAsia="zh-CN" w:bidi="ar"/>
              </w:rPr>
              <w:fldChar w:fldCharType="end"/>
            </w:r>
          </w:p>
        </w:tc>
        <w:tc>
          <w:tcPr>
            <w:tcW w:w="1703"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16"/>
                <w:kern w:val="21"/>
                <w:szCs w:val="21"/>
                <w:lang w:val="en-US"/>
              </w:rPr>
            </w:pPr>
            <w:r>
              <w:rPr>
                <w:rFonts w:hint="eastAsia" w:ascii="黑体" w:hAnsi="宋体" w:eastAsia="黑体" w:cs="黑体"/>
                <w:snapToGrid w:val="0"/>
                <w:color w:val="000000"/>
                <w:spacing w:val="-16"/>
                <w:kern w:val="21"/>
                <w:sz w:val="21"/>
                <w:szCs w:val="21"/>
                <w:lang w:val="en-US" w:eastAsia="zh-CN" w:bidi="ar"/>
              </w:rPr>
              <w:t>以新带老削减量</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snapToGrid w:val="0"/>
                <w:color w:val="000000"/>
                <w:spacing w:val="-16"/>
                <w:kern w:val="21"/>
                <w:szCs w:val="21"/>
                <w:lang w:val="en-US"/>
              </w:rPr>
            </w:pPr>
            <w:r>
              <w:rPr>
                <w:rFonts w:hint="eastAsia" w:ascii="黑体" w:hAnsi="宋体" w:eastAsia="黑体" w:cs="黑体"/>
                <w:snapToGrid w:val="0"/>
                <w:color w:val="000000"/>
                <w:spacing w:val="-16"/>
                <w:kern w:val="21"/>
                <w:sz w:val="21"/>
                <w:szCs w:val="21"/>
                <w:lang w:val="en-US" w:eastAsia="zh-CN" w:bidi="ar"/>
              </w:rPr>
              <w:t>（新建项目不填）</w:t>
            </w:r>
            <w:r>
              <w:rPr>
                <w:rFonts w:hint="eastAsia" w:ascii="黑体" w:hAnsi="宋体" w:eastAsia="黑体" w:cs="黑体"/>
                <w:color w:val="000000"/>
                <w:spacing w:val="-16"/>
                <w:kern w:val="21"/>
                <w:sz w:val="21"/>
                <w:szCs w:val="21"/>
                <w:lang w:val="en-US" w:eastAsia="zh-CN" w:bidi="ar"/>
              </w:rPr>
              <w:fldChar w:fldCharType="begin"/>
            </w:r>
            <w:r>
              <w:rPr>
                <w:rFonts w:hint="eastAsia" w:ascii="黑体" w:hAnsi="宋体" w:eastAsia="黑体" w:cs="黑体"/>
                <w:snapToGrid w:val="0"/>
                <w:color w:val="000000"/>
                <w:spacing w:val="-16"/>
                <w:kern w:val="21"/>
                <w:sz w:val="21"/>
                <w:szCs w:val="21"/>
                <w:lang w:val="en-US" w:eastAsia="zh-CN" w:bidi="ar"/>
              </w:rPr>
              <w:instrText xml:space="preserve"> = 5 \* GB3 \* MERGEFORMAT </w:instrText>
            </w:r>
            <w:r>
              <w:rPr>
                <w:rFonts w:hint="eastAsia" w:ascii="黑体" w:hAnsi="宋体" w:eastAsia="黑体" w:cs="黑体"/>
                <w:color w:val="000000"/>
                <w:spacing w:val="-16"/>
                <w:kern w:val="21"/>
                <w:sz w:val="21"/>
                <w:szCs w:val="21"/>
                <w:lang w:val="en-US" w:eastAsia="zh-CN" w:bidi="ar"/>
              </w:rPr>
              <w:fldChar w:fldCharType="separate"/>
            </w:r>
            <w:r>
              <w:rPr>
                <w:rFonts w:hint="eastAsia" w:ascii="黑体" w:hAnsi="宋体" w:eastAsia="黑体" w:cs="宋体"/>
                <w:kern w:val="2"/>
                <w:sz w:val="21"/>
                <w:szCs w:val="21"/>
                <w:lang w:val="en-US" w:eastAsia="zh-CN" w:bidi="ar"/>
              </w:rPr>
              <w:t>⑤</w:t>
            </w:r>
            <w:r>
              <w:rPr>
                <w:rFonts w:hint="eastAsia" w:ascii="黑体" w:hAnsi="宋体" w:eastAsia="黑体" w:cs="黑体"/>
                <w:color w:val="000000"/>
                <w:spacing w:val="-16"/>
                <w:kern w:val="21"/>
                <w:sz w:val="21"/>
                <w:szCs w:val="21"/>
                <w:lang w:val="en-US" w:eastAsia="zh-CN" w:bidi="ar"/>
              </w:rPr>
              <w:fldChar w:fldCharType="end"/>
            </w:r>
          </w:p>
        </w:tc>
        <w:tc>
          <w:tcPr>
            <w:tcW w:w="1718" w:type="dxa"/>
            <w:tcBorders>
              <w:top w:val="single" w:color="auto" w:sz="8"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16"/>
                <w:kern w:val="21"/>
                <w:szCs w:val="21"/>
                <w:lang w:val="en-US"/>
              </w:rPr>
            </w:pPr>
            <w:r>
              <w:rPr>
                <w:rFonts w:hint="eastAsia" w:ascii="黑体" w:hAnsi="宋体" w:eastAsia="黑体" w:cs="黑体"/>
                <w:snapToGrid w:val="0"/>
                <w:color w:val="000000"/>
                <w:spacing w:val="-16"/>
                <w:kern w:val="21"/>
                <w:sz w:val="21"/>
                <w:szCs w:val="21"/>
                <w:lang w:val="en-US" w:eastAsia="zh-CN" w:bidi="ar"/>
              </w:rPr>
              <w:t>本项目建成后</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snapToGrid w:val="0"/>
                <w:color w:val="000000"/>
                <w:spacing w:val="-16"/>
                <w:kern w:val="21"/>
                <w:szCs w:val="21"/>
                <w:lang w:val="en-US"/>
              </w:rPr>
            </w:pPr>
            <w:r>
              <w:rPr>
                <w:rFonts w:hint="eastAsia" w:ascii="黑体" w:hAnsi="宋体" w:eastAsia="黑体" w:cs="黑体"/>
                <w:snapToGrid w:val="0"/>
                <w:color w:val="000000"/>
                <w:spacing w:val="-16"/>
                <w:kern w:val="21"/>
                <w:sz w:val="21"/>
                <w:szCs w:val="21"/>
                <w:lang w:val="en-US" w:eastAsia="zh-CN" w:bidi="ar"/>
              </w:rPr>
              <w:t>全厂排放量（固体废物产生量）</w:t>
            </w:r>
            <w:r>
              <w:rPr>
                <w:rFonts w:hint="eastAsia" w:ascii="黑体" w:hAnsi="宋体" w:eastAsia="黑体" w:cs="黑体"/>
                <w:color w:val="000000"/>
                <w:spacing w:val="-16"/>
                <w:kern w:val="21"/>
                <w:sz w:val="21"/>
                <w:szCs w:val="21"/>
                <w:lang w:val="en-US" w:eastAsia="zh-CN" w:bidi="ar"/>
              </w:rPr>
              <w:fldChar w:fldCharType="begin"/>
            </w:r>
            <w:r>
              <w:rPr>
                <w:rFonts w:hint="eastAsia" w:ascii="黑体" w:hAnsi="宋体" w:eastAsia="黑体" w:cs="黑体"/>
                <w:snapToGrid w:val="0"/>
                <w:color w:val="000000"/>
                <w:spacing w:val="-16"/>
                <w:kern w:val="21"/>
                <w:sz w:val="21"/>
                <w:szCs w:val="21"/>
                <w:lang w:val="en-US" w:eastAsia="zh-CN" w:bidi="ar"/>
              </w:rPr>
              <w:instrText xml:space="preserve"> = 6 \* GB3 \* MERGEFORMAT </w:instrText>
            </w:r>
            <w:r>
              <w:rPr>
                <w:rFonts w:hint="eastAsia" w:ascii="黑体" w:hAnsi="宋体" w:eastAsia="黑体" w:cs="黑体"/>
                <w:color w:val="000000"/>
                <w:spacing w:val="-16"/>
                <w:kern w:val="21"/>
                <w:sz w:val="21"/>
                <w:szCs w:val="21"/>
                <w:lang w:val="en-US" w:eastAsia="zh-CN" w:bidi="ar"/>
              </w:rPr>
              <w:fldChar w:fldCharType="separate"/>
            </w:r>
            <w:r>
              <w:rPr>
                <w:rFonts w:hint="eastAsia" w:ascii="黑体" w:hAnsi="宋体" w:eastAsia="黑体" w:cs="宋体"/>
                <w:kern w:val="2"/>
                <w:sz w:val="21"/>
                <w:szCs w:val="21"/>
                <w:lang w:val="en-US" w:eastAsia="zh-CN" w:bidi="ar"/>
              </w:rPr>
              <w:t>⑥</w:t>
            </w:r>
            <w:r>
              <w:rPr>
                <w:rFonts w:hint="eastAsia" w:ascii="黑体" w:hAnsi="宋体" w:eastAsia="黑体" w:cs="黑体"/>
                <w:color w:val="000000"/>
                <w:spacing w:val="-16"/>
                <w:kern w:val="21"/>
                <w:sz w:val="21"/>
                <w:szCs w:val="21"/>
                <w:lang w:val="en-US" w:eastAsia="zh-CN" w:bidi="ar"/>
              </w:rPr>
              <w:fldChar w:fldCharType="end"/>
            </w:r>
          </w:p>
        </w:tc>
        <w:tc>
          <w:tcPr>
            <w:tcW w:w="1298" w:type="dxa"/>
            <w:tcBorders>
              <w:top w:val="single" w:color="auto" w:sz="8" w:space="0"/>
              <w:left w:val="single" w:color="auto" w:sz="4" w:space="0"/>
              <w:bottom w:val="single" w:color="auto" w:sz="4" w:space="0"/>
              <w:right w:val="single" w:color="auto" w:sz="8" w:space="0"/>
            </w:tcBorders>
            <w:shd w:val="clear" w:color="auto" w:fill="auto"/>
            <w:tcMar>
              <w:left w:w="28" w:type="dxa"/>
              <w:right w:w="28" w:type="dxa"/>
            </w:tcMar>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color w:val="000000"/>
                <w:spacing w:val="-6"/>
                <w:kern w:val="21"/>
                <w:szCs w:val="21"/>
                <w:lang w:val="en-US"/>
              </w:rPr>
            </w:pPr>
            <w:r>
              <w:rPr>
                <w:rFonts w:hint="eastAsia" w:ascii="黑体" w:hAnsi="宋体" w:eastAsia="黑体" w:cs="黑体"/>
                <w:snapToGrid w:val="0"/>
                <w:color w:val="000000"/>
                <w:spacing w:val="-6"/>
                <w:kern w:val="21"/>
                <w:sz w:val="21"/>
                <w:szCs w:val="21"/>
                <w:lang w:val="en-US" w:eastAsia="zh-CN" w:bidi="ar"/>
              </w:rPr>
              <w:t>变化量</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黑体" w:hAnsi="宋体" w:eastAsia="黑体" w:cs="黑体"/>
                <w:snapToGrid w:val="0"/>
                <w:color w:val="000000"/>
                <w:spacing w:val="-6"/>
                <w:kern w:val="21"/>
                <w:szCs w:val="21"/>
                <w:lang w:val="en-US"/>
              </w:rPr>
            </w:pPr>
            <w:r>
              <w:rPr>
                <w:rFonts w:hint="eastAsia" w:ascii="黑体" w:hAnsi="宋体" w:eastAsia="黑体" w:cs="黑体"/>
                <w:color w:val="000000"/>
                <w:spacing w:val="-6"/>
                <w:kern w:val="21"/>
                <w:sz w:val="21"/>
                <w:szCs w:val="21"/>
                <w:lang w:val="en-US" w:eastAsia="zh-CN" w:bidi="ar"/>
              </w:rPr>
              <w:fldChar w:fldCharType="begin"/>
            </w:r>
            <w:r>
              <w:rPr>
                <w:rFonts w:hint="eastAsia" w:ascii="黑体" w:hAnsi="宋体" w:eastAsia="黑体" w:cs="黑体"/>
                <w:color w:val="000000"/>
                <w:spacing w:val="-6"/>
                <w:kern w:val="21"/>
                <w:sz w:val="21"/>
                <w:szCs w:val="21"/>
                <w:lang w:val="en-US" w:eastAsia="zh-CN" w:bidi="ar"/>
              </w:rPr>
              <w:instrText xml:space="preserve"> </w:instrText>
            </w:r>
            <w:r>
              <w:rPr>
                <w:rFonts w:hint="eastAsia" w:ascii="黑体" w:hAnsi="宋体" w:eastAsia="黑体" w:cs="黑体"/>
                <w:snapToGrid w:val="0"/>
                <w:color w:val="000000"/>
                <w:spacing w:val="-6"/>
                <w:kern w:val="21"/>
                <w:sz w:val="21"/>
                <w:szCs w:val="21"/>
                <w:lang w:val="en-US" w:eastAsia="zh-CN" w:bidi="ar"/>
              </w:rPr>
              <w:instrText xml:space="preserve">= 7 \* GB3 \* MERGEFORMAT </w:instrText>
            </w:r>
            <w:r>
              <w:rPr>
                <w:rFonts w:hint="eastAsia" w:ascii="黑体" w:hAnsi="宋体" w:eastAsia="黑体" w:cs="黑体"/>
                <w:color w:val="000000"/>
                <w:spacing w:val="-6"/>
                <w:kern w:val="21"/>
                <w:sz w:val="21"/>
                <w:szCs w:val="21"/>
                <w:lang w:val="en-US" w:eastAsia="zh-CN" w:bidi="ar"/>
              </w:rPr>
              <w:fldChar w:fldCharType="separate"/>
            </w:r>
            <w:r>
              <w:rPr>
                <w:rFonts w:hint="eastAsia" w:ascii="黑体" w:hAnsi="宋体" w:eastAsia="黑体" w:cs="宋体"/>
                <w:kern w:val="2"/>
                <w:sz w:val="21"/>
                <w:szCs w:val="21"/>
                <w:lang w:val="en-US" w:eastAsia="zh-CN" w:bidi="ar"/>
              </w:rPr>
              <w:t>⑦</w:t>
            </w:r>
            <w:r>
              <w:rPr>
                <w:rFonts w:hint="eastAsia" w:ascii="黑体" w:hAnsi="宋体" w:eastAsia="黑体" w:cs="黑体"/>
                <w:color w:val="000000"/>
                <w:spacing w:val="-6"/>
                <w:kern w:val="21"/>
                <w:sz w:val="21"/>
                <w:szCs w:val="21"/>
                <w:lang w:val="en-US" w:eastAsia="zh-CN" w:bidi="ar"/>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587"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default" w:hAnsi="宋体" w:cs="宋体"/>
                <w:color w:val="000000"/>
                <w:kern w:val="21"/>
                <w:szCs w:val="21"/>
                <w:lang w:val="en-US"/>
              </w:rPr>
            </w:pPr>
            <w:r>
              <w:rPr>
                <w:rFonts w:hint="eastAsia" w:ascii="宋体" w:hAnsi="宋体" w:eastAsia="宋体" w:cs="宋体"/>
                <w:snapToGrid w:val="0"/>
                <w:color w:val="000000"/>
                <w:kern w:val="21"/>
                <w:sz w:val="21"/>
                <w:szCs w:val="21"/>
                <w:lang w:val="en-US" w:eastAsia="zh-CN" w:bidi="ar"/>
              </w:rPr>
              <w:t>废气</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000000"/>
                <w:kern w:val="21"/>
                <w:szCs w:val="21"/>
                <w:lang w:val="en-US"/>
              </w:rPr>
            </w:pPr>
            <w:r>
              <w:rPr>
                <w:rFonts w:hint="eastAsia" w:ascii="Times New Roman" w:cs="宋体"/>
                <w:snapToGrid w:val="0"/>
                <w:color w:val="000000"/>
                <w:kern w:val="21"/>
                <w:sz w:val="21"/>
                <w:szCs w:val="21"/>
                <w:lang w:val="en-US" w:eastAsia="zh-CN" w:bidi="ar"/>
              </w:rPr>
              <w:t>非甲烷总烃</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eastAsia" w:ascii="Times New Roman" w:hAnsi="Times New Roman" w:cs="Times New Roman"/>
                <w:color w:val="auto"/>
                <w:kern w:val="2"/>
                <w:sz w:val="21"/>
                <w:szCs w:val="24"/>
                <w:highlight w:val="none"/>
                <w:lang w:val="en-US" w:eastAsia="zh-CN" w:bidi="ar"/>
              </w:rPr>
              <w:t>2.376</w:t>
            </w:r>
            <w:r>
              <w:rPr>
                <w:rFonts w:hint="default" w:ascii="Times New Roman" w:hAnsi="Times New Roman" w:eastAsia="宋体" w:cs="Times New Roman"/>
                <w:color w:val="auto"/>
                <w:kern w:val="2"/>
                <w:sz w:val="21"/>
                <w:szCs w:val="24"/>
                <w:highlight w:val="none"/>
                <w:lang w:val="en-US" w:eastAsia="zh-CN" w:bidi="ar"/>
              </w:rPr>
              <w:t>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eastAsia" w:ascii="Times New Roman" w:hAnsi="Times New Roman" w:cs="Times New Roman"/>
                <w:color w:val="auto"/>
                <w:kern w:val="2"/>
                <w:sz w:val="21"/>
                <w:szCs w:val="24"/>
                <w:highlight w:val="none"/>
                <w:lang w:val="en-US" w:eastAsia="zh-CN" w:bidi="ar"/>
              </w:rPr>
              <w:t>2.376</w:t>
            </w:r>
            <w:r>
              <w:rPr>
                <w:rFonts w:hint="default" w:ascii="Times New Roman" w:hAnsi="Times New Roman" w:eastAsia="宋体" w:cs="Times New Roman"/>
                <w:color w:val="auto"/>
                <w:kern w:val="2"/>
                <w:sz w:val="21"/>
                <w:szCs w:val="24"/>
                <w:highlight w:val="none"/>
                <w:lang w:val="en-US" w:eastAsia="zh-CN" w:bidi="ar"/>
              </w:rPr>
              <w:t>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eastAsia" w:ascii="Times New Roman" w:hAnsi="Times New Roman" w:cs="Times New Roman"/>
                <w:color w:val="auto"/>
                <w:kern w:val="2"/>
                <w:sz w:val="21"/>
                <w:szCs w:val="24"/>
                <w:highlight w:val="none"/>
                <w:lang w:val="en-US" w:eastAsia="zh-CN" w:bidi="ar"/>
              </w:rPr>
              <w:t>2.376</w:t>
            </w:r>
            <w:r>
              <w:rPr>
                <w:rFonts w:hint="default" w:ascii="Times New Roman" w:hAnsi="Times New Roman" w:eastAsia="宋体" w:cs="Times New Roman"/>
                <w:color w:val="auto"/>
                <w:kern w:val="2"/>
                <w:sz w:val="21"/>
                <w:szCs w:val="24"/>
                <w:highlight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587" w:type="dxa"/>
            <w:vMerge w:val="restart"/>
            <w:tcBorders>
              <w:top w:val="single" w:color="auto" w:sz="4" w:space="0"/>
              <w:left w:val="single" w:color="auto" w:sz="8" w:space="0"/>
              <w:right w:val="single" w:color="auto" w:sz="4" w:space="0"/>
            </w:tcBorders>
            <w:shd w:val="clear" w:color="auto" w:fill="auto"/>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default" w:hAnsi="宋体" w:cs="宋体"/>
                <w:color w:val="000000"/>
                <w:kern w:val="21"/>
                <w:szCs w:val="21"/>
                <w:lang w:val="en-US"/>
              </w:rPr>
            </w:pPr>
            <w:r>
              <w:rPr>
                <w:rFonts w:hint="eastAsia" w:ascii="宋体" w:hAnsi="宋体" w:eastAsia="宋体" w:cs="宋体"/>
                <w:snapToGrid w:val="0"/>
                <w:color w:val="000000"/>
                <w:kern w:val="21"/>
                <w:sz w:val="21"/>
                <w:szCs w:val="21"/>
                <w:lang w:val="en-US" w:eastAsia="zh-CN" w:bidi="ar"/>
              </w:rPr>
              <w:t>废水</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000000"/>
                <w:kern w:val="21"/>
                <w:szCs w:val="21"/>
                <w:lang w:val="en-US"/>
              </w:rPr>
            </w:pPr>
            <w:r>
              <w:rPr>
                <w:rFonts w:hint="eastAsia" w:ascii="Times New Roman" w:hAnsi="Times New Roman" w:eastAsia="宋体" w:cs="宋体"/>
                <w:kern w:val="2"/>
                <w:sz w:val="21"/>
                <w:szCs w:val="21"/>
                <w:lang w:val="en-US" w:eastAsia="zh-CN" w:bidi="ar"/>
              </w:rPr>
              <w:t>水量</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lang w:val="en-US"/>
              </w:rPr>
            </w:pPr>
            <w:r>
              <w:rPr>
                <w:rFonts w:hint="eastAsia" w:ascii="Times New Roman" w:hAnsi="Times New Roman" w:cs="Times New Roman"/>
                <w:color w:val="auto"/>
                <w:kern w:val="2"/>
                <w:sz w:val="21"/>
                <w:szCs w:val="24"/>
                <w:highlight w:val="none"/>
                <w:lang w:val="en-US" w:eastAsia="zh-CN" w:bidi="ar"/>
              </w:rPr>
              <w:t>120t/a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color w:val="auto"/>
                <w:highlight w:val="none"/>
              </w:rPr>
            </w:pPr>
            <w:r>
              <w:rPr>
                <w:rFonts w:hint="eastAsia" w:ascii="Times New Roman" w:hAnsi="Times New Roman" w:cs="Times New Roman"/>
                <w:color w:val="auto"/>
                <w:kern w:val="2"/>
                <w:sz w:val="21"/>
                <w:szCs w:val="24"/>
                <w:highlight w:val="none"/>
                <w:lang w:val="en-US" w:eastAsia="zh-CN" w:bidi="ar"/>
              </w:rPr>
              <w:t>120t/a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color w:val="auto"/>
                <w:highlight w:val="none"/>
              </w:rPr>
            </w:pPr>
            <w:r>
              <w:rPr>
                <w:rFonts w:hint="eastAsia" w:ascii="Times New Roman" w:hAnsi="Times New Roman" w:cs="Times New Roman"/>
                <w:color w:val="auto"/>
                <w:kern w:val="2"/>
                <w:sz w:val="21"/>
                <w:szCs w:val="24"/>
                <w:highlight w:val="none"/>
                <w:lang w:val="en-US" w:eastAsia="zh-CN" w:bidi="ar"/>
              </w:rPr>
              <w:t>120t/a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7" w:type="dxa"/>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000000"/>
                <w:kern w:val="21"/>
                <w:szCs w:val="21"/>
                <w:lang w:val="en-US"/>
              </w:rPr>
            </w:pPr>
            <w:r>
              <w:rPr>
                <w:rFonts w:hint="default" w:ascii="Times New Roman" w:hAnsi="Times New Roman" w:eastAsia="宋体" w:cs="Times New Roman"/>
                <w:kern w:val="2"/>
                <w:sz w:val="21"/>
                <w:szCs w:val="21"/>
                <w:lang w:val="en-US" w:eastAsia="zh-CN" w:bidi="ar"/>
              </w:rPr>
              <w:t>COD</w:t>
            </w:r>
            <w:r>
              <w:rPr>
                <w:rFonts w:hint="default" w:ascii="Times New Roman" w:hAnsi="Times New Roman" w:eastAsia="宋体" w:cs="Times New Roman"/>
                <w:kern w:val="2"/>
                <w:sz w:val="21"/>
                <w:szCs w:val="21"/>
                <w:vertAlign w:val="subscript"/>
                <w:lang w:val="en-US" w:eastAsia="zh-CN" w:bidi="ar"/>
              </w:rPr>
              <w:t>cr</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color w:val="auto"/>
                <w:kern w:val="2"/>
                <w:sz w:val="21"/>
                <w:szCs w:val="24"/>
                <w:highlight w:val="none"/>
                <w:lang w:val="en-US" w:eastAsia="zh-CN" w:bidi="ar"/>
              </w:rPr>
            </w:pPr>
            <w:r>
              <w:rPr>
                <w:rFonts w:hint="eastAsia" w:ascii="Times New Roman" w:hAnsi="Times New Roman" w:eastAsia="宋体" w:cs="Times New Roman"/>
                <w:color w:val="auto"/>
                <w:kern w:val="2"/>
                <w:sz w:val="21"/>
                <w:szCs w:val="24"/>
                <w:highlight w:val="none"/>
                <w:lang w:val="en-US" w:eastAsia="zh-CN" w:bidi="ar"/>
              </w:rPr>
              <w:t>0.</w:t>
            </w:r>
            <w:r>
              <w:rPr>
                <w:rFonts w:hint="eastAsia" w:ascii="Times New Roman" w:hAnsi="Times New Roman" w:cs="Times New Roman"/>
                <w:color w:val="auto"/>
                <w:kern w:val="2"/>
                <w:sz w:val="21"/>
                <w:szCs w:val="24"/>
                <w:highlight w:val="none"/>
                <w:lang w:val="en-US" w:eastAsia="zh-CN" w:bidi="ar"/>
              </w:rPr>
              <w:t>046t/a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auto"/>
                <w:kern w:val="21"/>
                <w:szCs w:val="21"/>
                <w:highlight w:val="none"/>
                <w:lang w:val="en-US"/>
              </w:rPr>
            </w:pPr>
            <w:r>
              <w:rPr>
                <w:rFonts w:hint="default" w:ascii="Times New Roman" w:hAnsi="Times New Roman" w:eastAsia="宋体" w:cs="Times New Roman"/>
                <w:color w:val="auto"/>
                <w:kern w:val="2"/>
                <w:sz w:val="21"/>
                <w:szCs w:val="24"/>
                <w:highlight w:val="none"/>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w:t>
            </w:r>
            <w:r>
              <w:rPr>
                <w:rFonts w:hint="eastAsia" w:ascii="Times New Roman" w:hAnsi="Times New Roman" w:cs="Times New Roman"/>
                <w:color w:val="auto"/>
                <w:kern w:val="2"/>
                <w:sz w:val="21"/>
                <w:szCs w:val="24"/>
                <w:highlight w:val="none"/>
                <w:lang w:val="en-US" w:eastAsia="zh-CN" w:bidi="ar"/>
              </w:rPr>
              <w:t>046t/a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w:t>
            </w:r>
            <w:r>
              <w:rPr>
                <w:rFonts w:hint="eastAsia" w:ascii="Times New Roman" w:hAnsi="Times New Roman" w:cs="Times New Roman"/>
                <w:color w:val="auto"/>
                <w:kern w:val="2"/>
                <w:sz w:val="21"/>
                <w:szCs w:val="24"/>
                <w:highlight w:val="none"/>
                <w:lang w:val="en-US" w:eastAsia="zh-CN" w:bidi="ar"/>
              </w:rPr>
              <w:t>046t/a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7" w:type="dxa"/>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000000"/>
                <w:kern w:val="21"/>
                <w:szCs w:val="21"/>
                <w:lang w:val="en-US"/>
              </w:rPr>
            </w:pPr>
            <w:r>
              <w:rPr>
                <w:rFonts w:hint="default" w:ascii="Times New Roman" w:hAnsi="Times New Roman" w:eastAsia="宋体" w:cs="Times New Roman"/>
                <w:kern w:val="2"/>
                <w:sz w:val="21"/>
                <w:szCs w:val="21"/>
                <w:lang w:val="en-US" w:eastAsia="zh-CN" w:bidi="ar"/>
              </w:rPr>
              <w:t>BOD</w:t>
            </w:r>
            <w:r>
              <w:rPr>
                <w:rFonts w:hint="default" w:ascii="Times New Roman" w:hAnsi="Times New Roman" w:eastAsia="宋体" w:cs="Times New Roman"/>
                <w:kern w:val="2"/>
                <w:sz w:val="21"/>
                <w:szCs w:val="21"/>
                <w:vertAlign w:val="subscript"/>
                <w:lang w:val="en-US" w:eastAsia="zh-CN" w:bidi="ar"/>
              </w:rPr>
              <w:t>5</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color w:val="auto"/>
                <w:kern w:val="2"/>
                <w:sz w:val="21"/>
                <w:szCs w:val="24"/>
                <w:highlight w:val="none"/>
                <w:lang w:val="en-US" w:eastAsia="zh-CN" w:bidi="ar"/>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22t/a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auto"/>
                <w:kern w:val="21"/>
                <w:szCs w:val="21"/>
                <w:highlight w:val="none"/>
                <w:lang w:val="en-US"/>
              </w:rPr>
            </w:pPr>
            <w:r>
              <w:rPr>
                <w:rFonts w:hint="default" w:ascii="Times New Roman" w:hAnsi="Times New Roman" w:eastAsia="宋体" w:cs="Times New Roman"/>
                <w:color w:val="auto"/>
                <w:kern w:val="2"/>
                <w:sz w:val="21"/>
                <w:szCs w:val="24"/>
                <w:highlight w:val="none"/>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22t/a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22t/a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587" w:type="dxa"/>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000000"/>
                <w:kern w:val="21"/>
                <w:szCs w:val="21"/>
                <w:lang w:val="en-US"/>
              </w:rPr>
            </w:pPr>
            <w:r>
              <w:rPr>
                <w:rFonts w:hint="default" w:ascii="Times New Roman" w:hAnsi="Times New Roman" w:eastAsia="宋体" w:cs="Times New Roman"/>
                <w:kern w:val="2"/>
                <w:sz w:val="21"/>
                <w:szCs w:val="21"/>
                <w:lang w:val="en-US" w:eastAsia="zh-CN" w:bidi="ar"/>
              </w:rPr>
              <w:t>SS</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color w:val="auto"/>
                <w:kern w:val="2"/>
                <w:sz w:val="21"/>
                <w:szCs w:val="24"/>
                <w:highlight w:val="none"/>
                <w:lang w:val="en-US" w:eastAsia="zh-CN" w:bidi="ar"/>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21t/a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auto"/>
                <w:kern w:val="21"/>
                <w:szCs w:val="21"/>
                <w:highlight w:val="none"/>
                <w:lang w:val="en-US"/>
              </w:rPr>
            </w:pPr>
            <w:r>
              <w:rPr>
                <w:rFonts w:hint="default" w:ascii="Times New Roman" w:hAnsi="Times New Roman" w:eastAsia="宋体" w:cs="Times New Roman"/>
                <w:color w:val="auto"/>
                <w:kern w:val="2"/>
                <w:sz w:val="21"/>
                <w:szCs w:val="24"/>
                <w:highlight w:val="none"/>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21t/a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21t/a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7" w:type="dxa"/>
            <w:vMerge w:val="continue"/>
            <w:tcBorders>
              <w:left w:val="single" w:color="auto" w:sz="8"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000000"/>
                <w:kern w:val="21"/>
                <w:szCs w:val="21"/>
                <w:lang w:val="en-US"/>
              </w:rPr>
            </w:pPr>
            <w:r>
              <w:rPr>
                <w:rFonts w:hint="eastAsia" w:ascii="Times New Roman" w:hAnsi="Times New Roman" w:eastAsia="宋体" w:cs="宋体"/>
                <w:kern w:val="2"/>
                <w:sz w:val="21"/>
                <w:szCs w:val="21"/>
                <w:lang w:val="en-US" w:eastAsia="zh-CN" w:bidi="ar"/>
              </w:rPr>
              <w:t>氨氮</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color w:val="auto"/>
                <w:highlight w:val="none"/>
              </w:rPr>
            </w:pPr>
            <w:r>
              <w:rPr>
                <w:rFonts w:hint="default" w:ascii="Times New Roman" w:hAnsi="Times New Roman" w:eastAsia="宋体" w:cs="Times New Roman"/>
                <w:color w:val="auto"/>
                <w:kern w:val="2"/>
                <w:sz w:val="21"/>
                <w:szCs w:val="24"/>
                <w:highlight w:val="none"/>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color w:val="auto"/>
                <w:kern w:val="2"/>
                <w:sz w:val="21"/>
                <w:szCs w:val="24"/>
                <w:highlight w:val="none"/>
                <w:lang w:val="en-US" w:eastAsia="zh-CN" w:bidi="ar"/>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04t/a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hAnsi="宋体" w:cs="宋体"/>
                <w:snapToGrid w:val="0"/>
                <w:color w:val="auto"/>
                <w:kern w:val="21"/>
                <w:szCs w:val="21"/>
                <w:highlight w:val="none"/>
                <w:lang w:val="en-US"/>
              </w:rPr>
            </w:pPr>
            <w:r>
              <w:rPr>
                <w:rFonts w:hint="default" w:ascii="Times New Roman" w:hAnsi="Times New Roman" w:eastAsia="宋体" w:cs="Times New Roman"/>
                <w:color w:val="auto"/>
                <w:kern w:val="2"/>
                <w:sz w:val="21"/>
                <w:szCs w:val="24"/>
                <w:highlight w:val="none"/>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04t/a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hAnsi="宋体" w:cs="宋体"/>
                <w:snapToGrid w:val="0"/>
                <w:color w:val="auto"/>
                <w:kern w:val="21"/>
                <w:szCs w:val="21"/>
                <w:highlight w:val="none"/>
                <w:lang w:val="en-US"/>
              </w:rPr>
            </w:pPr>
            <w:r>
              <w:rPr>
                <w:rFonts w:hint="eastAsia" w:ascii="Times New Roman" w:hAnsi="Times New Roman" w:eastAsia="宋体" w:cs="Times New Roman"/>
                <w:color w:val="auto"/>
                <w:kern w:val="2"/>
                <w:sz w:val="21"/>
                <w:szCs w:val="24"/>
                <w:highlight w:val="none"/>
                <w:lang w:val="en-US" w:eastAsia="zh-CN" w:bidi="ar"/>
              </w:rPr>
              <w:t>0.0</w:t>
            </w:r>
            <w:r>
              <w:rPr>
                <w:rFonts w:hint="eastAsia" w:ascii="Times New Roman" w:hAnsi="Times New Roman" w:cs="Times New Roman"/>
                <w:color w:val="auto"/>
                <w:kern w:val="2"/>
                <w:sz w:val="21"/>
                <w:szCs w:val="24"/>
                <w:highlight w:val="none"/>
                <w:lang w:val="en-US" w:eastAsia="zh-CN" w:bidi="ar"/>
              </w:rPr>
              <w:t>04t/a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7" w:type="dxa"/>
            <w:vMerge w:val="restart"/>
            <w:tcBorders>
              <w:top w:val="single" w:color="auto" w:sz="4" w:space="0"/>
              <w:left w:val="single" w:color="auto" w:sz="8" w:space="0"/>
              <w:right w:val="single" w:color="auto" w:sz="4" w:space="0"/>
            </w:tcBorders>
            <w:shd w:val="clear" w:color="auto" w:fill="auto"/>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default" w:hAnsi="宋体" w:cs="宋体"/>
                <w:color w:val="000000"/>
                <w:kern w:val="21"/>
                <w:szCs w:val="21"/>
                <w:lang w:val="en-US"/>
              </w:rPr>
            </w:pPr>
            <w:r>
              <w:rPr>
                <w:rFonts w:hint="eastAsia" w:ascii="宋体" w:hAnsi="宋体" w:eastAsia="宋体" w:cs="宋体"/>
                <w:snapToGrid w:val="0"/>
                <w:color w:val="000000"/>
                <w:kern w:val="21"/>
                <w:sz w:val="21"/>
                <w:szCs w:val="21"/>
                <w:lang w:val="en-US" w:eastAsia="zh-CN" w:bidi="ar"/>
              </w:rPr>
              <w:t>一般工业</w:t>
            </w:r>
          </w:p>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default" w:hAnsi="宋体" w:cs="宋体"/>
                <w:color w:val="000000"/>
                <w:kern w:val="21"/>
                <w:szCs w:val="21"/>
                <w:lang w:val="en-US"/>
              </w:rPr>
            </w:pPr>
            <w:r>
              <w:rPr>
                <w:rFonts w:hint="eastAsia" w:ascii="宋体" w:hAnsi="宋体" w:eastAsia="宋体" w:cs="宋体"/>
                <w:snapToGrid w:val="0"/>
                <w:color w:val="000000"/>
                <w:kern w:val="21"/>
                <w:sz w:val="21"/>
                <w:szCs w:val="21"/>
                <w:lang w:val="en-US" w:eastAsia="zh-CN" w:bidi="ar"/>
              </w:rPr>
              <w:t>固体废物</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cs="Times New Roman"/>
                <w:kern w:val="2"/>
                <w:sz w:val="21"/>
                <w:szCs w:val="21"/>
                <w:lang w:val="en-US" w:eastAsia="zh-CN" w:bidi="ar"/>
              </w:rPr>
              <w:t>不合格产品</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eastAsia" w:ascii="Times New Roman" w:hAnsi="Times New Roman" w:cs="Times New Roman"/>
                <w:kern w:val="2"/>
                <w:sz w:val="21"/>
                <w:szCs w:val="24"/>
                <w:lang w:val="en-US" w:eastAsia="zh-CN" w:bidi="ar"/>
              </w:rPr>
              <w:t>41.04</w:t>
            </w:r>
            <w:r>
              <w:rPr>
                <w:rFonts w:hint="default" w:ascii="Times New Roman" w:hAnsi="Times New Roman" w:eastAsia="宋体" w:cs="Times New Roman"/>
                <w:kern w:val="2"/>
                <w:sz w:val="21"/>
                <w:szCs w:val="24"/>
                <w:lang w:val="en-US" w:eastAsia="zh-CN" w:bidi="ar"/>
              </w:rPr>
              <w:t>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eastAsia" w:ascii="Times New Roman" w:hAnsi="Times New Roman" w:cs="Times New Roman"/>
                <w:kern w:val="2"/>
                <w:sz w:val="21"/>
                <w:szCs w:val="24"/>
                <w:lang w:val="en-US" w:eastAsia="zh-CN" w:bidi="ar"/>
              </w:rPr>
              <w:t>41.04</w:t>
            </w:r>
            <w:r>
              <w:rPr>
                <w:rFonts w:hint="default" w:ascii="Times New Roman" w:hAnsi="Times New Roman" w:eastAsia="宋体" w:cs="Times New Roman"/>
                <w:kern w:val="2"/>
                <w:sz w:val="21"/>
                <w:szCs w:val="24"/>
                <w:lang w:val="en-US" w:eastAsia="zh-CN" w:bidi="ar"/>
              </w:rPr>
              <w:t>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eastAsia" w:ascii="Times New Roman" w:hAnsi="Times New Roman" w:cs="Times New Roman"/>
                <w:kern w:val="2"/>
                <w:sz w:val="21"/>
                <w:szCs w:val="24"/>
                <w:lang w:val="en-US" w:eastAsia="zh-CN" w:bidi="ar"/>
              </w:rPr>
              <w:t>41.04</w:t>
            </w:r>
            <w:r>
              <w:rPr>
                <w:rFonts w:hint="default" w:ascii="Times New Roman" w:hAnsi="Times New Roman" w:eastAsia="宋体" w:cs="Times New Roman"/>
                <w:kern w:val="2"/>
                <w:sz w:val="21"/>
                <w:szCs w:val="24"/>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7" w:type="dxa"/>
            <w:vMerge w:val="continue"/>
            <w:tcBorders>
              <w:left w:val="single" w:color="auto" w:sz="8" w:space="0"/>
              <w:right w:val="single" w:color="auto" w:sz="4" w:space="0"/>
            </w:tcBorders>
            <w:shd w:val="clear" w:color="auto" w:fill="auto"/>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宋体" w:hAnsi="宋体" w:eastAsia="宋体" w:cs="宋体"/>
                <w:snapToGrid w:val="0"/>
                <w:color w:val="000000"/>
                <w:kern w:val="21"/>
                <w:sz w:val="21"/>
                <w:szCs w:val="21"/>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cs="Times New Roman"/>
                <w:kern w:val="2"/>
                <w:sz w:val="21"/>
                <w:szCs w:val="21"/>
                <w:lang w:val="en-US" w:eastAsia="zh-CN" w:bidi="ar"/>
              </w:rPr>
              <w:t>产品废边角料</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5.56</w:t>
            </w:r>
            <w:r>
              <w:rPr>
                <w:rFonts w:hint="default" w:ascii="Times New Roman" w:hAnsi="Times New Roman" w:eastAsia="宋体" w:cs="Times New Roman"/>
                <w:kern w:val="2"/>
                <w:sz w:val="21"/>
                <w:szCs w:val="24"/>
                <w:lang w:val="en-US" w:eastAsia="zh-CN" w:bidi="ar"/>
              </w:rPr>
              <w:t>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5.56</w:t>
            </w:r>
            <w:r>
              <w:rPr>
                <w:rFonts w:hint="default" w:ascii="Times New Roman" w:hAnsi="Times New Roman" w:eastAsia="宋体" w:cs="Times New Roman"/>
                <w:kern w:val="2"/>
                <w:sz w:val="21"/>
                <w:szCs w:val="24"/>
                <w:lang w:val="en-US" w:eastAsia="zh-CN" w:bidi="ar"/>
              </w:rPr>
              <w:t>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5.56</w:t>
            </w:r>
            <w:r>
              <w:rPr>
                <w:rFonts w:hint="default" w:ascii="Times New Roman" w:hAnsi="Times New Roman" w:eastAsia="宋体" w:cs="Times New Roman"/>
                <w:kern w:val="2"/>
                <w:sz w:val="21"/>
                <w:szCs w:val="24"/>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7" w:type="dxa"/>
            <w:vMerge w:val="continue"/>
            <w:tcBorders>
              <w:left w:val="single" w:color="auto" w:sz="8" w:space="0"/>
              <w:right w:val="single" w:color="auto" w:sz="4" w:space="0"/>
            </w:tcBorders>
            <w:shd w:val="clear" w:color="auto" w:fill="auto"/>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宋体" w:hAnsi="宋体" w:eastAsia="宋体" w:cs="宋体"/>
                <w:snapToGrid w:val="0"/>
                <w:color w:val="000000"/>
                <w:kern w:val="21"/>
                <w:sz w:val="21"/>
                <w:szCs w:val="21"/>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cs="Times New Roman"/>
                <w:kern w:val="2"/>
                <w:sz w:val="21"/>
                <w:szCs w:val="21"/>
                <w:lang w:val="en-US" w:eastAsia="zh-CN" w:bidi="ar"/>
              </w:rPr>
            </w:pPr>
            <w:r>
              <w:rPr>
                <w:rFonts w:hint="eastAsia" w:ascii="Times New Roman" w:hAnsi="Times New Roman" w:cs="Times New Roman"/>
                <w:kern w:val="2"/>
                <w:sz w:val="21"/>
                <w:szCs w:val="21"/>
                <w:lang w:val="en-US" w:eastAsia="zh-CN" w:bidi="ar"/>
              </w:rPr>
              <w:t>废包装材料（包装袋、纸箱）</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cs="Times New Roman"/>
                <w:kern w:val="2"/>
                <w:sz w:val="21"/>
                <w:szCs w:val="24"/>
                <w:lang w:val="en-US" w:eastAsia="zh-CN" w:bidi="ar"/>
              </w:rPr>
            </w:pPr>
            <w:r>
              <w:rPr>
                <w:rFonts w:hint="eastAsia" w:ascii="Times New Roman" w:hAnsi="Times New Roman" w:cs="Times New Roman"/>
                <w:kern w:val="2"/>
                <w:sz w:val="21"/>
                <w:szCs w:val="24"/>
                <w:lang w:val="en-US" w:eastAsia="zh-CN" w:bidi="ar"/>
              </w:rPr>
              <w:t>0.5t/a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cs="Times New Roman"/>
                <w:kern w:val="2"/>
                <w:sz w:val="21"/>
                <w:szCs w:val="24"/>
                <w:lang w:val="en-US" w:eastAsia="zh-CN" w:bidi="ar"/>
              </w:rPr>
            </w:pPr>
            <w:r>
              <w:rPr>
                <w:rFonts w:hint="eastAsia" w:ascii="Times New Roman" w:hAnsi="Times New Roman" w:cs="Times New Roman"/>
                <w:kern w:val="2"/>
                <w:sz w:val="21"/>
                <w:szCs w:val="24"/>
                <w:lang w:val="en-US" w:eastAsia="zh-CN" w:bidi="ar"/>
              </w:rPr>
              <w:t>0.5t/a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cs="Times New Roman"/>
                <w:kern w:val="2"/>
                <w:sz w:val="21"/>
                <w:szCs w:val="24"/>
                <w:lang w:val="en-US" w:eastAsia="zh-CN" w:bidi="ar"/>
              </w:rPr>
            </w:pPr>
            <w:r>
              <w:rPr>
                <w:rFonts w:hint="eastAsia" w:ascii="Times New Roman" w:hAnsi="Times New Roman" w:cs="Times New Roman"/>
                <w:kern w:val="2"/>
                <w:sz w:val="21"/>
                <w:szCs w:val="24"/>
                <w:lang w:val="en-US" w:eastAsia="zh-CN" w:bidi="ar"/>
              </w:rPr>
              <w:t>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7" w:type="dxa"/>
            <w:vMerge w:val="restart"/>
            <w:tcBorders>
              <w:top w:val="single" w:color="auto" w:sz="4" w:space="0"/>
              <w:left w:val="single" w:color="auto" w:sz="8" w:space="0"/>
              <w:right w:val="single" w:color="auto" w:sz="4" w:space="0"/>
            </w:tcBorders>
            <w:shd w:val="clear" w:color="auto" w:fill="auto"/>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default" w:hAnsi="宋体" w:cs="宋体"/>
                <w:color w:val="000000"/>
                <w:kern w:val="21"/>
                <w:szCs w:val="21"/>
                <w:lang w:val="en-US"/>
              </w:rPr>
            </w:pPr>
            <w:r>
              <w:rPr>
                <w:rFonts w:hint="eastAsia" w:ascii="宋体" w:hAnsi="宋体" w:eastAsia="宋体" w:cs="宋体"/>
                <w:snapToGrid w:val="0"/>
                <w:color w:val="000000"/>
                <w:kern w:val="21"/>
                <w:sz w:val="21"/>
                <w:szCs w:val="21"/>
                <w:lang w:val="en-US" w:eastAsia="zh-CN" w:bidi="ar"/>
              </w:rPr>
              <w:t>危险废物</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废机油</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0.</w:t>
            </w:r>
            <w:r>
              <w:rPr>
                <w:rFonts w:hint="eastAsia" w:ascii="Times New Roman" w:hAnsi="Times New Roman" w:cs="Times New Roman"/>
                <w:kern w:val="2"/>
                <w:sz w:val="21"/>
                <w:szCs w:val="24"/>
                <w:lang w:val="en-US" w:eastAsia="zh-CN" w:bidi="ar"/>
              </w:rPr>
              <w:t>05</w:t>
            </w:r>
            <w:r>
              <w:rPr>
                <w:rFonts w:hint="default" w:ascii="Times New Roman" w:hAnsi="Times New Roman" w:eastAsia="宋体" w:cs="Times New Roman"/>
                <w:kern w:val="2"/>
                <w:sz w:val="21"/>
                <w:szCs w:val="24"/>
                <w:lang w:val="en-US" w:eastAsia="zh-CN" w:bidi="ar"/>
              </w:rPr>
              <w:t>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0.</w:t>
            </w:r>
            <w:r>
              <w:rPr>
                <w:rFonts w:hint="eastAsia" w:ascii="Times New Roman" w:hAnsi="Times New Roman" w:cs="Times New Roman"/>
                <w:kern w:val="2"/>
                <w:sz w:val="21"/>
                <w:szCs w:val="24"/>
                <w:lang w:val="en-US" w:eastAsia="zh-CN" w:bidi="ar"/>
              </w:rPr>
              <w:t>05</w:t>
            </w:r>
            <w:r>
              <w:rPr>
                <w:rFonts w:hint="default" w:ascii="Times New Roman" w:hAnsi="Times New Roman" w:eastAsia="宋体" w:cs="Times New Roman"/>
                <w:kern w:val="2"/>
                <w:sz w:val="21"/>
                <w:szCs w:val="24"/>
                <w:lang w:val="en-US" w:eastAsia="zh-CN" w:bidi="ar"/>
              </w:rPr>
              <w:t>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rPr>
            </w:pPr>
            <w:r>
              <w:rPr>
                <w:rFonts w:hint="default" w:ascii="Times New Roman" w:hAnsi="Times New Roman" w:eastAsia="宋体" w:cs="Times New Roman"/>
                <w:kern w:val="2"/>
                <w:sz w:val="21"/>
                <w:szCs w:val="24"/>
                <w:lang w:val="en-US" w:eastAsia="zh-CN" w:bidi="ar"/>
              </w:rPr>
              <w:t>0.</w:t>
            </w:r>
            <w:r>
              <w:rPr>
                <w:rFonts w:hint="eastAsia" w:ascii="Times New Roman" w:hAnsi="Times New Roman" w:cs="Times New Roman"/>
                <w:kern w:val="2"/>
                <w:sz w:val="21"/>
                <w:szCs w:val="24"/>
                <w:lang w:val="en-US" w:eastAsia="zh-CN" w:bidi="ar"/>
              </w:rPr>
              <w:t>05</w:t>
            </w:r>
            <w:r>
              <w:rPr>
                <w:rFonts w:hint="default" w:ascii="Times New Roman" w:hAnsi="Times New Roman" w:eastAsia="宋体" w:cs="Times New Roman"/>
                <w:kern w:val="2"/>
                <w:sz w:val="21"/>
                <w:szCs w:val="24"/>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587" w:type="dxa"/>
            <w:vMerge w:val="continue"/>
            <w:tcBorders>
              <w:left w:val="single" w:color="auto" w:sz="8" w:space="0"/>
              <w:right w:val="single" w:color="auto" w:sz="4" w:space="0"/>
            </w:tcBorders>
            <w:shd w:val="clear" w:color="auto" w:fill="auto"/>
            <w:vAlign w:val="center"/>
          </w:tcPr>
          <w:p>
            <w:pPr>
              <w:pStyle w:val="29"/>
              <w:keepNext w:val="0"/>
              <w:keepLines w:val="0"/>
              <w:widowControl w:val="0"/>
              <w:suppressLineNumbers w:val="0"/>
              <w:adjustRightInd w:val="0"/>
              <w:snapToGrid w:val="0"/>
              <w:spacing w:before="0" w:beforeLines="10" w:beforeAutospacing="0" w:after="0" w:afterAutospacing="0" w:line="240" w:lineRule="auto"/>
              <w:ind w:left="0" w:right="0"/>
              <w:jc w:val="center"/>
              <w:rPr>
                <w:rFonts w:hint="eastAsia" w:ascii="宋体" w:hAnsi="宋体" w:eastAsia="宋体" w:cs="宋体"/>
                <w:snapToGrid w:val="0"/>
                <w:color w:val="000000"/>
                <w:kern w:val="21"/>
                <w:sz w:val="21"/>
                <w:szCs w:val="21"/>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1"/>
                <w:lang w:val="en-US" w:eastAsia="zh-CN" w:bidi="ar"/>
              </w:rPr>
            </w:pPr>
            <w:r>
              <w:rPr>
                <w:rFonts w:hint="eastAsia" w:ascii="Times New Roman" w:hAnsi="Times New Roman" w:cs="Times New Roman"/>
                <w:kern w:val="2"/>
                <w:sz w:val="21"/>
                <w:szCs w:val="21"/>
                <w:lang w:val="en-US" w:eastAsia="zh-CN" w:bidi="ar"/>
              </w:rPr>
              <w:t>废活性炭</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21.924t/a</w:t>
            </w:r>
          </w:p>
        </w:tc>
        <w:tc>
          <w:tcPr>
            <w:tcW w:w="17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w:t>
            </w:r>
          </w:p>
        </w:tc>
        <w:tc>
          <w:tcPr>
            <w:tcW w:w="17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cs="Times New Roman"/>
                <w:kern w:val="2"/>
                <w:sz w:val="21"/>
                <w:szCs w:val="24"/>
                <w:lang w:val="en-US" w:eastAsia="zh-CN" w:bidi="ar"/>
              </w:rPr>
            </w:pPr>
            <w:r>
              <w:rPr>
                <w:rFonts w:hint="eastAsia" w:ascii="Times New Roman" w:hAnsi="Times New Roman" w:cs="Times New Roman"/>
                <w:kern w:val="2"/>
                <w:sz w:val="21"/>
                <w:szCs w:val="24"/>
                <w:lang w:val="en-US" w:eastAsia="zh-CN" w:bidi="ar"/>
              </w:rPr>
              <w:t>21.924t/a</w:t>
            </w:r>
          </w:p>
        </w:tc>
        <w:tc>
          <w:tcPr>
            <w:tcW w:w="129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9"/>
              <w:keepNext w:val="0"/>
              <w:keepLines w:val="0"/>
              <w:widowControl w:val="0"/>
              <w:suppressLineNumbers w:val="0"/>
              <w:tabs>
                <w:tab w:val="left" w:pos="0"/>
              </w:tabs>
              <w:spacing w:before="0" w:beforeAutospacing="0" w:after="0" w:afterAutospacing="0"/>
              <w:ind w:left="0" w:right="0"/>
              <w:jc w:val="center"/>
              <w:rPr>
                <w:rFonts w:hint="default" w:ascii="Times New Roman" w:hAnsi="Times New Roman" w:eastAsia="宋体" w:cs="Times New Roman"/>
                <w:kern w:val="2"/>
                <w:sz w:val="21"/>
                <w:szCs w:val="24"/>
                <w:lang w:val="en-US" w:eastAsia="zh-CN" w:bidi="ar"/>
              </w:rPr>
            </w:pPr>
            <w:r>
              <w:rPr>
                <w:rFonts w:hint="eastAsia" w:ascii="Times New Roman" w:hAnsi="Times New Roman" w:cs="Times New Roman"/>
                <w:kern w:val="2"/>
                <w:sz w:val="21"/>
                <w:szCs w:val="24"/>
                <w:lang w:val="en-US" w:eastAsia="zh-CN" w:bidi="ar"/>
              </w:rPr>
              <w:t>21.924t/a</w:t>
            </w:r>
          </w:p>
        </w:tc>
      </w:tr>
    </w:tbl>
    <w:p>
      <w:pPr>
        <w:pStyle w:val="75"/>
        <w:spacing w:before="192" w:beforeLines="80" w:after="24"/>
        <w:jc w:val="left"/>
        <w:rPr>
          <w:rFonts w:ascii="Times New Roman"/>
          <w:snapToGrid w:val="0"/>
          <w:color w:val="auto"/>
          <w:spacing w:val="-6"/>
          <w:kern w:val="21"/>
          <w:szCs w:val="21"/>
          <w:highlight w:val="none"/>
        </w:rPr>
      </w:pPr>
      <w:r>
        <w:rPr>
          <w:rFonts w:ascii="Times New Roman"/>
          <w:snapToGrid w:val="0"/>
          <w:color w:val="auto"/>
          <w:kern w:val="21"/>
          <w:szCs w:val="21"/>
          <w:highlight w:val="none"/>
        </w:rPr>
        <w:t>注：</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6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⑥</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1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①</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3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③</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4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④</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5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⑤</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7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⑦</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6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⑥</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1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①</w:t>
      </w:r>
      <w:r>
        <w:rPr>
          <w:rFonts w:ascii="Times New Roman"/>
          <w:snapToGrid w:val="0"/>
          <w:color w:val="auto"/>
          <w:spacing w:val="-6"/>
          <w:kern w:val="21"/>
          <w:szCs w:val="21"/>
          <w:highlight w:val="none"/>
        </w:rPr>
        <w:fldChar w:fldCharType="end"/>
      </w:r>
    </w:p>
    <w:p>
      <w:pPr>
        <w:pStyle w:val="16"/>
        <w:ind w:firstLine="0" w:firstLineChars="0"/>
        <w:rPr>
          <w:rFonts w:hint="eastAsia"/>
          <w:lang w:eastAsia="zh-CN"/>
        </w:rPr>
      </w:pPr>
    </w:p>
    <w:sectPr>
      <w:footerReference r:id="rId6" w:type="default"/>
      <w:pgSz w:w="16783" w:h="11850" w:orient="landscape"/>
      <w:pgMar w:top="1417" w:right="1417" w:bottom="1417" w:left="1417" w:header="851" w:footer="851" w:gutter="0"/>
      <w:pgBorders>
        <w:top w:val="none" w:sz="0" w:space="0"/>
        <w:left w:val="none" w:sz="0" w:space="0"/>
        <w:bottom w:val="none" w:sz="0" w:space="0"/>
        <w:right w:val="none" w:sz="0" w:space="0"/>
      </w:pgBorders>
      <w:pgNumType w:fmt="numberInDash"/>
      <w:cols w:space="720" w:num="1"/>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632">
      <wne:acd wne:acdName="acd0"/>
    </wne:keymap>
    <wne:keymap wne:kcmPrimary="0633">
      <wne:acd wne:acdName="acd1"/>
    </wne:keymap>
    <wne:keymap wne:kcmPrimary="0634">
      <wne:acd wne:acdName="acd2"/>
    </wne:keymap>
    <wne:keymap wne:kcmPrimary="0635">
      <wne:acd wne:acdName="acd3"/>
    </wne:keymap>
    <wne:keymap wne:kcmPrimary="0642">
      <wne:acd wne:acdName="acd4"/>
    </wne:keymap>
    <wne:keymap wne:kcmPrimary="0647">
      <wne:acd wne:acdName="acd5"/>
    </wne:keymap>
    <wne:keymap wne:kcmPrimary="06DE">
      <wne:acd wne:acdName="acd6"/>
    </wne:keymap>
    <wne:keymap wne:kcmPrimary="0631">
      <wne:acd wne:acdName="acd7"/>
    </wne:keymap>
  </wne:keymap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gBoiDxoB2iYmA==" wne:acdName="acd4" wne:fciIndexBasedOn="0065"/>
    <wne:acd wne:argValue="AgD+VodlB2iYmA==" wne:acdName="acd5" wne:fciIndexBasedOn="0065"/>
    <wne:acd wne:argValue="AgD9lRtSpWJKVGNrh2U=" wne:acdName="acd6" wne:fciIndexBasedOn="0065"/>
    <wne:acd wne:argValue="AQAAAAEA" wne:acdName="acd7"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rPr>
                              <w:sz w:val="21"/>
                              <w:szCs w:val="22"/>
                            </w:rPr>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XGyEzAgAAZQQAAA4AAAAAAAAAAQAgAAAAHwEAAGRycy9lMm9Eb2MueG1sUEsF&#10;BgAAAAAGAAYAWQEAAMQFAAAAAA==&#10;">
              <v:fill on="f" focussize="0,0"/>
              <v:stroke on="f" weight="0.5pt"/>
              <v:imagedata o:title=""/>
              <o:lock v:ext="edit" aspectratio="f"/>
              <v:textbox inset="0mm,0mm,0mm,0mm" style="mso-fit-shape-to-text:t;">
                <w:txbxContent>
                  <w:p>
                    <w:pPr>
                      <w:pStyle w:val="24"/>
                      <w:rPr>
                        <w:sz w:val="21"/>
                        <w:szCs w:val="22"/>
                      </w:rPr>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- 59 -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Xh0djNAIAAGUEAAAOAAAAAAAAAAEAIAAAAB8BAABkcnMvZTJvRG9jLnhtbFBL&#10;BQYAAAAABgAGAFkBAADFBQ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- 59 -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DF380"/>
    <w:multiLevelType w:val="singleLevel"/>
    <w:tmpl w:val="A0ADF380"/>
    <w:lvl w:ilvl="0" w:tentative="0">
      <w:start w:val="1"/>
      <w:numFmt w:val="bullet"/>
      <w:pStyle w:val="20"/>
      <w:lvlText w:val=""/>
      <w:lvlJc w:val="left"/>
      <w:pPr>
        <w:tabs>
          <w:tab w:val="left" w:pos="2040"/>
        </w:tabs>
        <w:ind w:left="2040" w:hanging="360"/>
      </w:pPr>
      <w:rPr>
        <w:rFonts w:hint="default" w:ascii="Wingdings" w:hAnsi="Wingdings"/>
      </w:rPr>
    </w:lvl>
  </w:abstractNum>
  <w:abstractNum w:abstractNumId="1">
    <w:nsid w:val="E039742D"/>
    <w:multiLevelType w:val="multilevel"/>
    <w:tmpl w:val="E039742D"/>
    <w:lvl w:ilvl="0" w:tentative="0">
      <w:start w:val="1"/>
      <w:numFmt w:val="chineseCounting"/>
      <w:pStyle w:val="2"/>
      <w:suff w:val="nothing"/>
      <w:lvlText w:val="%1、"/>
      <w:lvlJc w:val="left"/>
      <w:pPr>
        <w:tabs>
          <w:tab w:val="left" w:pos="420"/>
        </w:tabs>
        <w:ind w:left="432" w:hanging="432"/>
      </w:pPr>
      <w:rPr>
        <w:rFonts w:hint="eastAsia" w:ascii="宋体" w:hAnsi="宋体" w:eastAsia="宋体" w:cs="宋体"/>
        <w:b/>
        <w:bCs/>
        <w:sz w:val="30"/>
        <w:szCs w:val="32"/>
      </w:rPr>
    </w:lvl>
    <w:lvl w:ilvl="1" w:tentative="0">
      <w:start w:val="1"/>
      <w:numFmt w:val="decimal"/>
      <w:pStyle w:val="3"/>
      <w:isLgl/>
      <w:suff w:val="space"/>
      <w:lvlText w:val="%1.%2"/>
      <w:lvlJc w:val="left"/>
      <w:pPr>
        <w:tabs>
          <w:tab w:val="left" w:pos="420"/>
        </w:tabs>
        <w:ind w:left="0" w:firstLine="0"/>
      </w:pPr>
      <w:rPr>
        <w:rFonts w:hint="eastAsia" w:ascii="Times New Roman" w:hAnsi="Times New Roman" w:eastAsia="宋体" w:cs="宋体"/>
        <w:b/>
        <w:bCs/>
        <w:sz w:val="28"/>
        <w:szCs w:val="30"/>
      </w:rPr>
    </w:lvl>
    <w:lvl w:ilvl="2" w:tentative="0">
      <w:start w:val="1"/>
      <w:numFmt w:val="decimal"/>
      <w:pStyle w:val="4"/>
      <w:isLgl/>
      <w:suff w:val="space"/>
      <w:lvlText w:val="%1.%2.%3"/>
      <w:lvlJc w:val="left"/>
      <w:pPr>
        <w:tabs>
          <w:tab w:val="left" w:pos="0"/>
        </w:tabs>
        <w:ind w:left="720" w:hanging="720"/>
      </w:pPr>
      <w:rPr>
        <w:rFonts w:hint="eastAsia" w:ascii="Times New Roman" w:hAnsi="Times New Roman" w:eastAsia="宋体" w:cs="宋体"/>
        <w:b/>
        <w:bCs w:val="0"/>
        <w:i w:val="0"/>
        <w:sz w:val="24"/>
        <w:szCs w:val="24"/>
      </w:rPr>
    </w:lvl>
    <w:lvl w:ilvl="3" w:tentative="0">
      <w:start w:val="1"/>
      <w:numFmt w:val="decimal"/>
      <w:pStyle w:val="5"/>
      <w:isLgl/>
      <w:suff w:val="space"/>
      <w:lvlText w:val="%1.%2.%3.%4"/>
      <w:lvlJc w:val="left"/>
      <w:pPr>
        <w:tabs>
          <w:tab w:val="left" w:pos="0"/>
        </w:tabs>
        <w:ind w:left="0" w:leftChars="0" w:firstLine="0" w:firstLineChars="0"/>
      </w:pPr>
      <w:rPr>
        <w:rFonts w:hint="eastAsia" w:ascii="Times New Roman" w:hAnsi="Times New Roman" w:eastAsia="宋体" w:cs="宋体"/>
        <w:sz w:val="24"/>
        <w:szCs w:val="24"/>
      </w:rPr>
    </w:lvl>
    <w:lvl w:ilvl="4" w:tentative="0">
      <w:start w:val="1"/>
      <w:numFmt w:val="decimal"/>
      <w:isLgl/>
      <w:suff w:val="nothing"/>
      <w:lvlText w:val="   （%5）"/>
      <w:lvlJc w:val="left"/>
      <w:pPr>
        <w:tabs>
          <w:tab w:val="left" w:pos="420"/>
        </w:tabs>
        <w:ind w:left="0" w:firstLine="0"/>
      </w:pPr>
      <w:rPr>
        <w:rFonts w:hint="eastAsia" w:ascii="Times New Roman" w:hAnsi="Times New Roman" w:eastAsia="宋体" w:cs="宋体"/>
        <w:sz w:val="24"/>
        <w:szCs w:val="24"/>
      </w:rPr>
    </w:lvl>
    <w:lvl w:ilvl="5" w:tentative="0">
      <w:start w:val="1"/>
      <w:numFmt w:val="decimalEnclosedCircleChinese"/>
      <w:suff w:val="nothing"/>
      <w:lvlText w:val="%6"/>
      <w:lvlJc w:val="left"/>
      <w:pPr>
        <w:tabs>
          <w:tab w:val="left" w:pos="420"/>
        </w:tabs>
        <w:ind w:left="1151" w:hanging="1151"/>
      </w:pPr>
      <w:rPr>
        <w:rFonts w:hint="eastAsia" w:ascii="宋体" w:hAnsi="宋体" w:eastAsia="宋体" w:cs="宋体"/>
      </w:rPr>
    </w:lvl>
    <w:lvl w:ilvl="6" w:tentative="0">
      <w:start w:val="1"/>
      <w:numFmt w:val="upperLetter"/>
      <w:lvlText w:val="%7."/>
      <w:lvlJc w:val="left"/>
      <w:pPr>
        <w:tabs>
          <w:tab w:val="left" w:pos="420"/>
        </w:tabs>
        <w:ind w:left="1296" w:hanging="1296"/>
      </w:pPr>
      <w:rPr>
        <w:rFonts w:hint="eastAsia" w:ascii="Times New Roman" w:hAnsi="Times New Roman" w:eastAsia="宋体" w:cs="宋体"/>
      </w:rPr>
    </w:lvl>
    <w:lvl w:ilvl="7" w:tentative="0">
      <w:start w:val="1"/>
      <w:numFmt w:val="decimal"/>
      <w:lvlRestart w:val="2"/>
      <w:pStyle w:val="42"/>
      <w:isLgl/>
      <w:suff w:val="space"/>
      <w:lvlText w:val="表%1.%2-%8"/>
      <w:lvlJc w:val="left"/>
      <w:pPr>
        <w:tabs>
          <w:tab w:val="left" w:pos="0"/>
        </w:tabs>
        <w:ind w:left="0" w:leftChars="0" w:firstLine="0" w:firstLineChars="0"/>
      </w:pPr>
      <w:rPr>
        <w:rFonts w:hint="eastAsia" w:ascii="Times New Roman" w:hAnsi="Times New Roman" w:eastAsia="宋体" w:cs="宋体"/>
        <w:color w:val="auto"/>
      </w:rPr>
    </w:lvl>
    <w:lvl w:ilvl="8" w:tentative="0">
      <w:start w:val="1"/>
      <w:numFmt w:val="decimal"/>
      <w:lvlRestart w:val="2"/>
      <w:pStyle w:val="45"/>
      <w:isLgl/>
      <w:suff w:val="space"/>
      <w:lvlText w:val="图%1.%2-%9"/>
      <w:lvlJc w:val="left"/>
      <w:pPr>
        <w:tabs>
          <w:tab w:val="left" w:pos="0"/>
        </w:tabs>
        <w:ind w:left="0" w:leftChars="0" w:firstLine="0" w:firstLineChars="0"/>
      </w:pPr>
      <w:rPr>
        <w:rFonts w:hint="eastAsia" w:ascii="Times New Roman" w:hAnsi="Times New Roman" w:eastAsia="宋体" w:cs="Times New Roman"/>
        <w:sz w:val="24"/>
        <w:szCs w:val="24"/>
      </w:rPr>
    </w:lvl>
  </w:abstractNum>
  <w:abstractNum w:abstractNumId="2">
    <w:nsid w:val="E6B7BA05"/>
    <w:multiLevelType w:val="singleLevel"/>
    <w:tmpl w:val="E6B7BA05"/>
    <w:lvl w:ilvl="0" w:tentative="0">
      <w:start w:val="2"/>
      <w:numFmt w:val="upperLetter"/>
      <w:lvlText w:val="%1."/>
      <w:lvlJc w:val="left"/>
      <w:pPr>
        <w:tabs>
          <w:tab w:val="left" w:pos="312"/>
        </w:tabs>
      </w:pPr>
    </w:lvl>
  </w:abstractNum>
  <w:abstractNum w:abstractNumId="3">
    <w:nsid w:val="0D2896A8"/>
    <w:multiLevelType w:val="singleLevel"/>
    <w:tmpl w:val="0D2896A8"/>
    <w:lvl w:ilvl="0" w:tentative="0">
      <w:start w:val="2"/>
      <w:numFmt w:val="decimal"/>
      <w:suff w:val="nothing"/>
      <w:lvlText w:val="（%1）"/>
      <w:lvlJc w:val="left"/>
    </w:lvl>
  </w:abstractNum>
  <w:abstractNum w:abstractNumId="4">
    <w:nsid w:val="32B53734"/>
    <w:multiLevelType w:val="singleLevel"/>
    <w:tmpl w:val="32B53734"/>
    <w:lvl w:ilvl="0" w:tentative="0">
      <w:start w:val="1"/>
      <w:numFmt w:val="decimal"/>
      <w:suff w:val="nothing"/>
      <w:lvlText w:val="（%1）"/>
      <w:lvlJc w:val="left"/>
    </w:lvl>
  </w:abstractNum>
  <w:abstractNum w:abstractNumId="5">
    <w:nsid w:val="614F3D4F"/>
    <w:multiLevelType w:val="multilevel"/>
    <w:tmpl w:val="614F3D4F"/>
    <w:lvl w:ilvl="0" w:tentative="0">
      <w:start w:val="1"/>
      <w:numFmt w:val="chineseCounting"/>
      <w:suff w:val="space"/>
      <w:lvlText w:val="%1、"/>
      <w:lvlJc w:val="left"/>
      <w:pPr>
        <w:tabs>
          <w:tab w:val="left" w:pos="0"/>
        </w:tabs>
        <w:ind w:left="432" w:hanging="432"/>
      </w:pPr>
      <w:rPr>
        <w:rFonts w:hint="eastAsia" w:ascii="宋体" w:hAnsi="宋体" w:eastAsia="宋体" w:cs="宋体"/>
        <w:b/>
        <w:bCs/>
        <w:sz w:val="32"/>
        <w:szCs w:val="32"/>
      </w:rPr>
    </w:lvl>
    <w:lvl w:ilvl="1" w:tentative="0">
      <w:start w:val="1"/>
      <w:numFmt w:val="decimal"/>
      <w:isLgl/>
      <w:suff w:val="space"/>
      <w:lvlText w:val="%1.%2"/>
      <w:lvlJc w:val="left"/>
      <w:pPr>
        <w:tabs>
          <w:tab w:val="left" w:pos="0"/>
        </w:tabs>
        <w:ind w:left="0" w:firstLine="0"/>
      </w:pPr>
      <w:rPr>
        <w:rFonts w:hint="eastAsia" w:ascii="Times New Roman" w:hAnsi="Times New Roman" w:eastAsia="宋体" w:cs="楷体_GB2312"/>
        <w:b/>
        <w:bCs/>
        <w:sz w:val="30"/>
        <w:szCs w:val="30"/>
      </w:rPr>
    </w:lvl>
    <w:lvl w:ilvl="2" w:tentative="0">
      <w:start w:val="1"/>
      <w:numFmt w:val="decimal"/>
      <w:isLgl/>
      <w:suff w:val="space"/>
      <w:lvlText w:val="%1.%2.%3"/>
      <w:lvlJc w:val="left"/>
      <w:pPr>
        <w:tabs>
          <w:tab w:val="left" w:pos="0"/>
        </w:tabs>
        <w:ind w:left="720" w:hanging="720"/>
      </w:pPr>
      <w:rPr>
        <w:rFonts w:hint="eastAsia" w:ascii="Times New Roman" w:hAnsi="Times New Roman" w:eastAsia="宋体" w:cs="楷体_GB2312"/>
        <w:b/>
        <w:bCs/>
        <w:sz w:val="24"/>
        <w:szCs w:val="28"/>
      </w:rPr>
    </w:lvl>
    <w:lvl w:ilvl="3" w:tentative="0">
      <w:start w:val="1"/>
      <w:numFmt w:val="decimal"/>
      <w:isLgl/>
      <w:suff w:val="space"/>
      <w:lvlText w:val="%1.%2.%3.%4"/>
      <w:lvlJc w:val="left"/>
      <w:pPr>
        <w:tabs>
          <w:tab w:val="left" w:pos="420"/>
        </w:tabs>
        <w:ind w:left="864" w:hanging="864"/>
      </w:pPr>
      <w:rPr>
        <w:rFonts w:hint="eastAsia" w:ascii="Times New Roman" w:hAnsi="Times New Roman" w:eastAsia="宋体" w:cs="宋体"/>
        <w:sz w:val="24"/>
        <w:szCs w:val="24"/>
      </w:rPr>
    </w:lvl>
    <w:lvl w:ilvl="4" w:tentative="0">
      <w:start w:val="1"/>
      <w:numFmt w:val="decimal"/>
      <w:pStyle w:val="6"/>
      <w:isLgl/>
      <w:suff w:val="nothing"/>
      <w:lvlText w:val="（%5）"/>
      <w:lvlJc w:val="left"/>
      <w:pPr>
        <w:tabs>
          <w:tab w:val="left" w:pos="420"/>
        </w:tabs>
        <w:ind w:left="0" w:firstLine="0"/>
      </w:pPr>
      <w:rPr>
        <w:rFonts w:hint="eastAsia" w:ascii="Times New Roman" w:hAnsi="Times New Roman" w:eastAsia="宋体" w:cs="宋体"/>
        <w:sz w:val="21"/>
        <w:szCs w:val="24"/>
      </w:rPr>
    </w:lvl>
    <w:lvl w:ilvl="5" w:tentative="0">
      <w:start w:val="1"/>
      <w:numFmt w:val="decimalEnclosedCircleChinese"/>
      <w:pStyle w:val="7"/>
      <w:suff w:val="nothing"/>
      <w:lvlText w:val="%6"/>
      <w:lvlJc w:val="left"/>
      <w:pPr>
        <w:tabs>
          <w:tab w:val="left" w:pos="0"/>
        </w:tabs>
        <w:ind w:left="1151" w:hanging="1151"/>
      </w:pPr>
      <w:rPr>
        <w:rFonts w:hint="eastAsia" w:ascii="宋体" w:hAnsi="宋体" w:eastAsia="宋体" w:cs="宋体"/>
        <w:sz w:val="24"/>
        <w:szCs w:val="24"/>
      </w:rPr>
    </w:lvl>
    <w:lvl w:ilvl="6" w:tentative="0">
      <w:start w:val="1"/>
      <w:numFmt w:val="upperLetter"/>
      <w:pStyle w:val="8"/>
      <w:lvlText w:val="%7."/>
      <w:lvlJc w:val="left"/>
      <w:pPr>
        <w:tabs>
          <w:tab w:val="left" w:pos="420"/>
        </w:tabs>
        <w:ind w:left="1296" w:hanging="1296"/>
      </w:pPr>
      <w:rPr>
        <w:rFonts w:hint="eastAsia" w:ascii="Times New Roman" w:hAnsi="Times New Roman" w:eastAsia="宋体" w:cs="楷体_GB2312"/>
      </w:rPr>
    </w:lvl>
    <w:lvl w:ilvl="7" w:tentative="0">
      <w:start w:val="1"/>
      <w:numFmt w:val="decimal"/>
      <w:lvlRestart w:val="2"/>
      <w:isLgl/>
      <w:suff w:val="space"/>
      <w:lvlText w:val="表%1.%2-%8"/>
      <w:lvlJc w:val="left"/>
      <w:pPr>
        <w:tabs>
          <w:tab w:val="left" w:pos="0"/>
        </w:tabs>
        <w:ind w:left="1440" w:hanging="1440"/>
      </w:pPr>
      <w:rPr>
        <w:rFonts w:hint="eastAsia" w:ascii="Times New Roman" w:hAnsi="Times New Roman" w:eastAsia="宋体" w:cs="楷体_GB2312"/>
      </w:rPr>
    </w:lvl>
    <w:lvl w:ilvl="8" w:tentative="0">
      <w:start w:val="1"/>
      <w:numFmt w:val="decimal"/>
      <w:lvlRestart w:val="2"/>
      <w:isLgl/>
      <w:suff w:val="space"/>
      <w:lvlText w:val="图%1.%2-%9"/>
      <w:lvlJc w:val="left"/>
      <w:pPr>
        <w:tabs>
          <w:tab w:val="left" w:pos="0"/>
        </w:tabs>
        <w:ind w:left="1583" w:hanging="1583"/>
      </w:pPr>
      <w:rPr>
        <w:rFonts w:hint="eastAsia" w:ascii="Times New Roman" w:hAnsi="Times New Roman" w:eastAsia="宋体" w:cs="宋体"/>
        <w:sz w:val="21"/>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MDllYTAzYWU3MjFmMzBjMjk5MDBjMThjNTM2MjQifQ=="/>
  </w:docVars>
  <w:rsids>
    <w:rsidRoot w:val="00172A27"/>
    <w:rsid w:val="000060B3"/>
    <w:rsid w:val="00014D4D"/>
    <w:rsid w:val="0004364B"/>
    <w:rsid w:val="00061B1F"/>
    <w:rsid w:val="0006522C"/>
    <w:rsid w:val="000733C4"/>
    <w:rsid w:val="00074783"/>
    <w:rsid w:val="0008070B"/>
    <w:rsid w:val="000810AC"/>
    <w:rsid w:val="00081A02"/>
    <w:rsid w:val="00082231"/>
    <w:rsid w:val="00092D38"/>
    <w:rsid w:val="0009377B"/>
    <w:rsid w:val="00097EBF"/>
    <w:rsid w:val="000A20C9"/>
    <w:rsid w:val="000B058F"/>
    <w:rsid w:val="000B4467"/>
    <w:rsid w:val="000B4DB9"/>
    <w:rsid w:val="000C09AC"/>
    <w:rsid w:val="000C767F"/>
    <w:rsid w:val="000D5A44"/>
    <w:rsid w:val="000E3ED2"/>
    <w:rsid w:val="000E7B05"/>
    <w:rsid w:val="000F7803"/>
    <w:rsid w:val="00106168"/>
    <w:rsid w:val="00125DDB"/>
    <w:rsid w:val="00126BA0"/>
    <w:rsid w:val="001310AB"/>
    <w:rsid w:val="00131F42"/>
    <w:rsid w:val="001357F1"/>
    <w:rsid w:val="00140FA8"/>
    <w:rsid w:val="00142FEB"/>
    <w:rsid w:val="00143A2D"/>
    <w:rsid w:val="00145A41"/>
    <w:rsid w:val="00151675"/>
    <w:rsid w:val="001556F5"/>
    <w:rsid w:val="00157435"/>
    <w:rsid w:val="00172A27"/>
    <w:rsid w:val="0017504D"/>
    <w:rsid w:val="0017671A"/>
    <w:rsid w:val="00177422"/>
    <w:rsid w:val="00184590"/>
    <w:rsid w:val="001870D1"/>
    <w:rsid w:val="0018781E"/>
    <w:rsid w:val="0019262D"/>
    <w:rsid w:val="001A1B35"/>
    <w:rsid w:val="001A4245"/>
    <w:rsid w:val="001A48A2"/>
    <w:rsid w:val="001A6F61"/>
    <w:rsid w:val="001B10C4"/>
    <w:rsid w:val="001B72B8"/>
    <w:rsid w:val="001C37F0"/>
    <w:rsid w:val="001C69B3"/>
    <w:rsid w:val="001D5595"/>
    <w:rsid w:val="001D7874"/>
    <w:rsid w:val="001D7F22"/>
    <w:rsid w:val="001F0F17"/>
    <w:rsid w:val="001F3347"/>
    <w:rsid w:val="001F69E4"/>
    <w:rsid w:val="00207852"/>
    <w:rsid w:val="00207C4C"/>
    <w:rsid w:val="002125B4"/>
    <w:rsid w:val="002155B8"/>
    <w:rsid w:val="0021789E"/>
    <w:rsid w:val="00221CE6"/>
    <w:rsid w:val="00224839"/>
    <w:rsid w:val="002249B2"/>
    <w:rsid w:val="00226574"/>
    <w:rsid w:val="002278EC"/>
    <w:rsid w:val="0023280E"/>
    <w:rsid w:val="002377D1"/>
    <w:rsid w:val="002506BC"/>
    <w:rsid w:val="00254345"/>
    <w:rsid w:val="00264557"/>
    <w:rsid w:val="002805AB"/>
    <w:rsid w:val="00284204"/>
    <w:rsid w:val="00291773"/>
    <w:rsid w:val="002A168C"/>
    <w:rsid w:val="002A3DC7"/>
    <w:rsid w:val="002A790B"/>
    <w:rsid w:val="002B49E2"/>
    <w:rsid w:val="002B7B00"/>
    <w:rsid w:val="002B7C44"/>
    <w:rsid w:val="002C2B17"/>
    <w:rsid w:val="002D3DD0"/>
    <w:rsid w:val="002E1171"/>
    <w:rsid w:val="002E1F3A"/>
    <w:rsid w:val="002E298A"/>
    <w:rsid w:val="00301978"/>
    <w:rsid w:val="0030332C"/>
    <w:rsid w:val="003051C2"/>
    <w:rsid w:val="00312296"/>
    <w:rsid w:val="00314F0E"/>
    <w:rsid w:val="00316587"/>
    <w:rsid w:val="00317AB0"/>
    <w:rsid w:val="00321D8E"/>
    <w:rsid w:val="0032417F"/>
    <w:rsid w:val="00325928"/>
    <w:rsid w:val="00332863"/>
    <w:rsid w:val="00333720"/>
    <w:rsid w:val="0033684D"/>
    <w:rsid w:val="00337B42"/>
    <w:rsid w:val="00341B42"/>
    <w:rsid w:val="0034348F"/>
    <w:rsid w:val="00356653"/>
    <w:rsid w:val="0035743F"/>
    <w:rsid w:val="00357BE2"/>
    <w:rsid w:val="0036170C"/>
    <w:rsid w:val="00366E0F"/>
    <w:rsid w:val="00381A72"/>
    <w:rsid w:val="00382C34"/>
    <w:rsid w:val="00384676"/>
    <w:rsid w:val="00390857"/>
    <w:rsid w:val="00397119"/>
    <w:rsid w:val="003A2708"/>
    <w:rsid w:val="003A4BF3"/>
    <w:rsid w:val="003B420D"/>
    <w:rsid w:val="003C291C"/>
    <w:rsid w:val="003C6C16"/>
    <w:rsid w:val="003C77F9"/>
    <w:rsid w:val="003D794D"/>
    <w:rsid w:val="003E2146"/>
    <w:rsid w:val="003E3058"/>
    <w:rsid w:val="003E76A9"/>
    <w:rsid w:val="003F0809"/>
    <w:rsid w:val="003F6A8C"/>
    <w:rsid w:val="003F755C"/>
    <w:rsid w:val="004040B0"/>
    <w:rsid w:val="00406F01"/>
    <w:rsid w:val="00416D50"/>
    <w:rsid w:val="00416FD5"/>
    <w:rsid w:val="00417772"/>
    <w:rsid w:val="00420E6A"/>
    <w:rsid w:val="00425A9E"/>
    <w:rsid w:val="00426D6B"/>
    <w:rsid w:val="00431E6C"/>
    <w:rsid w:val="00433CE7"/>
    <w:rsid w:val="00445311"/>
    <w:rsid w:val="00452738"/>
    <w:rsid w:val="00456091"/>
    <w:rsid w:val="00456F4B"/>
    <w:rsid w:val="00466321"/>
    <w:rsid w:val="00484B9B"/>
    <w:rsid w:val="004855F6"/>
    <w:rsid w:val="0048661E"/>
    <w:rsid w:val="00494670"/>
    <w:rsid w:val="0049648F"/>
    <w:rsid w:val="004A3823"/>
    <w:rsid w:val="004A7E40"/>
    <w:rsid w:val="004B3B20"/>
    <w:rsid w:val="004C2A06"/>
    <w:rsid w:val="004E6946"/>
    <w:rsid w:val="004F1AD8"/>
    <w:rsid w:val="004F6966"/>
    <w:rsid w:val="005039CB"/>
    <w:rsid w:val="0050558F"/>
    <w:rsid w:val="00506286"/>
    <w:rsid w:val="00510813"/>
    <w:rsid w:val="00511990"/>
    <w:rsid w:val="00511DE0"/>
    <w:rsid w:val="00514870"/>
    <w:rsid w:val="00514B9B"/>
    <w:rsid w:val="00517F02"/>
    <w:rsid w:val="00524303"/>
    <w:rsid w:val="005258A2"/>
    <w:rsid w:val="00535CE5"/>
    <w:rsid w:val="005370A2"/>
    <w:rsid w:val="005401AE"/>
    <w:rsid w:val="00542E07"/>
    <w:rsid w:val="00545424"/>
    <w:rsid w:val="00554A7B"/>
    <w:rsid w:val="0055572C"/>
    <w:rsid w:val="0056106A"/>
    <w:rsid w:val="00563065"/>
    <w:rsid w:val="005720AE"/>
    <w:rsid w:val="00576F26"/>
    <w:rsid w:val="00577718"/>
    <w:rsid w:val="00580973"/>
    <w:rsid w:val="00594D77"/>
    <w:rsid w:val="005969E4"/>
    <w:rsid w:val="005A06B7"/>
    <w:rsid w:val="005A1759"/>
    <w:rsid w:val="005A68A7"/>
    <w:rsid w:val="005B4758"/>
    <w:rsid w:val="005D0C8E"/>
    <w:rsid w:val="005D1031"/>
    <w:rsid w:val="005D36AB"/>
    <w:rsid w:val="005F48A7"/>
    <w:rsid w:val="00617CC3"/>
    <w:rsid w:val="00621233"/>
    <w:rsid w:val="006364FC"/>
    <w:rsid w:val="006377A6"/>
    <w:rsid w:val="00637A3D"/>
    <w:rsid w:val="006411EF"/>
    <w:rsid w:val="00647594"/>
    <w:rsid w:val="00671D94"/>
    <w:rsid w:val="00672E48"/>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06A6"/>
    <w:rsid w:val="00732922"/>
    <w:rsid w:val="0075162E"/>
    <w:rsid w:val="00754034"/>
    <w:rsid w:val="00756556"/>
    <w:rsid w:val="007618C4"/>
    <w:rsid w:val="00761BC6"/>
    <w:rsid w:val="00767980"/>
    <w:rsid w:val="00770B19"/>
    <w:rsid w:val="0077463F"/>
    <w:rsid w:val="00775171"/>
    <w:rsid w:val="007836EA"/>
    <w:rsid w:val="00784CDA"/>
    <w:rsid w:val="007906C4"/>
    <w:rsid w:val="007940EA"/>
    <w:rsid w:val="007967E8"/>
    <w:rsid w:val="007A2170"/>
    <w:rsid w:val="007A22BF"/>
    <w:rsid w:val="007A3323"/>
    <w:rsid w:val="007B72B8"/>
    <w:rsid w:val="007B7A58"/>
    <w:rsid w:val="007C21B5"/>
    <w:rsid w:val="007E4BD2"/>
    <w:rsid w:val="007F20FE"/>
    <w:rsid w:val="007F3496"/>
    <w:rsid w:val="00801393"/>
    <w:rsid w:val="00802F88"/>
    <w:rsid w:val="00806504"/>
    <w:rsid w:val="0081293E"/>
    <w:rsid w:val="00815465"/>
    <w:rsid w:val="00817E9A"/>
    <w:rsid w:val="008306BD"/>
    <w:rsid w:val="00831A80"/>
    <w:rsid w:val="00833743"/>
    <w:rsid w:val="008340A4"/>
    <w:rsid w:val="008413AF"/>
    <w:rsid w:val="0087135F"/>
    <w:rsid w:val="00872D94"/>
    <w:rsid w:val="00876C08"/>
    <w:rsid w:val="00880364"/>
    <w:rsid w:val="00891592"/>
    <w:rsid w:val="00891E9E"/>
    <w:rsid w:val="008A2F68"/>
    <w:rsid w:val="008B4C8E"/>
    <w:rsid w:val="008B4FA6"/>
    <w:rsid w:val="008B5282"/>
    <w:rsid w:val="008B7814"/>
    <w:rsid w:val="008B7C17"/>
    <w:rsid w:val="008C2D01"/>
    <w:rsid w:val="008C40E6"/>
    <w:rsid w:val="008C4823"/>
    <w:rsid w:val="008D0F7A"/>
    <w:rsid w:val="008D1971"/>
    <w:rsid w:val="008D68E4"/>
    <w:rsid w:val="008E0506"/>
    <w:rsid w:val="008E0CFF"/>
    <w:rsid w:val="008E5D6B"/>
    <w:rsid w:val="008E76F0"/>
    <w:rsid w:val="008F15FE"/>
    <w:rsid w:val="008F2D29"/>
    <w:rsid w:val="008F5187"/>
    <w:rsid w:val="008F60D8"/>
    <w:rsid w:val="00902727"/>
    <w:rsid w:val="0090312B"/>
    <w:rsid w:val="0091736D"/>
    <w:rsid w:val="0092041F"/>
    <w:rsid w:val="0093037A"/>
    <w:rsid w:val="00937DB0"/>
    <w:rsid w:val="0094154D"/>
    <w:rsid w:val="0095155F"/>
    <w:rsid w:val="00954429"/>
    <w:rsid w:val="009563CE"/>
    <w:rsid w:val="00976328"/>
    <w:rsid w:val="0097680D"/>
    <w:rsid w:val="00982438"/>
    <w:rsid w:val="0098404C"/>
    <w:rsid w:val="00985283"/>
    <w:rsid w:val="00986502"/>
    <w:rsid w:val="00994EFF"/>
    <w:rsid w:val="00995992"/>
    <w:rsid w:val="009A03E5"/>
    <w:rsid w:val="009A0F3B"/>
    <w:rsid w:val="009A1BB4"/>
    <w:rsid w:val="009A2628"/>
    <w:rsid w:val="009A3200"/>
    <w:rsid w:val="009B0897"/>
    <w:rsid w:val="009B2E1C"/>
    <w:rsid w:val="009B7BD9"/>
    <w:rsid w:val="009C7DD5"/>
    <w:rsid w:val="009E227D"/>
    <w:rsid w:val="009E5019"/>
    <w:rsid w:val="00A0026F"/>
    <w:rsid w:val="00A04F1B"/>
    <w:rsid w:val="00A0501B"/>
    <w:rsid w:val="00A14947"/>
    <w:rsid w:val="00A32A83"/>
    <w:rsid w:val="00A368DB"/>
    <w:rsid w:val="00A423AA"/>
    <w:rsid w:val="00A53EC6"/>
    <w:rsid w:val="00A55C0F"/>
    <w:rsid w:val="00A66445"/>
    <w:rsid w:val="00A8713F"/>
    <w:rsid w:val="00A90BA1"/>
    <w:rsid w:val="00A97A9A"/>
    <w:rsid w:val="00AA0671"/>
    <w:rsid w:val="00AA2531"/>
    <w:rsid w:val="00AB1E09"/>
    <w:rsid w:val="00AB5330"/>
    <w:rsid w:val="00AB7747"/>
    <w:rsid w:val="00AC14CE"/>
    <w:rsid w:val="00AC2A56"/>
    <w:rsid w:val="00AC5C6D"/>
    <w:rsid w:val="00AD055E"/>
    <w:rsid w:val="00AD47A7"/>
    <w:rsid w:val="00AF0CBF"/>
    <w:rsid w:val="00AF239B"/>
    <w:rsid w:val="00AF257F"/>
    <w:rsid w:val="00AF33CF"/>
    <w:rsid w:val="00AF4D50"/>
    <w:rsid w:val="00AF6179"/>
    <w:rsid w:val="00B00E43"/>
    <w:rsid w:val="00B05FB6"/>
    <w:rsid w:val="00B06075"/>
    <w:rsid w:val="00B1295A"/>
    <w:rsid w:val="00B1778A"/>
    <w:rsid w:val="00B20A45"/>
    <w:rsid w:val="00B22C5C"/>
    <w:rsid w:val="00B24F30"/>
    <w:rsid w:val="00B31ABF"/>
    <w:rsid w:val="00B33BE3"/>
    <w:rsid w:val="00B53B5D"/>
    <w:rsid w:val="00B55DD2"/>
    <w:rsid w:val="00B601CD"/>
    <w:rsid w:val="00B6055E"/>
    <w:rsid w:val="00B6317D"/>
    <w:rsid w:val="00B6441D"/>
    <w:rsid w:val="00B7723F"/>
    <w:rsid w:val="00B80534"/>
    <w:rsid w:val="00B83852"/>
    <w:rsid w:val="00B8433C"/>
    <w:rsid w:val="00B87491"/>
    <w:rsid w:val="00BA29E9"/>
    <w:rsid w:val="00BA6838"/>
    <w:rsid w:val="00BA7142"/>
    <w:rsid w:val="00BB237C"/>
    <w:rsid w:val="00BB41A3"/>
    <w:rsid w:val="00BB6956"/>
    <w:rsid w:val="00BC32DC"/>
    <w:rsid w:val="00BC35B6"/>
    <w:rsid w:val="00BC3BED"/>
    <w:rsid w:val="00BD1B51"/>
    <w:rsid w:val="00BD4596"/>
    <w:rsid w:val="00BE1405"/>
    <w:rsid w:val="00BE312D"/>
    <w:rsid w:val="00BF1C20"/>
    <w:rsid w:val="00BF5A7B"/>
    <w:rsid w:val="00C039C7"/>
    <w:rsid w:val="00C10578"/>
    <w:rsid w:val="00C135BC"/>
    <w:rsid w:val="00C15C95"/>
    <w:rsid w:val="00C2596A"/>
    <w:rsid w:val="00C27537"/>
    <w:rsid w:val="00C328FE"/>
    <w:rsid w:val="00C33507"/>
    <w:rsid w:val="00C4409D"/>
    <w:rsid w:val="00C44E72"/>
    <w:rsid w:val="00C45A06"/>
    <w:rsid w:val="00C47E5B"/>
    <w:rsid w:val="00C50A87"/>
    <w:rsid w:val="00C61E4B"/>
    <w:rsid w:val="00C64BFF"/>
    <w:rsid w:val="00C704E9"/>
    <w:rsid w:val="00C763C9"/>
    <w:rsid w:val="00C80057"/>
    <w:rsid w:val="00C82232"/>
    <w:rsid w:val="00C82913"/>
    <w:rsid w:val="00C8597D"/>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308ED"/>
    <w:rsid w:val="00D345E9"/>
    <w:rsid w:val="00D3480E"/>
    <w:rsid w:val="00D36D86"/>
    <w:rsid w:val="00D428AA"/>
    <w:rsid w:val="00D469D3"/>
    <w:rsid w:val="00D50A34"/>
    <w:rsid w:val="00D53EFA"/>
    <w:rsid w:val="00D637EF"/>
    <w:rsid w:val="00D65213"/>
    <w:rsid w:val="00D8753C"/>
    <w:rsid w:val="00D94A7C"/>
    <w:rsid w:val="00D95896"/>
    <w:rsid w:val="00D965A4"/>
    <w:rsid w:val="00DB2983"/>
    <w:rsid w:val="00DC1257"/>
    <w:rsid w:val="00DC3DC0"/>
    <w:rsid w:val="00DC5B2B"/>
    <w:rsid w:val="00DD318D"/>
    <w:rsid w:val="00DF2E12"/>
    <w:rsid w:val="00DF4B76"/>
    <w:rsid w:val="00DF514A"/>
    <w:rsid w:val="00DF6690"/>
    <w:rsid w:val="00DF6804"/>
    <w:rsid w:val="00E0358D"/>
    <w:rsid w:val="00E04323"/>
    <w:rsid w:val="00E068D1"/>
    <w:rsid w:val="00E070A2"/>
    <w:rsid w:val="00E21B7C"/>
    <w:rsid w:val="00E2656A"/>
    <w:rsid w:val="00E34A10"/>
    <w:rsid w:val="00E412D0"/>
    <w:rsid w:val="00E56322"/>
    <w:rsid w:val="00E60982"/>
    <w:rsid w:val="00E62C62"/>
    <w:rsid w:val="00E654C1"/>
    <w:rsid w:val="00E65D97"/>
    <w:rsid w:val="00E72A5A"/>
    <w:rsid w:val="00E73354"/>
    <w:rsid w:val="00E84DEB"/>
    <w:rsid w:val="00E9242D"/>
    <w:rsid w:val="00E971FA"/>
    <w:rsid w:val="00EB5255"/>
    <w:rsid w:val="00EB5C47"/>
    <w:rsid w:val="00EC40D0"/>
    <w:rsid w:val="00ED0639"/>
    <w:rsid w:val="00EE5A7B"/>
    <w:rsid w:val="00EF4755"/>
    <w:rsid w:val="00EF7135"/>
    <w:rsid w:val="00F027DB"/>
    <w:rsid w:val="00F14A7A"/>
    <w:rsid w:val="00F22985"/>
    <w:rsid w:val="00F3383E"/>
    <w:rsid w:val="00F3484B"/>
    <w:rsid w:val="00F42EEF"/>
    <w:rsid w:val="00F44F30"/>
    <w:rsid w:val="00F465A7"/>
    <w:rsid w:val="00F50B7C"/>
    <w:rsid w:val="00F511F7"/>
    <w:rsid w:val="00F550E6"/>
    <w:rsid w:val="00F66A20"/>
    <w:rsid w:val="00F71AE5"/>
    <w:rsid w:val="00F71C33"/>
    <w:rsid w:val="00F74345"/>
    <w:rsid w:val="00F80A0A"/>
    <w:rsid w:val="00F82B19"/>
    <w:rsid w:val="00F9212D"/>
    <w:rsid w:val="00F965DA"/>
    <w:rsid w:val="00FA0DDB"/>
    <w:rsid w:val="00FA406A"/>
    <w:rsid w:val="00FB3526"/>
    <w:rsid w:val="00FB503A"/>
    <w:rsid w:val="00FB516C"/>
    <w:rsid w:val="00FD0236"/>
    <w:rsid w:val="00FD18F4"/>
    <w:rsid w:val="00FD3634"/>
    <w:rsid w:val="00FD54DB"/>
    <w:rsid w:val="00FD619F"/>
    <w:rsid w:val="01050043"/>
    <w:rsid w:val="010F3B4F"/>
    <w:rsid w:val="01290F7E"/>
    <w:rsid w:val="015B2A58"/>
    <w:rsid w:val="015D1E09"/>
    <w:rsid w:val="016E1F8C"/>
    <w:rsid w:val="01761E20"/>
    <w:rsid w:val="01877B89"/>
    <w:rsid w:val="019221F5"/>
    <w:rsid w:val="01AA7D1B"/>
    <w:rsid w:val="01B635E3"/>
    <w:rsid w:val="01DE010B"/>
    <w:rsid w:val="01E86154"/>
    <w:rsid w:val="02117D9A"/>
    <w:rsid w:val="02134FF2"/>
    <w:rsid w:val="022644D4"/>
    <w:rsid w:val="022A6766"/>
    <w:rsid w:val="0230687F"/>
    <w:rsid w:val="025D38B0"/>
    <w:rsid w:val="0264038B"/>
    <w:rsid w:val="02697903"/>
    <w:rsid w:val="026C6B78"/>
    <w:rsid w:val="028A67DC"/>
    <w:rsid w:val="02AA61B2"/>
    <w:rsid w:val="02BC3862"/>
    <w:rsid w:val="02DF23A6"/>
    <w:rsid w:val="02F96569"/>
    <w:rsid w:val="03363FD7"/>
    <w:rsid w:val="034A3845"/>
    <w:rsid w:val="03690F25"/>
    <w:rsid w:val="03793F5A"/>
    <w:rsid w:val="039447DF"/>
    <w:rsid w:val="03AA4003"/>
    <w:rsid w:val="03B81428"/>
    <w:rsid w:val="03E00877"/>
    <w:rsid w:val="03E72B61"/>
    <w:rsid w:val="03EA7B21"/>
    <w:rsid w:val="03EC0177"/>
    <w:rsid w:val="03FE7EAB"/>
    <w:rsid w:val="040305E5"/>
    <w:rsid w:val="04096282"/>
    <w:rsid w:val="040E6CBB"/>
    <w:rsid w:val="043164D2"/>
    <w:rsid w:val="047110F3"/>
    <w:rsid w:val="047474E5"/>
    <w:rsid w:val="04987BCD"/>
    <w:rsid w:val="049C1B9D"/>
    <w:rsid w:val="05014EAF"/>
    <w:rsid w:val="052F14D7"/>
    <w:rsid w:val="053C3704"/>
    <w:rsid w:val="05415071"/>
    <w:rsid w:val="055E32F7"/>
    <w:rsid w:val="056D7F8C"/>
    <w:rsid w:val="05740424"/>
    <w:rsid w:val="05850883"/>
    <w:rsid w:val="058C73D8"/>
    <w:rsid w:val="059B1E55"/>
    <w:rsid w:val="059E384B"/>
    <w:rsid w:val="05AB73D8"/>
    <w:rsid w:val="05C649F8"/>
    <w:rsid w:val="05C72C4A"/>
    <w:rsid w:val="05CE114A"/>
    <w:rsid w:val="05E81FCA"/>
    <w:rsid w:val="05F83EAE"/>
    <w:rsid w:val="06233BF8"/>
    <w:rsid w:val="063E7D85"/>
    <w:rsid w:val="06440D68"/>
    <w:rsid w:val="06C66FC7"/>
    <w:rsid w:val="0701218C"/>
    <w:rsid w:val="07153E89"/>
    <w:rsid w:val="0717473D"/>
    <w:rsid w:val="07293586"/>
    <w:rsid w:val="07295285"/>
    <w:rsid w:val="075667A3"/>
    <w:rsid w:val="07636392"/>
    <w:rsid w:val="0774357C"/>
    <w:rsid w:val="07770C56"/>
    <w:rsid w:val="079052BE"/>
    <w:rsid w:val="07A34FF1"/>
    <w:rsid w:val="07B13BB2"/>
    <w:rsid w:val="07BC60B3"/>
    <w:rsid w:val="07C10101"/>
    <w:rsid w:val="07C5140B"/>
    <w:rsid w:val="07D72EEC"/>
    <w:rsid w:val="07E03F1B"/>
    <w:rsid w:val="07FF5E46"/>
    <w:rsid w:val="08117291"/>
    <w:rsid w:val="081B102B"/>
    <w:rsid w:val="08204893"/>
    <w:rsid w:val="0834120E"/>
    <w:rsid w:val="08393BA7"/>
    <w:rsid w:val="084B16B9"/>
    <w:rsid w:val="08585DDB"/>
    <w:rsid w:val="08607386"/>
    <w:rsid w:val="08756A05"/>
    <w:rsid w:val="08777BCA"/>
    <w:rsid w:val="08804CDD"/>
    <w:rsid w:val="08FC6E3E"/>
    <w:rsid w:val="08FE0C55"/>
    <w:rsid w:val="09023352"/>
    <w:rsid w:val="092217DD"/>
    <w:rsid w:val="09362AA9"/>
    <w:rsid w:val="093A7294"/>
    <w:rsid w:val="09420839"/>
    <w:rsid w:val="09864BCA"/>
    <w:rsid w:val="09922676"/>
    <w:rsid w:val="09AA0BA3"/>
    <w:rsid w:val="0A1A4FDC"/>
    <w:rsid w:val="0A21195F"/>
    <w:rsid w:val="0A263993"/>
    <w:rsid w:val="0A2D3AC2"/>
    <w:rsid w:val="0A36039E"/>
    <w:rsid w:val="0A4754A4"/>
    <w:rsid w:val="0A595E3B"/>
    <w:rsid w:val="0A80786B"/>
    <w:rsid w:val="0A8C4462"/>
    <w:rsid w:val="0A93759F"/>
    <w:rsid w:val="0AA2252B"/>
    <w:rsid w:val="0AA755DF"/>
    <w:rsid w:val="0AA8771B"/>
    <w:rsid w:val="0AD1311B"/>
    <w:rsid w:val="0AD300A0"/>
    <w:rsid w:val="0AD656DD"/>
    <w:rsid w:val="0ADF4592"/>
    <w:rsid w:val="0AFA1765"/>
    <w:rsid w:val="0B120D44"/>
    <w:rsid w:val="0B1A3243"/>
    <w:rsid w:val="0B321943"/>
    <w:rsid w:val="0B5C264E"/>
    <w:rsid w:val="0B6C1151"/>
    <w:rsid w:val="0B8D66E4"/>
    <w:rsid w:val="0B9560FC"/>
    <w:rsid w:val="0BC34303"/>
    <w:rsid w:val="0BD27BF6"/>
    <w:rsid w:val="0BF35AAF"/>
    <w:rsid w:val="0BFA157F"/>
    <w:rsid w:val="0C347D9F"/>
    <w:rsid w:val="0C370697"/>
    <w:rsid w:val="0C3B3C7D"/>
    <w:rsid w:val="0C400B11"/>
    <w:rsid w:val="0C465A73"/>
    <w:rsid w:val="0C596206"/>
    <w:rsid w:val="0C780DAB"/>
    <w:rsid w:val="0C793B39"/>
    <w:rsid w:val="0C7D033C"/>
    <w:rsid w:val="0C8B7F7D"/>
    <w:rsid w:val="0CA1047B"/>
    <w:rsid w:val="0CAB2EAE"/>
    <w:rsid w:val="0CC72B00"/>
    <w:rsid w:val="0CD8573D"/>
    <w:rsid w:val="0D1F5806"/>
    <w:rsid w:val="0D2131A7"/>
    <w:rsid w:val="0D554ADF"/>
    <w:rsid w:val="0D621C7D"/>
    <w:rsid w:val="0D6818A6"/>
    <w:rsid w:val="0D7579F8"/>
    <w:rsid w:val="0D782A7C"/>
    <w:rsid w:val="0D8257DE"/>
    <w:rsid w:val="0D8D29CB"/>
    <w:rsid w:val="0D95362E"/>
    <w:rsid w:val="0DBC37C2"/>
    <w:rsid w:val="0DC76A33"/>
    <w:rsid w:val="0DDD6D83"/>
    <w:rsid w:val="0E1F4BB4"/>
    <w:rsid w:val="0E3D1D40"/>
    <w:rsid w:val="0E540384"/>
    <w:rsid w:val="0E54467E"/>
    <w:rsid w:val="0E556575"/>
    <w:rsid w:val="0E5D226B"/>
    <w:rsid w:val="0E6354DA"/>
    <w:rsid w:val="0E73034D"/>
    <w:rsid w:val="0E817776"/>
    <w:rsid w:val="0E874F36"/>
    <w:rsid w:val="0E931FD4"/>
    <w:rsid w:val="0ED32AC0"/>
    <w:rsid w:val="0EEB4208"/>
    <w:rsid w:val="0F072534"/>
    <w:rsid w:val="0F13775A"/>
    <w:rsid w:val="0F1B5DB5"/>
    <w:rsid w:val="0F1D7D7F"/>
    <w:rsid w:val="0F1F23E8"/>
    <w:rsid w:val="0F215EBA"/>
    <w:rsid w:val="0F3155D8"/>
    <w:rsid w:val="0F321275"/>
    <w:rsid w:val="0F4F5A5E"/>
    <w:rsid w:val="0F52491F"/>
    <w:rsid w:val="0F5F45FE"/>
    <w:rsid w:val="0F6349C9"/>
    <w:rsid w:val="0F676827"/>
    <w:rsid w:val="0F824086"/>
    <w:rsid w:val="0F9A112B"/>
    <w:rsid w:val="0FA02F99"/>
    <w:rsid w:val="0FA35BF2"/>
    <w:rsid w:val="0FA958B6"/>
    <w:rsid w:val="0FC43178"/>
    <w:rsid w:val="0FD02849"/>
    <w:rsid w:val="0FD0385D"/>
    <w:rsid w:val="10190546"/>
    <w:rsid w:val="102A1EA4"/>
    <w:rsid w:val="10460CC2"/>
    <w:rsid w:val="104D01F0"/>
    <w:rsid w:val="105D231E"/>
    <w:rsid w:val="105D69C6"/>
    <w:rsid w:val="105F31D7"/>
    <w:rsid w:val="10613C9B"/>
    <w:rsid w:val="106D2F64"/>
    <w:rsid w:val="108E7658"/>
    <w:rsid w:val="10A36062"/>
    <w:rsid w:val="10A40643"/>
    <w:rsid w:val="10B63710"/>
    <w:rsid w:val="10C771ED"/>
    <w:rsid w:val="10D34C5C"/>
    <w:rsid w:val="10DD1B89"/>
    <w:rsid w:val="10EA74A4"/>
    <w:rsid w:val="10F10820"/>
    <w:rsid w:val="10F800BC"/>
    <w:rsid w:val="10FF7941"/>
    <w:rsid w:val="111C2F7A"/>
    <w:rsid w:val="112F3D99"/>
    <w:rsid w:val="11573208"/>
    <w:rsid w:val="11665CA1"/>
    <w:rsid w:val="118A4764"/>
    <w:rsid w:val="11A7090D"/>
    <w:rsid w:val="11BF6ECB"/>
    <w:rsid w:val="11E06E41"/>
    <w:rsid w:val="11E43261"/>
    <w:rsid w:val="120E79C7"/>
    <w:rsid w:val="121C62B6"/>
    <w:rsid w:val="12280B93"/>
    <w:rsid w:val="123969CC"/>
    <w:rsid w:val="127001C5"/>
    <w:rsid w:val="128F16A8"/>
    <w:rsid w:val="12957C2C"/>
    <w:rsid w:val="12C325CF"/>
    <w:rsid w:val="12C91FB7"/>
    <w:rsid w:val="12D40754"/>
    <w:rsid w:val="12EB689D"/>
    <w:rsid w:val="132905EA"/>
    <w:rsid w:val="13557655"/>
    <w:rsid w:val="135E2714"/>
    <w:rsid w:val="13721650"/>
    <w:rsid w:val="13951726"/>
    <w:rsid w:val="139F22A2"/>
    <w:rsid w:val="13A0509C"/>
    <w:rsid w:val="13AB37B4"/>
    <w:rsid w:val="13B86E94"/>
    <w:rsid w:val="13D34EB0"/>
    <w:rsid w:val="13E539B1"/>
    <w:rsid w:val="13E62E35"/>
    <w:rsid w:val="14396509"/>
    <w:rsid w:val="143C41C1"/>
    <w:rsid w:val="145F48BF"/>
    <w:rsid w:val="14751F53"/>
    <w:rsid w:val="14834729"/>
    <w:rsid w:val="14C53111"/>
    <w:rsid w:val="14DD2C3C"/>
    <w:rsid w:val="14E51E94"/>
    <w:rsid w:val="14EF79DE"/>
    <w:rsid w:val="14F90946"/>
    <w:rsid w:val="152063A5"/>
    <w:rsid w:val="15323E58"/>
    <w:rsid w:val="15501D09"/>
    <w:rsid w:val="15753B5D"/>
    <w:rsid w:val="15761F97"/>
    <w:rsid w:val="158E6FF2"/>
    <w:rsid w:val="15AF7257"/>
    <w:rsid w:val="15EE7622"/>
    <w:rsid w:val="160752E5"/>
    <w:rsid w:val="16087E1D"/>
    <w:rsid w:val="160C46A9"/>
    <w:rsid w:val="163D4598"/>
    <w:rsid w:val="16473933"/>
    <w:rsid w:val="16493207"/>
    <w:rsid w:val="164B3423"/>
    <w:rsid w:val="165C118C"/>
    <w:rsid w:val="16663DB9"/>
    <w:rsid w:val="16675484"/>
    <w:rsid w:val="16726ACF"/>
    <w:rsid w:val="16770D10"/>
    <w:rsid w:val="1678500E"/>
    <w:rsid w:val="168750D1"/>
    <w:rsid w:val="168D7E8C"/>
    <w:rsid w:val="1690589B"/>
    <w:rsid w:val="16B15B8F"/>
    <w:rsid w:val="16B52705"/>
    <w:rsid w:val="16D33724"/>
    <w:rsid w:val="16D36F75"/>
    <w:rsid w:val="16E25A42"/>
    <w:rsid w:val="16EB2255"/>
    <w:rsid w:val="173369B9"/>
    <w:rsid w:val="17345C65"/>
    <w:rsid w:val="17694BFC"/>
    <w:rsid w:val="176A1687"/>
    <w:rsid w:val="17701D14"/>
    <w:rsid w:val="17726B6D"/>
    <w:rsid w:val="17735226"/>
    <w:rsid w:val="17A857FA"/>
    <w:rsid w:val="17B64C24"/>
    <w:rsid w:val="17C04657"/>
    <w:rsid w:val="17D9431B"/>
    <w:rsid w:val="17E16AA7"/>
    <w:rsid w:val="17F17FFA"/>
    <w:rsid w:val="17F453F5"/>
    <w:rsid w:val="180970F2"/>
    <w:rsid w:val="18251A52"/>
    <w:rsid w:val="182614DC"/>
    <w:rsid w:val="18381785"/>
    <w:rsid w:val="186339A5"/>
    <w:rsid w:val="186E0A4A"/>
    <w:rsid w:val="189F624C"/>
    <w:rsid w:val="18B155B2"/>
    <w:rsid w:val="1909120F"/>
    <w:rsid w:val="190D2C12"/>
    <w:rsid w:val="19197809"/>
    <w:rsid w:val="191E5E63"/>
    <w:rsid w:val="192D611D"/>
    <w:rsid w:val="19346481"/>
    <w:rsid w:val="19353F17"/>
    <w:rsid w:val="19445E70"/>
    <w:rsid w:val="194A58E1"/>
    <w:rsid w:val="19541950"/>
    <w:rsid w:val="196A4D37"/>
    <w:rsid w:val="196E6612"/>
    <w:rsid w:val="1978244D"/>
    <w:rsid w:val="19D01F32"/>
    <w:rsid w:val="1A030D3E"/>
    <w:rsid w:val="1A18186E"/>
    <w:rsid w:val="1A18363D"/>
    <w:rsid w:val="1A1C66C0"/>
    <w:rsid w:val="1A42393B"/>
    <w:rsid w:val="1A63573E"/>
    <w:rsid w:val="1A8962C8"/>
    <w:rsid w:val="1AAD45DE"/>
    <w:rsid w:val="1AC30F79"/>
    <w:rsid w:val="1AC33FF4"/>
    <w:rsid w:val="1AFD0A64"/>
    <w:rsid w:val="1B046F80"/>
    <w:rsid w:val="1B186321"/>
    <w:rsid w:val="1B1D76A9"/>
    <w:rsid w:val="1B245FF1"/>
    <w:rsid w:val="1B3267B5"/>
    <w:rsid w:val="1B384F2D"/>
    <w:rsid w:val="1B3C50FB"/>
    <w:rsid w:val="1B40161D"/>
    <w:rsid w:val="1B441859"/>
    <w:rsid w:val="1B46085E"/>
    <w:rsid w:val="1B6606B1"/>
    <w:rsid w:val="1BA1262E"/>
    <w:rsid w:val="1BA65D55"/>
    <w:rsid w:val="1BCD4B86"/>
    <w:rsid w:val="1BD55EE9"/>
    <w:rsid w:val="1BE962BA"/>
    <w:rsid w:val="1BEC6B0F"/>
    <w:rsid w:val="1BEE6D2B"/>
    <w:rsid w:val="1BF445C6"/>
    <w:rsid w:val="1BF96BFB"/>
    <w:rsid w:val="1BFB2DBE"/>
    <w:rsid w:val="1C1448D2"/>
    <w:rsid w:val="1C211340"/>
    <w:rsid w:val="1C36337F"/>
    <w:rsid w:val="1C41637D"/>
    <w:rsid w:val="1C592CFF"/>
    <w:rsid w:val="1C5E7925"/>
    <w:rsid w:val="1C632B49"/>
    <w:rsid w:val="1C71533D"/>
    <w:rsid w:val="1C761A24"/>
    <w:rsid w:val="1C8910C4"/>
    <w:rsid w:val="1CA4388D"/>
    <w:rsid w:val="1CE42B6E"/>
    <w:rsid w:val="1CFD070F"/>
    <w:rsid w:val="1D220B9C"/>
    <w:rsid w:val="1D312FD9"/>
    <w:rsid w:val="1D326C0F"/>
    <w:rsid w:val="1D4666F2"/>
    <w:rsid w:val="1D56285A"/>
    <w:rsid w:val="1D5A14D3"/>
    <w:rsid w:val="1D5F6196"/>
    <w:rsid w:val="1D6132A5"/>
    <w:rsid w:val="1D641BF0"/>
    <w:rsid w:val="1D6D1ED1"/>
    <w:rsid w:val="1D821737"/>
    <w:rsid w:val="1D845EF8"/>
    <w:rsid w:val="1D8E56D5"/>
    <w:rsid w:val="1DAD6772"/>
    <w:rsid w:val="1DBB5971"/>
    <w:rsid w:val="1DBE272D"/>
    <w:rsid w:val="1DCB7CD3"/>
    <w:rsid w:val="1DCD7E33"/>
    <w:rsid w:val="1DFE71E1"/>
    <w:rsid w:val="1E0111E8"/>
    <w:rsid w:val="1E042BCD"/>
    <w:rsid w:val="1E397AD5"/>
    <w:rsid w:val="1E593087"/>
    <w:rsid w:val="1E5F46EB"/>
    <w:rsid w:val="1E650E42"/>
    <w:rsid w:val="1E7A43DA"/>
    <w:rsid w:val="1E8438B3"/>
    <w:rsid w:val="1E92440A"/>
    <w:rsid w:val="1EB156EB"/>
    <w:rsid w:val="1ECE5AEC"/>
    <w:rsid w:val="1EE82796"/>
    <w:rsid w:val="1EF8716E"/>
    <w:rsid w:val="1F077C78"/>
    <w:rsid w:val="1F17052E"/>
    <w:rsid w:val="1F3F789D"/>
    <w:rsid w:val="1F4F2641"/>
    <w:rsid w:val="1F7F7C9A"/>
    <w:rsid w:val="1F9C4CF0"/>
    <w:rsid w:val="1FE7539E"/>
    <w:rsid w:val="1FEC0C4E"/>
    <w:rsid w:val="204953F8"/>
    <w:rsid w:val="20671BE0"/>
    <w:rsid w:val="20800CCA"/>
    <w:rsid w:val="208A67A9"/>
    <w:rsid w:val="20963CB8"/>
    <w:rsid w:val="20A81A1B"/>
    <w:rsid w:val="20B07FB6"/>
    <w:rsid w:val="20B646FB"/>
    <w:rsid w:val="20BB7218"/>
    <w:rsid w:val="210E39CB"/>
    <w:rsid w:val="211B39F2"/>
    <w:rsid w:val="21262AC3"/>
    <w:rsid w:val="21352D06"/>
    <w:rsid w:val="213B74B1"/>
    <w:rsid w:val="215A2310"/>
    <w:rsid w:val="21635AC5"/>
    <w:rsid w:val="218E7F97"/>
    <w:rsid w:val="21926DB7"/>
    <w:rsid w:val="21A954A2"/>
    <w:rsid w:val="21A97250"/>
    <w:rsid w:val="21AB13BF"/>
    <w:rsid w:val="21DE318A"/>
    <w:rsid w:val="21E1597F"/>
    <w:rsid w:val="21EF5B80"/>
    <w:rsid w:val="220620E3"/>
    <w:rsid w:val="221413F8"/>
    <w:rsid w:val="22300BF1"/>
    <w:rsid w:val="223236E9"/>
    <w:rsid w:val="22576990"/>
    <w:rsid w:val="228D0C62"/>
    <w:rsid w:val="22B440FE"/>
    <w:rsid w:val="22C5455D"/>
    <w:rsid w:val="22DF7DEF"/>
    <w:rsid w:val="22EA5D72"/>
    <w:rsid w:val="22F47480"/>
    <w:rsid w:val="232037E7"/>
    <w:rsid w:val="2326029C"/>
    <w:rsid w:val="232A3240"/>
    <w:rsid w:val="23334310"/>
    <w:rsid w:val="2355143D"/>
    <w:rsid w:val="235A693F"/>
    <w:rsid w:val="237B77A7"/>
    <w:rsid w:val="238654DF"/>
    <w:rsid w:val="23867849"/>
    <w:rsid w:val="23B20C16"/>
    <w:rsid w:val="23BA3996"/>
    <w:rsid w:val="23C445BE"/>
    <w:rsid w:val="23C640E9"/>
    <w:rsid w:val="23CE155A"/>
    <w:rsid w:val="23CF0963"/>
    <w:rsid w:val="23D310D6"/>
    <w:rsid w:val="23DE1C48"/>
    <w:rsid w:val="23FD637A"/>
    <w:rsid w:val="240210CD"/>
    <w:rsid w:val="24025657"/>
    <w:rsid w:val="24054B4D"/>
    <w:rsid w:val="243B5370"/>
    <w:rsid w:val="243D3BA8"/>
    <w:rsid w:val="24491EE4"/>
    <w:rsid w:val="245902E0"/>
    <w:rsid w:val="24AD2F27"/>
    <w:rsid w:val="24B228BF"/>
    <w:rsid w:val="24B4757A"/>
    <w:rsid w:val="24B870CB"/>
    <w:rsid w:val="24BB786B"/>
    <w:rsid w:val="24BF09F7"/>
    <w:rsid w:val="24F07227"/>
    <w:rsid w:val="24F66C50"/>
    <w:rsid w:val="250F386E"/>
    <w:rsid w:val="252D53FE"/>
    <w:rsid w:val="254605A4"/>
    <w:rsid w:val="254D761D"/>
    <w:rsid w:val="257D111F"/>
    <w:rsid w:val="25862F33"/>
    <w:rsid w:val="25873CA1"/>
    <w:rsid w:val="258A0D66"/>
    <w:rsid w:val="25923638"/>
    <w:rsid w:val="25BC57A4"/>
    <w:rsid w:val="25C30C44"/>
    <w:rsid w:val="25D857E8"/>
    <w:rsid w:val="25EC2D81"/>
    <w:rsid w:val="260B73DA"/>
    <w:rsid w:val="265754CC"/>
    <w:rsid w:val="26605632"/>
    <w:rsid w:val="26614F0C"/>
    <w:rsid w:val="266320C3"/>
    <w:rsid w:val="266A16A4"/>
    <w:rsid w:val="268564DD"/>
    <w:rsid w:val="2691110E"/>
    <w:rsid w:val="26A55AEA"/>
    <w:rsid w:val="26B53344"/>
    <w:rsid w:val="26C17A18"/>
    <w:rsid w:val="26D42FC1"/>
    <w:rsid w:val="26D72D6F"/>
    <w:rsid w:val="26FA2C46"/>
    <w:rsid w:val="27554102"/>
    <w:rsid w:val="275F43F8"/>
    <w:rsid w:val="27670866"/>
    <w:rsid w:val="277057A2"/>
    <w:rsid w:val="277F3EBD"/>
    <w:rsid w:val="279D33B3"/>
    <w:rsid w:val="27B16D96"/>
    <w:rsid w:val="27EB411E"/>
    <w:rsid w:val="27F679C7"/>
    <w:rsid w:val="28060F58"/>
    <w:rsid w:val="282D57F7"/>
    <w:rsid w:val="283720F8"/>
    <w:rsid w:val="283D5CD3"/>
    <w:rsid w:val="28893937"/>
    <w:rsid w:val="2895372B"/>
    <w:rsid w:val="28A40771"/>
    <w:rsid w:val="28E76FDC"/>
    <w:rsid w:val="28F811E9"/>
    <w:rsid w:val="29057462"/>
    <w:rsid w:val="290A4A78"/>
    <w:rsid w:val="29206EB8"/>
    <w:rsid w:val="29336DAB"/>
    <w:rsid w:val="294F692F"/>
    <w:rsid w:val="29552B8F"/>
    <w:rsid w:val="29595666"/>
    <w:rsid w:val="296249CA"/>
    <w:rsid w:val="29693E94"/>
    <w:rsid w:val="29874881"/>
    <w:rsid w:val="29A749BD"/>
    <w:rsid w:val="29B27EA7"/>
    <w:rsid w:val="29B449E4"/>
    <w:rsid w:val="29B72C26"/>
    <w:rsid w:val="29CB06AB"/>
    <w:rsid w:val="29E325E0"/>
    <w:rsid w:val="29FA0F90"/>
    <w:rsid w:val="2A3824C7"/>
    <w:rsid w:val="2A3A138D"/>
    <w:rsid w:val="2A3D2C2B"/>
    <w:rsid w:val="2A4144C9"/>
    <w:rsid w:val="2A452503"/>
    <w:rsid w:val="2A573CED"/>
    <w:rsid w:val="2A606081"/>
    <w:rsid w:val="2A6A5DB3"/>
    <w:rsid w:val="2A826DD5"/>
    <w:rsid w:val="2A830F86"/>
    <w:rsid w:val="2A9711E3"/>
    <w:rsid w:val="2AA66A22"/>
    <w:rsid w:val="2AAA76C0"/>
    <w:rsid w:val="2AAD7E96"/>
    <w:rsid w:val="2AC152F6"/>
    <w:rsid w:val="2AC375D4"/>
    <w:rsid w:val="2B275DB5"/>
    <w:rsid w:val="2B524D23"/>
    <w:rsid w:val="2B5531D5"/>
    <w:rsid w:val="2B746CDF"/>
    <w:rsid w:val="2B7F799F"/>
    <w:rsid w:val="2B9454DA"/>
    <w:rsid w:val="2BA936A8"/>
    <w:rsid w:val="2BD10CEF"/>
    <w:rsid w:val="2BE041B6"/>
    <w:rsid w:val="2BE772F2"/>
    <w:rsid w:val="2BEB6DE3"/>
    <w:rsid w:val="2BFC011B"/>
    <w:rsid w:val="2C2C11A9"/>
    <w:rsid w:val="2C315A5A"/>
    <w:rsid w:val="2C364EF6"/>
    <w:rsid w:val="2C4754C1"/>
    <w:rsid w:val="2C4B1C25"/>
    <w:rsid w:val="2C5B55EB"/>
    <w:rsid w:val="2C80730E"/>
    <w:rsid w:val="2C8B4122"/>
    <w:rsid w:val="2CC05712"/>
    <w:rsid w:val="2CC17C4B"/>
    <w:rsid w:val="2CC75A9B"/>
    <w:rsid w:val="2CEA623F"/>
    <w:rsid w:val="2CEF2903"/>
    <w:rsid w:val="2D595FCE"/>
    <w:rsid w:val="2D6C0D7C"/>
    <w:rsid w:val="2D6D1A79"/>
    <w:rsid w:val="2D9E56F5"/>
    <w:rsid w:val="2DB476A8"/>
    <w:rsid w:val="2DB651CE"/>
    <w:rsid w:val="2DE817A6"/>
    <w:rsid w:val="2DEB0BAD"/>
    <w:rsid w:val="2E2965DD"/>
    <w:rsid w:val="2E667F96"/>
    <w:rsid w:val="2E69421A"/>
    <w:rsid w:val="2E792813"/>
    <w:rsid w:val="2E8226AB"/>
    <w:rsid w:val="2EB91EB6"/>
    <w:rsid w:val="2ED40002"/>
    <w:rsid w:val="2EDD5083"/>
    <w:rsid w:val="2EDE49DD"/>
    <w:rsid w:val="2EF73AEC"/>
    <w:rsid w:val="2EF76A64"/>
    <w:rsid w:val="2F050FB6"/>
    <w:rsid w:val="2F3565C7"/>
    <w:rsid w:val="2F370591"/>
    <w:rsid w:val="2F413EBE"/>
    <w:rsid w:val="2F587508"/>
    <w:rsid w:val="2F742A7D"/>
    <w:rsid w:val="2F950B5C"/>
    <w:rsid w:val="2F9E5F1A"/>
    <w:rsid w:val="2FB8078C"/>
    <w:rsid w:val="2FD065E6"/>
    <w:rsid w:val="2FD73C79"/>
    <w:rsid w:val="2FD96870"/>
    <w:rsid w:val="30246D65"/>
    <w:rsid w:val="30313232"/>
    <w:rsid w:val="304E16EE"/>
    <w:rsid w:val="30567DCD"/>
    <w:rsid w:val="30580BC9"/>
    <w:rsid w:val="3062163D"/>
    <w:rsid w:val="30705B08"/>
    <w:rsid w:val="309448D0"/>
    <w:rsid w:val="30AA380C"/>
    <w:rsid w:val="310B1DFA"/>
    <w:rsid w:val="31177DF5"/>
    <w:rsid w:val="311E2ED7"/>
    <w:rsid w:val="31417DFC"/>
    <w:rsid w:val="31442AF1"/>
    <w:rsid w:val="315619EE"/>
    <w:rsid w:val="315C449C"/>
    <w:rsid w:val="319706CC"/>
    <w:rsid w:val="319B6BB5"/>
    <w:rsid w:val="31B82709"/>
    <w:rsid w:val="31C81974"/>
    <w:rsid w:val="31D05482"/>
    <w:rsid w:val="31D21ED3"/>
    <w:rsid w:val="32367048"/>
    <w:rsid w:val="323F1C36"/>
    <w:rsid w:val="32400B34"/>
    <w:rsid w:val="32737B32"/>
    <w:rsid w:val="327B2543"/>
    <w:rsid w:val="327D62BB"/>
    <w:rsid w:val="32956289"/>
    <w:rsid w:val="329C76C4"/>
    <w:rsid w:val="329E6876"/>
    <w:rsid w:val="32A95302"/>
    <w:rsid w:val="32B12E1B"/>
    <w:rsid w:val="32B32B85"/>
    <w:rsid w:val="32C51A10"/>
    <w:rsid w:val="33165FCB"/>
    <w:rsid w:val="331E56C4"/>
    <w:rsid w:val="33291F9F"/>
    <w:rsid w:val="333015F2"/>
    <w:rsid w:val="333B55CC"/>
    <w:rsid w:val="3340497E"/>
    <w:rsid w:val="334B6320"/>
    <w:rsid w:val="336D3602"/>
    <w:rsid w:val="337C2EF9"/>
    <w:rsid w:val="339C1BAE"/>
    <w:rsid w:val="33D8257C"/>
    <w:rsid w:val="33D934D4"/>
    <w:rsid w:val="33E02FA5"/>
    <w:rsid w:val="33FE2F6A"/>
    <w:rsid w:val="34060532"/>
    <w:rsid w:val="340E07E5"/>
    <w:rsid w:val="340E1ED8"/>
    <w:rsid w:val="34140EA1"/>
    <w:rsid w:val="34192013"/>
    <w:rsid w:val="34207872"/>
    <w:rsid w:val="34235BF7"/>
    <w:rsid w:val="346429A9"/>
    <w:rsid w:val="34772FF0"/>
    <w:rsid w:val="34997953"/>
    <w:rsid w:val="349A75F8"/>
    <w:rsid w:val="34F24439"/>
    <w:rsid w:val="35330BC5"/>
    <w:rsid w:val="356D1EC5"/>
    <w:rsid w:val="358C5FA8"/>
    <w:rsid w:val="359009FB"/>
    <w:rsid w:val="35905C79"/>
    <w:rsid w:val="359202CF"/>
    <w:rsid w:val="359E01E2"/>
    <w:rsid w:val="35AB313F"/>
    <w:rsid w:val="35BF62F7"/>
    <w:rsid w:val="35C15DF1"/>
    <w:rsid w:val="35E328D9"/>
    <w:rsid w:val="36074A7F"/>
    <w:rsid w:val="364414B7"/>
    <w:rsid w:val="36452627"/>
    <w:rsid w:val="365305C5"/>
    <w:rsid w:val="366B60DE"/>
    <w:rsid w:val="36877708"/>
    <w:rsid w:val="3687790C"/>
    <w:rsid w:val="36923549"/>
    <w:rsid w:val="36AB485E"/>
    <w:rsid w:val="36B75FBF"/>
    <w:rsid w:val="36BD0C45"/>
    <w:rsid w:val="36DB3EF8"/>
    <w:rsid w:val="36EF2223"/>
    <w:rsid w:val="36F14D82"/>
    <w:rsid w:val="370A1CBE"/>
    <w:rsid w:val="371D1E1A"/>
    <w:rsid w:val="371D65E0"/>
    <w:rsid w:val="3748151D"/>
    <w:rsid w:val="37545F08"/>
    <w:rsid w:val="37576578"/>
    <w:rsid w:val="377A101B"/>
    <w:rsid w:val="377D612D"/>
    <w:rsid w:val="37890A3B"/>
    <w:rsid w:val="37AE6F16"/>
    <w:rsid w:val="37BA58BB"/>
    <w:rsid w:val="37D7646D"/>
    <w:rsid w:val="37E00298"/>
    <w:rsid w:val="38286CC9"/>
    <w:rsid w:val="388C36FB"/>
    <w:rsid w:val="389560F0"/>
    <w:rsid w:val="38B302F9"/>
    <w:rsid w:val="38F12CD3"/>
    <w:rsid w:val="38F94775"/>
    <w:rsid w:val="392971ED"/>
    <w:rsid w:val="392E030F"/>
    <w:rsid w:val="39325651"/>
    <w:rsid w:val="3939368B"/>
    <w:rsid w:val="39671A73"/>
    <w:rsid w:val="39706B79"/>
    <w:rsid w:val="398C14D9"/>
    <w:rsid w:val="399F120C"/>
    <w:rsid w:val="39CB0253"/>
    <w:rsid w:val="3A1C0AAF"/>
    <w:rsid w:val="3A2200AF"/>
    <w:rsid w:val="3A26548A"/>
    <w:rsid w:val="3A872856"/>
    <w:rsid w:val="3A983332"/>
    <w:rsid w:val="3AD969A0"/>
    <w:rsid w:val="3AEA0E03"/>
    <w:rsid w:val="3B0C4680"/>
    <w:rsid w:val="3B163750"/>
    <w:rsid w:val="3B236212"/>
    <w:rsid w:val="3B31058A"/>
    <w:rsid w:val="3B3763D1"/>
    <w:rsid w:val="3BBD7D90"/>
    <w:rsid w:val="3C0850C7"/>
    <w:rsid w:val="3C2562FF"/>
    <w:rsid w:val="3C2F6E1E"/>
    <w:rsid w:val="3C3A346E"/>
    <w:rsid w:val="3C4F64BA"/>
    <w:rsid w:val="3C5477B2"/>
    <w:rsid w:val="3C57323B"/>
    <w:rsid w:val="3C5A766D"/>
    <w:rsid w:val="3C5D4560"/>
    <w:rsid w:val="3C601127"/>
    <w:rsid w:val="3C6856AF"/>
    <w:rsid w:val="3C7A1ABD"/>
    <w:rsid w:val="3C89753B"/>
    <w:rsid w:val="3C903A2A"/>
    <w:rsid w:val="3CAA3DC3"/>
    <w:rsid w:val="3CB03286"/>
    <w:rsid w:val="3CBD0375"/>
    <w:rsid w:val="3CC55E84"/>
    <w:rsid w:val="3CC937F2"/>
    <w:rsid w:val="3CD00D12"/>
    <w:rsid w:val="3CDA245A"/>
    <w:rsid w:val="3D143CBF"/>
    <w:rsid w:val="3D1E06B7"/>
    <w:rsid w:val="3D2008B6"/>
    <w:rsid w:val="3D3954D4"/>
    <w:rsid w:val="3D622C7D"/>
    <w:rsid w:val="3DA768E2"/>
    <w:rsid w:val="3DF2176E"/>
    <w:rsid w:val="3E3F4D6C"/>
    <w:rsid w:val="3E4A09EA"/>
    <w:rsid w:val="3E5A5D0D"/>
    <w:rsid w:val="3E686071"/>
    <w:rsid w:val="3E732457"/>
    <w:rsid w:val="3E831EFD"/>
    <w:rsid w:val="3EC534C3"/>
    <w:rsid w:val="3EDA0523"/>
    <w:rsid w:val="3EE35DCD"/>
    <w:rsid w:val="3EEA2F2A"/>
    <w:rsid w:val="3F0D20B8"/>
    <w:rsid w:val="3F8813E6"/>
    <w:rsid w:val="3FC50CA0"/>
    <w:rsid w:val="3FCD1AE1"/>
    <w:rsid w:val="3FD314D0"/>
    <w:rsid w:val="3FD87C0D"/>
    <w:rsid w:val="3FDA739D"/>
    <w:rsid w:val="3FDE5C0F"/>
    <w:rsid w:val="40440395"/>
    <w:rsid w:val="404B5C4A"/>
    <w:rsid w:val="40531957"/>
    <w:rsid w:val="407A6407"/>
    <w:rsid w:val="40D16B32"/>
    <w:rsid w:val="40E340D5"/>
    <w:rsid w:val="40F26B4C"/>
    <w:rsid w:val="40F43AEB"/>
    <w:rsid w:val="41041EEE"/>
    <w:rsid w:val="41127D69"/>
    <w:rsid w:val="41200E85"/>
    <w:rsid w:val="41262647"/>
    <w:rsid w:val="412752C2"/>
    <w:rsid w:val="414D59F2"/>
    <w:rsid w:val="416B4CC8"/>
    <w:rsid w:val="41775DFC"/>
    <w:rsid w:val="4182569C"/>
    <w:rsid w:val="41A43864"/>
    <w:rsid w:val="41A606D2"/>
    <w:rsid w:val="41CE08E1"/>
    <w:rsid w:val="41DA7286"/>
    <w:rsid w:val="41EC520B"/>
    <w:rsid w:val="41FB2309"/>
    <w:rsid w:val="4200449D"/>
    <w:rsid w:val="421C27EF"/>
    <w:rsid w:val="422A6B5E"/>
    <w:rsid w:val="423A3BCC"/>
    <w:rsid w:val="424E57D2"/>
    <w:rsid w:val="42546683"/>
    <w:rsid w:val="42734C61"/>
    <w:rsid w:val="428E1783"/>
    <w:rsid w:val="429213AA"/>
    <w:rsid w:val="42A162B1"/>
    <w:rsid w:val="42A86388"/>
    <w:rsid w:val="42AC1824"/>
    <w:rsid w:val="42B26C49"/>
    <w:rsid w:val="42C10446"/>
    <w:rsid w:val="42D31EB4"/>
    <w:rsid w:val="42E41371"/>
    <w:rsid w:val="42E631BF"/>
    <w:rsid w:val="42F1438D"/>
    <w:rsid w:val="43136AC3"/>
    <w:rsid w:val="432427E5"/>
    <w:rsid w:val="432D2FED"/>
    <w:rsid w:val="433A6FE6"/>
    <w:rsid w:val="43480868"/>
    <w:rsid w:val="4350713C"/>
    <w:rsid w:val="436653E0"/>
    <w:rsid w:val="438300DA"/>
    <w:rsid w:val="4391633D"/>
    <w:rsid w:val="43B9736F"/>
    <w:rsid w:val="43C4431A"/>
    <w:rsid w:val="43DE11AD"/>
    <w:rsid w:val="43FE3F0B"/>
    <w:rsid w:val="44181AD6"/>
    <w:rsid w:val="442771C9"/>
    <w:rsid w:val="44544F33"/>
    <w:rsid w:val="44623562"/>
    <w:rsid w:val="44790D1E"/>
    <w:rsid w:val="44924694"/>
    <w:rsid w:val="44A66CC7"/>
    <w:rsid w:val="44AD1910"/>
    <w:rsid w:val="44B934CA"/>
    <w:rsid w:val="44B951CC"/>
    <w:rsid w:val="44CD14E0"/>
    <w:rsid w:val="44EF6C22"/>
    <w:rsid w:val="44F20B0B"/>
    <w:rsid w:val="450F36EA"/>
    <w:rsid w:val="452E5F4C"/>
    <w:rsid w:val="45554E75"/>
    <w:rsid w:val="45612018"/>
    <w:rsid w:val="457004A6"/>
    <w:rsid w:val="4588349D"/>
    <w:rsid w:val="458946E9"/>
    <w:rsid w:val="458D25B3"/>
    <w:rsid w:val="45A47C0E"/>
    <w:rsid w:val="45AA2633"/>
    <w:rsid w:val="45AE2B91"/>
    <w:rsid w:val="45B507FE"/>
    <w:rsid w:val="45D07EEB"/>
    <w:rsid w:val="45E73C9C"/>
    <w:rsid w:val="46047820"/>
    <w:rsid w:val="46050649"/>
    <w:rsid w:val="46356F12"/>
    <w:rsid w:val="465529E1"/>
    <w:rsid w:val="46577FD6"/>
    <w:rsid w:val="4665558C"/>
    <w:rsid w:val="467908C2"/>
    <w:rsid w:val="467E55C6"/>
    <w:rsid w:val="46B14700"/>
    <w:rsid w:val="46BB6265"/>
    <w:rsid w:val="46C04E4C"/>
    <w:rsid w:val="46CD13B8"/>
    <w:rsid w:val="46D149CF"/>
    <w:rsid w:val="46D955A7"/>
    <w:rsid w:val="46EE37D3"/>
    <w:rsid w:val="46F63E43"/>
    <w:rsid w:val="47133957"/>
    <w:rsid w:val="47371C66"/>
    <w:rsid w:val="4756750A"/>
    <w:rsid w:val="4796000A"/>
    <w:rsid w:val="47A07E0C"/>
    <w:rsid w:val="47B70E1A"/>
    <w:rsid w:val="47B755C4"/>
    <w:rsid w:val="47C3408A"/>
    <w:rsid w:val="4807394C"/>
    <w:rsid w:val="480A5C35"/>
    <w:rsid w:val="4820176A"/>
    <w:rsid w:val="48312D43"/>
    <w:rsid w:val="4870272E"/>
    <w:rsid w:val="48852A05"/>
    <w:rsid w:val="48A52156"/>
    <w:rsid w:val="48F50E49"/>
    <w:rsid w:val="49060F7A"/>
    <w:rsid w:val="492B6619"/>
    <w:rsid w:val="494B6CBB"/>
    <w:rsid w:val="49651F64"/>
    <w:rsid w:val="49690103"/>
    <w:rsid w:val="496F0BFB"/>
    <w:rsid w:val="4987382F"/>
    <w:rsid w:val="4987427A"/>
    <w:rsid w:val="49957AAA"/>
    <w:rsid w:val="499E2681"/>
    <w:rsid w:val="49D22F38"/>
    <w:rsid w:val="49DC7715"/>
    <w:rsid w:val="49DF014D"/>
    <w:rsid w:val="49FB4F6D"/>
    <w:rsid w:val="4A023139"/>
    <w:rsid w:val="4A113A61"/>
    <w:rsid w:val="4A7B576F"/>
    <w:rsid w:val="4A7E6C1C"/>
    <w:rsid w:val="4A8A3A47"/>
    <w:rsid w:val="4A8C76AA"/>
    <w:rsid w:val="4A903B20"/>
    <w:rsid w:val="4AA30431"/>
    <w:rsid w:val="4AAA5C63"/>
    <w:rsid w:val="4AB23982"/>
    <w:rsid w:val="4AB4410C"/>
    <w:rsid w:val="4ABA5EA6"/>
    <w:rsid w:val="4AD46A12"/>
    <w:rsid w:val="4ADB7BCB"/>
    <w:rsid w:val="4AF561A9"/>
    <w:rsid w:val="4B1732F9"/>
    <w:rsid w:val="4B600592"/>
    <w:rsid w:val="4B7A3887"/>
    <w:rsid w:val="4B8A29D4"/>
    <w:rsid w:val="4BB9492A"/>
    <w:rsid w:val="4BBF3760"/>
    <w:rsid w:val="4BCC547D"/>
    <w:rsid w:val="4BEA1320"/>
    <w:rsid w:val="4BFB49C8"/>
    <w:rsid w:val="4BFB5817"/>
    <w:rsid w:val="4C0044AF"/>
    <w:rsid w:val="4C124058"/>
    <w:rsid w:val="4C216974"/>
    <w:rsid w:val="4C4A0649"/>
    <w:rsid w:val="4C5771A8"/>
    <w:rsid w:val="4C653BF0"/>
    <w:rsid w:val="4C6B654C"/>
    <w:rsid w:val="4C7E5ECA"/>
    <w:rsid w:val="4C876AA5"/>
    <w:rsid w:val="4C96024D"/>
    <w:rsid w:val="4CA13CE1"/>
    <w:rsid w:val="4CA316CF"/>
    <w:rsid w:val="4CAD5717"/>
    <w:rsid w:val="4CAE37E9"/>
    <w:rsid w:val="4CB422EA"/>
    <w:rsid w:val="4CC849F3"/>
    <w:rsid w:val="4CF81E83"/>
    <w:rsid w:val="4D0E00FB"/>
    <w:rsid w:val="4D176606"/>
    <w:rsid w:val="4D3C5586"/>
    <w:rsid w:val="4DA846DC"/>
    <w:rsid w:val="4DDE65AB"/>
    <w:rsid w:val="4DEC4FB0"/>
    <w:rsid w:val="4E075D8A"/>
    <w:rsid w:val="4E1D056D"/>
    <w:rsid w:val="4E395334"/>
    <w:rsid w:val="4E3E7B84"/>
    <w:rsid w:val="4E4E3FE9"/>
    <w:rsid w:val="4E523B5A"/>
    <w:rsid w:val="4E5C1022"/>
    <w:rsid w:val="4E5D4982"/>
    <w:rsid w:val="4E916F1E"/>
    <w:rsid w:val="4E9764FE"/>
    <w:rsid w:val="4E9B1B4B"/>
    <w:rsid w:val="4EC00FAD"/>
    <w:rsid w:val="4EC12FD1"/>
    <w:rsid w:val="4EC15329"/>
    <w:rsid w:val="4EC168F8"/>
    <w:rsid w:val="4ED07441"/>
    <w:rsid w:val="4EDF40E4"/>
    <w:rsid w:val="4EFD16A2"/>
    <w:rsid w:val="4F155DA1"/>
    <w:rsid w:val="4F196F13"/>
    <w:rsid w:val="4F2D6C3C"/>
    <w:rsid w:val="4F4246BC"/>
    <w:rsid w:val="4F45166E"/>
    <w:rsid w:val="4F49045E"/>
    <w:rsid w:val="4F5166AD"/>
    <w:rsid w:val="4F5D4CF6"/>
    <w:rsid w:val="4F9843DC"/>
    <w:rsid w:val="4F9A57DD"/>
    <w:rsid w:val="4FAB18F7"/>
    <w:rsid w:val="4FC62A8C"/>
    <w:rsid w:val="4FE20F0D"/>
    <w:rsid w:val="4FE51552"/>
    <w:rsid w:val="4FF31226"/>
    <w:rsid w:val="5001120A"/>
    <w:rsid w:val="504B7133"/>
    <w:rsid w:val="50504C4B"/>
    <w:rsid w:val="505A77E4"/>
    <w:rsid w:val="5061031C"/>
    <w:rsid w:val="50707007"/>
    <w:rsid w:val="50746AF7"/>
    <w:rsid w:val="509C6E7C"/>
    <w:rsid w:val="50B0449F"/>
    <w:rsid w:val="50D35C0B"/>
    <w:rsid w:val="512027DB"/>
    <w:rsid w:val="51234079"/>
    <w:rsid w:val="512B6933"/>
    <w:rsid w:val="514A5AAA"/>
    <w:rsid w:val="5162104E"/>
    <w:rsid w:val="5175316D"/>
    <w:rsid w:val="517F2467"/>
    <w:rsid w:val="5184720E"/>
    <w:rsid w:val="51855CE6"/>
    <w:rsid w:val="518965D2"/>
    <w:rsid w:val="51D81308"/>
    <w:rsid w:val="51F24178"/>
    <w:rsid w:val="51FF4AE6"/>
    <w:rsid w:val="520514AA"/>
    <w:rsid w:val="520D7203"/>
    <w:rsid w:val="52157FD7"/>
    <w:rsid w:val="523227C6"/>
    <w:rsid w:val="523B5C21"/>
    <w:rsid w:val="524A0120"/>
    <w:rsid w:val="52552958"/>
    <w:rsid w:val="528A2F29"/>
    <w:rsid w:val="52A116FA"/>
    <w:rsid w:val="52D34AEF"/>
    <w:rsid w:val="52EF06B7"/>
    <w:rsid w:val="53296796"/>
    <w:rsid w:val="534B1DEA"/>
    <w:rsid w:val="5362643E"/>
    <w:rsid w:val="537B1F4B"/>
    <w:rsid w:val="53A039CC"/>
    <w:rsid w:val="53A1505A"/>
    <w:rsid w:val="53B373CC"/>
    <w:rsid w:val="53B37937"/>
    <w:rsid w:val="53E540AF"/>
    <w:rsid w:val="53F341D7"/>
    <w:rsid w:val="53FA37B7"/>
    <w:rsid w:val="54036065"/>
    <w:rsid w:val="54063E08"/>
    <w:rsid w:val="54063F0A"/>
    <w:rsid w:val="540D48A4"/>
    <w:rsid w:val="543437E8"/>
    <w:rsid w:val="54485D78"/>
    <w:rsid w:val="546C3D9F"/>
    <w:rsid w:val="547938A0"/>
    <w:rsid w:val="54913399"/>
    <w:rsid w:val="54AE4379"/>
    <w:rsid w:val="54D146A5"/>
    <w:rsid w:val="54DB6585"/>
    <w:rsid w:val="54F73313"/>
    <w:rsid w:val="54F80955"/>
    <w:rsid w:val="55214895"/>
    <w:rsid w:val="55236D3E"/>
    <w:rsid w:val="55256612"/>
    <w:rsid w:val="552836BF"/>
    <w:rsid w:val="552A69D9"/>
    <w:rsid w:val="55472A2C"/>
    <w:rsid w:val="554A342C"/>
    <w:rsid w:val="555170A7"/>
    <w:rsid w:val="5587536D"/>
    <w:rsid w:val="559B174B"/>
    <w:rsid w:val="55B449E0"/>
    <w:rsid w:val="55CE0CF4"/>
    <w:rsid w:val="5606767B"/>
    <w:rsid w:val="56186177"/>
    <w:rsid w:val="5618745F"/>
    <w:rsid w:val="562055DA"/>
    <w:rsid w:val="5626180E"/>
    <w:rsid w:val="56340E1F"/>
    <w:rsid w:val="5637484F"/>
    <w:rsid w:val="5642551E"/>
    <w:rsid w:val="56676F3E"/>
    <w:rsid w:val="5669447F"/>
    <w:rsid w:val="56737C1A"/>
    <w:rsid w:val="569C26EA"/>
    <w:rsid w:val="56B063AF"/>
    <w:rsid w:val="56B22A9C"/>
    <w:rsid w:val="56B66FFC"/>
    <w:rsid w:val="56BC4D54"/>
    <w:rsid w:val="56C4102D"/>
    <w:rsid w:val="56DB1486"/>
    <w:rsid w:val="56F269C8"/>
    <w:rsid w:val="570F30D6"/>
    <w:rsid w:val="572100B5"/>
    <w:rsid w:val="5738773E"/>
    <w:rsid w:val="574447F3"/>
    <w:rsid w:val="57484341"/>
    <w:rsid w:val="57505C12"/>
    <w:rsid w:val="578735B4"/>
    <w:rsid w:val="5796670D"/>
    <w:rsid w:val="579830BB"/>
    <w:rsid w:val="57B531F0"/>
    <w:rsid w:val="57B72A76"/>
    <w:rsid w:val="57B93175"/>
    <w:rsid w:val="57C3426C"/>
    <w:rsid w:val="57CE1F93"/>
    <w:rsid w:val="57D45E89"/>
    <w:rsid w:val="57EE3633"/>
    <w:rsid w:val="58117322"/>
    <w:rsid w:val="581B1F4E"/>
    <w:rsid w:val="581C02DA"/>
    <w:rsid w:val="581F37ED"/>
    <w:rsid w:val="58382420"/>
    <w:rsid w:val="5847689F"/>
    <w:rsid w:val="584E1E12"/>
    <w:rsid w:val="586935EF"/>
    <w:rsid w:val="588743D1"/>
    <w:rsid w:val="5887701A"/>
    <w:rsid w:val="588D28E1"/>
    <w:rsid w:val="58BD64F7"/>
    <w:rsid w:val="58C6010C"/>
    <w:rsid w:val="58DC16DE"/>
    <w:rsid w:val="58DC348C"/>
    <w:rsid w:val="58DC48CB"/>
    <w:rsid w:val="58F96577"/>
    <w:rsid w:val="590F3861"/>
    <w:rsid w:val="591D541E"/>
    <w:rsid w:val="595709F6"/>
    <w:rsid w:val="595872BC"/>
    <w:rsid w:val="59861649"/>
    <w:rsid w:val="59B47DC4"/>
    <w:rsid w:val="59C0439F"/>
    <w:rsid w:val="59C73B72"/>
    <w:rsid w:val="59E940B2"/>
    <w:rsid w:val="5A13112F"/>
    <w:rsid w:val="5A2F6B9C"/>
    <w:rsid w:val="5A5359CF"/>
    <w:rsid w:val="5A6B7DC0"/>
    <w:rsid w:val="5A867B53"/>
    <w:rsid w:val="5A90452E"/>
    <w:rsid w:val="5ABE2233"/>
    <w:rsid w:val="5AC71F19"/>
    <w:rsid w:val="5ACE1DBA"/>
    <w:rsid w:val="5AEB38B4"/>
    <w:rsid w:val="5B0F2246"/>
    <w:rsid w:val="5B0F4F89"/>
    <w:rsid w:val="5B743E4F"/>
    <w:rsid w:val="5B8878FB"/>
    <w:rsid w:val="5BA54009"/>
    <w:rsid w:val="5BAF061F"/>
    <w:rsid w:val="5BC14E94"/>
    <w:rsid w:val="5BC96B61"/>
    <w:rsid w:val="5BDF5D95"/>
    <w:rsid w:val="5BF03A8C"/>
    <w:rsid w:val="5BF8682E"/>
    <w:rsid w:val="5BFE7528"/>
    <w:rsid w:val="5C221AFD"/>
    <w:rsid w:val="5C270BBE"/>
    <w:rsid w:val="5C4C6B7A"/>
    <w:rsid w:val="5C950521"/>
    <w:rsid w:val="5CA249EC"/>
    <w:rsid w:val="5CC130C4"/>
    <w:rsid w:val="5CDA63B3"/>
    <w:rsid w:val="5CE648D9"/>
    <w:rsid w:val="5CE943C9"/>
    <w:rsid w:val="5CF76586"/>
    <w:rsid w:val="5CF86845"/>
    <w:rsid w:val="5D047455"/>
    <w:rsid w:val="5D0869AB"/>
    <w:rsid w:val="5D123920"/>
    <w:rsid w:val="5D6C33D6"/>
    <w:rsid w:val="5DAD53F7"/>
    <w:rsid w:val="5DDE2BCC"/>
    <w:rsid w:val="5DDE7BFE"/>
    <w:rsid w:val="5DFC012C"/>
    <w:rsid w:val="5E0771FD"/>
    <w:rsid w:val="5E176D14"/>
    <w:rsid w:val="5E205D50"/>
    <w:rsid w:val="5E2467F1"/>
    <w:rsid w:val="5E373415"/>
    <w:rsid w:val="5E646FD0"/>
    <w:rsid w:val="5E6D778D"/>
    <w:rsid w:val="5E6E2DD8"/>
    <w:rsid w:val="5E713D99"/>
    <w:rsid w:val="5E8C325E"/>
    <w:rsid w:val="5ECC46CF"/>
    <w:rsid w:val="5EF104C4"/>
    <w:rsid w:val="5EF7101F"/>
    <w:rsid w:val="5F1804F9"/>
    <w:rsid w:val="5F1A2B43"/>
    <w:rsid w:val="5F2913F5"/>
    <w:rsid w:val="5F4D282D"/>
    <w:rsid w:val="5F702B80"/>
    <w:rsid w:val="5F724B4A"/>
    <w:rsid w:val="5F8959EF"/>
    <w:rsid w:val="5FAC1FC3"/>
    <w:rsid w:val="5FB837BB"/>
    <w:rsid w:val="5FC409D1"/>
    <w:rsid w:val="5FDD5F99"/>
    <w:rsid w:val="5FEF1D21"/>
    <w:rsid w:val="5FF877EF"/>
    <w:rsid w:val="5FFB5117"/>
    <w:rsid w:val="60001702"/>
    <w:rsid w:val="602F59CF"/>
    <w:rsid w:val="60354FDB"/>
    <w:rsid w:val="603711B4"/>
    <w:rsid w:val="606728EE"/>
    <w:rsid w:val="607735C9"/>
    <w:rsid w:val="607E751E"/>
    <w:rsid w:val="60831D38"/>
    <w:rsid w:val="60AF41FF"/>
    <w:rsid w:val="60B3541A"/>
    <w:rsid w:val="60C42578"/>
    <w:rsid w:val="60CC405A"/>
    <w:rsid w:val="60D75B6E"/>
    <w:rsid w:val="61110C10"/>
    <w:rsid w:val="612260FC"/>
    <w:rsid w:val="61560B99"/>
    <w:rsid w:val="61691F7C"/>
    <w:rsid w:val="61870602"/>
    <w:rsid w:val="618D0535"/>
    <w:rsid w:val="61C947C9"/>
    <w:rsid w:val="61DB0FB6"/>
    <w:rsid w:val="61E215D8"/>
    <w:rsid w:val="61E672D0"/>
    <w:rsid w:val="61EA73A6"/>
    <w:rsid w:val="61EC033F"/>
    <w:rsid w:val="621B3775"/>
    <w:rsid w:val="62364782"/>
    <w:rsid w:val="624A5CFF"/>
    <w:rsid w:val="62856942"/>
    <w:rsid w:val="6291178B"/>
    <w:rsid w:val="62A71819"/>
    <w:rsid w:val="62CD28A7"/>
    <w:rsid w:val="62E66850"/>
    <w:rsid w:val="62EE2F77"/>
    <w:rsid w:val="62F0118C"/>
    <w:rsid w:val="62F35FA1"/>
    <w:rsid w:val="62F84840"/>
    <w:rsid w:val="62FB5113"/>
    <w:rsid w:val="630F445E"/>
    <w:rsid w:val="633421CB"/>
    <w:rsid w:val="63377F9B"/>
    <w:rsid w:val="63401E9E"/>
    <w:rsid w:val="63501214"/>
    <w:rsid w:val="6356208C"/>
    <w:rsid w:val="635C0964"/>
    <w:rsid w:val="635D05E9"/>
    <w:rsid w:val="6377272F"/>
    <w:rsid w:val="637C00C3"/>
    <w:rsid w:val="637C7D45"/>
    <w:rsid w:val="637F2117"/>
    <w:rsid w:val="63847DF4"/>
    <w:rsid w:val="639257BA"/>
    <w:rsid w:val="6394356A"/>
    <w:rsid w:val="63C61B2C"/>
    <w:rsid w:val="63D40BE9"/>
    <w:rsid w:val="63D81C64"/>
    <w:rsid w:val="63E63AAA"/>
    <w:rsid w:val="63EB0A27"/>
    <w:rsid w:val="63F1340F"/>
    <w:rsid w:val="63F547DF"/>
    <w:rsid w:val="64102431"/>
    <w:rsid w:val="6415662B"/>
    <w:rsid w:val="64156F36"/>
    <w:rsid w:val="64282818"/>
    <w:rsid w:val="642C15E7"/>
    <w:rsid w:val="642E3E51"/>
    <w:rsid w:val="64300B2F"/>
    <w:rsid w:val="643915E8"/>
    <w:rsid w:val="644D39A3"/>
    <w:rsid w:val="64542A70"/>
    <w:rsid w:val="64550596"/>
    <w:rsid w:val="645667E8"/>
    <w:rsid w:val="645B37EF"/>
    <w:rsid w:val="64833355"/>
    <w:rsid w:val="6492072B"/>
    <w:rsid w:val="649A318E"/>
    <w:rsid w:val="64A03E97"/>
    <w:rsid w:val="64A1360B"/>
    <w:rsid w:val="64A5243A"/>
    <w:rsid w:val="64A564CA"/>
    <w:rsid w:val="64C46584"/>
    <w:rsid w:val="64DD0CB7"/>
    <w:rsid w:val="64EF5A09"/>
    <w:rsid w:val="64F102BF"/>
    <w:rsid w:val="64F531DE"/>
    <w:rsid w:val="64FB738F"/>
    <w:rsid w:val="65010EB1"/>
    <w:rsid w:val="65047169"/>
    <w:rsid w:val="65270184"/>
    <w:rsid w:val="65363F24"/>
    <w:rsid w:val="65373578"/>
    <w:rsid w:val="653814C2"/>
    <w:rsid w:val="655F0AB3"/>
    <w:rsid w:val="657C7D13"/>
    <w:rsid w:val="659F7D1B"/>
    <w:rsid w:val="65BD536A"/>
    <w:rsid w:val="65E12554"/>
    <w:rsid w:val="65ED6210"/>
    <w:rsid w:val="65FC33BF"/>
    <w:rsid w:val="65FF07B9"/>
    <w:rsid w:val="660B715E"/>
    <w:rsid w:val="660D4869"/>
    <w:rsid w:val="66134265"/>
    <w:rsid w:val="66304E17"/>
    <w:rsid w:val="6665785F"/>
    <w:rsid w:val="66760FD3"/>
    <w:rsid w:val="669F0431"/>
    <w:rsid w:val="66AF0431"/>
    <w:rsid w:val="66B23249"/>
    <w:rsid w:val="66BF65CC"/>
    <w:rsid w:val="66CB796F"/>
    <w:rsid w:val="66D93700"/>
    <w:rsid w:val="66DC7A69"/>
    <w:rsid w:val="66E85616"/>
    <w:rsid w:val="66ED40D9"/>
    <w:rsid w:val="67064B28"/>
    <w:rsid w:val="671F124A"/>
    <w:rsid w:val="6754643B"/>
    <w:rsid w:val="67581AC8"/>
    <w:rsid w:val="677328F5"/>
    <w:rsid w:val="67735435"/>
    <w:rsid w:val="677A33C6"/>
    <w:rsid w:val="677C005D"/>
    <w:rsid w:val="679F04A6"/>
    <w:rsid w:val="67A96C2F"/>
    <w:rsid w:val="67C1666E"/>
    <w:rsid w:val="68132720"/>
    <w:rsid w:val="681F6961"/>
    <w:rsid w:val="6824679C"/>
    <w:rsid w:val="682545E9"/>
    <w:rsid w:val="68376930"/>
    <w:rsid w:val="684E77D6"/>
    <w:rsid w:val="68523AFA"/>
    <w:rsid w:val="68610A2F"/>
    <w:rsid w:val="686F60CA"/>
    <w:rsid w:val="68805514"/>
    <w:rsid w:val="68815DFE"/>
    <w:rsid w:val="68CD2DF1"/>
    <w:rsid w:val="68DE2553"/>
    <w:rsid w:val="68E503E3"/>
    <w:rsid w:val="68E65C61"/>
    <w:rsid w:val="68E72104"/>
    <w:rsid w:val="68EF4BB6"/>
    <w:rsid w:val="68F7426D"/>
    <w:rsid w:val="690C0C21"/>
    <w:rsid w:val="69203539"/>
    <w:rsid w:val="69316E2F"/>
    <w:rsid w:val="694960A4"/>
    <w:rsid w:val="694D7F7A"/>
    <w:rsid w:val="694E2071"/>
    <w:rsid w:val="69505F9A"/>
    <w:rsid w:val="69561038"/>
    <w:rsid w:val="695D049F"/>
    <w:rsid w:val="695D2E61"/>
    <w:rsid w:val="69766163"/>
    <w:rsid w:val="697A3B33"/>
    <w:rsid w:val="69AE27A8"/>
    <w:rsid w:val="69D44760"/>
    <w:rsid w:val="69FA5E67"/>
    <w:rsid w:val="6A0445F0"/>
    <w:rsid w:val="6A116D0D"/>
    <w:rsid w:val="6A335CEC"/>
    <w:rsid w:val="6A365779"/>
    <w:rsid w:val="6A503012"/>
    <w:rsid w:val="6A520EC7"/>
    <w:rsid w:val="6A5A21C1"/>
    <w:rsid w:val="6A5D4642"/>
    <w:rsid w:val="6A6F65D3"/>
    <w:rsid w:val="6A9A4F55"/>
    <w:rsid w:val="6A9B23EE"/>
    <w:rsid w:val="6AB42E45"/>
    <w:rsid w:val="6ABE5CA8"/>
    <w:rsid w:val="6AD35769"/>
    <w:rsid w:val="6ADF6FE5"/>
    <w:rsid w:val="6AEB65F5"/>
    <w:rsid w:val="6AF87E20"/>
    <w:rsid w:val="6AFB3118"/>
    <w:rsid w:val="6B322639"/>
    <w:rsid w:val="6B47242E"/>
    <w:rsid w:val="6B4A059F"/>
    <w:rsid w:val="6B57223D"/>
    <w:rsid w:val="6B6709FE"/>
    <w:rsid w:val="6B7B4D86"/>
    <w:rsid w:val="6B8E030F"/>
    <w:rsid w:val="6BC32B17"/>
    <w:rsid w:val="6BF527EC"/>
    <w:rsid w:val="6BFE7948"/>
    <w:rsid w:val="6C223454"/>
    <w:rsid w:val="6C2F499B"/>
    <w:rsid w:val="6C561005"/>
    <w:rsid w:val="6C636C38"/>
    <w:rsid w:val="6C647D61"/>
    <w:rsid w:val="6C6E41C8"/>
    <w:rsid w:val="6C8D42D3"/>
    <w:rsid w:val="6C9A56E0"/>
    <w:rsid w:val="6C9C7102"/>
    <w:rsid w:val="6CE33C7F"/>
    <w:rsid w:val="6CE95D1F"/>
    <w:rsid w:val="6CFE4664"/>
    <w:rsid w:val="6D027F1B"/>
    <w:rsid w:val="6D044580"/>
    <w:rsid w:val="6D056073"/>
    <w:rsid w:val="6D242106"/>
    <w:rsid w:val="6D3D72DC"/>
    <w:rsid w:val="6D4A4A10"/>
    <w:rsid w:val="6D4F2026"/>
    <w:rsid w:val="6D68133A"/>
    <w:rsid w:val="6D7101EF"/>
    <w:rsid w:val="6D7D18C2"/>
    <w:rsid w:val="6D88378A"/>
    <w:rsid w:val="6DA97B06"/>
    <w:rsid w:val="6DB065C4"/>
    <w:rsid w:val="6DB34098"/>
    <w:rsid w:val="6DB545B6"/>
    <w:rsid w:val="6DC20A4A"/>
    <w:rsid w:val="6DDE5F54"/>
    <w:rsid w:val="6DE013E2"/>
    <w:rsid w:val="6DE02FB4"/>
    <w:rsid w:val="6DFF75FB"/>
    <w:rsid w:val="6E514CED"/>
    <w:rsid w:val="6E677844"/>
    <w:rsid w:val="6E8757F0"/>
    <w:rsid w:val="6EA851ED"/>
    <w:rsid w:val="6EB563D5"/>
    <w:rsid w:val="6EBC36EB"/>
    <w:rsid w:val="6ED92677"/>
    <w:rsid w:val="6EE92007"/>
    <w:rsid w:val="6EEA46FD"/>
    <w:rsid w:val="6EF72976"/>
    <w:rsid w:val="6EF77316"/>
    <w:rsid w:val="6F0911A6"/>
    <w:rsid w:val="6F2249A2"/>
    <w:rsid w:val="6F225983"/>
    <w:rsid w:val="6F4C5176"/>
    <w:rsid w:val="6F6F723A"/>
    <w:rsid w:val="6F7B35A7"/>
    <w:rsid w:val="6F8A3237"/>
    <w:rsid w:val="6F945BAF"/>
    <w:rsid w:val="6FB81FC7"/>
    <w:rsid w:val="6FBC5A1E"/>
    <w:rsid w:val="6FEF46E5"/>
    <w:rsid w:val="6FF23135"/>
    <w:rsid w:val="6FFC5590"/>
    <w:rsid w:val="6FFE3530"/>
    <w:rsid w:val="7012558D"/>
    <w:rsid w:val="7016507D"/>
    <w:rsid w:val="70384FF4"/>
    <w:rsid w:val="704C635D"/>
    <w:rsid w:val="706D1DD0"/>
    <w:rsid w:val="7080699B"/>
    <w:rsid w:val="70856B87"/>
    <w:rsid w:val="70866670"/>
    <w:rsid w:val="709C6FFD"/>
    <w:rsid w:val="709D1212"/>
    <w:rsid w:val="70A227B9"/>
    <w:rsid w:val="70A34D64"/>
    <w:rsid w:val="70A94143"/>
    <w:rsid w:val="70B00196"/>
    <w:rsid w:val="70C1148D"/>
    <w:rsid w:val="70D34D1C"/>
    <w:rsid w:val="70D527EE"/>
    <w:rsid w:val="70E003DD"/>
    <w:rsid w:val="70EE75EE"/>
    <w:rsid w:val="71194D77"/>
    <w:rsid w:val="714A2A0F"/>
    <w:rsid w:val="715B5300"/>
    <w:rsid w:val="715F4802"/>
    <w:rsid w:val="717C7162"/>
    <w:rsid w:val="71970440"/>
    <w:rsid w:val="71C31235"/>
    <w:rsid w:val="71CA575D"/>
    <w:rsid w:val="71D27F8A"/>
    <w:rsid w:val="71D63CF8"/>
    <w:rsid w:val="71E90F1D"/>
    <w:rsid w:val="72323CC5"/>
    <w:rsid w:val="7240162F"/>
    <w:rsid w:val="724A6301"/>
    <w:rsid w:val="72553024"/>
    <w:rsid w:val="72723757"/>
    <w:rsid w:val="72A2709C"/>
    <w:rsid w:val="72AA3D42"/>
    <w:rsid w:val="72AA7C53"/>
    <w:rsid w:val="72B65FB9"/>
    <w:rsid w:val="72B8241C"/>
    <w:rsid w:val="72B82BE4"/>
    <w:rsid w:val="72C07522"/>
    <w:rsid w:val="730218E9"/>
    <w:rsid w:val="73092D2E"/>
    <w:rsid w:val="73122968"/>
    <w:rsid w:val="731358A4"/>
    <w:rsid w:val="731D2A90"/>
    <w:rsid w:val="731E3022"/>
    <w:rsid w:val="731F5D5E"/>
    <w:rsid w:val="73335F46"/>
    <w:rsid w:val="736E0CF5"/>
    <w:rsid w:val="738B5376"/>
    <w:rsid w:val="73944C37"/>
    <w:rsid w:val="739B4217"/>
    <w:rsid w:val="73A62CBD"/>
    <w:rsid w:val="73C51AD5"/>
    <w:rsid w:val="73CC15BD"/>
    <w:rsid w:val="73CE0682"/>
    <w:rsid w:val="73D90F2E"/>
    <w:rsid w:val="73E84F83"/>
    <w:rsid w:val="73E8779A"/>
    <w:rsid w:val="73EC6C8E"/>
    <w:rsid w:val="7406353F"/>
    <w:rsid w:val="741E793C"/>
    <w:rsid w:val="742501E9"/>
    <w:rsid w:val="742E59AC"/>
    <w:rsid w:val="74407F2A"/>
    <w:rsid w:val="745E3944"/>
    <w:rsid w:val="745E5245"/>
    <w:rsid w:val="74623EF6"/>
    <w:rsid w:val="746565D3"/>
    <w:rsid w:val="747D1B6F"/>
    <w:rsid w:val="7487654A"/>
    <w:rsid w:val="749A38A6"/>
    <w:rsid w:val="74C72DEA"/>
    <w:rsid w:val="74E44DF6"/>
    <w:rsid w:val="74E522B4"/>
    <w:rsid w:val="74EC0AA3"/>
    <w:rsid w:val="750620B7"/>
    <w:rsid w:val="75263FB5"/>
    <w:rsid w:val="752B093A"/>
    <w:rsid w:val="753A7A60"/>
    <w:rsid w:val="75416055"/>
    <w:rsid w:val="754447F4"/>
    <w:rsid w:val="7545748A"/>
    <w:rsid w:val="75561A9A"/>
    <w:rsid w:val="75966DD3"/>
    <w:rsid w:val="7597680B"/>
    <w:rsid w:val="75D05CCE"/>
    <w:rsid w:val="75DA132A"/>
    <w:rsid w:val="760D3317"/>
    <w:rsid w:val="76180C4D"/>
    <w:rsid w:val="762E16DC"/>
    <w:rsid w:val="7635099D"/>
    <w:rsid w:val="764356D9"/>
    <w:rsid w:val="76A14C35"/>
    <w:rsid w:val="76DB595D"/>
    <w:rsid w:val="77263188"/>
    <w:rsid w:val="772B6B59"/>
    <w:rsid w:val="77350F14"/>
    <w:rsid w:val="77387FCF"/>
    <w:rsid w:val="773D3837"/>
    <w:rsid w:val="77422C1F"/>
    <w:rsid w:val="775E03AB"/>
    <w:rsid w:val="776D12CF"/>
    <w:rsid w:val="77752FD1"/>
    <w:rsid w:val="77762421"/>
    <w:rsid w:val="77B56B1F"/>
    <w:rsid w:val="77F91346"/>
    <w:rsid w:val="77FA7033"/>
    <w:rsid w:val="780F09F4"/>
    <w:rsid w:val="78364837"/>
    <w:rsid w:val="783734DD"/>
    <w:rsid w:val="7848280D"/>
    <w:rsid w:val="785D300F"/>
    <w:rsid w:val="786F7A21"/>
    <w:rsid w:val="78727511"/>
    <w:rsid w:val="787E049E"/>
    <w:rsid w:val="78856643"/>
    <w:rsid w:val="78986B50"/>
    <w:rsid w:val="78986F77"/>
    <w:rsid w:val="78A90480"/>
    <w:rsid w:val="78C31B1A"/>
    <w:rsid w:val="78D51D24"/>
    <w:rsid w:val="78EE4372"/>
    <w:rsid w:val="79077C59"/>
    <w:rsid w:val="79160454"/>
    <w:rsid w:val="7939354E"/>
    <w:rsid w:val="794D564C"/>
    <w:rsid w:val="796C56AF"/>
    <w:rsid w:val="796C5D0E"/>
    <w:rsid w:val="79AA0EEC"/>
    <w:rsid w:val="79AC62CF"/>
    <w:rsid w:val="79CC6986"/>
    <w:rsid w:val="79CE69C9"/>
    <w:rsid w:val="79D81EBF"/>
    <w:rsid w:val="7A2F5F0C"/>
    <w:rsid w:val="7A364017"/>
    <w:rsid w:val="7A3E00FB"/>
    <w:rsid w:val="7A463DDE"/>
    <w:rsid w:val="7A644718"/>
    <w:rsid w:val="7A781626"/>
    <w:rsid w:val="7A8265E1"/>
    <w:rsid w:val="7A8F7D01"/>
    <w:rsid w:val="7A996FD7"/>
    <w:rsid w:val="7AD227A2"/>
    <w:rsid w:val="7AE42025"/>
    <w:rsid w:val="7AED3794"/>
    <w:rsid w:val="7B1D2A3D"/>
    <w:rsid w:val="7B340AAD"/>
    <w:rsid w:val="7B3C0B40"/>
    <w:rsid w:val="7B4E1544"/>
    <w:rsid w:val="7B4F6896"/>
    <w:rsid w:val="7B686D42"/>
    <w:rsid w:val="7B75156E"/>
    <w:rsid w:val="7B841746"/>
    <w:rsid w:val="7B914152"/>
    <w:rsid w:val="7BA20F2B"/>
    <w:rsid w:val="7BA619AB"/>
    <w:rsid w:val="7BBA7205"/>
    <w:rsid w:val="7BC82F05"/>
    <w:rsid w:val="7BDF5A57"/>
    <w:rsid w:val="7BE704CB"/>
    <w:rsid w:val="7C126283"/>
    <w:rsid w:val="7C156B31"/>
    <w:rsid w:val="7C1C1C6D"/>
    <w:rsid w:val="7C25272C"/>
    <w:rsid w:val="7C5F2443"/>
    <w:rsid w:val="7C696430"/>
    <w:rsid w:val="7C6C5AC7"/>
    <w:rsid w:val="7C9255DB"/>
    <w:rsid w:val="7C95557C"/>
    <w:rsid w:val="7C99506C"/>
    <w:rsid w:val="7CA65F46"/>
    <w:rsid w:val="7CAA09FC"/>
    <w:rsid w:val="7CAF6246"/>
    <w:rsid w:val="7CC272E3"/>
    <w:rsid w:val="7CC6544B"/>
    <w:rsid w:val="7CD12A78"/>
    <w:rsid w:val="7CD9227E"/>
    <w:rsid w:val="7CE4763C"/>
    <w:rsid w:val="7CED53B8"/>
    <w:rsid w:val="7CF8114B"/>
    <w:rsid w:val="7CFB5D27"/>
    <w:rsid w:val="7D0239FF"/>
    <w:rsid w:val="7D221505"/>
    <w:rsid w:val="7D405E05"/>
    <w:rsid w:val="7D4E40A8"/>
    <w:rsid w:val="7D5E40CD"/>
    <w:rsid w:val="7D7D2BE0"/>
    <w:rsid w:val="7DB732B9"/>
    <w:rsid w:val="7DC0487A"/>
    <w:rsid w:val="7DCD56F2"/>
    <w:rsid w:val="7E250782"/>
    <w:rsid w:val="7E341B29"/>
    <w:rsid w:val="7E3B73B0"/>
    <w:rsid w:val="7E4E1409"/>
    <w:rsid w:val="7E5E1385"/>
    <w:rsid w:val="7E7538B7"/>
    <w:rsid w:val="7E7A4815"/>
    <w:rsid w:val="7E7B73BA"/>
    <w:rsid w:val="7EE352BF"/>
    <w:rsid w:val="7EEA7E01"/>
    <w:rsid w:val="7EF41C08"/>
    <w:rsid w:val="7F001CE7"/>
    <w:rsid w:val="7F0D3AEF"/>
    <w:rsid w:val="7F211349"/>
    <w:rsid w:val="7F477001"/>
    <w:rsid w:val="7F4C0ABC"/>
    <w:rsid w:val="7F5227CD"/>
    <w:rsid w:val="7F6A0F42"/>
    <w:rsid w:val="7F7123DA"/>
    <w:rsid w:val="7F7D2A23"/>
    <w:rsid w:val="7F852E05"/>
    <w:rsid w:val="7FDD1714"/>
    <w:rsid w:val="7FE47E50"/>
    <w:rsid w:val="7FF83498"/>
    <w:rsid w:val="7FFB45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9"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qFormat="1"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qFormat="1" w:unhideWhenUsed="0" w:uiPriority="39"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iPriority="0" w:semiHidden="0" w:name="Body Text First Indent 2" w:locked="1"/>
    <w:lsdException w:qFormat="1" w:unhideWhenUsed="0" w:uiPriority="99"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semiHidden="0" w:name="Normal Table"/>
    <w:lsdException w:qFormat="1" w:unhideWhenUsed="0" w:uiPriority="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name="Balloon Text"/>
    <w:lsdException w:qFormat="1" w:unhideWhenUsed="0" w:uiPriority="0" w:semiHidden="0" w:name="Table Grid"/>
    <w:lsdException w:uiPriority="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autoRedefine/>
    <w:qFormat/>
    <w:locked/>
    <w:uiPriority w:val="99"/>
    <w:pPr>
      <w:keepNext/>
      <w:numPr>
        <w:ilvl w:val="0"/>
        <w:numId w:val="1"/>
      </w:numPr>
      <w:overflowPunct w:val="0"/>
      <w:snapToGrid w:val="0"/>
      <w:spacing w:before="120" w:after="160" w:line="260" w:lineRule="auto"/>
      <w:ind w:left="432" w:hanging="432"/>
      <w:jc w:val="center"/>
      <w:outlineLvl w:val="0"/>
    </w:pPr>
    <w:rPr>
      <w:rFonts w:ascii="Times New Roman" w:hAnsi="Times New Roman" w:eastAsia="宋体"/>
      <w:b/>
      <w:bCs/>
      <w:color w:val="000000"/>
      <w:kern w:val="44"/>
      <w:sz w:val="30"/>
      <w:szCs w:val="30"/>
    </w:rPr>
  </w:style>
  <w:style w:type="paragraph" w:styleId="3">
    <w:name w:val="heading 2"/>
    <w:basedOn w:val="1"/>
    <w:next w:val="1"/>
    <w:autoRedefine/>
    <w:qFormat/>
    <w:locked/>
    <w:uiPriority w:val="0"/>
    <w:pPr>
      <w:numPr>
        <w:ilvl w:val="1"/>
        <w:numId w:val="1"/>
      </w:numPr>
      <w:tabs>
        <w:tab w:val="left" w:pos="0"/>
      </w:tabs>
      <w:spacing w:before="120" w:after="120" w:line="360" w:lineRule="auto"/>
      <w:outlineLvl w:val="1"/>
    </w:pPr>
    <w:rPr>
      <w:rFonts w:ascii="Times New Roman" w:hAnsi="Times New Roman" w:eastAsia="宋体"/>
      <w:b/>
      <w:bCs/>
      <w:sz w:val="28"/>
      <w:szCs w:val="28"/>
    </w:rPr>
  </w:style>
  <w:style w:type="paragraph" w:styleId="4">
    <w:name w:val="heading 3"/>
    <w:basedOn w:val="1"/>
    <w:next w:val="1"/>
    <w:autoRedefine/>
    <w:qFormat/>
    <w:locked/>
    <w:uiPriority w:val="0"/>
    <w:pPr>
      <w:keepNext/>
      <w:keepLines/>
      <w:numPr>
        <w:ilvl w:val="2"/>
        <w:numId w:val="1"/>
      </w:numPr>
      <w:tabs>
        <w:tab w:val="left" w:pos="420"/>
      </w:tabs>
      <w:spacing w:before="60" w:line="360" w:lineRule="auto"/>
      <w:ind w:left="720" w:hanging="720"/>
      <w:outlineLvl w:val="2"/>
    </w:pPr>
    <w:rPr>
      <w:rFonts w:ascii="Times New Roman" w:hAnsi="Times New Roman" w:eastAsia="宋体"/>
      <w:b/>
      <w:sz w:val="24"/>
    </w:rPr>
  </w:style>
  <w:style w:type="paragraph" w:styleId="5">
    <w:name w:val="heading 4"/>
    <w:basedOn w:val="1"/>
    <w:next w:val="1"/>
    <w:link w:val="49"/>
    <w:autoRedefine/>
    <w:qFormat/>
    <w:locked/>
    <w:uiPriority w:val="9"/>
    <w:pPr>
      <w:keepNext/>
      <w:keepLines/>
      <w:numPr>
        <w:ilvl w:val="3"/>
        <w:numId w:val="1"/>
      </w:numPr>
      <w:tabs>
        <w:tab w:val="left" w:pos="420"/>
      </w:tabs>
      <w:spacing w:line="360" w:lineRule="auto"/>
      <w:ind w:left="0" w:firstLine="0"/>
      <w:jc w:val="left"/>
      <w:outlineLvl w:val="3"/>
    </w:pPr>
    <w:rPr>
      <w:sz w:val="24"/>
    </w:rPr>
  </w:style>
  <w:style w:type="paragraph" w:styleId="6">
    <w:name w:val="heading 5"/>
    <w:basedOn w:val="1"/>
    <w:next w:val="1"/>
    <w:autoRedefine/>
    <w:qFormat/>
    <w:locked/>
    <w:uiPriority w:val="0"/>
    <w:pPr>
      <w:keepNext/>
      <w:keepLines/>
      <w:numPr>
        <w:ilvl w:val="4"/>
        <w:numId w:val="2"/>
      </w:numPr>
      <w:tabs>
        <w:tab w:val="left" w:pos="0"/>
        <w:tab w:val="clear" w:pos="420"/>
      </w:tabs>
      <w:ind w:firstLine="720" w:firstLineChars="200"/>
      <w:outlineLvl w:val="4"/>
    </w:pPr>
  </w:style>
  <w:style w:type="paragraph" w:styleId="7">
    <w:name w:val="heading 6"/>
    <w:basedOn w:val="1"/>
    <w:next w:val="1"/>
    <w:autoRedefine/>
    <w:qFormat/>
    <w:locked/>
    <w:uiPriority w:val="0"/>
    <w:pPr>
      <w:keepNext/>
      <w:keepLines/>
      <w:numPr>
        <w:ilvl w:val="5"/>
        <w:numId w:val="2"/>
      </w:numPr>
      <w:spacing w:before="240" w:after="64" w:line="317" w:lineRule="auto"/>
      <w:outlineLvl w:val="5"/>
    </w:pPr>
    <w:rPr>
      <w:rFonts w:ascii="Arial" w:hAnsi="Arial" w:eastAsia="黑体"/>
      <w:b/>
      <w:sz w:val="24"/>
    </w:rPr>
  </w:style>
  <w:style w:type="paragraph" w:styleId="8">
    <w:name w:val="heading 7"/>
    <w:basedOn w:val="1"/>
    <w:next w:val="1"/>
    <w:autoRedefine/>
    <w:qFormat/>
    <w:locked/>
    <w:uiPriority w:val="0"/>
    <w:pPr>
      <w:keepNext/>
      <w:keepLines/>
      <w:numPr>
        <w:ilvl w:val="6"/>
        <w:numId w:val="2"/>
      </w:numPr>
      <w:spacing w:before="240" w:after="64" w:line="317" w:lineRule="auto"/>
      <w:outlineLvl w:val="6"/>
    </w:pPr>
    <w:rPr>
      <w:b/>
      <w:sz w:val="24"/>
    </w:rPr>
  </w:style>
  <w:style w:type="character" w:default="1" w:styleId="34">
    <w:name w:val="Default Paragraph Font"/>
    <w:autoRedefine/>
    <w:unhideWhenUsed/>
    <w:qFormat/>
    <w:uiPriority w:val="1"/>
  </w:style>
  <w:style w:type="table" w:default="1" w:styleId="32">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9">
    <w:name w:val="toc 7"/>
    <w:basedOn w:val="1"/>
    <w:next w:val="1"/>
    <w:autoRedefine/>
    <w:qFormat/>
    <w:locked/>
    <w:uiPriority w:val="39"/>
    <w:pPr>
      <w:ind w:left="2520"/>
    </w:pPr>
  </w:style>
  <w:style w:type="paragraph" w:styleId="10">
    <w:name w:val="Note Heading"/>
    <w:basedOn w:val="1"/>
    <w:next w:val="1"/>
    <w:autoRedefine/>
    <w:qFormat/>
    <w:locked/>
    <w:uiPriority w:val="99"/>
    <w:pPr>
      <w:jc w:val="left"/>
    </w:pPr>
  </w:style>
  <w:style w:type="paragraph" w:styleId="11">
    <w:name w:val="Normal Indent"/>
    <w:basedOn w:val="1"/>
    <w:next w:val="1"/>
    <w:link w:val="58"/>
    <w:autoRedefine/>
    <w:qFormat/>
    <w:locked/>
    <w:uiPriority w:val="0"/>
    <w:pPr>
      <w:widowControl/>
      <w:ind w:firstLine="420" w:firstLineChars="200"/>
      <w:jc w:val="left"/>
    </w:pPr>
    <w:rPr>
      <w:kern w:val="0"/>
      <w:sz w:val="18"/>
      <w:szCs w:val="20"/>
    </w:rPr>
  </w:style>
  <w:style w:type="paragraph" w:styleId="12">
    <w:name w:val="annotation text"/>
    <w:basedOn w:val="1"/>
    <w:link w:val="59"/>
    <w:autoRedefine/>
    <w:semiHidden/>
    <w:qFormat/>
    <w:uiPriority w:val="0"/>
    <w:pPr>
      <w:jc w:val="left"/>
    </w:pPr>
    <w:rPr>
      <w:kern w:val="0"/>
      <w:sz w:val="24"/>
      <w:szCs w:val="20"/>
    </w:rPr>
  </w:style>
  <w:style w:type="paragraph" w:styleId="13">
    <w:name w:val="Body Text"/>
    <w:basedOn w:val="1"/>
    <w:next w:val="1"/>
    <w:link w:val="60"/>
    <w:autoRedefine/>
    <w:qFormat/>
    <w:uiPriority w:val="0"/>
    <w:pPr>
      <w:widowControl/>
      <w:snapToGrid w:val="0"/>
      <w:spacing w:before="60" w:after="160" w:line="259" w:lineRule="auto"/>
      <w:ind w:right="113"/>
    </w:pPr>
    <w:rPr>
      <w:kern w:val="0"/>
      <w:sz w:val="18"/>
      <w:szCs w:val="20"/>
    </w:rPr>
  </w:style>
  <w:style w:type="paragraph" w:styleId="14">
    <w:name w:val="Body Text Indent"/>
    <w:basedOn w:val="1"/>
    <w:next w:val="15"/>
    <w:link w:val="61"/>
    <w:autoRedefine/>
    <w:qFormat/>
    <w:uiPriority w:val="0"/>
    <w:pPr>
      <w:spacing w:after="120"/>
      <w:ind w:left="420" w:leftChars="200"/>
    </w:pPr>
    <w:rPr>
      <w:kern w:val="0"/>
      <w:sz w:val="24"/>
      <w:szCs w:val="20"/>
    </w:rPr>
  </w:style>
  <w:style w:type="paragraph" w:styleId="15">
    <w:name w:val="Body Text First Indent 2"/>
    <w:basedOn w:val="14"/>
    <w:next w:val="16"/>
    <w:link w:val="137"/>
    <w:autoRedefine/>
    <w:unhideWhenUsed/>
    <w:qFormat/>
    <w:locked/>
    <w:uiPriority w:val="0"/>
    <w:pPr>
      <w:ind w:firstLine="420" w:firstLineChars="200"/>
    </w:pPr>
    <w:rPr>
      <w:rFonts w:ascii="Calibri" w:hAnsi="Calibri"/>
      <w:sz w:val="20"/>
    </w:rPr>
  </w:style>
  <w:style w:type="paragraph" w:styleId="16">
    <w:name w:val="Body Text First Indent"/>
    <w:basedOn w:val="13"/>
    <w:next w:val="1"/>
    <w:link w:val="62"/>
    <w:autoRedefine/>
    <w:qFormat/>
    <w:locked/>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宋体" w:cs="Times New Roman"/>
      <w:kern w:val="2"/>
      <w:sz w:val="21"/>
      <w:szCs w:val="24"/>
      <w:lang w:val="en-US" w:eastAsia="zh-CN" w:bidi="ar"/>
    </w:rPr>
  </w:style>
  <w:style w:type="paragraph" w:styleId="17">
    <w:name w:val="Block Text"/>
    <w:basedOn w:val="1"/>
    <w:autoRedefine/>
    <w:qFormat/>
    <w:locked/>
    <w:uiPriority w:val="0"/>
    <w:pPr>
      <w:spacing w:line="500" w:lineRule="exact"/>
      <w:ind w:left="54" w:right="113"/>
      <w:textAlignment w:val="baseline"/>
    </w:pPr>
    <w:rPr>
      <w:rFonts w:ascii="楷体_GB2312" w:eastAsia="楷体_GB2312"/>
      <w:kern w:val="0"/>
      <w:sz w:val="28"/>
      <w:szCs w:val="20"/>
    </w:rPr>
  </w:style>
  <w:style w:type="paragraph" w:styleId="18">
    <w:name w:val="toc 3"/>
    <w:basedOn w:val="1"/>
    <w:next w:val="1"/>
    <w:autoRedefine/>
    <w:qFormat/>
    <w:locked/>
    <w:uiPriority w:val="0"/>
    <w:pPr>
      <w:ind w:left="840" w:leftChars="400"/>
    </w:pPr>
  </w:style>
  <w:style w:type="paragraph" w:styleId="19">
    <w:name w:val="Plain Text"/>
    <w:basedOn w:val="1"/>
    <w:next w:val="13"/>
    <w:autoRedefine/>
    <w:qFormat/>
    <w:locked/>
    <w:uiPriority w:val="0"/>
    <w:rPr>
      <w:rFonts w:ascii="宋体" w:hAnsi="Courier New"/>
      <w:szCs w:val="20"/>
    </w:rPr>
  </w:style>
  <w:style w:type="paragraph" w:styleId="20">
    <w:name w:val="List Bullet 5"/>
    <w:basedOn w:val="1"/>
    <w:autoRedefine/>
    <w:qFormat/>
    <w:locked/>
    <w:uiPriority w:val="0"/>
    <w:pPr>
      <w:numPr>
        <w:ilvl w:val="0"/>
        <w:numId w:val="3"/>
      </w:numPr>
    </w:pPr>
  </w:style>
  <w:style w:type="paragraph" w:styleId="21">
    <w:name w:val="Date"/>
    <w:basedOn w:val="1"/>
    <w:next w:val="1"/>
    <w:link w:val="63"/>
    <w:autoRedefine/>
    <w:qFormat/>
    <w:uiPriority w:val="0"/>
    <w:pPr>
      <w:ind w:left="100" w:leftChars="2500"/>
    </w:pPr>
    <w:rPr>
      <w:kern w:val="0"/>
      <w:sz w:val="24"/>
      <w:szCs w:val="20"/>
    </w:rPr>
  </w:style>
  <w:style w:type="paragraph" w:styleId="22">
    <w:name w:val="Body Text Indent 2"/>
    <w:basedOn w:val="1"/>
    <w:autoRedefine/>
    <w:qFormat/>
    <w:locked/>
    <w:uiPriority w:val="0"/>
    <w:pPr>
      <w:spacing w:line="360" w:lineRule="exact"/>
      <w:ind w:firstLine="465"/>
    </w:pPr>
    <w:rPr>
      <w:sz w:val="24"/>
    </w:rPr>
  </w:style>
  <w:style w:type="paragraph" w:styleId="23">
    <w:name w:val="Balloon Text"/>
    <w:basedOn w:val="1"/>
    <w:link w:val="64"/>
    <w:autoRedefine/>
    <w:semiHidden/>
    <w:qFormat/>
    <w:uiPriority w:val="0"/>
    <w:rPr>
      <w:kern w:val="0"/>
      <w:sz w:val="18"/>
      <w:szCs w:val="20"/>
    </w:rPr>
  </w:style>
  <w:style w:type="paragraph" w:styleId="24">
    <w:name w:val="footer"/>
    <w:basedOn w:val="1"/>
    <w:link w:val="65"/>
    <w:autoRedefine/>
    <w:qFormat/>
    <w:uiPriority w:val="99"/>
    <w:pPr>
      <w:tabs>
        <w:tab w:val="center" w:pos="4153"/>
        <w:tab w:val="right" w:pos="8306"/>
      </w:tabs>
      <w:snapToGrid w:val="0"/>
      <w:jc w:val="left"/>
    </w:pPr>
    <w:rPr>
      <w:kern w:val="0"/>
      <w:sz w:val="18"/>
      <w:szCs w:val="20"/>
    </w:rPr>
  </w:style>
  <w:style w:type="paragraph" w:styleId="25">
    <w:name w:val="header"/>
    <w:basedOn w:val="1"/>
    <w:link w:val="66"/>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6">
    <w:name w:val="toc 1"/>
    <w:basedOn w:val="1"/>
    <w:next w:val="1"/>
    <w:autoRedefine/>
    <w:unhideWhenUsed/>
    <w:qFormat/>
    <w:locked/>
    <w:uiPriority w:val="39"/>
    <w:pPr>
      <w:autoSpaceDE w:val="0"/>
      <w:autoSpaceDN w:val="0"/>
      <w:spacing w:line="360" w:lineRule="auto"/>
      <w:ind w:left="0" w:firstLine="0"/>
      <w:jc w:val="left"/>
    </w:pPr>
    <w:rPr>
      <w:rFonts w:ascii="宋体" w:hAnsi="宋体" w:eastAsia="宋体" w:cs="宋体"/>
      <w:b/>
      <w:bCs/>
      <w:kern w:val="0"/>
      <w:sz w:val="24"/>
      <w:lang w:val="zh-CN" w:bidi="zh-CN"/>
    </w:rPr>
  </w:style>
  <w:style w:type="paragraph" w:styleId="27">
    <w:name w:val="List"/>
    <w:basedOn w:val="1"/>
    <w:autoRedefine/>
    <w:qFormat/>
    <w:locked/>
    <w:uiPriority w:val="0"/>
    <w:pPr>
      <w:ind w:left="200" w:hanging="200" w:hangingChars="200"/>
    </w:pPr>
  </w:style>
  <w:style w:type="paragraph" w:styleId="28">
    <w:name w:val="toc 2"/>
    <w:basedOn w:val="1"/>
    <w:next w:val="1"/>
    <w:autoRedefine/>
    <w:qFormat/>
    <w:locked/>
    <w:uiPriority w:val="0"/>
    <w:pPr>
      <w:autoSpaceDE w:val="0"/>
      <w:autoSpaceDN w:val="0"/>
      <w:spacing w:line="360" w:lineRule="auto"/>
      <w:ind w:left="420" w:leftChars="200"/>
    </w:pPr>
    <w:rPr>
      <w:rFonts w:ascii="Times New Roman" w:hAnsi="Times New Roman" w:eastAsia="宋体"/>
    </w:rPr>
  </w:style>
  <w:style w:type="paragraph" w:styleId="29">
    <w:name w:val="Normal (Web)"/>
    <w:basedOn w:val="1"/>
    <w:link w:val="67"/>
    <w:autoRedefine/>
    <w:qFormat/>
    <w:uiPriority w:val="0"/>
    <w:pPr>
      <w:widowControl/>
      <w:spacing w:before="100" w:beforeAutospacing="1" w:after="100" w:afterAutospacing="1"/>
      <w:jc w:val="left"/>
    </w:pPr>
    <w:rPr>
      <w:rFonts w:ascii="宋体" w:hAnsi="宋体"/>
      <w:kern w:val="0"/>
      <w:sz w:val="24"/>
      <w:szCs w:val="20"/>
    </w:rPr>
  </w:style>
  <w:style w:type="paragraph" w:styleId="30">
    <w:name w:val="Title"/>
    <w:basedOn w:val="1"/>
    <w:next w:val="1"/>
    <w:autoRedefine/>
    <w:qFormat/>
    <w:locked/>
    <w:uiPriority w:val="0"/>
    <w:pPr>
      <w:spacing w:before="240" w:beforeLines="0" w:after="60" w:afterLines="0"/>
      <w:jc w:val="center"/>
      <w:outlineLvl w:val="0"/>
    </w:pPr>
    <w:rPr>
      <w:rFonts w:ascii="等线 Light" w:hAnsi="等线 Light"/>
      <w:b/>
      <w:bCs/>
      <w:sz w:val="32"/>
      <w:szCs w:val="32"/>
    </w:rPr>
  </w:style>
  <w:style w:type="paragraph" w:styleId="31">
    <w:name w:val="annotation subject"/>
    <w:basedOn w:val="12"/>
    <w:next w:val="12"/>
    <w:link w:val="68"/>
    <w:autoRedefine/>
    <w:semiHidden/>
    <w:qFormat/>
    <w:uiPriority w:val="0"/>
    <w:rPr>
      <w:b/>
    </w:rPr>
  </w:style>
  <w:style w:type="table" w:styleId="33">
    <w:name w:val="Table Grid"/>
    <w:basedOn w:val="3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autoRedefine/>
    <w:qFormat/>
    <w:locked/>
    <w:uiPriority w:val="0"/>
    <w:rPr>
      <w:b/>
    </w:rPr>
  </w:style>
  <w:style w:type="character" w:styleId="36">
    <w:name w:val="page number"/>
    <w:autoRedefine/>
    <w:qFormat/>
    <w:locked/>
    <w:uiPriority w:val="0"/>
  </w:style>
  <w:style w:type="character" w:styleId="37">
    <w:name w:val="FollowedHyperlink"/>
    <w:autoRedefine/>
    <w:qFormat/>
    <w:locked/>
    <w:uiPriority w:val="0"/>
    <w:rPr>
      <w:color w:val="800080"/>
      <w:u w:val="none"/>
    </w:rPr>
  </w:style>
  <w:style w:type="character" w:styleId="38">
    <w:name w:val="Emphasis"/>
    <w:autoRedefine/>
    <w:qFormat/>
    <w:locked/>
    <w:uiPriority w:val="0"/>
  </w:style>
  <w:style w:type="character" w:styleId="39">
    <w:name w:val="Hyperlink"/>
    <w:autoRedefine/>
    <w:qFormat/>
    <w:locked/>
    <w:uiPriority w:val="0"/>
    <w:rPr>
      <w:color w:val="0000FF"/>
      <w:u w:val="single"/>
    </w:rPr>
  </w:style>
  <w:style w:type="character" w:styleId="40">
    <w:name w:val="annotation reference"/>
    <w:autoRedefine/>
    <w:semiHidden/>
    <w:qFormat/>
    <w:uiPriority w:val="0"/>
    <w:rPr>
      <w:sz w:val="21"/>
    </w:rPr>
  </w:style>
  <w:style w:type="character" w:customStyle="1" w:styleId="41">
    <w:name w:val="标题 1 Char"/>
    <w:link w:val="2"/>
    <w:autoRedefine/>
    <w:qFormat/>
    <w:uiPriority w:val="0"/>
    <w:rPr>
      <w:rFonts w:hint="eastAsia" w:ascii="Times New Roman" w:hAnsi="Times New Roman" w:eastAsia="宋体" w:cs="宋体"/>
      <w:b/>
      <w:bCs/>
      <w:kern w:val="44"/>
      <w:sz w:val="44"/>
      <w:szCs w:val="44"/>
    </w:rPr>
  </w:style>
  <w:style w:type="paragraph" w:customStyle="1" w:styleId="42">
    <w:name w:val="表格标题"/>
    <w:basedOn w:val="43"/>
    <w:next w:val="1"/>
    <w:link w:val="47"/>
    <w:autoRedefine/>
    <w:qFormat/>
    <w:uiPriority w:val="0"/>
    <w:pPr>
      <w:numPr>
        <w:ilvl w:val="7"/>
        <w:numId w:val="1"/>
      </w:numPr>
      <w:tabs>
        <w:tab w:val="left" w:pos="420"/>
        <w:tab w:val="left" w:pos="2126"/>
      </w:tabs>
      <w:spacing w:before="50" w:beforeLines="50" w:line="360" w:lineRule="auto"/>
      <w:ind w:left="0" w:firstLine="0" w:firstLineChars="0"/>
      <w:jc w:val="center"/>
    </w:pPr>
    <w:rPr>
      <w:rFonts w:ascii="Times New Roman" w:hAnsi="Times New Roman" w:eastAsia="宋体"/>
      <w:b/>
    </w:rPr>
  </w:style>
  <w:style w:type="paragraph" w:customStyle="1" w:styleId="43">
    <w:name w:val="闽创报告正文"/>
    <w:basedOn w:val="1"/>
    <w:link w:val="55"/>
    <w:autoRedefine/>
    <w:qFormat/>
    <w:uiPriority w:val="0"/>
    <w:pPr>
      <w:tabs>
        <w:tab w:val="left" w:pos="0"/>
      </w:tabs>
      <w:spacing w:line="360" w:lineRule="auto"/>
      <w:ind w:firstLine="200" w:firstLineChars="200"/>
    </w:pPr>
    <w:rPr>
      <w:color w:val="000000"/>
      <w:sz w:val="24"/>
      <w:szCs w:val="20"/>
    </w:rPr>
  </w:style>
  <w:style w:type="character" w:customStyle="1" w:styleId="44">
    <w:name w:val="表格标题 Char1"/>
    <w:autoRedefine/>
    <w:qFormat/>
    <w:uiPriority w:val="0"/>
    <w:rPr>
      <w:b/>
      <w:sz w:val="24"/>
      <w:szCs w:val="24"/>
    </w:rPr>
  </w:style>
  <w:style w:type="paragraph" w:customStyle="1" w:styleId="45">
    <w:name w:val="图文标题"/>
    <w:basedOn w:val="43"/>
    <w:next w:val="1"/>
    <w:link w:val="50"/>
    <w:autoRedefine/>
    <w:qFormat/>
    <w:uiPriority w:val="0"/>
    <w:pPr>
      <w:numPr>
        <w:ilvl w:val="8"/>
        <w:numId w:val="1"/>
      </w:numPr>
      <w:ind w:left="0" w:firstLine="0" w:firstLineChars="0"/>
      <w:jc w:val="center"/>
    </w:pPr>
    <w:rPr>
      <w:b/>
      <w:sz w:val="24"/>
    </w:rPr>
  </w:style>
  <w:style w:type="paragraph" w:customStyle="1" w:styleId="46">
    <w:name w:val="表格内容"/>
    <w:basedOn w:val="27"/>
    <w:next w:val="1"/>
    <w:link w:val="69"/>
    <w:autoRedefine/>
    <w:qFormat/>
    <w:uiPriority w:val="0"/>
    <w:pPr>
      <w:tabs>
        <w:tab w:val="left" w:pos="0"/>
      </w:tabs>
      <w:ind w:left="0" w:firstLine="0" w:firstLineChars="0"/>
      <w:jc w:val="center"/>
    </w:pPr>
  </w:style>
  <w:style w:type="character" w:customStyle="1" w:styleId="47">
    <w:name w:val="表格标题 Char2"/>
    <w:link w:val="42"/>
    <w:autoRedefine/>
    <w:qFormat/>
    <w:uiPriority w:val="0"/>
    <w:rPr>
      <w:rFonts w:ascii="Times New Roman" w:hAnsi="Times New Roman" w:eastAsia="宋体"/>
      <w:b/>
      <w:sz w:val="24"/>
    </w:rPr>
  </w:style>
  <w:style w:type="character" w:customStyle="1" w:styleId="48">
    <w:name w:val="表格内容 Char1"/>
    <w:autoRedefine/>
    <w:qFormat/>
    <w:uiPriority w:val="0"/>
    <w:rPr>
      <w:rFonts w:ascii="宋体" w:hAnsi="宋体" w:eastAsia="宋体"/>
      <w:kern w:val="0"/>
      <w:sz w:val="21"/>
    </w:rPr>
  </w:style>
  <w:style w:type="character" w:customStyle="1" w:styleId="49">
    <w:name w:val="标题 4 Char"/>
    <w:link w:val="5"/>
    <w:autoRedefine/>
    <w:qFormat/>
    <w:uiPriority w:val="0"/>
    <w:rPr>
      <w:rFonts w:hint="default" w:ascii="Arial" w:hAnsi="Arial" w:cs="Arial"/>
      <w:b/>
      <w:kern w:val="2"/>
      <w:sz w:val="21"/>
      <w:szCs w:val="24"/>
    </w:rPr>
  </w:style>
  <w:style w:type="character" w:customStyle="1" w:styleId="50">
    <w:name w:val="图文标题 Char"/>
    <w:link w:val="45"/>
    <w:autoRedefine/>
    <w:qFormat/>
    <w:uiPriority w:val="0"/>
    <w:rPr>
      <w:rFonts w:ascii="Times New Roman" w:hAnsi="Times New Roman" w:eastAsia="宋体"/>
      <w:b/>
      <w:sz w:val="24"/>
    </w:rPr>
  </w:style>
  <w:style w:type="paragraph" w:customStyle="1" w:styleId="51">
    <w:name w:val="Default"/>
    <w:basedOn w:val="52"/>
    <w:next w:val="53"/>
    <w:autoRedefine/>
    <w:unhideWhenUsed/>
    <w:qFormat/>
    <w:uiPriority w:val="99"/>
    <w:pPr>
      <w:autoSpaceDE w:val="0"/>
      <w:autoSpaceDN w:val="0"/>
    </w:pPr>
    <w:rPr>
      <w:rFonts w:hint="eastAsia" w:ascii="Calibri" w:hAnsi="Calibri" w:eastAsia="Times New Roman"/>
      <w:color w:val="000000"/>
      <w:sz w:val="24"/>
      <w:szCs w:val="22"/>
    </w:rPr>
  </w:style>
  <w:style w:type="paragraph" w:customStyle="1" w:styleId="52">
    <w:name w:val="纯文本1"/>
    <w:basedOn w:val="1"/>
    <w:next w:val="19"/>
    <w:autoRedefine/>
    <w:qFormat/>
    <w:uiPriority w:val="0"/>
    <w:pPr>
      <w:adjustRightInd w:val="0"/>
    </w:pPr>
    <w:rPr>
      <w:rFonts w:ascii="宋体" w:hAnsi="Courier New"/>
      <w:szCs w:val="20"/>
    </w:rPr>
  </w:style>
  <w:style w:type="paragraph" w:customStyle="1" w:styleId="53">
    <w:name w:val="样式35"/>
    <w:next w:val="54"/>
    <w:autoRedefine/>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54">
    <w:name w:val="font6"/>
    <w:basedOn w:val="1"/>
    <w:next w:val="28"/>
    <w:autoRedefine/>
    <w:qFormat/>
    <w:uiPriority w:val="99"/>
    <w:pPr>
      <w:widowControl/>
      <w:spacing w:before="100" w:beforeAutospacing="1" w:after="100" w:afterAutospacing="1"/>
      <w:jc w:val="left"/>
    </w:pPr>
    <w:rPr>
      <w:rFonts w:ascii="宋体" w:hAnsi="宋体" w:cs="宋体"/>
      <w:kern w:val="0"/>
      <w:sz w:val="20"/>
      <w:szCs w:val="20"/>
    </w:rPr>
  </w:style>
  <w:style w:type="character" w:customStyle="1" w:styleId="55">
    <w:name w:val="报告正文 Char"/>
    <w:link w:val="43"/>
    <w:autoRedefine/>
    <w:qFormat/>
    <w:uiPriority w:val="0"/>
    <w:rPr>
      <w:rFonts w:ascii="Times New Roman" w:hAnsi="Times New Roman" w:eastAsia="宋体"/>
      <w:color w:val="000000"/>
      <w:sz w:val="24"/>
      <w:szCs w:val="20"/>
    </w:rPr>
  </w:style>
  <w:style w:type="paragraph" w:customStyle="1" w:styleId="56">
    <w:name w:val="表格标题无编号"/>
    <w:basedOn w:val="42"/>
    <w:autoRedefine/>
    <w:qFormat/>
    <w:uiPriority w:val="0"/>
    <w:pPr>
      <w:numPr>
        <w:ilvl w:val="0"/>
        <w:numId w:val="0"/>
      </w:numPr>
    </w:pPr>
  </w:style>
  <w:style w:type="paragraph" w:customStyle="1" w:styleId="57">
    <w:name w:val="样式 黑色 行距: 最小值 26 磅"/>
    <w:basedOn w:val="1"/>
    <w:autoRedefine/>
    <w:qFormat/>
    <w:uiPriority w:val="0"/>
    <w:pPr>
      <w:ind w:firstLine="200" w:firstLineChars="200"/>
      <w:jc w:val="left"/>
    </w:pPr>
    <w:rPr>
      <w:rFonts w:eastAsia="楷体_GB2312" w:cs="宋体"/>
      <w:color w:val="000000"/>
      <w:spacing w:val="6"/>
      <w:sz w:val="28"/>
      <w:szCs w:val="20"/>
    </w:rPr>
  </w:style>
  <w:style w:type="character" w:customStyle="1" w:styleId="58">
    <w:name w:val="正文缩进 Char"/>
    <w:link w:val="11"/>
    <w:autoRedefine/>
    <w:qFormat/>
    <w:uiPriority w:val="0"/>
    <w:rPr>
      <w:sz w:val="18"/>
    </w:rPr>
  </w:style>
  <w:style w:type="character" w:customStyle="1" w:styleId="59">
    <w:name w:val="批注文字 Char"/>
    <w:link w:val="12"/>
    <w:autoRedefine/>
    <w:qFormat/>
    <w:locked/>
    <w:uiPriority w:val="0"/>
    <w:rPr>
      <w:rFonts w:ascii="Times New Roman" w:hAnsi="Times New Roman" w:eastAsia="宋体"/>
      <w:sz w:val="24"/>
    </w:rPr>
  </w:style>
  <w:style w:type="character" w:customStyle="1" w:styleId="60">
    <w:name w:val="正文文本 Char"/>
    <w:link w:val="13"/>
    <w:autoRedefine/>
    <w:qFormat/>
    <w:uiPriority w:val="0"/>
    <w:rPr>
      <w:kern w:val="2"/>
      <w:sz w:val="21"/>
      <w:szCs w:val="24"/>
    </w:rPr>
  </w:style>
  <w:style w:type="character" w:customStyle="1" w:styleId="61">
    <w:name w:val="正文文本缩进 Char"/>
    <w:link w:val="14"/>
    <w:autoRedefine/>
    <w:semiHidden/>
    <w:qFormat/>
    <w:locked/>
    <w:uiPriority w:val="0"/>
    <w:rPr>
      <w:rFonts w:ascii="Times New Roman" w:hAnsi="Times New Roman" w:eastAsia="宋体"/>
      <w:sz w:val="24"/>
    </w:rPr>
  </w:style>
  <w:style w:type="character" w:customStyle="1" w:styleId="62">
    <w:name w:val="正文首行缩进 Char"/>
    <w:link w:val="16"/>
    <w:autoRedefine/>
    <w:qFormat/>
    <w:uiPriority w:val="0"/>
    <w:rPr>
      <w:kern w:val="2"/>
      <w:sz w:val="21"/>
      <w:szCs w:val="24"/>
    </w:rPr>
  </w:style>
  <w:style w:type="character" w:customStyle="1" w:styleId="63">
    <w:name w:val="日期 Char"/>
    <w:link w:val="21"/>
    <w:autoRedefine/>
    <w:qFormat/>
    <w:locked/>
    <w:uiPriority w:val="0"/>
    <w:rPr>
      <w:rFonts w:ascii="Times New Roman" w:hAnsi="Times New Roman" w:eastAsia="宋体"/>
      <w:sz w:val="24"/>
    </w:rPr>
  </w:style>
  <w:style w:type="character" w:customStyle="1" w:styleId="64">
    <w:name w:val="批注框文本 Char"/>
    <w:link w:val="23"/>
    <w:autoRedefine/>
    <w:semiHidden/>
    <w:qFormat/>
    <w:locked/>
    <w:uiPriority w:val="0"/>
    <w:rPr>
      <w:rFonts w:ascii="Times New Roman" w:hAnsi="Times New Roman" w:eastAsia="宋体"/>
      <w:sz w:val="18"/>
    </w:rPr>
  </w:style>
  <w:style w:type="character" w:customStyle="1" w:styleId="65">
    <w:name w:val="页脚 Char"/>
    <w:link w:val="24"/>
    <w:autoRedefine/>
    <w:qFormat/>
    <w:locked/>
    <w:uiPriority w:val="99"/>
    <w:rPr>
      <w:sz w:val="18"/>
    </w:rPr>
  </w:style>
  <w:style w:type="character" w:customStyle="1" w:styleId="66">
    <w:name w:val="页眉 Char"/>
    <w:link w:val="25"/>
    <w:autoRedefine/>
    <w:qFormat/>
    <w:locked/>
    <w:uiPriority w:val="0"/>
    <w:rPr>
      <w:sz w:val="18"/>
    </w:rPr>
  </w:style>
  <w:style w:type="character" w:customStyle="1" w:styleId="67">
    <w:name w:val="普通(网站) Char"/>
    <w:link w:val="29"/>
    <w:autoRedefine/>
    <w:qFormat/>
    <w:uiPriority w:val="0"/>
    <w:rPr>
      <w:rFonts w:hint="eastAsia" w:ascii="宋体" w:hAnsi="宋体" w:eastAsia="宋体" w:cs="宋体"/>
      <w:sz w:val="24"/>
    </w:rPr>
  </w:style>
  <w:style w:type="character" w:customStyle="1" w:styleId="68">
    <w:name w:val="批注主题 Char"/>
    <w:link w:val="31"/>
    <w:autoRedefine/>
    <w:semiHidden/>
    <w:qFormat/>
    <w:locked/>
    <w:uiPriority w:val="0"/>
    <w:rPr>
      <w:rFonts w:ascii="Times New Roman" w:hAnsi="Times New Roman" w:eastAsia="宋体"/>
      <w:b/>
      <w:kern w:val="2"/>
      <w:sz w:val="24"/>
    </w:rPr>
  </w:style>
  <w:style w:type="character" w:customStyle="1" w:styleId="69">
    <w:name w:val="表格内容 Char"/>
    <w:link w:val="46"/>
    <w:autoRedefine/>
    <w:qFormat/>
    <w:uiPriority w:val="0"/>
    <w:rPr>
      <w:kern w:val="2"/>
      <w:sz w:val="21"/>
      <w:szCs w:val="24"/>
    </w:rPr>
  </w:style>
  <w:style w:type="paragraph" w:customStyle="1" w:styleId="70">
    <w:name w:val="正文(首行缩进)"/>
    <w:autoRedefine/>
    <w:qFormat/>
    <w:uiPriority w:val="0"/>
    <w:pPr>
      <w:widowControl w:val="0"/>
      <w:adjustRightInd w:val="0"/>
      <w:snapToGrid w:val="0"/>
      <w:spacing w:line="360" w:lineRule="auto"/>
      <w:ind w:firstLine="200" w:firstLineChars="200"/>
      <w:jc w:val="both"/>
    </w:pPr>
    <w:rPr>
      <w:rFonts w:ascii="Calibri" w:hAnsi="Calibri" w:eastAsia="宋体" w:cs="Times New Roman"/>
      <w:snapToGrid w:val="0"/>
      <w:kern w:val="2"/>
      <w:sz w:val="24"/>
      <w:szCs w:val="24"/>
      <w:lang w:val="en-US" w:eastAsia="zh-CN" w:bidi="ar-SA"/>
    </w:rPr>
  </w:style>
  <w:style w:type="character" w:customStyle="1" w:styleId="71">
    <w:name w:val="表格标题 Char"/>
    <w:autoRedefine/>
    <w:qFormat/>
    <w:uiPriority w:val="0"/>
    <w:rPr>
      <w:b/>
      <w:bCs/>
      <w:sz w:val="24"/>
    </w:rPr>
  </w:style>
  <w:style w:type="paragraph" w:customStyle="1" w:styleId="72">
    <w:name w:val="w 图表名称"/>
    <w:next w:val="1"/>
    <w:autoRedefine/>
    <w:qFormat/>
    <w:uiPriority w:val="0"/>
    <w:pPr>
      <w:tabs>
        <w:tab w:val="left" w:pos="3825"/>
        <w:tab w:val="left" w:pos="4680"/>
      </w:tabs>
      <w:spacing w:before="50" w:beforeLines="50" w:line="360" w:lineRule="auto"/>
      <w:jc w:val="center"/>
    </w:pPr>
    <w:rPr>
      <w:rFonts w:ascii="Times New Roman" w:hAnsi="Times New Roman" w:eastAsia="宋体" w:cs="Times New Roman"/>
      <w:b/>
      <w:sz w:val="24"/>
      <w:szCs w:val="21"/>
      <w:lang w:val="en-US" w:eastAsia="zh-CN" w:bidi="ar-SA"/>
    </w:rPr>
  </w:style>
  <w:style w:type="paragraph" w:customStyle="1" w:styleId="73">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4">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75">
    <w:name w:val="表格"/>
    <w:basedOn w:val="1"/>
    <w:next w:val="1"/>
    <w:link w:val="76"/>
    <w:autoRedefine/>
    <w:qFormat/>
    <w:uiPriority w:val="0"/>
    <w:pPr>
      <w:adjustRightInd w:val="0"/>
      <w:snapToGrid w:val="0"/>
      <w:spacing w:beforeLines="10" w:afterLines="10" w:line="259" w:lineRule="auto"/>
      <w:jc w:val="center"/>
    </w:pPr>
    <w:rPr>
      <w:rFonts w:ascii="宋体"/>
      <w:kern w:val="0"/>
      <w:szCs w:val="20"/>
    </w:rPr>
  </w:style>
  <w:style w:type="character" w:customStyle="1" w:styleId="76">
    <w:name w:val="表格 Char"/>
    <w:link w:val="75"/>
    <w:autoRedefine/>
    <w:qFormat/>
    <w:locked/>
    <w:uiPriority w:val="0"/>
    <w:rPr>
      <w:rFonts w:ascii="宋体"/>
      <w:sz w:val="21"/>
    </w:rPr>
  </w:style>
  <w:style w:type="character" w:customStyle="1" w:styleId="77">
    <w:name w:val="页脚 字符"/>
    <w:autoRedefine/>
    <w:qFormat/>
    <w:uiPriority w:val="99"/>
  </w:style>
  <w:style w:type="character" w:customStyle="1" w:styleId="78">
    <w:name w:val="普通(网站) 字符"/>
    <w:autoRedefine/>
    <w:qFormat/>
    <w:locked/>
    <w:uiPriority w:val="0"/>
    <w:rPr>
      <w:rFonts w:ascii="宋体" w:hAnsi="宋体" w:eastAsia="宋体"/>
      <w:sz w:val="24"/>
    </w:rPr>
  </w:style>
  <w:style w:type="character" w:customStyle="1" w:styleId="79">
    <w:name w:val="正文文本 字符1"/>
    <w:autoRedefine/>
    <w:semiHidden/>
    <w:qFormat/>
    <w:uiPriority w:val="0"/>
    <w:rPr>
      <w:rFonts w:ascii="Times New Roman" w:hAnsi="Times New Roman" w:eastAsia="宋体"/>
      <w:sz w:val="24"/>
    </w:rPr>
  </w:style>
  <w:style w:type="character" w:customStyle="1" w:styleId="80">
    <w:name w:val="正文文本 字符"/>
    <w:autoRedefine/>
    <w:qFormat/>
    <w:locked/>
    <w:uiPriority w:val="0"/>
    <w:rPr>
      <w:sz w:val="18"/>
    </w:rPr>
  </w:style>
  <w:style w:type="character" w:customStyle="1" w:styleId="81">
    <w:name w:val="日期 字符"/>
    <w:autoRedefine/>
    <w:semiHidden/>
    <w:qFormat/>
    <w:uiPriority w:val="0"/>
    <w:rPr>
      <w:rFonts w:ascii="Times New Roman" w:hAnsi="Times New Roman" w:eastAsia="宋体"/>
      <w:sz w:val="24"/>
    </w:rPr>
  </w:style>
  <w:style w:type="character" w:customStyle="1" w:styleId="82">
    <w:name w:val="批注文字 字符1"/>
    <w:autoRedefine/>
    <w:semiHidden/>
    <w:qFormat/>
    <w:uiPriority w:val="0"/>
    <w:rPr>
      <w:rFonts w:ascii="Times New Roman" w:hAnsi="Times New Roman" w:eastAsia="宋体"/>
      <w:sz w:val="24"/>
    </w:rPr>
  </w:style>
  <w:style w:type="paragraph" w:customStyle="1" w:styleId="83">
    <w:name w:val="表正文"/>
    <w:basedOn w:val="1"/>
    <w:autoRedefine/>
    <w:qFormat/>
    <w:uiPriority w:val="0"/>
    <w:pPr>
      <w:spacing w:line="360" w:lineRule="auto"/>
      <w:ind w:firstLine="200" w:firstLineChars="200"/>
    </w:pPr>
    <w:rPr>
      <w:sz w:val="24"/>
    </w:rPr>
  </w:style>
  <w:style w:type="paragraph" w:customStyle="1" w:styleId="84">
    <w:name w:val="标题3"/>
    <w:basedOn w:val="1"/>
    <w:autoRedefine/>
    <w:qFormat/>
    <w:uiPriority w:val="0"/>
    <w:pPr>
      <w:spacing w:line="360" w:lineRule="auto"/>
      <w:outlineLvl w:val="2"/>
    </w:pPr>
    <w:rPr>
      <w:b/>
      <w:sz w:val="24"/>
    </w:rPr>
  </w:style>
  <w:style w:type="paragraph" w:customStyle="1" w:styleId="85">
    <w:name w:val="无编号标题2"/>
    <w:basedOn w:val="3"/>
    <w:next w:val="1"/>
    <w:autoRedefine/>
    <w:qFormat/>
    <w:uiPriority w:val="0"/>
    <w:pPr>
      <w:numPr>
        <w:ilvl w:val="0"/>
        <w:numId w:val="0"/>
      </w:numPr>
    </w:pPr>
  </w:style>
  <w:style w:type="paragraph" w:customStyle="1" w:styleId="86">
    <w:name w:val="表格内文字"/>
    <w:basedOn w:val="87"/>
    <w:next w:val="1"/>
    <w:autoRedefine/>
    <w:qFormat/>
    <w:uiPriority w:val="0"/>
    <w:pPr>
      <w:widowControl w:val="0"/>
      <w:tabs>
        <w:tab w:val="left" w:pos="3825"/>
        <w:tab w:val="left" w:pos="4680"/>
      </w:tabs>
      <w:adjustRightInd w:val="0"/>
      <w:snapToGrid w:val="0"/>
      <w:spacing w:line="240" w:lineRule="auto"/>
      <w:ind w:firstLine="480" w:firstLineChars="200"/>
    </w:pPr>
    <w:rPr>
      <w:rFonts w:ascii="Calibri" w:hAnsi="Calibri" w:cs="宋体"/>
      <w:b w:val="0"/>
      <w:sz w:val="21"/>
      <w:szCs w:val="24"/>
    </w:rPr>
  </w:style>
  <w:style w:type="paragraph" w:customStyle="1" w:styleId="87">
    <w:name w:val="表格名称"/>
    <w:next w:val="86"/>
    <w:autoRedefine/>
    <w:qFormat/>
    <w:uiPriority w:val="0"/>
    <w:pPr>
      <w:tabs>
        <w:tab w:val="left" w:pos="3825"/>
        <w:tab w:val="left" w:pos="4680"/>
      </w:tabs>
      <w:spacing w:line="360" w:lineRule="auto"/>
      <w:jc w:val="center"/>
    </w:pPr>
    <w:rPr>
      <w:rFonts w:ascii="Times New Roman" w:hAnsi="Times New Roman" w:eastAsia="宋体" w:cs="Times New Roman"/>
      <w:b/>
      <w:sz w:val="24"/>
      <w:szCs w:val="21"/>
      <w:lang w:val="en-US" w:eastAsia="zh-CN" w:bidi="ar-SA"/>
    </w:rPr>
  </w:style>
  <w:style w:type="paragraph" w:customStyle="1" w:styleId="88">
    <w:name w:val="正文1"/>
    <w:basedOn w:val="14"/>
    <w:autoRedefine/>
    <w:qFormat/>
    <w:uiPriority w:val="0"/>
    <w:pPr>
      <w:adjustRightInd w:val="0"/>
      <w:snapToGrid w:val="0"/>
      <w:spacing w:after="0" w:line="360" w:lineRule="auto"/>
      <w:ind w:left="0" w:leftChars="0" w:firstLine="200" w:firstLineChars="200"/>
      <w:textAlignment w:val="center"/>
    </w:pPr>
    <w:rPr>
      <w:szCs w:val="28"/>
    </w:rPr>
  </w:style>
  <w:style w:type="paragraph" w:customStyle="1" w:styleId="89">
    <w:name w:val="w表格内容"/>
    <w:basedOn w:val="1"/>
    <w:autoRedefine/>
    <w:qFormat/>
    <w:uiPriority w:val="0"/>
    <w:pPr>
      <w:jc w:val="center"/>
    </w:pPr>
  </w:style>
  <w:style w:type="paragraph" w:customStyle="1" w:styleId="90">
    <w:name w:val="w报告表正文"/>
    <w:basedOn w:val="1"/>
    <w:autoRedefine/>
    <w:qFormat/>
    <w:uiPriority w:val="0"/>
    <w:pPr>
      <w:spacing w:line="360" w:lineRule="auto"/>
      <w:ind w:firstLine="720" w:firstLineChars="200"/>
    </w:pPr>
    <w:rPr>
      <w:sz w:val="24"/>
    </w:rPr>
  </w:style>
  <w:style w:type="paragraph" w:customStyle="1" w:styleId="91">
    <w:name w:val="表头bt"/>
    <w:basedOn w:val="1"/>
    <w:next w:val="1"/>
    <w:link w:val="92"/>
    <w:autoRedefine/>
    <w:qFormat/>
    <w:uiPriority w:val="0"/>
    <w:pPr>
      <w:spacing w:line="360" w:lineRule="auto"/>
      <w:jc w:val="center"/>
    </w:pPr>
    <w:rPr>
      <w:b/>
      <w:sz w:val="24"/>
    </w:rPr>
  </w:style>
  <w:style w:type="character" w:customStyle="1" w:styleId="92">
    <w:name w:val="表头b Char"/>
    <w:link w:val="91"/>
    <w:autoRedefine/>
    <w:qFormat/>
    <w:uiPriority w:val="0"/>
    <w:rPr>
      <w:b/>
      <w:kern w:val="2"/>
      <w:sz w:val="24"/>
      <w:szCs w:val="24"/>
    </w:rPr>
  </w:style>
  <w:style w:type="paragraph" w:customStyle="1" w:styleId="93">
    <w:name w:val="表哥的格式"/>
    <w:autoRedefine/>
    <w:qFormat/>
    <w:uiPriority w:val="0"/>
    <w:pPr>
      <w:widowControl w:val="0"/>
      <w:autoSpaceDE w:val="0"/>
      <w:autoSpaceDN w:val="0"/>
      <w:adjustRightInd w:val="0"/>
      <w:snapToGrid w:val="0"/>
      <w:spacing w:line="360" w:lineRule="auto"/>
      <w:jc w:val="center"/>
    </w:pPr>
    <w:rPr>
      <w:rFonts w:ascii="Times New Roman" w:hAnsi="Times New Roman" w:eastAsia="宋体" w:cs="Times New Roman"/>
      <w:sz w:val="24"/>
      <w:szCs w:val="21"/>
      <w:lang w:val="en-US" w:eastAsia="zh-CN" w:bidi="ar-SA"/>
    </w:rPr>
  </w:style>
  <w:style w:type="paragraph" w:customStyle="1" w:styleId="94">
    <w:name w:val="表头"/>
    <w:basedOn w:val="1"/>
    <w:autoRedefine/>
    <w:qFormat/>
    <w:uiPriority w:val="0"/>
    <w:pPr>
      <w:spacing w:line="360" w:lineRule="auto"/>
      <w:jc w:val="center"/>
    </w:pPr>
    <w:rPr>
      <w:b/>
      <w:sz w:val="24"/>
    </w:rPr>
  </w:style>
  <w:style w:type="paragraph" w:customStyle="1" w:styleId="95">
    <w:name w:val="样式 首行缩进:  2 字符1"/>
    <w:basedOn w:val="1"/>
    <w:autoRedefine/>
    <w:qFormat/>
    <w:uiPriority w:val="0"/>
    <w:pPr>
      <w:adjustRightInd w:val="0"/>
      <w:snapToGrid w:val="0"/>
      <w:spacing w:line="360" w:lineRule="auto"/>
      <w:ind w:firstLine="480" w:firstLineChars="200"/>
    </w:pPr>
    <w:rPr>
      <w:rFonts w:hint="eastAsia" w:ascii="宋体" w:hAnsi="宋体"/>
      <w:sz w:val="24"/>
      <w:szCs w:val="20"/>
    </w:rPr>
  </w:style>
  <w:style w:type="paragraph" w:customStyle="1" w:styleId="96">
    <w:name w:val="表格样式"/>
    <w:basedOn w:val="1"/>
    <w:autoRedefine/>
    <w:qFormat/>
    <w:uiPriority w:val="0"/>
    <w:pPr>
      <w:jc w:val="center"/>
    </w:pPr>
  </w:style>
  <w:style w:type="character" w:customStyle="1" w:styleId="97">
    <w:name w:val="z表格内文字 字符"/>
    <w:link w:val="98"/>
    <w:autoRedefine/>
    <w:qFormat/>
    <w:uiPriority w:val="0"/>
    <w:rPr>
      <w:color w:val="000000"/>
      <w:kern w:val="2"/>
      <w:sz w:val="21"/>
      <w:szCs w:val="21"/>
    </w:rPr>
  </w:style>
  <w:style w:type="paragraph" w:customStyle="1" w:styleId="98">
    <w:name w:val="z表格内文字"/>
    <w:basedOn w:val="1"/>
    <w:link w:val="97"/>
    <w:autoRedefine/>
    <w:qFormat/>
    <w:uiPriority w:val="0"/>
    <w:pPr>
      <w:jc w:val="center"/>
    </w:pPr>
    <w:rPr>
      <w:color w:val="000000"/>
      <w:szCs w:val="21"/>
    </w:rPr>
  </w:style>
  <w:style w:type="paragraph" w:customStyle="1" w:styleId="99">
    <w:name w:val="表内容"/>
    <w:basedOn w:val="1"/>
    <w:autoRedefine/>
    <w:qFormat/>
    <w:uiPriority w:val="0"/>
    <w:pPr>
      <w:spacing w:line="360" w:lineRule="exact"/>
      <w:jc w:val="center"/>
    </w:pPr>
    <w:rPr>
      <w:szCs w:val="20"/>
    </w:rPr>
  </w:style>
  <w:style w:type="character" w:customStyle="1" w:styleId="100">
    <w:name w:val="图文标题 字符"/>
    <w:autoRedefine/>
    <w:qFormat/>
    <w:uiPriority w:val="0"/>
    <w:rPr>
      <w:rFonts w:ascii="Arial" w:hAnsi="Arial" w:cs="Arial"/>
      <w:b/>
      <w:kern w:val="2"/>
      <w:sz w:val="24"/>
      <w:szCs w:val="22"/>
    </w:rPr>
  </w:style>
  <w:style w:type="paragraph" w:customStyle="1" w:styleId="101">
    <w:name w:val="Table Paragraph"/>
    <w:basedOn w:val="1"/>
    <w:link w:val="102"/>
    <w:autoRedefine/>
    <w:qFormat/>
    <w:uiPriority w:val="1"/>
    <w:rPr>
      <w:rFonts w:ascii="宋体" w:hAnsi="宋体" w:cs="宋体"/>
      <w:lang w:val="zh-CN" w:bidi="zh-CN"/>
    </w:rPr>
  </w:style>
  <w:style w:type="character" w:customStyle="1" w:styleId="102">
    <w:name w:val="Table Paragraph Char"/>
    <w:link w:val="101"/>
    <w:autoRedefine/>
    <w:qFormat/>
    <w:uiPriority w:val="1"/>
    <w:rPr>
      <w:rFonts w:ascii="宋体" w:hAnsi="宋体" w:eastAsia="宋体" w:cs="宋体"/>
      <w:lang w:val="zh-CN" w:eastAsia="zh-CN" w:bidi="zh-CN"/>
    </w:rPr>
  </w:style>
  <w:style w:type="character" w:customStyle="1" w:styleId="103">
    <w:name w:val="大纲正文 Char"/>
    <w:link w:val="104"/>
    <w:autoRedefine/>
    <w:qFormat/>
    <w:uiPriority w:val="0"/>
    <w:rPr>
      <w:rFonts w:hint="eastAsia" w:ascii="宋体" w:hAnsi="宋体" w:eastAsia="宋体" w:cs="宋体"/>
      <w:kern w:val="2"/>
      <w:sz w:val="24"/>
    </w:rPr>
  </w:style>
  <w:style w:type="paragraph" w:customStyle="1" w:styleId="104">
    <w:name w:val="大纲正文"/>
    <w:basedOn w:val="1"/>
    <w:link w:val="103"/>
    <w:autoRedefine/>
    <w:qFormat/>
    <w:uiPriority w:val="0"/>
    <w:pPr>
      <w:widowControl/>
      <w:adjustRightInd w:val="0"/>
      <w:snapToGrid w:val="0"/>
      <w:spacing w:line="300" w:lineRule="auto"/>
      <w:ind w:firstLine="200" w:firstLineChars="200"/>
    </w:pPr>
    <w:rPr>
      <w:sz w:val="24"/>
      <w:szCs w:val="20"/>
    </w:rPr>
  </w:style>
  <w:style w:type="paragraph" w:customStyle="1" w:styleId="105">
    <w:name w:val="注释"/>
    <w:autoRedefine/>
    <w:qFormat/>
    <w:uiPriority w:val="0"/>
    <w:pPr>
      <w:widowControl w:val="0"/>
      <w:adjustRightInd w:val="0"/>
      <w:snapToGrid w:val="0"/>
      <w:spacing w:line="360" w:lineRule="auto"/>
      <w:jc w:val="both"/>
      <w:textAlignment w:val="baseline"/>
    </w:pPr>
    <w:rPr>
      <w:rFonts w:ascii="Calibri" w:hAnsi="Calibri" w:eastAsia="宋体" w:cs="宋体"/>
      <w:snapToGrid w:val="0"/>
      <w:spacing w:val="4"/>
      <w:sz w:val="24"/>
      <w:szCs w:val="21"/>
      <w:lang w:val="en-US" w:eastAsia="zh-CN" w:bidi="ar-SA"/>
    </w:rPr>
  </w:style>
  <w:style w:type="character" w:customStyle="1" w:styleId="106">
    <w:name w:val="font21"/>
    <w:autoRedefine/>
    <w:qFormat/>
    <w:uiPriority w:val="0"/>
    <w:rPr>
      <w:rFonts w:hint="default" w:ascii="Times New Roman" w:hAnsi="Times New Roman" w:cs="Times New Roman"/>
      <w:color w:val="000000"/>
      <w:sz w:val="21"/>
      <w:szCs w:val="21"/>
      <w:u w:val="none"/>
    </w:rPr>
  </w:style>
  <w:style w:type="paragraph" w:styleId="107">
    <w:name w:val="List Paragraph"/>
    <w:basedOn w:val="1"/>
    <w:autoRedefine/>
    <w:qFormat/>
    <w:uiPriority w:val="99"/>
    <w:pPr>
      <w:ind w:firstLine="420" w:firstLineChars="200"/>
    </w:pPr>
  </w:style>
  <w:style w:type="character" w:customStyle="1" w:styleId="108">
    <w:name w:val="w报告表正文 Char"/>
    <w:autoRedefine/>
    <w:qFormat/>
    <w:uiPriority w:val="0"/>
    <w:rPr>
      <w:sz w:val="24"/>
    </w:rPr>
  </w:style>
  <w:style w:type="paragraph" w:customStyle="1" w:styleId="109">
    <w:name w:val="a表格内文字"/>
    <w:basedOn w:val="1"/>
    <w:autoRedefine/>
    <w:qFormat/>
    <w:uiPriority w:val="0"/>
    <w:pPr>
      <w:jc w:val="center"/>
    </w:pPr>
    <w:rPr>
      <w:color w:val="000000"/>
      <w:szCs w:val="21"/>
    </w:rPr>
  </w:style>
  <w:style w:type="paragraph" w:customStyle="1" w:styleId="110">
    <w:name w:val="表格内容b"/>
    <w:basedOn w:val="1"/>
    <w:autoRedefine/>
    <w:qFormat/>
    <w:uiPriority w:val="0"/>
    <w:pPr>
      <w:jc w:val="center"/>
    </w:pPr>
  </w:style>
  <w:style w:type="paragraph" w:customStyle="1" w:styleId="111">
    <w:name w:val="表格内容bg"/>
    <w:basedOn w:val="1"/>
    <w:autoRedefine/>
    <w:qFormat/>
    <w:uiPriority w:val="0"/>
    <w:pPr>
      <w:jc w:val="center"/>
    </w:pPr>
  </w:style>
  <w:style w:type="character" w:customStyle="1" w:styleId="112">
    <w:name w:val="disabled"/>
    <w:autoRedefine/>
    <w:qFormat/>
    <w:uiPriority w:val="0"/>
    <w:rPr>
      <w:vanish/>
      <w:bdr w:val="single" w:color="2F6B98" w:sz="4" w:space="0"/>
    </w:rPr>
  </w:style>
  <w:style w:type="character" w:customStyle="1" w:styleId="113">
    <w:name w:val="znspantitle"/>
    <w:autoRedefine/>
    <w:qFormat/>
    <w:uiPriority w:val="0"/>
    <w:rPr>
      <w:b/>
      <w:bCs/>
      <w:color w:val="333333"/>
    </w:rPr>
  </w:style>
  <w:style w:type="character" w:customStyle="1" w:styleId="114">
    <w:name w:val="15"/>
    <w:autoRedefine/>
    <w:qFormat/>
    <w:uiPriority w:val="0"/>
    <w:rPr>
      <w:rFonts w:hint="default" w:ascii="Times New Roman" w:hAnsi="Times New Roman" w:cs="Times New Roman"/>
    </w:rPr>
  </w:style>
  <w:style w:type="paragraph" w:customStyle="1" w:styleId="115">
    <w:name w:val="5段落"/>
    <w:basedOn w:val="1"/>
    <w:link w:val="116"/>
    <w:autoRedefine/>
    <w:qFormat/>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eastAsia="宋体" w:cs="Times New Roman"/>
      <w:kern w:val="2"/>
      <w:sz w:val="24"/>
      <w:szCs w:val="28"/>
      <w:lang w:val="en-US" w:eastAsia="zh-CN" w:bidi="ar"/>
    </w:rPr>
  </w:style>
  <w:style w:type="character" w:customStyle="1" w:styleId="116">
    <w:name w:val="5段落 Char"/>
    <w:link w:val="115"/>
    <w:autoRedefine/>
    <w:qFormat/>
    <w:uiPriority w:val="0"/>
    <w:rPr>
      <w:kern w:val="2"/>
      <w:sz w:val="24"/>
      <w:szCs w:val="28"/>
    </w:rPr>
  </w:style>
  <w:style w:type="character" w:customStyle="1" w:styleId="117">
    <w:name w:val="font81"/>
    <w:autoRedefine/>
    <w:qFormat/>
    <w:uiPriority w:val="0"/>
    <w:rPr>
      <w:rFonts w:hint="default" w:ascii="Times New Roman" w:hAnsi="Times New Roman" w:cs="Times New Roman"/>
      <w:color w:val="000000"/>
      <w:sz w:val="21"/>
      <w:szCs w:val="21"/>
      <w:u w:val="none"/>
      <w:vertAlign w:val="subscript"/>
    </w:rPr>
  </w:style>
  <w:style w:type="character" w:customStyle="1" w:styleId="118">
    <w:name w:val="font31"/>
    <w:autoRedefine/>
    <w:qFormat/>
    <w:uiPriority w:val="0"/>
    <w:rPr>
      <w:rFonts w:hint="default" w:ascii="Times New Roman" w:hAnsi="Times New Roman" w:cs="Times New Roman"/>
      <w:color w:val="000000"/>
      <w:sz w:val="21"/>
      <w:szCs w:val="21"/>
      <w:u w:val="none"/>
    </w:rPr>
  </w:style>
  <w:style w:type="character" w:customStyle="1" w:styleId="119">
    <w:name w:val="font61"/>
    <w:autoRedefine/>
    <w:qFormat/>
    <w:uiPriority w:val="0"/>
    <w:rPr>
      <w:rFonts w:hint="eastAsia" w:ascii="宋体" w:hAnsi="宋体" w:eastAsia="宋体" w:cs="宋体"/>
      <w:color w:val="000000"/>
      <w:sz w:val="21"/>
      <w:szCs w:val="21"/>
      <w:u w:val="none"/>
    </w:rPr>
  </w:style>
  <w:style w:type="character" w:customStyle="1" w:styleId="120">
    <w:name w:val="font01"/>
    <w:autoRedefine/>
    <w:qFormat/>
    <w:uiPriority w:val="0"/>
    <w:rPr>
      <w:rFonts w:hint="default" w:ascii="Times New Roman" w:hAnsi="Times New Roman" w:cs="Times New Roman"/>
      <w:color w:val="000000"/>
      <w:sz w:val="21"/>
      <w:szCs w:val="21"/>
      <w:u w:val="none"/>
      <w:vertAlign w:val="superscript"/>
    </w:rPr>
  </w:style>
  <w:style w:type="paragraph" w:customStyle="1" w:styleId="121">
    <w:name w:val="111正文的格式"/>
    <w:basedOn w:val="1"/>
    <w:link w:val="122"/>
    <w:autoRedefine/>
    <w:qFormat/>
    <w:uiPriority w:val="0"/>
    <w:pPr>
      <w:keepNext w:val="0"/>
      <w:keepLines w:val="0"/>
      <w:widowControl w:val="0"/>
      <w:suppressLineNumbers w:val="0"/>
      <w:adjustRightInd w:val="0"/>
      <w:snapToGrid w:val="0"/>
      <w:spacing w:before="0" w:beforeAutospacing="0" w:after="0" w:afterAutospacing="0" w:line="360" w:lineRule="auto"/>
      <w:ind w:left="0" w:right="0" w:firstLine="200" w:firstLineChars="200"/>
      <w:jc w:val="both"/>
    </w:pPr>
    <w:rPr>
      <w:rFonts w:hint="default" w:ascii="Times New Roman" w:hAnsi="Times New Roman" w:eastAsia="宋体" w:cs="Times New Roman"/>
      <w:color w:val="0000FF"/>
      <w:kern w:val="2"/>
      <w:sz w:val="24"/>
      <w:szCs w:val="24"/>
      <w:lang w:val="en-US" w:eastAsia="zh-CN" w:bidi="ar"/>
    </w:rPr>
  </w:style>
  <w:style w:type="character" w:customStyle="1" w:styleId="122">
    <w:name w:val="111正文的格式 Char"/>
    <w:link w:val="121"/>
    <w:autoRedefine/>
    <w:qFormat/>
    <w:uiPriority w:val="0"/>
    <w:rPr>
      <w:color w:val="0000FF"/>
      <w:kern w:val="2"/>
      <w:sz w:val="24"/>
      <w:szCs w:val="24"/>
    </w:rPr>
  </w:style>
  <w:style w:type="paragraph" w:styleId="123">
    <w:name w:val="No Spacing"/>
    <w:basedOn w:val="124"/>
    <w:autoRedefine/>
    <w:qFormat/>
    <w:uiPriority w:val="1"/>
    <w:pPr>
      <w:tabs>
        <w:tab w:val="right" w:pos="8502"/>
        <w:tab w:val="right" w:pos="8802"/>
      </w:tabs>
    </w:pPr>
    <w:rPr>
      <w:rFonts w:ascii="Calibri" w:hAnsi="Calibri"/>
      <w:sz w:val="22"/>
      <w:szCs w:val="22"/>
      <w:lang w:val="en-US" w:eastAsia="zh-CN" w:bidi="ar-SA"/>
    </w:rPr>
  </w:style>
  <w:style w:type="paragraph" w:customStyle="1" w:styleId="124">
    <w:name w:val="无间隔1"/>
    <w:basedOn w:val="1"/>
    <w:next w:val="13"/>
    <w:autoRedefine/>
    <w:qFormat/>
    <w:uiPriority w:val="1"/>
    <w:pPr>
      <w:pageBreakBefore/>
      <w:tabs>
        <w:tab w:val="right" w:pos="8502"/>
        <w:tab w:val="right" w:pos="8802"/>
      </w:tabs>
      <w:kinsoku w:val="0"/>
      <w:autoSpaceDE w:val="0"/>
      <w:autoSpaceDN w:val="0"/>
      <w:adjustRightInd w:val="0"/>
      <w:snapToGrid w:val="0"/>
      <w:spacing w:line="240" w:lineRule="auto"/>
      <w:jc w:val="left"/>
      <w:textAlignment w:val="baseline"/>
      <w:outlineLvl w:val="6"/>
    </w:pPr>
    <w:rPr>
      <w:rFonts w:cs="Arial"/>
      <w:b/>
      <w:sz w:val="24"/>
    </w:rPr>
  </w:style>
  <w:style w:type="character" w:customStyle="1" w:styleId="125">
    <w:name w:val="0正文 Char"/>
    <w:link w:val="126"/>
    <w:autoRedefine/>
    <w:qFormat/>
    <w:uiPriority w:val="0"/>
    <w:rPr>
      <w:sz w:val="24"/>
      <w:szCs w:val="22"/>
    </w:rPr>
  </w:style>
  <w:style w:type="paragraph" w:customStyle="1" w:styleId="126">
    <w:name w:val="0正文"/>
    <w:basedOn w:val="1"/>
    <w:link w:val="125"/>
    <w:autoRedefine/>
    <w:qFormat/>
    <w:uiPriority w:val="0"/>
    <w:pPr>
      <w:keepNext w:val="0"/>
      <w:keepLines w:val="0"/>
      <w:widowControl w:val="0"/>
      <w:suppressLineNumbers w:val="0"/>
      <w:spacing w:before="0" w:beforeAutospacing="0" w:after="0" w:afterAutospacing="0" w:line="360" w:lineRule="auto"/>
      <w:ind w:left="0" w:right="0" w:firstLine="720" w:firstLineChars="200"/>
      <w:jc w:val="left"/>
    </w:pPr>
    <w:rPr>
      <w:rFonts w:hint="default" w:ascii="Times New Roman" w:hAnsi="Times New Roman" w:eastAsia="宋体" w:cs="Times New Roman"/>
      <w:kern w:val="0"/>
      <w:sz w:val="24"/>
      <w:szCs w:val="22"/>
      <w:lang w:val="en-US" w:eastAsia="zh-CN" w:bidi="ar"/>
    </w:rPr>
  </w:style>
  <w:style w:type="paragraph" w:customStyle="1" w:styleId="127">
    <w:name w:val="EIA文本样式"/>
    <w:autoRedefine/>
    <w:qFormat/>
    <w:uiPriority w:val="0"/>
    <w:pPr>
      <w:tabs>
        <w:tab w:val="left" w:pos="0"/>
      </w:tabs>
      <w:spacing w:line="360" w:lineRule="auto"/>
      <w:ind w:firstLine="456" w:firstLineChars="200"/>
      <w:jc w:val="center"/>
    </w:pPr>
    <w:rPr>
      <w:rFonts w:ascii="Times New Roman" w:hAnsi="Times New Roman" w:eastAsia="宋体" w:cs="Times New Roman"/>
      <w:spacing w:val="-6"/>
      <w:kern w:val="2"/>
      <w:sz w:val="24"/>
      <w:szCs w:val="24"/>
      <w:lang w:val="en-US" w:eastAsia="zh-CN" w:bidi="ar-SA"/>
    </w:rPr>
  </w:style>
  <w:style w:type="paragraph" w:customStyle="1" w:styleId="128">
    <w:name w:val="我的正文"/>
    <w:autoRedefine/>
    <w:qFormat/>
    <w:uiPriority w:val="0"/>
    <w:pPr>
      <w:widowControl w:val="0"/>
      <w:spacing w:line="360" w:lineRule="auto"/>
      <w:ind w:firstLine="480" w:firstLineChars="200"/>
    </w:pPr>
    <w:rPr>
      <w:rFonts w:ascii="Calibri" w:hAnsi="Calibri" w:eastAsia="宋体" w:cs="Times New Roman"/>
      <w:kern w:val="2"/>
      <w:sz w:val="24"/>
      <w:szCs w:val="24"/>
      <w:lang w:val="en-US" w:eastAsia="zh-CN" w:bidi="ar-SA"/>
    </w:rPr>
  </w:style>
  <w:style w:type="paragraph" w:customStyle="1" w:styleId="129">
    <w:name w:val="段落"/>
    <w:basedOn w:val="1"/>
    <w:autoRedefine/>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eastAsia" w:ascii="宋体" w:hAnsi="宋体" w:eastAsia="宋体" w:cs="Times New Roman"/>
      <w:kern w:val="2"/>
      <w:sz w:val="24"/>
      <w:szCs w:val="24"/>
      <w:lang w:val="en-US" w:eastAsia="zh-CN" w:bidi="ar"/>
    </w:rPr>
  </w:style>
  <w:style w:type="paragraph" w:customStyle="1" w:styleId="130">
    <w:name w:val="表格字体"/>
    <w:basedOn w:val="1"/>
    <w:autoRedefine/>
    <w:qFormat/>
    <w:uiPriority w:val="0"/>
    <w:pPr>
      <w:spacing w:line="240" w:lineRule="auto"/>
      <w:ind w:firstLine="0" w:firstLineChars="0"/>
      <w:jc w:val="center"/>
    </w:pPr>
    <w:rPr>
      <w:sz w:val="21"/>
    </w:rPr>
  </w:style>
  <w:style w:type="character" w:customStyle="1" w:styleId="131">
    <w:name w:val="正文的格式52 Char"/>
    <w:autoRedefine/>
    <w:qFormat/>
    <w:uiPriority w:val="0"/>
    <w:rPr>
      <w:sz w:val="24"/>
    </w:rPr>
  </w:style>
  <w:style w:type="paragraph" w:customStyle="1" w:styleId="132">
    <w:name w:val="文本"/>
    <w:basedOn w:val="1"/>
    <w:autoRedefine/>
    <w:qFormat/>
    <w:uiPriority w:val="0"/>
    <w:pPr>
      <w:spacing w:line="360" w:lineRule="auto"/>
      <w:ind w:firstLine="200" w:firstLineChars="200"/>
    </w:pPr>
    <w:rPr>
      <w:rFonts w:ascii="Calibri" w:hAnsi="Calibri" w:cs="宋体"/>
      <w:sz w:val="24"/>
    </w:rPr>
  </w:style>
  <w:style w:type="character" w:customStyle="1" w:styleId="133">
    <w:name w:val="font11"/>
    <w:basedOn w:val="34"/>
    <w:autoRedefine/>
    <w:qFormat/>
    <w:uiPriority w:val="0"/>
    <w:rPr>
      <w:rFonts w:hint="eastAsia" w:ascii="宋体" w:hAnsi="宋体" w:eastAsia="宋体" w:cs="宋体"/>
      <w:color w:val="000000"/>
      <w:sz w:val="21"/>
      <w:szCs w:val="21"/>
      <w:u w:val="none"/>
    </w:rPr>
  </w:style>
  <w:style w:type="paragraph" w:customStyle="1" w:styleId="134">
    <w:name w:val="zhang正文"/>
    <w:basedOn w:val="14"/>
    <w:autoRedefine/>
    <w:qFormat/>
    <w:uiPriority w:val="0"/>
    <w:pPr>
      <w:autoSpaceDE w:val="0"/>
      <w:autoSpaceDN w:val="0"/>
      <w:adjustRightInd w:val="0"/>
      <w:snapToGrid w:val="0"/>
      <w:spacing w:after="0" w:line="500" w:lineRule="exact"/>
      <w:ind w:left="0" w:leftChars="0" w:firstLine="539"/>
      <w:textAlignment w:val="baseline"/>
    </w:pPr>
    <w:rPr>
      <w:rFonts w:eastAsia="楷体_GB2312"/>
      <w:sz w:val="28"/>
    </w:rPr>
  </w:style>
  <w:style w:type="paragraph" w:customStyle="1" w:styleId="135">
    <w:name w:val="5文章正文"/>
    <w:basedOn w:val="1"/>
    <w:autoRedefine/>
    <w:qFormat/>
    <w:uiPriority w:val="0"/>
    <w:pPr>
      <w:spacing w:line="360" w:lineRule="auto"/>
      <w:ind w:firstLine="200" w:firstLineChars="200"/>
    </w:pPr>
    <w:rPr>
      <w:rFonts w:cstheme="minorBidi"/>
      <w:sz w:val="24"/>
      <w:szCs w:val="24"/>
    </w:rPr>
  </w:style>
  <w:style w:type="paragraph" w:customStyle="1" w:styleId="136">
    <w:name w:val="表内文字"/>
    <w:basedOn w:val="1"/>
    <w:autoRedefine/>
    <w:qFormat/>
    <w:uiPriority w:val="0"/>
    <w:pPr>
      <w:spacing w:line="240" w:lineRule="auto"/>
      <w:ind w:firstLine="0" w:firstLineChars="0"/>
      <w:jc w:val="center"/>
    </w:pPr>
    <w:rPr>
      <w:sz w:val="21"/>
      <w:szCs w:val="21"/>
    </w:rPr>
  </w:style>
  <w:style w:type="character" w:customStyle="1" w:styleId="137">
    <w:name w:val="正文首行缩进 2 Char"/>
    <w:link w:val="15"/>
    <w:autoRedefine/>
    <w:qFormat/>
    <w:uiPriority w:val="0"/>
    <w:rPr>
      <w:kern w:val="2"/>
      <w:sz w:val="21"/>
      <w:szCs w:val="24"/>
    </w:rPr>
  </w:style>
  <w:style w:type="paragraph" w:customStyle="1" w:styleId="138">
    <w:name w:val="2 图表标题"/>
    <w:basedOn w:val="139"/>
    <w:autoRedefine/>
    <w:qFormat/>
    <w:uiPriority w:val="0"/>
    <w:pPr>
      <w:spacing w:line="240" w:lineRule="auto"/>
      <w:ind w:firstLine="0"/>
    </w:pPr>
    <w:rPr>
      <w:rFonts w:ascii="Times New Roman" w:hAnsi="Times New Roman" w:eastAsia="宋体"/>
    </w:rPr>
  </w:style>
  <w:style w:type="paragraph" w:customStyle="1" w:styleId="139">
    <w:name w:val="2图标名称"/>
    <w:basedOn w:val="1"/>
    <w:autoRedefine/>
    <w:qFormat/>
    <w:uiPriority w:val="0"/>
    <w:pPr>
      <w:autoSpaceDE w:val="0"/>
      <w:autoSpaceDN w:val="0"/>
      <w:adjustRightInd w:val="0"/>
      <w:snapToGrid w:val="0"/>
      <w:ind w:firstLine="420"/>
      <w:jc w:val="center"/>
    </w:pPr>
    <w:rPr>
      <w:rFonts w:ascii="宋体" w:hAnsi="宋体"/>
      <w:b/>
      <w:kern w:val="0"/>
      <w:sz w:val="21"/>
      <w:szCs w:val="21"/>
    </w:rPr>
  </w:style>
  <w:style w:type="paragraph" w:customStyle="1" w:styleId="140">
    <w:name w:val="3表内文字"/>
    <w:basedOn w:val="1"/>
    <w:autoRedefine/>
    <w:qFormat/>
    <w:uiPriority w:val="0"/>
    <w:pPr>
      <w:spacing w:line="240" w:lineRule="auto"/>
      <w:jc w:val="center"/>
    </w:pPr>
    <w:rPr>
      <w:color w:val="000000"/>
      <w:sz w:val="1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35039</Words>
  <Characters>39023</Characters>
  <Lines>1</Lines>
  <Paragraphs>1</Paragraphs>
  <TotalTime>3</TotalTime>
  <ScaleCrop>false</ScaleCrop>
  <LinksUpToDate>false</LinksUpToDate>
  <CharactersWithSpaces>39274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2023-06-27T14:10:00Z</dcterms:created>
  <dc:creator>lhj</dc:creator>
  <cp:lastModifiedBy>海Q</cp:lastModifiedBy>
  <cp:lastPrinted>2023-06-08T09:37:00Z</cp:lastPrinted>
  <dcterms:modified xsi:type="dcterms:W3CDTF">2024-06-27T02:06:04Z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A80F8E45D82E46529EE40820E66E7BB2_13</vt:lpwstr>
  </property>
</Properties>
</file>