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2B5E8">
      <w:pPr>
        <w:pStyle w:val="3"/>
        <w:bidi w:val="0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  <w:lang w:eastAsia="zh-CN"/>
        </w:rPr>
        <w:t>下厝场村渔耕文化中心地块</w:t>
      </w:r>
      <w:r>
        <w:rPr>
          <w:rFonts w:hint="eastAsia"/>
          <w:color w:val="auto"/>
        </w:rPr>
        <w:t>土壤污染状况调查报告公示</w:t>
      </w:r>
      <w:bookmarkEnd w:id="0"/>
    </w:p>
    <w:p w14:paraId="56FF4D8B"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根据《污染地块土壤环境管理办法(试行)》(环境保护部令第42号)、《福建省污染地块开发利用监督管理暂行办法》(闽环保土[201812号)等相关文件要求，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平潭县君山镇下厝场村村民委员会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于202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日委托福建拓普检测技术有限公司对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下厝场村渔耕文化中心地块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</w:rPr>
        <w:t>进行土壤污染状况调查，通过土壤污染状况调查报告可知，调查地块不需要进行下一步的采样调查工作，满足当前项目用地需求，现将地块土壤污染状况调查基本情况予以公示。</w:t>
      </w:r>
    </w:p>
    <w:p w14:paraId="1CE54DBF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、项目概况</w:t>
      </w:r>
    </w:p>
    <w:p w14:paraId="4F586DDD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调查地块位于平潭县君山镇下厝场村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地块面积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678.54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，地块中心坐标为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东经119.865302°、北纬25.553508°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四至范围：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东至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雨水渠及Y093乡道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，北至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下厝场村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居民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房及院子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，西至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下厝场村村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居民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房及院子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，南至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乡村道路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该地块区域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原地类为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农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用地、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居住用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地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，规划用途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文化用地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0803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val="en-US" w:eastAsia="zh-CN"/>
        </w:rPr>
        <w:t>）。</w:t>
      </w:r>
    </w:p>
    <w:p w14:paraId="4933EA3B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二、调查内容通过开展对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下厝场村渔耕文化中心地块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环境调查评价工作，确认场地内土壤是否存在污染，为后续工作开展提供数据支撑。选择调查地块及周边作为调查范围，按照《建设用地土壤污染状况调查技术导则》(H25.1-2019)、《建设用地土壤污染风险管控和修复监测技术导则》(HJ25.2-2019)的要求，根据现场调查、人员访谈、历史卫星图斑和现场快筛等，采用《土壤环境质量 建设用地土壤污染风险管控标准(试行)》(GB3600-2018)等标准，分析现场踏勘、访谈、快筛的结果并撰写报告。</w:t>
      </w:r>
    </w:p>
    <w:p w14:paraId="76E67AB0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三、调查结果</w:t>
      </w:r>
    </w:p>
    <w:p w14:paraId="3CF3B29C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根据调查结果，地块所检测的土壤污染物含量均未超过《土壤环境质量建设用地土壤污染风险管控标准》(GB3600-2018)中的第一类用地筛选值，调查地块现状不属于污染地块，满足规划用地要求，可作为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文化用地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开发利用，地块调查工作可以结束。</w:t>
      </w:r>
    </w:p>
    <w:p w14:paraId="765FBE88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四、建设单位名称及联系方式</w:t>
      </w:r>
    </w:p>
    <w:p w14:paraId="12F60D54"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建设单位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：平潭县君山镇下厝场村村民委员会</w:t>
      </w:r>
    </w:p>
    <w:p w14:paraId="510A6DF8"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通讯地址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：平潭县君山镇下厝场村村民委员会</w:t>
      </w:r>
    </w:p>
    <w:p w14:paraId="3FA95649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  <w:lang w:eastAsia="zh-CN"/>
        </w:rPr>
        <w:t>联系人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 xml:space="preserve">郑厚斌  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eastAsia="zh-CN"/>
        </w:rPr>
        <w:t>电话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13706970133</w:t>
      </w:r>
    </w:p>
    <w:p w14:paraId="183E8402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五、报告编写单位及联系方式</w:t>
      </w:r>
    </w:p>
    <w:p w14:paraId="5828E39C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编制单位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福建拓普检测技术有限公司</w:t>
      </w:r>
    </w:p>
    <w:p w14:paraId="3D06037E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通讯地址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福建省福州高新区乌龙江南大道30号福州清华紫光科技园E栋9-12层</w:t>
      </w:r>
    </w:p>
    <w:p w14:paraId="13FF66B9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联系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eastAsia="zh-CN"/>
        </w:rPr>
        <w:t>人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val="en-US" w:eastAsia="zh-CN"/>
        </w:rPr>
        <w:t>陈昱瑾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  <w:lang w:eastAsia="zh-CN"/>
        </w:rPr>
        <w:t xml:space="preserve"> 联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系电话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8"/>
        </w:rPr>
        <w:t>13348200081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1330D"/>
    <w:rsid w:val="0E9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ind w:firstLine="56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保税区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2025-07-26T12:47:00Z</dcterms:created>
  <dc:creator>蛋卷</dc:creator>
  <cp:lastModifiedBy>蛋卷</cp:lastModifiedBy>
  <dcterms:modified xsi:type="dcterms:W3CDTF">2025-07-26T12:54:13Z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F183F96A38144FEFA370D783739226F9_11</vt:lpwstr>
  </property>
  <property fmtid="{D5CDD505-2E9C-101B-9397-08002B2CF9AE}" pid="4" name="KSOTemplateDocerSaveRecord">
    <vt:lpwstr>eyJoZGlkIjoiNzEzNDhkODllMTg2OWFlNDJmY2RlZDk4NzY1NzMwOTciLCJ1c2VySWQiOiIzMTUyOTcwMTEifQ==</vt:lpwstr>
  </property>
</Properties>
</file>